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Best Jacob</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12/17/2025</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37"/>
        <w:spacing w:after="0" w:line="402" w:lineRule="auto"/>
        <w:rPr>
          <w:sz w:val="20"/>
          <w:szCs w:val="20"/>
          <w:color w:val="auto"/>
        </w:rPr>
      </w:pPr>
      <w:r>
        <w:rPr>
          <w:rFonts w:ascii="Times New Roman" w:cs="Times New Roman" w:eastAsia="Times New Roman" w:hAnsi="Times New Roman"/>
          <w:sz w:val="18"/>
          <w:szCs w:val="18"/>
          <w:color w:val="0000FF"/>
        </w:rPr>
        <w:t>C/O HELLMAN &amp; FRIEDMAN LLC 415 MISSION STREET, SUITE 5700</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5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94105 FRANCISCO</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80"/>
        <w:spacing w:after="0" w:line="239" w:lineRule="auto"/>
        <w:rPr>
          <w:sz w:val="20"/>
          <w:szCs w:val="20"/>
          <w:color w:val="auto"/>
        </w:rPr>
      </w:pPr>
      <w:r>
        <w:rPr>
          <w:rFonts w:ascii="Times New Roman" w:cs="Times New Roman" w:eastAsia="Times New Roman" w:hAnsi="Times New Roman"/>
          <w:sz w:val="15"/>
          <w:szCs w:val="15"/>
          <w:color w:val="008000"/>
        </w:rPr>
        <w:t>Mr. Best is a Partner at Hellman &amp; Friedman LLC and a Vice President of H&amp;F Corporate Investment X, Ltd. and is a member of the board of directors of Medline Inc. (the "Issuer"). Certain affiliates of Hellman &amp; Friedman LLC, including H&amp;F Corporate Investment X, Ltd., have filed a separate Form 3 reporting securities of the Issuer that they may be deemed to beneficially own. Mr. Best disclaims beneficial ownership of any securities of the Issuer that may be deemed to be beneficially owned by affiliates of Hellman &amp; Friedman LLC, including H&amp;F Corporate Investment X, Ltd.</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By: /s/ Jacob Best</w:t>
            </w:r>
          </w:p>
        </w:tc>
        <w:tc>
          <w:tcPr>
            <w:tcW w:w="7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1793"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2025-12-17T20:13:03Z</dcterms:created>
  <dcterms:modified xsi:type="dcterms:W3CDTF">2025-12-17T20:13:03Z</dcterms:modified>
</cp:coreProperties>
</file>