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December 18, 2024.</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5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Medline Inc.</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2"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3841</w:t>
            </w:r>
          </w:p>
        </w:tc>
        <w:tc>
          <w:tcPr>
            <w:tcW w:w="220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33-1845288</w:t>
            </w:r>
          </w:p>
        </w:tc>
      </w:tr>
      <w:tr>
        <w:trPr>
          <w:trHeight w:val="148"/>
        </w:trPr>
        <w:tc>
          <w:tcPr>
            <w:tcW w:w="28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3 Lakes Drive</w:t>
      </w:r>
    </w:p>
    <w:p>
      <w:pPr>
        <w:jc w:val="center"/>
        <w:ind w:right="-159"/>
        <w:spacing w:after="0" w:line="229" w:lineRule="auto"/>
        <w:rPr>
          <w:sz w:val="20"/>
          <w:szCs w:val="20"/>
          <w:color w:val="auto"/>
        </w:rPr>
      </w:pPr>
      <w:r>
        <w:rPr>
          <w:rFonts w:ascii="Times New Roman" w:cs="Times New Roman" w:eastAsia="Times New Roman" w:hAnsi="Times New Roman"/>
          <w:sz w:val="14"/>
          <w:szCs w:val="14"/>
          <w:b w:val="1"/>
          <w:bCs w:val="1"/>
          <w:color w:val="auto"/>
        </w:rPr>
        <w:t>Northfield, Illinois 60093</w:t>
      </w:r>
    </w:p>
    <w:p>
      <w:pPr>
        <w:jc w:val="center"/>
        <w:ind w:right="-159"/>
        <w:spacing w:after="0" w:line="221" w:lineRule="auto"/>
        <w:rPr>
          <w:sz w:val="20"/>
          <w:szCs w:val="20"/>
          <w:color w:val="auto"/>
        </w:rPr>
      </w:pPr>
      <w:r>
        <w:rPr>
          <w:rFonts w:ascii="Times New Roman" w:cs="Times New Roman" w:eastAsia="Times New Roman" w:hAnsi="Times New Roman"/>
          <w:sz w:val="14"/>
          <w:szCs w:val="14"/>
          <w:b w:val="1"/>
          <w:bCs w:val="1"/>
          <w:color w:val="auto"/>
        </w:rPr>
        <w:t>Telephone: (847) 949-5500</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James Boyle</w:t>
      </w:r>
    </w:p>
    <w:p>
      <w:pPr>
        <w:jc w:val="center"/>
        <w:ind w:right="-15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59"/>
        <w:spacing w:after="0" w:line="221" w:lineRule="auto"/>
        <w:rPr>
          <w:sz w:val="20"/>
          <w:szCs w:val="20"/>
          <w:color w:val="auto"/>
        </w:rPr>
      </w:pPr>
      <w:r>
        <w:rPr>
          <w:rFonts w:ascii="Times New Roman" w:cs="Times New Roman" w:eastAsia="Times New Roman" w:hAnsi="Times New Roman"/>
          <w:sz w:val="14"/>
          <w:szCs w:val="14"/>
          <w:b w:val="1"/>
          <w:bCs w:val="1"/>
          <w:color w:val="auto"/>
        </w:rPr>
        <w:t>Medline Inc.</w:t>
      </w:r>
    </w:p>
    <w:p>
      <w:pPr>
        <w:jc w:val="center"/>
        <w:ind w:right="-159"/>
        <w:spacing w:after="0" w:line="222" w:lineRule="auto"/>
        <w:rPr>
          <w:sz w:val="20"/>
          <w:szCs w:val="20"/>
          <w:color w:val="auto"/>
        </w:rPr>
      </w:pPr>
      <w:r>
        <w:rPr>
          <w:rFonts w:ascii="Times New Roman" w:cs="Times New Roman" w:eastAsia="Times New Roman" w:hAnsi="Times New Roman"/>
          <w:sz w:val="14"/>
          <w:szCs w:val="14"/>
          <w:b w:val="1"/>
          <w:bCs w:val="1"/>
          <w:color w:val="auto"/>
        </w:rPr>
        <w:t>3 Lakes Drive</w:t>
      </w:r>
    </w:p>
    <w:p>
      <w:pPr>
        <w:jc w:val="center"/>
        <w:ind w:right="-159"/>
        <w:spacing w:after="0" w:line="221" w:lineRule="auto"/>
        <w:rPr>
          <w:sz w:val="20"/>
          <w:szCs w:val="20"/>
          <w:color w:val="auto"/>
        </w:rPr>
      </w:pPr>
      <w:r>
        <w:rPr>
          <w:rFonts w:ascii="Times New Roman" w:cs="Times New Roman" w:eastAsia="Times New Roman" w:hAnsi="Times New Roman"/>
          <w:sz w:val="14"/>
          <w:szCs w:val="14"/>
          <w:b w:val="1"/>
          <w:bCs w:val="1"/>
          <w:color w:val="auto"/>
        </w:rPr>
        <w:t>Northfield, Illinois 60093</w:t>
      </w:r>
    </w:p>
    <w:p>
      <w:pPr>
        <w:jc w:val="center"/>
        <w:ind w:right="-159"/>
        <w:spacing w:after="0" w:line="222" w:lineRule="auto"/>
        <w:rPr>
          <w:sz w:val="20"/>
          <w:szCs w:val="20"/>
          <w:color w:val="auto"/>
        </w:rPr>
      </w:pPr>
      <w:r>
        <w:rPr>
          <w:rFonts w:ascii="Times New Roman" w:cs="Times New Roman" w:eastAsia="Times New Roman" w:hAnsi="Times New Roman"/>
          <w:sz w:val="14"/>
          <w:szCs w:val="14"/>
          <w:b w:val="1"/>
          <w:bCs w:val="1"/>
          <w:color w:val="auto"/>
        </w:rPr>
        <w:t>Telephone: (847) 949-5500</w:t>
      </w: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9" w:lineRule="exact"/>
        <w:rPr>
          <w:sz w:val="24"/>
          <w:szCs w:val="24"/>
          <w:color w:val="auto"/>
        </w:rPr>
      </w:pPr>
    </w:p>
    <w:tbl>
      <w:tblPr>
        <w:tblLayout w:type="fixed"/>
        <w:tblInd w:w="96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358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620" w:type="dxa"/>
            <w:vAlign w:val="bottom"/>
          </w:tcPr>
          <w:p>
            <w:pPr>
              <w:spacing w:after="0"/>
              <w:rPr>
                <w:sz w:val="16"/>
                <w:szCs w:val="16"/>
                <w:color w:val="auto"/>
              </w:rPr>
            </w:pPr>
          </w:p>
        </w:tc>
      </w:tr>
      <w:tr>
        <w:trPr>
          <w:trHeight w:val="228"/>
        </w:trPr>
        <w:tc>
          <w:tcPr>
            <w:tcW w:w="3020" w:type="dxa"/>
            <w:vAlign w:val="bottom"/>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Joshua Ford Bonnie</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Alex Liberman</w:t>
            </w:r>
          </w:p>
        </w:tc>
        <w:tc>
          <w:tcPr>
            <w:tcW w:w="26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Jason M. Licht</w:t>
            </w:r>
          </w:p>
        </w:tc>
      </w:tr>
      <w:tr>
        <w:trPr>
          <w:trHeight w:val="148"/>
        </w:trPr>
        <w:tc>
          <w:tcPr>
            <w:tcW w:w="302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Jonathan R. Ozner</w:t>
            </w:r>
          </w:p>
        </w:tc>
        <w:tc>
          <w:tcPr>
            <w:tcW w:w="3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Chief Legal Officer</w:t>
            </w:r>
          </w:p>
        </w:tc>
        <w:tc>
          <w:tcPr>
            <w:tcW w:w="26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Patrick H. Shannon</w:t>
            </w:r>
          </w:p>
        </w:tc>
      </w:tr>
      <w:tr>
        <w:trPr>
          <w:trHeight w:val="148"/>
        </w:trPr>
        <w:tc>
          <w:tcPr>
            <w:tcW w:w="302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Katharine L. Thompson</w:t>
            </w:r>
          </w:p>
        </w:tc>
        <w:tc>
          <w:tcPr>
            <w:tcW w:w="3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Medline Inc.</w:t>
            </w:r>
          </w:p>
        </w:tc>
        <w:tc>
          <w:tcPr>
            <w:tcW w:w="26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Cathy A. Birkeland</w:t>
            </w:r>
          </w:p>
        </w:tc>
      </w:tr>
      <w:tr>
        <w:trPr>
          <w:trHeight w:val="149"/>
        </w:trPr>
        <w:tc>
          <w:tcPr>
            <w:tcW w:w="302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Simpson Thacher &amp; Bartlett LLP</w:t>
            </w:r>
          </w:p>
        </w:tc>
        <w:tc>
          <w:tcPr>
            <w:tcW w:w="3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 Lakes Drive</w:t>
            </w:r>
          </w:p>
        </w:tc>
        <w:tc>
          <w:tcPr>
            <w:tcW w:w="26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Latham &amp; Watkins LLP</w:t>
            </w:r>
          </w:p>
        </w:tc>
      </w:tr>
      <w:tr>
        <w:trPr>
          <w:trHeight w:val="148"/>
        </w:trPr>
        <w:tc>
          <w:tcPr>
            <w:tcW w:w="302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900 G Street, N.W.</w:t>
            </w:r>
          </w:p>
        </w:tc>
        <w:tc>
          <w:tcPr>
            <w:tcW w:w="3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Northfield, Illinois 60093</w:t>
            </w:r>
          </w:p>
        </w:tc>
        <w:tc>
          <w:tcPr>
            <w:tcW w:w="26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555 Eleventh Street, N.W.</w:t>
            </w:r>
          </w:p>
        </w:tc>
      </w:tr>
      <w:tr>
        <w:trPr>
          <w:trHeight w:val="148"/>
        </w:trPr>
        <w:tc>
          <w:tcPr>
            <w:tcW w:w="3020" w:type="dxa"/>
            <w:vAlign w:val="bottom"/>
          </w:tcPr>
          <w:p>
            <w:pPr>
              <w:jc w:val="center"/>
              <w:ind w:right="908"/>
              <w:spacing w:after="0" w:line="149" w:lineRule="exact"/>
              <w:rPr>
                <w:sz w:val="20"/>
                <w:szCs w:val="20"/>
                <w:color w:val="auto"/>
              </w:rPr>
            </w:pPr>
            <w:r>
              <w:rPr>
                <w:rFonts w:ascii="Times New Roman" w:cs="Times New Roman" w:eastAsia="Times New Roman" w:hAnsi="Times New Roman"/>
                <w:sz w:val="14"/>
                <w:szCs w:val="14"/>
                <w:b w:val="1"/>
                <w:bCs w:val="1"/>
                <w:color w:val="auto"/>
              </w:rPr>
              <w:t>Washington, D.C. 20001</w:t>
            </w:r>
          </w:p>
        </w:tc>
        <w:tc>
          <w:tcPr>
            <w:tcW w:w="3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Telephone: (847) 949-5500</w:t>
            </w:r>
          </w:p>
        </w:tc>
        <w:tc>
          <w:tcPr>
            <w:tcW w:w="26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Washington, D.C. 20004</w:t>
            </w:r>
          </w:p>
        </w:tc>
      </w:tr>
      <w:tr>
        <w:trPr>
          <w:trHeight w:val="190"/>
        </w:trPr>
        <w:tc>
          <w:tcPr>
            <w:tcW w:w="302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Telephone: (202) 636-5500</w:t>
            </w:r>
          </w:p>
        </w:tc>
        <w:tc>
          <w:tcPr>
            <w:tcW w:w="3580" w:type="dxa"/>
            <w:vAlign w:val="bottom"/>
          </w:tcPr>
          <w:p>
            <w:pPr>
              <w:spacing w:after="0"/>
              <w:rPr>
                <w:sz w:val="16"/>
                <w:szCs w:val="16"/>
                <w:color w:val="auto"/>
              </w:rPr>
            </w:pPr>
          </w:p>
        </w:tc>
        <w:tc>
          <w:tcPr>
            <w:tcW w:w="26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152400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the proposed sale of the securities to the public: </w:t>
      </w:r>
      <w:r>
        <w:rPr>
          <w:rFonts w:ascii="Times New Roman" w:cs="Times New Roman" w:eastAsia="Times New Roman" w:hAnsi="Times New Roman"/>
          <w:sz w:val="14"/>
          <w:szCs w:val="14"/>
          <w:color w:val="auto"/>
        </w:rPr>
        <w:t>As soon as practicable after the Registration Statement is declared effective.</w:t>
      </w:r>
    </w:p>
    <w:p>
      <w:pPr>
        <w:spacing w:after="0" w:line="98" w:lineRule="exact"/>
        <w:rPr>
          <w:sz w:val="24"/>
          <w:szCs w:val="24"/>
          <w:color w:val="auto"/>
        </w:rPr>
      </w:pPr>
    </w:p>
    <w:p>
      <w:pPr>
        <w:ind w:left="120" w:right="3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58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1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10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ind w:left="120" w:right="54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1" w:lineRule="exact"/>
        <w:rPr>
          <w:sz w:val="24"/>
          <w:szCs w:val="24"/>
          <w:color w:val="auto"/>
        </w:rPr>
      </w:pPr>
    </w:p>
    <w:p>
      <w:pPr>
        <w:ind w:left="120" w:right="4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FF4338"/>
        </w:rPr>
        <w:t>SUBJECT TO COMPLETION, DATED DECEMBER 18, 2024</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FF4338"/>
        </w:rPr>
        <w:t>PRELIMINARY PROSPECTUS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104140</wp:posOffset>
            </wp:positionV>
            <wp:extent cx="4972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Medline Inc.</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ind w:left="120" w:right="320" w:firstLine="440"/>
        <w:spacing w:after="0" w:line="280" w:lineRule="auto"/>
        <w:rPr>
          <w:sz w:val="20"/>
          <w:szCs w:val="20"/>
          <w:color w:val="auto"/>
        </w:rPr>
      </w:pPr>
      <w:r>
        <w:rPr>
          <w:rFonts w:ascii="Times New Roman" w:cs="Times New Roman" w:eastAsia="Times New Roman" w:hAnsi="Times New Roman"/>
          <w:sz w:val="16"/>
          <w:szCs w:val="16"/>
          <w:color w:val="auto"/>
        </w:rPr>
        <w:t>This is the initial public offering of shares of Class A common stock of Medline Inc. We are selling       shares of our Class A common stock. Prior to this offering, there has been no public market for our common stock. We currently expect the initial public offering price to be between $      and $      per share of Class A common stock. We intend to apply to list our shares of Class A common stock on the Nasdaq Global Select Market (“Nasdaq”) under the trading symbol “MDLN.”</w:t>
      </w:r>
    </w:p>
    <w:p>
      <w:pPr>
        <w:spacing w:after="0" w:line="274"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6"/>
          <w:szCs w:val="16"/>
          <w:color w:val="auto"/>
        </w:rPr>
        <w:t>Medline Inc. will have two classes of common stock outstanding after this offering: Class A common stock and Class B common stock. Each share of Class A common stock and Class B common stock entitles its holder to one vote on all matters on which stockholders are entitled to vote generally. The Pre-IPO Unitholders (as defined herein) will hold all of the initially outstanding shares of Class B common stock, on a one-for-one basis with the number of Units (as defined herein) held by each such Pre-IPO Unitholder. See “Description of Capital Stock.”</w:t>
      </w:r>
    </w:p>
    <w:p>
      <w:pPr>
        <w:spacing w:after="0" w:line="75"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6"/>
          <w:szCs w:val="16"/>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Units from Medline Holdings, LP (“Medline Holdings”), as described under “Organizational Structure—Offering Transactions,” which Medline Holdings will in turn use for general corporate purposes, including the repayment of indebtedness, and to bear all of the expenses of this offering. See “Use of Proceeds.” Medline Inc. intends to use any proceeds from the issuance of shares pursuant to any exercise by the underwriters of their option to purchase additional shares of Class A common stock to purchase or redeem outstanding equity interests from certain of our pre-IPO owners (as defined herein) at a price per equity interest equal to the initial public offering price per share of our Class A common stock less the underwriting discounts and commissions, as described under “Organizational Structure—Offering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8" w:lineRule="exact"/>
        <w:rPr>
          <w:sz w:val="20"/>
          <w:szCs w:val="20"/>
          <w:color w:val="auto"/>
        </w:rPr>
      </w:pPr>
    </w:p>
    <w:p>
      <w:pPr>
        <w:ind w:left="120" w:right="600" w:firstLine="440"/>
        <w:spacing w:after="0" w:line="273" w:lineRule="auto"/>
        <w:rPr>
          <w:sz w:val="20"/>
          <w:szCs w:val="20"/>
          <w:color w:val="auto"/>
        </w:rPr>
      </w:pPr>
      <w:r>
        <w:rPr>
          <w:rFonts w:ascii="Times New Roman" w:cs="Times New Roman" w:eastAsia="Times New Roman" w:hAnsi="Times New Roman"/>
          <w:sz w:val="20"/>
          <w:szCs w:val="20"/>
          <w:b w:val="1"/>
          <w:bCs w:val="1"/>
          <w:color w:val="auto"/>
        </w:rPr>
        <w:t>Investing in shares of our Class A common stock involves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25 to read about factors you should consider before buying shares of the Class A common stock.</w:t>
      </w:r>
    </w:p>
    <w:p>
      <w:pPr>
        <w:spacing w:after="0" w:line="55" w:lineRule="exact"/>
        <w:rPr>
          <w:sz w:val="20"/>
          <w:szCs w:val="20"/>
          <w:color w:val="auto"/>
        </w:rPr>
      </w:pPr>
    </w:p>
    <w:p>
      <w:pPr>
        <w:ind w:left="120" w:right="40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Per</w:t>
            </w: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5"/>
        </w:trPr>
        <w:tc>
          <w:tcPr>
            <w:tcW w:w="4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460" w:type="dxa"/>
            <w:vAlign w:val="bottom"/>
          </w:tcPr>
          <w:p>
            <w:pPr>
              <w:spacing w:after="0"/>
              <w:rPr>
                <w:sz w:val="13"/>
                <w:szCs w:val="13"/>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w:t>
            </w:r>
          </w:p>
        </w:tc>
        <w:tc>
          <w:tcPr>
            <w:tcW w:w="17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r>
      <w:tr>
        <w:trPr>
          <w:trHeight w:val="202"/>
        </w:trPr>
        <w:tc>
          <w:tcPr>
            <w:tcW w:w="456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250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Medline Inc.</w:t>
            </w:r>
          </w:p>
        </w:tc>
        <w:tc>
          <w:tcPr>
            <w:tcW w:w="250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9"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see the section entitled “Underwriting” for a description of compensation payable to the underwriters.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 the extent that the underwriters sell more than             shares of our Class A common stock, the underwriters have the option to purchase up to an additional</w:t>
      </w:r>
    </w:p>
    <w:p>
      <w:pPr>
        <w:spacing w:after="0" w:line="26" w:lineRule="exact"/>
        <w:rPr>
          <w:sz w:val="20"/>
          <w:szCs w:val="20"/>
          <w:color w:val="auto"/>
        </w:rPr>
      </w:pPr>
    </w:p>
    <w:p>
      <w:pPr>
        <w:ind w:left="120" w:right="360"/>
        <w:spacing w:after="0" w:line="288" w:lineRule="auto"/>
        <w:rPr>
          <w:sz w:val="20"/>
          <w:szCs w:val="20"/>
          <w:color w:val="auto"/>
        </w:rPr>
      </w:pPr>
      <w:r>
        <w:rPr>
          <w:rFonts w:ascii="Times New Roman" w:cs="Times New Roman" w:eastAsia="Times New Roman" w:hAnsi="Times New Roman"/>
          <w:sz w:val="16"/>
          <w:szCs w:val="16"/>
          <w:color w:val="auto"/>
        </w:rPr>
        <w:t>        shares of our Class A common stock from Medline Inc. at the initial public offering price less the underwriting discounts and commissions, within 30 days from the date of this prospectus.</w:t>
      </w:r>
    </w:p>
    <w:p>
      <w:pPr>
        <w:spacing w:after="0" w:line="64"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90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 xml:space="preserve">The underwriters expect to deliver the shares of our Class A common stock against payment in New York, New York on or about    </w:t>
            </w:r>
          </w:p>
        </w:tc>
        <w:tc>
          <w:tcPr>
            <w:tcW w:w="1960" w:type="dxa"/>
            <w:vAlign w:val="bottom"/>
          </w:tcPr>
          <w:p>
            <w:pPr>
              <w:jc w:val="right"/>
              <w:ind w:right="849"/>
              <w:spacing w:after="0"/>
              <w:rPr>
                <w:sz w:val="20"/>
                <w:szCs w:val="20"/>
                <w:color w:val="auto"/>
              </w:rPr>
            </w:pPr>
            <w:r>
              <w:rPr>
                <w:rFonts w:ascii="Times New Roman" w:cs="Times New Roman" w:eastAsia="Times New Roman" w:hAnsi="Times New Roman"/>
                <w:sz w:val="16"/>
                <w:szCs w:val="16"/>
                <w:color w:val="auto"/>
              </w:rPr>
              <w:t>         , 2025.</w:t>
            </w:r>
          </w:p>
        </w:tc>
      </w:tr>
      <w:tr>
        <w:trPr>
          <w:trHeight w:val="236"/>
        </w:trPr>
        <w:tc>
          <w:tcPr>
            <w:tcW w:w="434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4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90"/>
        </w:trPr>
        <w:tc>
          <w:tcPr>
            <w:tcW w:w="9060" w:type="dxa"/>
            <w:vAlign w:val="bottom"/>
            <w:gridSpan w:val="3"/>
          </w:tcPr>
          <w:p>
            <w:pPr>
              <w:jc w:val="center"/>
              <w:ind w:left="1859"/>
              <w:spacing w:after="0"/>
              <w:rPr>
                <w:sz w:val="20"/>
                <w:szCs w:val="20"/>
                <w:color w:val="auto"/>
              </w:rPr>
            </w:pPr>
            <w:r>
              <w:rPr>
                <w:rFonts w:ascii="Times New Roman" w:cs="Times New Roman" w:eastAsia="Times New Roman" w:hAnsi="Times New Roman"/>
                <w:sz w:val="16"/>
                <w:szCs w:val="16"/>
                <w:b w:val="1"/>
                <w:bCs w:val="1"/>
                <w:i w:val="1"/>
                <w:iCs w:val="1"/>
                <w:color w:val="auto"/>
              </w:rPr>
              <w:t>Global coordinators and joint bookrunning managers</w:t>
            </w:r>
          </w:p>
        </w:tc>
        <w:tc>
          <w:tcPr>
            <w:tcW w:w="1960" w:type="dxa"/>
            <w:vAlign w:val="bottom"/>
          </w:tcPr>
          <w:p>
            <w:pPr>
              <w:spacing w:after="0"/>
              <w:rPr>
                <w:sz w:val="24"/>
                <w:szCs w:val="24"/>
                <w:color w:val="auto"/>
              </w:rPr>
            </w:pPr>
          </w:p>
        </w:tc>
      </w:tr>
      <w:tr>
        <w:trPr>
          <w:trHeight w:val="210"/>
        </w:trPr>
        <w:tc>
          <w:tcPr>
            <w:tcW w:w="4340" w:type="dxa"/>
            <w:vAlign w:val="bottom"/>
          </w:tcPr>
          <w:p>
            <w:pPr>
              <w:spacing w:after="0"/>
              <w:rPr>
                <w:sz w:val="18"/>
                <w:szCs w:val="18"/>
                <w:color w:val="auto"/>
              </w:rPr>
            </w:pPr>
          </w:p>
        </w:tc>
        <w:tc>
          <w:tcPr>
            <w:tcW w:w="4720" w:type="dxa"/>
            <w:vAlign w:val="bottom"/>
            <w:gridSpan w:val="2"/>
          </w:tcPr>
          <w:p>
            <w:pPr>
              <w:jc w:val="center"/>
              <w:ind w:right="2400"/>
              <w:spacing w:after="0"/>
              <w:rPr>
                <w:sz w:val="20"/>
                <w:szCs w:val="20"/>
                <w:color w:val="auto"/>
              </w:rPr>
            </w:pPr>
            <w:r>
              <w:rPr>
                <w:rFonts w:ascii="Times New Roman" w:cs="Times New Roman" w:eastAsia="Times New Roman" w:hAnsi="Times New Roman"/>
                <w:sz w:val="16"/>
                <w:szCs w:val="16"/>
                <w:color w:val="auto"/>
              </w:rPr>
              <w:t>(*in alphabetical order)</w:t>
            </w:r>
          </w:p>
        </w:tc>
        <w:tc>
          <w:tcPr>
            <w:tcW w:w="1960" w:type="dxa"/>
            <w:vAlign w:val="bottom"/>
          </w:tcPr>
          <w:p>
            <w:pPr>
              <w:spacing w:after="0"/>
              <w:rPr>
                <w:sz w:val="18"/>
                <w:szCs w:val="18"/>
                <w:color w:val="auto"/>
              </w:rPr>
            </w:pPr>
          </w:p>
        </w:tc>
      </w:tr>
      <w:tr>
        <w:trPr>
          <w:trHeight w:val="460"/>
        </w:trPr>
        <w:tc>
          <w:tcPr>
            <w:tcW w:w="9060" w:type="dxa"/>
            <w:vAlign w:val="bottom"/>
            <w:gridSpan w:val="3"/>
          </w:tcPr>
          <w:p>
            <w:pPr>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196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Morgan Stanley*</w:t>
            </w:r>
          </w:p>
        </w:tc>
      </w:tr>
      <w:tr>
        <w:trPr>
          <w:trHeight w:val="405"/>
        </w:trPr>
        <w:tc>
          <w:tcPr>
            <w:tcW w:w="9060" w:type="dxa"/>
            <w:vAlign w:val="bottom"/>
            <w:gridSpan w:val="3"/>
          </w:tcPr>
          <w:p>
            <w:pPr>
              <w:spacing w:after="0"/>
              <w:rPr>
                <w:sz w:val="20"/>
                <w:szCs w:val="20"/>
                <w:color w:val="auto"/>
              </w:rPr>
            </w:pPr>
            <w:r>
              <w:rPr>
                <w:rFonts w:ascii="Times New Roman" w:cs="Times New Roman" w:eastAsia="Times New Roman" w:hAnsi="Times New Roman"/>
                <w:sz w:val="25"/>
                <w:szCs w:val="25"/>
                <w:b w:val="1"/>
                <w:bCs w:val="1"/>
                <w:color w:val="auto"/>
              </w:rPr>
              <w:t>BofA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J.P. Morgan</w:t>
            </w:r>
          </w:p>
        </w:tc>
      </w:tr>
      <w:tr>
        <w:trPr>
          <w:trHeight w:val="423"/>
        </w:trPr>
        <w:tc>
          <w:tcPr>
            <w:tcW w:w="9060" w:type="dxa"/>
            <w:vAlign w:val="bottom"/>
            <w:gridSpan w:val="3"/>
          </w:tcPr>
          <w:p>
            <w:pPr>
              <w:jc w:val="center"/>
              <w:ind w:left="183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tc>
        <w:tc>
          <w:tcPr>
            <w:tcW w:w="1960" w:type="dxa"/>
            <w:vAlign w:val="bottom"/>
          </w:tcPr>
          <w:p>
            <w:pPr>
              <w:spacing w:after="0"/>
              <w:rPr>
                <w:sz w:val="24"/>
                <w:szCs w:val="24"/>
                <w:color w:val="auto"/>
              </w:rPr>
            </w:pPr>
          </w:p>
        </w:tc>
      </w:tr>
    </w:tbl>
    <w:p>
      <w:pPr>
        <w:sectPr>
          <w:pgSz w:w="11900" w:h="16838" w:orient="portrait"/>
          <w:cols w:equalWidth="0" w:num="1">
            <w:col w:w="11140"/>
          </w:cols>
          <w:pgMar w:left="320" w:top="455" w:right="439" w:bottom="109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70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7"/>
              </w:rPr>
              <w:t>Summary</w:t>
            </w:r>
          </w:p>
        </w:tc>
        <w:tc>
          <w:tcPr>
            <w:tcW w:w="7860" w:type="dxa"/>
            <w:vAlign w:val="bottom"/>
            <w:gridSpan w:val="22"/>
          </w:tcPr>
          <w:p>
            <w:pPr>
              <w:spacing w:after="0"/>
              <w:rPr>
                <w:sz w:val="16"/>
                <w:szCs w:val="16"/>
                <w:color w:val="auto"/>
              </w:rPr>
            </w:pP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21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646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Trademarks, Trade Names, and Service Marks</w:t>
            </w:r>
          </w:p>
        </w:tc>
        <w:tc>
          <w:tcPr>
            <w:tcW w:w="52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8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Organizational Structure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7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80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38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0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7540" w:type="dxa"/>
            <w:vAlign w:val="bottom"/>
            <w:gridSpan w:val="1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796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8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Unaudited Pro Forma Consolidated Financial Information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792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9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Management</w:t>
            </w:r>
          </w:p>
        </w:tc>
        <w:tc>
          <w:tcPr>
            <w:tcW w:w="7620" w:type="dxa"/>
            <w:vAlign w:val="bottom"/>
            <w:gridSpan w:val="2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8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39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Principal Stockholders</w:t>
            </w:r>
          </w:p>
        </w:tc>
        <w:tc>
          <w:tcPr>
            <w:tcW w:w="462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Certain Indebtedness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r>
      <w:tr>
        <w:trPr>
          <w:trHeight w:val="196"/>
        </w:trPr>
        <w:tc>
          <w:tcPr>
            <w:tcW w:w="25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598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U.S. Federal Income Tax Consequences to Non-U.S. Holders</w:t>
            </w:r>
          </w:p>
        </w:tc>
        <w:tc>
          <w:tcPr>
            <w:tcW w:w="358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r>
      <w:tr>
        <w:trPr>
          <w:trHeight w:val="196"/>
        </w:trPr>
        <w:tc>
          <w:tcPr>
            <w:tcW w:w="22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63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204</w:t>
            </w:r>
          </w:p>
        </w:tc>
      </w:tr>
      <w:tr>
        <w:trPr>
          <w:trHeight w:val="196"/>
        </w:trPr>
        <w:tc>
          <w:tcPr>
            <w:tcW w:w="8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r>
      <w:tr>
        <w:trPr>
          <w:trHeight w:val="196"/>
        </w:trPr>
        <w:tc>
          <w:tcPr>
            <w:tcW w:w="10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6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r>
      <w:tr>
        <w:trPr>
          <w:trHeight w:val="196"/>
        </w:trPr>
        <w:tc>
          <w:tcPr>
            <w:tcW w:w="21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20" w:type="dxa"/>
            <w:vAlign w:val="bottom"/>
            <w:tcBorders>
              <w:top w:val="single" w:sz="8" w:color="0000EE"/>
            </w:tcBorders>
            <w:gridSpan w:val="3"/>
          </w:tcPr>
          <w:p>
            <w:pPr>
              <w:spacing w:after="0"/>
              <w:rPr>
                <w:sz w:val="17"/>
                <w:szCs w:val="17"/>
                <w:color w:val="auto"/>
              </w:rPr>
            </w:pPr>
          </w:p>
        </w:tc>
        <w:tc>
          <w:tcPr>
            <w:tcW w:w="57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different from that contained in this prospectus, any amendment or supplement to this prospectus, or any free writing prospectus prepared by us or authorized to be provided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authorized to be provided on our behalf. The information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and the underwriters are offering to sell, and seeking offers to buy, shares of our Class A common stock only in jurisdictions where offers and sales are permitted.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Through and including         , 2025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this offering, Medline Holdings will be the predecessor of Medline Inc. for financial reporting purposes.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(as defined herein) will be accounted for as a reorganization of entities under common control. As a result, the consolidated financial statements of Medline Inc. will recognize the assets and liabilities received in the Reorganization Transactions at their historical carrying amounts, as reflected in the historical financial statements of Medline Holdings. Medline Inc. will consolidate Medline Holdings on its consolidated financial statements and record a non-controlling interest related to the Units (as defined herein) held by our existing owners (as defined herein) or pre-IPO owners (as defined herein) on its consolidated balance sheet and statement of comprehensive income (loss) data. See “Organizational Structure.” Accordingly, this prospectus contains the historical consolidated financial statements of Medline Holdings and its subsidiaries.</w:t>
      </w:r>
    </w:p>
    <w:p>
      <w:pPr>
        <w:spacing w:after="0" w:line="8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historical financial information of Medline Inc. has not been included in this prospectus as it is a newly incorporated entity, has no business transactions or activities to date, and had no assets or liabilities during the periods presented in this prospectus.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Offering Transactions (as defined herein), to Medline Holdings, LP and its consolidated subsidiaries and (2) after the Offering Transactions to Medline Inc. and its consolidated subsidiaries.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unless otherwise noted or the context requires otherwise:</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refers to investment funds associated with Blackstone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refers to investment funds associated with The Carlyle Group Inc.</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Stockholder” refers to each of our Principal Stockholders and certain of our other pre-IPO owners with whom we intend to enter into separate director nomination agreements, as described in “Certain Relationships and Related Person Transactions—Director Nomination Agreements.”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owners” or “pre-IPO owners” refer to our Principal Stockholders, our Other Pre-IPO Investors and management and other equity holders who are the owners of Medline Holdings immediately prior to the Reorganization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“H&amp;F” refers to investment funds associated with Hellman &amp; Friedman LLC.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“Hux” refers to Hux Investment Pte.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“IDNs” refers to integrated delivery networks.</w:t>
      </w:r>
    </w:p>
    <w:p>
      <w:pPr>
        <w:spacing w:after="0" w:line="1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right="260" w:hanging="424"/>
        <w:spacing w:after="0" w:line="289"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“Medline,” the “Company,” “we,” “us,” and “our” refer (1) prior to the consummation of the Offering Transactions described under “Organizational Structure—Offering Transactions,” to Medline Holdings, LP and its consolidated subsidiaries and (2) after the Offering Transactions described under “Organizational Structure—Offering Transactions,” to Medline Inc. and its consolidated subsidiaries.</w:t>
      </w:r>
    </w:p>
    <w:p>
      <w:pPr>
        <w:spacing w:after="0" w:line="63" w:lineRule="exact"/>
        <w:rPr>
          <w:rFonts w:ascii="Times New Roman" w:cs="Times New Roman" w:eastAsia="Times New Roman" w:hAnsi="Times New Roman"/>
          <w:sz w:val="17"/>
          <w:szCs w:val="17"/>
          <w:color w:val="auto"/>
        </w:rPr>
      </w:pPr>
    </w:p>
    <w:p>
      <w:pPr>
        <w:ind w:left="1080" w:right="5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81"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“Mills Family” refers to the holders of equity interests of Medline Holdings immediately prior to this offering that are affiliated with members of the Mills family.</w:t>
      </w:r>
    </w:p>
    <w:p>
      <w:pPr>
        <w:spacing w:after="0" w:line="67" w:lineRule="exact"/>
        <w:rPr>
          <w:rFonts w:ascii="Times New Roman" w:cs="Times New Roman" w:eastAsia="Times New Roman" w:hAnsi="Times New Roman"/>
          <w:sz w:val="18"/>
          <w:szCs w:val="18"/>
          <w:color w:val="auto"/>
        </w:rPr>
      </w:pPr>
    </w:p>
    <w:p>
      <w:pPr>
        <w:ind w:left="1080" w:righ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Transactions” refers to the offering of Class A common stock hereby and certain related transactions, as defined in “Organizational Structure—Offering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Pre-IPO Investors” refers collectively to Hux and Platinum Falcon.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Falcon” refers to Platinum Falcon B 2018 RSC Limited.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Stockholders” refer to certain of our pre-IPO owners that will receive shares of Class A common stock of Medline Inc. pursuant to the Blocker Transfers as defined and described in “Organizational Structure—Blocker Transfers.”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Unitholders” refer to certain of our pre-IPO owners that will hold Units following the reclassification of our capital structure as described under “Organizational Structure.”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refers to a relationship for which there is a multi-year distribution agreement between Medline and a customer, whereby the customer agrees to use Medline for the vast majority of its med-surg product needs.</w:t>
      </w:r>
    </w:p>
    <w:p>
      <w:pPr>
        <w:spacing w:after="0" w:line="53" w:lineRule="exact"/>
        <w:rPr>
          <w:rFonts w:ascii="Times New Roman" w:cs="Times New Roman" w:eastAsia="Times New Roman" w:hAnsi="Times New Roman"/>
          <w:sz w:val="18"/>
          <w:szCs w:val="18"/>
          <w:color w:val="auto"/>
        </w:rPr>
      </w:pPr>
    </w:p>
    <w:p>
      <w:pPr>
        <w:jc w:val="both"/>
        <w:ind w:left="110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67" w:lineRule="exact"/>
        <w:rPr>
          <w:rFonts w:ascii="Times New Roman" w:cs="Times New Roman" w:eastAsia="Times New Roman" w:hAnsi="Times New Roman"/>
          <w:sz w:val="18"/>
          <w:szCs w:val="18"/>
          <w:color w:val="auto"/>
        </w:rPr>
      </w:pPr>
    </w:p>
    <w:p>
      <w:pPr>
        <w:ind w:left="1100" w:right="2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4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Stockholders” refers collectively to Blackstone, Carlyle, H&amp;F, and the Mills Family.</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refers to the transactions described under “Organizational Structure—Amendment and Restatement of Limited Partnership Agreement of Medline Holdings.”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Acquisition” refers to the acquisition on October 21, 2021 by our Sponsors of a majority interest in Medline Holdings and certain transactions related thereto.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refers collectively to Blackstone, Carlyle, and H&amp;F.</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100" w:right="520"/>
        <w:spacing w:after="0" w:line="282" w:lineRule="auto"/>
        <w:rPr>
          <w:sz w:val="20"/>
          <w:szCs w:val="20"/>
          <w:color w:val="auto"/>
        </w:rPr>
      </w:pPr>
      <w:r>
        <w:rPr>
          <w:rFonts w:ascii="Times New Roman" w:cs="Times New Roman" w:eastAsia="Times New Roman" w:hAnsi="Times New Roman"/>
          <w:sz w:val="18"/>
          <w:szCs w:val="18"/>
          <w:color w:val="auto"/>
        </w:rPr>
        <w:t>packaging, third-party logistics, inventory rationalization and route planning. Supply Chain Solutions is one of our two reportable segments.</w:t>
      </w:r>
    </w:p>
    <w:p>
      <w:pPr>
        <w:spacing w:after="0" w:line="6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 refers to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indicated otherwise, the information included in this prospectus assumes no exercise by the underwriters of their option to purchase up to an additional         shares of Class A common stock from Medline Inc. and that the shares of Class A common stock to be sold in this offering are sold at $        per share, which is the midpoint of the price range indicated on the front cover of this prospectus.</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320" w:top="455"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100330</wp:posOffset>
            </wp:positionV>
            <wp:extent cx="5212080" cy="6540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65405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100330</wp:posOffset>
            </wp:positionV>
            <wp:extent cx="5212080" cy="6557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65576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313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100" w:firstLine="426"/>
        <w:spacing w:after="0" w:line="281"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the sections entitled “Risk Factors” and “Management’s Discussion and Analysis of Financial Condition and Results of Operations” as well as the consolidated financial statements and the related notes thereto included elsewhere in this prospectus before you decide to invest in shares of our Class A common stock.</w:t>
      </w:r>
    </w:p>
    <w:p>
      <w:pPr>
        <w:spacing w:after="0" w:line="2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mission is to make healthcare run better by delivering improved clinical, financial, and operational outcomes.</w:t>
      </w:r>
    </w:p>
    <w:p>
      <w:pPr>
        <w:spacing w:after="0" w:line="3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the largest medical-surgical (“med-surg”) products and supply chain solutions company serving healthcare providers across the continuum of care.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ranging from surgical kits and sterile procedure trays to intravenous kits, wound care supplies, and consumable lab and diagnostics products. We hold the leading position across several of our end markets and many of our key product families. We distribute these products through our expansive network of 68 global distribution facilities, spanning over 28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Note: Amounts were calculated in accordance with the historical accounting standards applicable to the Company in the relevant period.</w:t>
      </w: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67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95"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vertically integrated med-surg manufacturer and distributor globally serving healthcare providers across the continuum of care.</w:t>
      </w:r>
    </w:p>
    <w:p>
      <w:pPr>
        <w:spacing w:after="0" w:line="188"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combination of our expansive product portfolio and our differentiated supply chain creates a force multiplier for our business. Our Medline Brand segment offers approximately 190,000 products, including those manufactured in our 27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commercial team of more than 3,800 people. These capabilities and our compelling value proposition allow us to serve as a long-term strategic partner to our customers and expand the scope of our relationships over time.</w:t>
      </w:r>
    </w:p>
    <w:p>
      <w:pPr>
        <w:spacing w:after="0" w:line="187"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customers increasingly choose Medline Brand products for their superior value. Our Prime Vendor model is reinforced by the flywheel effect within our business where we drive guaranteed cost savings for customers, which, in turn, supports incremental purchasing of our Medline Brand products and increases our scale. This dynamic allows us to drive further efficiencies that enable our ability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407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4076065"/>
                    </a:xfrm>
                    <a:prstGeom prst="rect">
                      <a:avLst/>
                    </a:prstGeom>
                    <a:noFill/>
                  </pic:spPr>
                </pic:pic>
              </a:graphicData>
            </a:graphic>
          </wp:anchor>
        </w:drawing>
      </w:r>
    </w:p>
    <w:p>
      <w:pPr>
        <w:spacing w:after="0" w:line="295"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8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2023.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87"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For the year ended December 31, 2024, we generated net sales of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billion, net income of $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million, and Adjusted</w:t>
            </w:r>
          </w:p>
        </w:tc>
      </w:tr>
      <w:tr>
        <w:trPr>
          <w:trHeight w:val="216"/>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EBITDA of $            billion, representing an Adjusted EBITDA Margin of 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      %. During that period, </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   % of total net sales</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77"/>
              </w:rPr>
              <w:t>and 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7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 of total segment adjusted EBITDA were generated from our Medline Brand segment, while 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of total net sales</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77"/>
              </w:rPr>
              <w:t>and 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3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 of total segment adjusted EBITDA were generated from our Supply Chain Solutions segment. For a reconciliation of Adjusted</w:t>
            </w:r>
          </w:p>
        </w:tc>
      </w:tr>
    </w:tbl>
    <w:p>
      <w:pPr>
        <w:ind w:left="300" w:right="240"/>
        <w:spacing w:after="0" w:line="253" w:lineRule="auto"/>
        <w:rPr>
          <w:sz w:val="20"/>
          <w:szCs w:val="20"/>
          <w:color w:val="auto"/>
        </w:rPr>
      </w:pPr>
      <w:r>
        <w:rPr>
          <w:rFonts w:ascii="Times New Roman" w:cs="Times New Roman" w:eastAsia="Times New Roman" w:hAnsi="Times New Roman"/>
          <w:sz w:val="18"/>
          <w:szCs w:val="18"/>
          <w:color w:val="auto"/>
        </w:rPr>
        <w:t>EBITDA and Adjusted EBITDA Margin to the most directly comparable financial measures that are presented in accordance with generally accepted accounting principles in the United States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750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229" w:lineRule="exact"/>
        <w:rPr>
          <w:sz w:val="20"/>
          <w:szCs w:val="20"/>
          <w:color w:val="auto"/>
        </w:rPr>
      </w:pPr>
    </w:p>
    <w:p>
      <w:pPr>
        <w:ind w:left="300" w:firstLine="426"/>
        <w:spacing w:after="0" w:line="312" w:lineRule="auto"/>
        <w:rPr>
          <w:sz w:val="20"/>
          <w:szCs w:val="20"/>
          <w:color w:val="auto"/>
        </w:rPr>
      </w:pPr>
      <w:r>
        <w:rPr>
          <w:rFonts w:ascii="Times New Roman" w:cs="Times New Roman" w:eastAsia="Times New Roman" w:hAnsi="Times New Roman"/>
          <w:sz w:val="17"/>
          <w:szCs w:val="17"/>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300" w:right="240" w:firstLine="4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Medline Brand</w:t>
      </w:r>
      <w:r>
        <w:rPr>
          <w:rFonts w:ascii="Times New Roman" w:cs="Times New Roman" w:eastAsia="Times New Roman" w:hAnsi="Times New Roman"/>
          <w:sz w:val="18"/>
          <w:szCs w:val="18"/>
          <w:color w:val="auto"/>
        </w:rPr>
        <w:t>. We offer our customers approximately 190,000 med-surg products through our Medline Brand segment. We have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across many key product families within the $        billion market.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We produce approximately one-third of Medline Brand products, which are primarily Class I and II medical devices, through our 27 manufacturing facilities, of which 22 are in North America. We focus our manufacturing capabilities on products where we can leverage technology and automation to drive higher quality and lower costs to better serve our customers. For the vast majority of the other two-thirds of Medline Brand products, we utilize a network of more than 500 global partners across a diversified set of 40 countries, with approximately 300 of these relationships being exclusive to us. Our relationships with these Medline Brand partners are</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59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95"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exceptionally strong, with some originating nearly 30 years ago. The breadth of our partnerships also provides global diversification and strengthens our resiliency, with no single sourcing partner accounting for more than 4% of total spend as of December 31, 2023. Taken together, our self-manufacturing capabilities and differentiated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83"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187 new products over the last two years and will continue to innovate as a trusted thought partner to our customer base.</w:t>
      </w:r>
    </w:p>
    <w:p>
      <w:pPr>
        <w:spacing w:after="0" w:line="180"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80"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combination of value, quality, and service has allowed our Medline Brand products to hold the leading position across many of our key product families. Medline Brand products are used by all of the top 100 health systems and hospitals across the country. Furthermore, we generated $        billion of Medline Brand net sales for fiscal year 2024 through other distributors. These relationships allow us to highlight the value proposition of our Medline Brand and distribution network, which over time creates opportunities to earn Prime Vendor agreements for those customers.</w:t>
      </w:r>
    </w:p>
    <w:p>
      <w:pPr>
        <w:spacing w:after="0" w:line="17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Solutions. </w:t>
      </w:r>
      <w:r>
        <w:rPr>
          <w:rFonts w:ascii="Times New Roman" w:cs="Times New Roman" w:eastAsia="Times New Roman" w:hAnsi="Times New Roman"/>
          <w:sz w:val="18"/>
          <w:szCs w:val="18"/>
          <w:color w:val="auto"/>
        </w:rPr>
        <w:t>We offer approximately 145,000 med-surg products from over 1,250 third-party suppliers, including nearly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87"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76" w:lineRule="exact"/>
        <w:rPr>
          <w:sz w:val="20"/>
          <w:szCs w:val="20"/>
          <w:color w:val="auto"/>
        </w:rPr>
      </w:pPr>
    </w:p>
    <w:p>
      <w:pPr>
        <w:ind w:left="300" w:right="40" w:firstLine="42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Prime Vendor Model. </w:t>
      </w:r>
      <w:r>
        <w:rPr>
          <w:rFonts w:ascii="Times New Roman" w:cs="Times New Roman" w:eastAsia="Times New Roman" w:hAnsi="Times New Roman"/>
          <w:sz w:val="18"/>
          <w:szCs w:val="18"/>
          <w:color w:val="auto"/>
        </w:rPr>
        <w:t>In our Prime Vendor relationships, we enter into long-term agreements, typically structured with five-year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3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53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95"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can reach over 50% Medline Brand over time. The opportunity is even greater in certain non-acute settings, where we sell a more focused product portfolio. Our Prime Vendor model is reinforced by the flywheel effect within our business where we drive guaranteed cost savings for customers, which, in turn, supports incremental purchasing of our Medline Brand products and increases our scale. This dynamic allows us to drive further efficiencies that enable our ability to reinvest in customer value while increasing our profitability. This compelling value proposition and supply chain relationship with our customers supports our greater than 98% average Prime Vendor retention rate over the past five years.</w:t>
      </w:r>
    </w:p>
    <w:p>
      <w:pPr>
        <w:spacing w:after="0" w:line="188"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Our differentiated capabilities have enabled us to grow and scale our Prime Vendor model over time. Over just the past five years, we have signed new Prime Vendor agreements representing $7 billion of annual contract value and have over 1,200 Prime Vendor relationships as of December 31, 2023, representing $14.5 billion of net sales for the year ended December 31, 2023. Our Prime Vendor relationships, combined with our strong customer retention, supports a highly recurring business model. Today, our Prime Vendor agreements have a weighted average mix of 70% Supply Chain Solutions and 30% Medline Brand, presenting a significant opportunity to drive customer savings through further Medline Brand adoption in the years ahead. The addressable like-for-like product sales in existing Prime Vendor customers represents a conversion opportunity of approximately $      billion in net sales as of December 31, 2024, which could generate an incremental $      billion of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Note: Data represents average Medline Brand net sales percentage mix across cohorts since 2014.</w:t>
      </w:r>
    </w:p>
    <w:p>
      <w:pPr>
        <w:spacing w:after="0" w:line="206" w:lineRule="exact"/>
        <w:rPr>
          <w:sz w:val="20"/>
          <w:szCs w:val="20"/>
          <w:color w:val="auto"/>
        </w:rPr>
      </w:pPr>
    </w:p>
    <w:p>
      <w:pPr>
        <w:ind w:left="300" w:right="60" w:firstLine="42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Distribution Network. </w:t>
      </w:r>
      <w:r>
        <w:rPr>
          <w:rFonts w:ascii="Times New Roman" w:cs="Times New Roman" w:eastAsia="Times New Roman" w:hAnsi="Times New Roman"/>
          <w:sz w:val="18"/>
          <w:szCs w:val="18"/>
          <w:color w:val="auto"/>
        </w:rPr>
        <w:t>We have a differentiated network of 68 global distribution centers, 46 of which are in the United States.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w:t>
      </w: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579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95"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offering, and better service our expanding customer base. We also operate our own fleet of more than 2,000 MedTrans trucks that deliver our products across care settings within the United States. Our $      billion of global inventory as of December 31, 2024, and our market-leading supply chain capabilities drive our ability to fulfill customer orders with service levels of 99% and support our high customer satisfaction levels. Over the last five years, we have invested $1.8 billion in total capital expenditures within our distribution network. We currently have over 30% in excess capacity across our platform to support our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Commercial Platform. </w:t>
      </w:r>
      <w:r>
        <w:rPr>
          <w:rFonts w:ascii="Times New Roman" w:cs="Times New Roman" w:eastAsia="Times New Roman" w:hAnsi="Times New Roman"/>
          <w:sz w:val="18"/>
          <w:szCs w:val="18"/>
          <w:color w:val="auto"/>
        </w:rPr>
        <w:t>Our deep connectivity to our customers is driven by the strength of our dedicated and tenured commercial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a U.S. commercial team of more than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2023.</w:t>
      </w:r>
    </w:p>
    <w:p>
      <w:pPr>
        <w:spacing w:after="0" w:line="2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estimate our TAM to be approximately $      billion globally. Of this amount, we estimate that the United States represents an approximately $      billion opportunity, diversified across acute care and non-acute care (including surgery centers, physician’s offices, and post-acute care). Demand within this space is largely insulated from macroeconomic events and market cycles due to non-cyclical demand across most clinical settings.</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630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9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the Centers for Medicare &amp; Medicaid Services (“CMS”).</w:t>
      </w:r>
    </w:p>
    <w:p>
      <w:pPr>
        <w:spacing w:after="0" w:line="180"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The $        billion international market also represents an attractive opportunity, as net sales outside of the United States represented only     % of our total net sales for the year ended December 31, 2024.</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market opportunity is enhanced by the following dynamics:</w:t>
      </w:r>
    </w:p>
    <w:p>
      <w:pPr>
        <w:spacing w:after="0" w:line="129" w:lineRule="exact"/>
        <w:rPr>
          <w:sz w:val="20"/>
          <w:szCs w:val="20"/>
          <w:color w:val="auto"/>
        </w:rPr>
      </w:pPr>
    </w:p>
    <w:p>
      <w:pPr>
        <w:ind w:left="1240" w:right="640" w:hanging="415"/>
        <w:spacing w:after="0" w:line="28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Margin Pressure Across End Markets: </w:t>
      </w:r>
      <w:r>
        <w:rPr>
          <w:rFonts w:ascii="Times New Roman" w:cs="Times New Roman" w:eastAsia="Times New Roman" w:hAnsi="Times New Roman"/>
          <w:sz w:val="18"/>
          <w:szCs w:val="18"/>
          <w:color w:val="auto"/>
        </w:rPr>
        <w:t>Hospitals generally operate at a low margin; given these dynamics, health systems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are heavily focused on mitigating costs and increasing the quality of care.</w:t>
      </w:r>
    </w:p>
    <w:p>
      <w:pPr>
        <w:spacing w:after="0" w:line="63" w:lineRule="exact"/>
        <w:rPr>
          <w:rFonts w:ascii="Times New Roman" w:cs="Times New Roman" w:eastAsia="Times New Roman" w:hAnsi="Times New Roman"/>
          <w:sz w:val="18"/>
          <w:szCs w:val="18"/>
          <w:color w:val="auto"/>
        </w:rPr>
      </w:pPr>
    </w:p>
    <w:p>
      <w:pPr>
        <w:ind w:left="1240" w:right="420" w:hanging="415"/>
        <w:spacing w:after="0" w:line="28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Shift in Volumes Outside of the Hospital: </w:t>
      </w:r>
      <w:r>
        <w:rPr>
          <w:rFonts w:ascii="Times New Roman" w:cs="Times New Roman" w:eastAsia="Times New Roman" w:hAnsi="Times New Roman"/>
          <w:sz w:val="18"/>
          <w:szCs w:val="18"/>
          <w:color w:val="auto"/>
        </w:rPr>
        <w:t>As overall healthcare utilization increases, higher acuity procedures continue to shift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lower-cost sites of care, such as surgery centers and physician offices.</w:t>
      </w:r>
    </w:p>
    <w:p>
      <w:pPr>
        <w:spacing w:after="0" w:line="63" w:lineRule="exact"/>
        <w:rPr>
          <w:rFonts w:ascii="Times New Roman" w:cs="Times New Roman" w:eastAsia="Times New Roman" w:hAnsi="Times New Roman"/>
          <w:sz w:val="18"/>
          <w:szCs w:val="18"/>
          <w:color w:val="auto"/>
        </w:rPr>
      </w:pPr>
    </w:p>
    <w:p>
      <w:pPr>
        <w:ind w:left="1240" w:right="260" w:hanging="415"/>
        <w:spacing w:after="0" w:line="28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Healthcare Consolidation: </w:t>
      </w:r>
      <w:r>
        <w:rPr>
          <w:rFonts w:ascii="Times New Roman" w:cs="Times New Roman" w:eastAsia="Times New Roman" w:hAnsi="Times New Roman"/>
          <w:sz w:val="18"/>
          <w:szCs w:val="18"/>
          <w:color w:val="auto"/>
        </w:rPr>
        <w:t>Consolidation activity is expected to continue, as hospitals combine to drive scale and create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to serve the continuum of care.</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 Chain Resiliency: </w:t>
      </w:r>
      <w:r>
        <w:rPr>
          <w:rFonts w:ascii="Times New Roman" w:cs="Times New Roman" w:eastAsia="Times New Roman" w:hAnsi="Times New Roman"/>
          <w:sz w:val="18"/>
          <w:szCs w:val="18"/>
          <w:color w:val="auto"/>
        </w:rPr>
        <w:t>Supply chain disruptions and shortages have revealed the industry’s need for in-stock products and short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timeframes.</w:t>
      </w: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Value Creation for Key Stakeholders</w:t>
      </w:r>
    </w:p>
    <w:p>
      <w:pPr>
        <w:spacing w:after="0" w:line="121"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Our integrated business model helps us to address the needs of the market today and enables us to drive value for key constituents across the healthcare system.</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Healthcare providers:</w:t>
      </w:r>
    </w:p>
    <w:p>
      <w:pPr>
        <w:spacing w:after="0" w:line="133" w:lineRule="exact"/>
        <w:rPr>
          <w:sz w:val="20"/>
          <w:szCs w:val="20"/>
          <w:color w:val="auto"/>
        </w:rPr>
      </w:pPr>
    </w:p>
    <w:p>
      <w:pPr>
        <w:ind w:left="1240" w:right="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high-quality, competitively priced Medline Brand products deliver material cost savings to providers, many of whom face margin pressures.</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Prime Vendor model enables the cost-effective management of products, inventory, distribution, and delivery across sites of care.</w:t>
      </w:r>
    </w:p>
    <w:p>
      <w:pPr>
        <w:spacing w:after="0" w:line="142" w:lineRule="exact"/>
        <w:rPr>
          <w:rFonts w:ascii="Times New Roman" w:cs="Times New Roman" w:eastAsia="Times New Roman" w:hAnsi="Times New Roman"/>
          <w:sz w:val="17"/>
          <w:szCs w:val="17"/>
          <w:color w:val="auto"/>
        </w:rPr>
      </w:pPr>
    </w:p>
    <w:p>
      <w:pPr>
        <w:ind w:left="1240" w:right="140" w:hanging="415"/>
        <w:spacing w:after="0" w:line="25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133" w:lineRule="exact"/>
        <w:rPr>
          <w:sz w:val="20"/>
          <w:szCs w:val="20"/>
          <w:color w:val="auto"/>
        </w:rPr>
      </w:pPr>
    </w:p>
    <w:p>
      <w:pPr>
        <w:ind w:left="1240" w:hanging="415"/>
        <w:spacing w:after="0" w:line="312"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45" w:lineRule="exact"/>
        <w:rPr>
          <w:rFonts w:ascii="Times New Roman" w:cs="Times New Roman" w:eastAsia="Times New Roman" w:hAnsi="Times New Roman"/>
          <w:sz w:val="17"/>
          <w:szCs w:val="17"/>
          <w:color w:val="auto"/>
        </w:rPr>
      </w:pPr>
    </w:p>
    <w:p>
      <w:pPr>
        <w:ind w:left="1240" w:right="1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educational materials and at-home care kits help patients take an active role in their own care, which improves health outcomes and patient satisfaction.</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699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95"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thoughtfully designed products and services creates positive patient experiences.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direct-to-consumer channel increases access to our high-quality, cost-effective products.</w:t>
      </w:r>
    </w:p>
    <w:p>
      <w:pPr>
        <w:spacing w:after="0" w:line="3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Product suppliers:</w:t>
      </w:r>
    </w:p>
    <w:p>
      <w:pPr>
        <w:spacing w:after="0" w:line="133"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scaled platform provides third-party product suppliers with access to our commercial team and a large and diverse customer base.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 levels ensure that suppliers’ products are delivered reliably and on time.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across the healthcare continuum provides opportunities to serve every site of care.</w:t>
      </w:r>
    </w:p>
    <w:p>
      <w:pPr>
        <w:spacing w:after="0" w:line="32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ability to earn and retain customers is driven by a number of specific qualities that are critical to our success.</w:t>
      </w:r>
    </w:p>
    <w:p>
      <w:pPr>
        <w:spacing w:after="0" w:line="2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Customer-Focused Culture. </w:t>
      </w:r>
      <w:r>
        <w:rPr>
          <w:rFonts w:ascii="Times New Roman" w:cs="Times New Roman" w:eastAsia="Times New Roman" w:hAnsi="Times New Roman"/>
          <w:sz w:val="18"/>
          <w:szCs w:val="18"/>
          <w:color w:val="auto"/>
        </w:rPr>
        <w:t>Customers are at the heart of what we do. Our best-in-class business model, entrepreneurial spirit,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compelling 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more than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a greater than 98% average Prime Vendor retention rate over the past five years, and consistently high customer and employee satisfaction levels.</w:t>
      </w:r>
    </w:p>
    <w:p>
      <w:pPr>
        <w:spacing w:after="0" w:line="183"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Platform Advantage. </w:t>
      </w:r>
      <w:r>
        <w:rPr>
          <w:rFonts w:ascii="Times New Roman" w:cs="Times New Roman" w:eastAsia="Times New Roman" w:hAnsi="Times New Roman"/>
          <w:sz w:val="18"/>
          <w:szCs w:val="18"/>
          <w:color w:val="auto"/>
        </w:rPr>
        <w:t>We are the largest integrated med-surg manufacturer and distributor uniquely serving all sites across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continuum of care.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04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91" w:lineRule="exact"/>
        <w:rPr>
          <w:sz w:val="20"/>
          <w:szCs w:val="20"/>
          <w:color w:val="auto"/>
        </w:rPr>
      </w:pPr>
    </w:p>
    <w:p>
      <w:pPr>
        <w:ind w:left="300" w:right="140" w:firstLine="42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Brand Product Portfolio. </w:t>
      </w:r>
      <w:r>
        <w:rPr>
          <w:rFonts w:ascii="Times New Roman" w:cs="Times New Roman" w:eastAsia="Times New Roman" w:hAnsi="Times New Roman"/>
          <w:sz w:val="18"/>
          <w:szCs w:val="18"/>
          <w:color w:val="auto"/>
        </w:rPr>
        <w:t>We offer approximately 190,000 Medline Brand products across our product categories. We have a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of successfully bringing new products to market, with more than 2,100 granted patents and more than 400 clearances under Section 510(k) of the Federal Food, Drug and Cosmetic Act (“510(k)”). Over the last two years, we have successfully launched 187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82"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Unrivaled Distribution Capabilities. </w:t>
      </w:r>
      <w:r>
        <w:rPr>
          <w:rFonts w:ascii="Times New Roman" w:cs="Times New Roman" w:eastAsia="Times New Roman" w:hAnsi="Times New Roman"/>
          <w:sz w:val="18"/>
          <w:szCs w:val="18"/>
          <w:color w:val="auto"/>
        </w:rPr>
        <w:t>Medline’s breadth and footprint today is the result of decades of significant investments,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 billion in capital expenditures within our distribution network over the last five years. The network has been developed to serve healthcare facilities and providers across the continuum of care. We have a differentiated network of 68 global distribution facilities and a fleet of more than 2,000 MedTrans trucks in the United States that serves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      billion in global inventory that, combined with our distribution network and capabilities, enables us to have service levels of 99%.</w:t>
      </w:r>
    </w:p>
    <w:p>
      <w:pPr>
        <w:spacing w:after="0" w:line="185" w:lineRule="exact"/>
        <w:rPr>
          <w:sz w:val="20"/>
          <w:szCs w:val="20"/>
          <w:color w:val="auto"/>
        </w:rPr>
      </w:pPr>
    </w:p>
    <w:p>
      <w:pPr>
        <w:ind w:left="300" w:right="320" w:firstLine="4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Clinical Solutions. </w:t>
      </w:r>
      <w:r>
        <w:rPr>
          <w:rFonts w:ascii="Times New Roman" w:cs="Times New Roman" w:eastAsia="Times New Roman" w:hAnsi="Times New Roman"/>
          <w:sz w:val="18"/>
          <w:szCs w:val="18"/>
          <w:color w:val="auto"/>
        </w:rPr>
        <w:t>Medline’s clinical solutions empower frontline teams with best practice guidance, education and training,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76"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Returns to Scale. </w:t>
      </w:r>
      <w:r>
        <w:rPr>
          <w:rFonts w:ascii="Times New Roman" w:cs="Times New Roman" w:eastAsia="Times New Roman" w:hAnsi="Times New Roman"/>
          <w:sz w:val="18"/>
          <w:szCs w:val="18"/>
          <w:color w:val="auto"/>
        </w:rPr>
        <w:t>As we grow, Medline is uniquely positioned to benefit from our vertically integrated model and over 1,200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300" w:firstLine="426"/>
        <w:spacing w:after="0" w:line="312" w:lineRule="auto"/>
        <w:rPr>
          <w:sz w:val="20"/>
          <w:szCs w:val="20"/>
          <w:color w:val="auto"/>
        </w:rPr>
      </w:pPr>
      <w:r>
        <w:rPr>
          <w:rFonts w:ascii="Times New Roman" w:cs="Times New Roman" w:eastAsia="Times New Roman" w:hAnsi="Times New Roman"/>
          <w:sz w:val="17"/>
          <w:szCs w:val="17"/>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Net Sales Growth</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240" w:right="16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with our Prime Vendor Customers</w:t>
      </w:r>
      <w:r>
        <w:rPr>
          <w:rFonts w:ascii="Times New Roman" w:cs="Times New Roman" w:eastAsia="Times New Roman" w:hAnsi="Times New Roman"/>
          <w:sz w:val="18"/>
          <w:szCs w:val="18"/>
          <w:color w:val="auto"/>
        </w:rPr>
        <w:t>: We have achieved a greater than 98% average Prime Vendor retention rate over the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five 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81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93" w:lineRule="exact"/>
        <w:rPr>
          <w:sz w:val="20"/>
          <w:szCs w:val="20"/>
          <w:color w:val="auto"/>
        </w:rPr>
      </w:pPr>
    </w:p>
    <w:p>
      <w:pPr>
        <w:ind w:left="1240" w:right="140" w:hanging="415"/>
        <w:spacing w:after="0" w:line="261"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Winning New Prime Vendor Customers</w:t>
      </w:r>
      <w:r>
        <w:rPr>
          <w:rFonts w:ascii="Times New Roman" w:cs="Times New Roman" w:eastAsia="Times New Roman" w:hAnsi="Times New Roman"/>
          <w:sz w:val="18"/>
          <w:szCs w:val="18"/>
          <w:color w:val="auto"/>
        </w:rPr>
        <w:t>: We continue to earn new Prime Vendor customers, which has been a key driver of sustained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both Medline Brand and Supply Chain Solutions. Over the past five years, we have signed new Prime Vendor contracts, representing $7 billion of annual contract value. Additionally, we continue to expand the scope of our Prime Vendor relationships in non-acute sites of care.</w:t>
      </w:r>
    </w:p>
    <w:p>
      <w:pPr>
        <w:spacing w:after="0" w:line="85" w:lineRule="exact"/>
        <w:rPr>
          <w:rFonts w:ascii="Times New Roman" w:cs="Times New Roman" w:eastAsia="Times New Roman" w:hAnsi="Times New Roman"/>
          <w:sz w:val="18"/>
          <w:szCs w:val="18"/>
          <w:color w:val="auto"/>
        </w:rPr>
      </w:pPr>
    </w:p>
    <w:p>
      <w:pPr>
        <w:ind w:left="1240" w:right="240" w:hanging="415"/>
        <w:spacing w:after="0" w:line="267"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Medline Brand with Non-Prime Vendor Customers</w:t>
      </w:r>
      <w:r>
        <w:rPr>
          <w:rFonts w:ascii="Times New Roman" w:cs="Times New Roman" w:eastAsia="Times New Roman" w:hAnsi="Times New Roman"/>
          <w:sz w:val="18"/>
          <w:szCs w:val="18"/>
          <w:color w:val="auto"/>
        </w:rPr>
        <w:t>: An increasing number of non-Prime Vendor customers are choosing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Medline Brand. We will continue to provide high-quality, cost-effective products that meet their med-surg needs and accelerate our expansion within these customers.</w:t>
      </w:r>
    </w:p>
    <w:p>
      <w:pPr>
        <w:spacing w:after="0" w:line="78" w:lineRule="exact"/>
        <w:rPr>
          <w:rFonts w:ascii="Times New Roman" w:cs="Times New Roman" w:eastAsia="Times New Roman" w:hAnsi="Times New Roman"/>
          <w:sz w:val="18"/>
          <w:szCs w:val="18"/>
          <w:color w:val="auto"/>
        </w:rPr>
      </w:pPr>
    </w:p>
    <w:p>
      <w:pPr>
        <w:ind w:left="1240" w:right="60" w:hanging="415"/>
        <w:spacing w:after="0" w:line="267"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Product Innovation</w:t>
      </w:r>
      <w:r>
        <w:rPr>
          <w:rFonts w:ascii="Times New Roman" w:cs="Times New Roman" w:eastAsia="Times New Roman" w:hAnsi="Times New Roman"/>
          <w:sz w:val="18"/>
          <w:szCs w:val="18"/>
          <w:color w:val="auto"/>
        </w:rPr>
        <w:t>: Innovation is embedded within our product teams, who leverage our salesforce, customer feedback,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quality and regulatory organizations to develop new Medline Brand products. Our culture of innovation and entrepreneurship and our highly scalable go-to-market model provide us with unique capabilities to bring products to market swiftly.</w:t>
      </w:r>
    </w:p>
    <w:p>
      <w:pPr>
        <w:spacing w:after="0" w:line="78"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Channel Expansion</w:t>
      </w:r>
      <w:r>
        <w:rPr>
          <w:rFonts w:ascii="Times New Roman" w:cs="Times New Roman" w:eastAsia="Times New Roman" w:hAnsi="Times New Roman"/>
          <w:sz w:val="18"/>
          <w:szCs w:val="18"/>
          <w:color w:val="auto"/>
        </w:rPr>
        <w:t>: We will continue to evaluate new opportunities to expand our TAM and the markets we serve. We currently 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Our value proposition can help customers across markets internationally, and we expect to tap into the</w:t>
      </w:r>
    </w:p>
    <w:p>
      <w:pPr>
        <w:spacing w:after="0" w:line="29" w:lineRule="exact"/>
        <w:rPr>
          <w:sz w:val="20"/>
          <w:szCs w:val="20"/>
          <w:color w:val="auto"/>
        </w:rPr>
      </w:pPr>
    </w:p>
    <w:p>
      <w:pPr>
        <w:ind w:left="1240" w:right="360"/>
        <w:spacing w:after="0" w:line="255" w:lineRule="auto"/>
        <w:rPr>
          <w:sz w:val="20"/>
          <w:szCs w:val="20"/>
          <w:color w:val="auto"/>
        </w:rPr>
      </w:pPr>
      <w:r>
        <w:rPr>
          <w:rFonts w:ascii="Times New Roman" w:cs="Times New Roman" w:eastAsia="Times New Roman" w:hAnsi="Times New Roman"/>
          <w:sz w:val="18"/>
          <w:szCs w:val="18"/>
          <w:color w:val="auto"/>
        </w:rPr>
        <w:t>$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 of our net sales for the year ended December 31, 2024.</w:t>
      </w:r>
    </w:p>
    <w:p>
      <w:pPr>
        <w:spacing w:after="0" w:line="89" w:lineRule="exact"/>
        <w:rPr>
          <w:sz w:val="20"/>
          <w:szCs w:val="20"/>
          <w:color w:val="auto"/>
        </w:rPr>
      </w:pPr>
    </w:p>
    <w:p>
      <w:pPr>
        <w:ind w:left="1240" w:right="40" w:hanging="415"/>
        <w:spacing w:after="0" w:line="25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M&amp;A Execution</w:t>
      </w:r>
      <w:r>
        <w:rPr>
          <w:rFonts w:ascii="Times New Roman" w:cs="Times New Roman" w:eastAsia="Times New Roman" w:hAnsi="Times New Roman"/>
          <w:sz w:val="18"/>
          <w:szCs w:val="18"/>
          <w:color w:val="auto"/>
        </w:rPr>
        <w:t>: Our disciplined, global M&amp;A strategy is focused on pursuing adjacent products and services, as well as expanding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Earnings Growth</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240" w:right="120" w:hanging="415"/>
        <w:spacing w:after="0" w:line="277"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Medline Brand Conversion Opportunity</w:t>
      </w:r>
      <w:r>
        <w:rPr>
          <w:rFonts w:ascii="Times New Roman" w:cs="Times New Roman" w:eastAsia="Times New Roman" w:hAnsi="Times New Roman"/>
          <w:sz w:val="17"/>
          <w:szCs w:val="17"/>
          <w:color w:val="auto"/>
        </w:rPr>
        <w:t>: To help our customers achieve cost savings, we provide them with Medline Brand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offer superior or similar quality to third-party products at a more cost-effective price. Medline earns a higher gross margin on</w:t>
      </w:r>
    </w:p>
    <w:p>
      <w:pPr>
        <w:spacing w:after="0" w:line="1" w:lineRule="exact"/>
        <w:rPr>
          <w:sz w:val="20"/>
          <w:szCs w:val="20"/>
          <w:color w:val="auto"/>
        </w:rPr>
      </w:pPr>
    </w:p>
    <w:p>
      <w:pPr>
        <w:ind w:left="1240" w:right="100"/>
        <w:spacing w:after="0" w:line="255" w:lineRule="auto"/>
        <w:rPr>
          <w:sz w:val="20"/>
          <w:szCs w:val="20"/>
          <w:color w:val="auto"/>
        </w:rPr>
      </w:pPr>
      <w:r>
        <w:rPr>
          <w:rFonts w:ascii="Times New Roman" w:cs="Times New Roman" w:eastAsia="Times New Roman" w:hAnsi="Times New Roman"/>
          <w:sz w:val="18"/>
          <w:szCs w:val="18"/>
          <w:color w:val="auto"/>
        </w:rPr>
        <w:t>sales of Medline Brand products compared to sales of comparable third-party products. The addressable like-for-like product sales in existing Prime Vendor customers represents a conversion opportunity of approximately $        billion in net sales as of December 31, 2024, which could generate an incremental $        billion of gross profit.</w:t>
      </w:r>
    </w:p>
    <w:p>
      <w:pPr>
        <w:spacing w:after="0" w:line="89" w:lineRule="exact"/>
        <w:rPr>
          <w:sz w:val="20"/>
          <w:szCs w:val="20"/>
          <w:color w:val="auto"/>
        </w:rPr>
      </w:pPr>
    </w:p>
    <w:p>
      <w:pPr>
        <w:jc w:val="both"/>
        <w:ind w:left="1240" w:right="60" w:hanging="415"/>
        <w:spacing w:after="0" w:line="261"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Execution</w:t>
      </w:r>
      <w:r>
        <w:rPr>
          <w:rFonts w:ascii="Times New Roman" w:cs="Times New Roman" w:eastAsia="Times New Roman" w:hAnsi="Times New Roman"/>
          <w:sz w:val="18"/>
          <w:szCs w:val="18"/>
          <w:color w:val="auto"/>
        </w:rPr>
        <w:t>: To strengthen our cost advantage on Medline Brand products, we continuously improve our procurement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3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53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38,000 people and operate across more than 100 countries. The work we do enables healthcare providers to deliver the best quality care, in the most financially sustainable way, across the entire continuum of healthcare.</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culture is guided by our six core values:</w:t>
      </w:r>
    </w:p>
    <w:p>
      <w:pPr>
        <w:spacing w:after="0" w:line="131" w:lineRule="exact"/>
        <w:rPr>
          <w:sz w:val="20"/>
          <w:szCs w:val="20"/>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relentlessly focus on customers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 agility and flexibility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solve problems with grit and determination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drive to succeed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practice purposeful candor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know relationships matter</w:t>
      </w:r>
    </w:p>
    <w:p>
      <w:pPr>
        <w:spacing w:after="0" w:line="225"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 and Best Employers for Women.</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Prior to the completion of this offering, (1) the Pre-IPO Stockholders will receive shares of Class A common stock of Medline Inc. pursuant to the Blocker Transfers as defined and described in “Organizational Structure—Blocker Transfers,” (2) the limited partnership agreement of Medline Holdings will be amended and restated to, among other things, modify its capital structure by creating a single new class of limited partnership interests (“Units”) held by our Pre-IPO Unitholders and (3) the Pre-IPO Unitholders will receive the number of shares of Class B common stock of Medline Inc. equivalent to the number of Units held by each such Pre-IPO Unitholder. We and the Pre-IPO Unitholders will also enter into an exchange agreement under which they (or certain permitted transferees) will have the right (subject to the terms of the exchange agreement) to exchange their Units for shares of our Class A common stock on a one-for-one basis, subject to customary conversion rate adjustments for stock splits, stock dividends and reclassifications, whereupon an equivalent number of shares of Class B common stock held by each such Pre-IPO Unitholder will be automatically transferred to us and cancelled and retired upon any such exchange. For a description of the amended and restated limited partnership agreement of Medline Holdings and the exchange agreement, please read “Organizational Structure” and “Certain Relationships and Related Person Transactions.”</w:t>
      </w:r>
    </w:p>
    <w:p>
      <w:pPr>
        <w:spacing w:after="0" w:line="197"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The Pre-IPO Unitholders will hold all of the issued and outstanding shares of our Class B common stock. The shares of Class B common stock will have no economic rights but will entitle each holder to one vote for each share held of record on all matters to be voted on by stockholders generally, with the number of shares of</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2978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95" w:lineRule="exact"/>
        <w:rPr>
          <w:sz w:val="20"/>
          <w:szCs w:val="20"/>
          <w:color w:val="auto"/>
        </w:rPr>
      </w:pPr>
    </w:p>
    <w:p>
      <w:pPr>
        <w:jc w:val="both"/>
        <w:ind w:left="300" w:right="20"/>
        <w:spacing w:after="0" w:line="258" w:lineRule="auto"/>
        <w:rPr>
          <w:sz w:val="20"/>
          <w:szCs w:val="20"/>
          <w:color w:val="auto"/>
        </w:rPr>
      </w:pPr>
      <w:r>
        <w:rPr>
          <w:rFonts w:ascii="Times New Roman" w:cs="Times New Roman" w:eastAsia="Times New Roman" w:hAnsi="Times New Roman"/>
          <w:sz w:val="18"/>
          <w:szCs w:val="18"/>
          <w:color w:val="auto"/>
        </w:rPr>
        <w:t>Class B common stock held by each Pre-IPO Unitholder being equivalent to the number of Units held by each such Pre-IPO Unitholder. If at any time the ratio at which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83"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Our post-offering organizational structure, as described above, is commonly referred to as an umbrella partnership-C-corporation (“UP-C”) structure. This organizational structure will allow the Pre-IPO Unitholders to retain their equity ownership in Medline Holdings, an entity that is classified as a partnership for U.S. federal income tax purposes, in the form of Units. Investors in this offering and the Pre-IPO Stockholders will, by contrast, hold their equity ownership in Medline Inc., a Delaware corporation that is a domestic corporation for U.S. federal income tax purposes, in the form of shares of Class A common stock. We believe that the Pre-IPO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18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reorganization whereby Medline Inc. will begin to consolidate Medline Holdings in its consolidated financial statements will be accounted for as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 Medline Inc. will consolidate Medline Holdings in its consolidated financial statements and record a non-controlling interest related to the Units held by the Pre-IPO Unitholders on its consolidated balance sheet and statement of comprehensive income (loss).</w:t>
      </w: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320" w:top="455" w:right="6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750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95" w:lineRule="exact"/>
        <w:rPr>
          <w:sz w:val="20"/>
          <w:szCs w:val="20"/>
          <w:color w:val="auto"/>
        </w:rPr>
      </w:pPr>
    </w:p>
    <w:p>
      <w:pPr>
        <w:ind w:left="300" w:right="860" w:firstLine="426"/>
        <w:spacing w:after="0" w:line="282" w:lineRule="auto"/>
        <w:rPr>
          <w:sz w:val="20"/>
          <w:szCs w:val="20"/>
          <w:color w:val="auto"/>
        </w:rPr>
      </w:pPr>
      <w:r>
        <w:rPr>
          <w:rFonts w:ascii="Times New Roman" w:cs="Times New Roman" w:eastAsia="Times New Roman" w:hAnsi="Times New Roman"/>
          <w:sz w:val="18"/>
          <w:szCs w:val="18"/>
          <w:color w:val="auto"/>
        </w:rPr>
        <w:t>The simplified diagram below depicts our organizational structure immediately following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  Certain intermediate holding companies that are not material to this offering have been omitted from the structure chart.</w:t>
      </w:r>
    </w:p>
    <w:p>
      <w:pPr>
        <w:spacing w:after="0" w:line="27" w:lineRule="exact"/>
        <w:rPr>
          <w:sz w:val="20"/>
          <w:szCs w:val="20"/>
          <w:color w:val="auto"/>
        </w:rPr>
      </w:pPr>
    </w:p>
    <w:p>
      <w:pPr>
        <w:ind w:left="820" w:right="320" w:hanging="522"/>
        <w:spacing w:after="0" w:line="290"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our Class A common stock and Class B common stock entitles its holder to one vote on all matters to be voted on by the stockholders generally. For additional information, see “Description of Capital Stock—Common Stock—Class B Common Stock.”</w:t>
      </w:r>
    </w:p>
    <w:p>
      <w:pPr>
        <w:spacing w:after="0" w:line="26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Investment Risks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81" w:lineRule="exact"/>
        <w:rPr>
          <w:sz w:val="20"/>
          <w:szCs w:val="20"/>
          <w:color w:val="auto"/>
        </w:rPr>
      </w:pPr>
    </w:p>
    <w:p>
      <w:pPr>
        <w:ind w:left="1240" w:right="2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proper function, security and availability of our information technology systems and data, as well as those of third parties throughout our global supply chain, to operate our business.</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operations are subject to inherent risks that could materially adversely affect our business, results of operations and financial condition.</w:t>
      </w: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20"/>
          </w:cols>
          <w:pgMar w:left="320" w:top="455" w:right="7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510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510655"/>
                    </a:xfrm>
                    <a:prstGeom prst="rect">
                      <a:avLst/>
                    </a:prstGeom>
                    <a:noFill/>
                  </pic:spPr>
                </pic:pic>
              </a:graphicData>
            </a:graphic>
          </wp:anchor>
        </w:drawing>
      </w:r>
    </w:p>
    <w:p>
      <w:pPr>
        <w:spacing w:after="0" w:line="295" w:lineRule="exact"/>
        <w:rPr>
          <w:sz w:val="20"/>
          <w:szCs w:val="20"/>
          <w:color w:val="auto"/>
        </w:rPr>
      </w:pPr>
    </w:p>
    <w:p>
      <w:pPr>
        <w:ind w:left="1240" w:right="540" w:hanging="415"/>
        <w:spacing w:after="0" w:line="312"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45" w:lineRule="exact"/>
        <w:rPr>
          <w:rFonts w:ascii="Times New Roman" w:cs="Times New Roman" w:eastAsia="Times New Roman" w:hAnsi="Times New Roman"/>
          <w:sz w:val="17"/>
          <w:szCs w:val="17"/>
          <w:color w:val="auto"/>
        </w:rPr>
      </w:pPr>
    </w:p>
    <w:p>
      <w:pPr>
        <w:ind w:left="1240" w:right="78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environmental, health and safety requirements, and our operations involve hazardous and other environmentally sensitive substances.</w:t>
      </w:r>
    </w:p>
    <w:p>
      <w:pPr>
        <w:spacing w:after="0" w:line="67" w:lineRule="exact"/>
        <w:rPr>
          <w:rFonts w:ascii="Times New Roman" w:cs="Times New Roman" w:eastAsia="Times New Roman" w:hAnsi="Times New Roman"/>
          <w:sz w:val="18"/>
          <w:szCs w:val="18"/>
          <w:color w:val="auto"/>
        </w:rPr>
      </w:pPr>
    </w:p>
    <w:p>
      <w:pPr>
        <w:ind w:left="1240" w:right="58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derive fully the anticipated benefits from our existing or future acquisitions, joint ventures, investments, dispositions, or other strategic transactions.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 could have an adverse effect on our business, results of operations and financial condition.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could have a significant impact on our results of operations.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and cash flows may be adversely affected by inflationary pressures.</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and domestic macro-economic and political conditions could materially adversely affect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with accelerating pricing pressure and changes in technology.</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develop and retain key employees.</w:t>
      </w:r>
    </w:p>
    <w:p>
      <w:pPr>
        <w:spacing w:after="0" w:line="130" w:lineRule="exact"/>
        <w:rPr>
          <w:rFonts w:ascii="Times New Roman" w:cs="Times New Roman" w:eastAsia="Times New Roman" w:hAnsi="Times New Roman"/>
          <w:sz w:val="18"/>
          <w:szCs w:val="18"/>
          <w:color w:val="auto"/>
        </w:rPr>
      </w:pPr>
    </w:p>
    <w:p>
      <w:pPr>
        <w:jc w:val="both"/>
        <w:ind w:left="1240" w:right="12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Designating Stockholders will continue to hold a significant percentage of our stock, and their interests may conflict with ours or yours in the future.</w:t>
      </w:r>
    </w:p>
    <w:p>
      <w:pPr>
        <w:spacing w:after="0" w:line="283"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Before you invest in our Class A common stock, you should carefully consider all of the information in this prospectus, including matters set forth under the heading “Risk Factors.”</w:t>
      </w:r>
    </w:p>
    <w:p>
      <w:pPr>
        <w:spacing w:after="0" w:line="2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83"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In 2023, as part of a multi-year succession planning process, we elevated Jim Boyle to Chief Executive Officer, with Charles N. Mills, Andrew J. Mills, and James D. Abrams continuing to serve on our board.</w:t>
      </w:r>
    </w:p>
    <w:p>
      <w:pPr>
        <w:spacing w:after="0" w:line="162"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8"/>
          <w:szCs w:val="18"/>
          <w:i w:val="1"/>
          <w:iCs w:val="1"/>
          <w:color w:val="auto"/>
        </w:rPr>
        <w:t>www.medline.com</w:t>
      </w:r>
      <w:r>
        <w:rPr>
          <w:rFonts w:ascii="Times New Roman" w:cs="Times New Roman" w:eastAsia="Times New Roman" w:hAnsi="Times New Roman"/>
          <w:sz w:val="18"/>
          <w:szCs w:val="18"/>
          <w:color w:val="auto"/>
        </w:rPr>
        <w:t xml:space="preserve">. The reference to our website is intended to be an inactive textual reference only. </w:t>
      </w:r>
      <w:r>
        <w:rPr>
          <w:rFonts w:ascii="Times New Roman" w:cs="Times New Roman" w:eastAsia="Times New Roman" w:hAnsi="Times New Roman"/>
          <w:sz w:val="18"/>
          <w:szCs w:val="18"/>
          <w:b w:val="1"/>
          <w:bCs w:val="1"/>
          <w:color w:val="auto"/>
        </w:rPr>
        <w:t>The information contained on, or that can be accessed through, our website is not part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0"/>
          </w:cols>
          <w:pgMar w:left="320" w:top="455" w:right="7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207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Class A common stock offered by Medline Inc.</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shares (or         shares if the underwriters exercise in full their option to purchase additional shares of Class A common stock).</w:t>
      </w:r>
    </w:p>
    <w:p>
      <w:pPr>
        <w:spacing w:after="0" w:line="189" w:lineRule="exact"/>
        <w:rPr>
          <w:sz w:val="20"/>
          <w:szCs w:val="20"/>
          <w:color w:val="auto"/>
        </w:rPr>
      </w:pPr>
    </w:p>
    <w:p>
      <w:pPr>
        <w:sectPr>
          <w:pgSz w:w="11900" w:h="16838" w:orient="portrait"/>
          <w:cols w:equalWidth="0" w:num="2">
            <w:col w:w="3700" w:space="640"/>
            <w:col w:w="6580"/>
          </w:cols>
          <w:pgMar w:left="320" w:top="455" w:right="659" w:bottom="1440" w:gutter="0" w:footer="0" w:header="0"/>
          <w:type w:val="continuous"/>
        </w:sectPr>
      </w:pPr>
    </w:p>
    <w:p>
      <w:pPr>
        <w:jc w:val="center"/>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Class A common stock outstanding, after giving effect            </w:t>
        <w:tab/>
        <w:t xml:space="preserve">shares (or           </w:t>
      </w:r>
      <w:r>
        <w:rPr>
          <w:sz w:val="20"/>
          <w:szCs w:val="20"/>
          <w:color w:val="auto"/>
        </w:rPr>
        <w:tab/>
      </w:r>
      <w:r>
        <w:rPr>
          <w:rFonts w:ascii="Times New Roman" w:cs="Times New Roman" w:eastAsia="Times New Roman" w:hAnsi="Times New Roman"/>
          <w:sz w:val="17"/>
          <w:szCs w:val="17"/>
          <w:color w:val="auto"/>
        </w:rPr>
        <w:t>shares if the underwriters exercise in full their option to</w:t>
      </w:r>
    </w:p>
    <w:p>
      <w:pPr>
        <w:spacing w:after="0" w:line="27" w:lineRule="exact"/>
        <w:rPr>
          <w:sz w:val="20"/>
          <w:szCs w:val="20"/>
          <w:color w:val="auto"/>
        </w:rPr>
      </w:pPr>
    </w:p>
    <w:p>
      <w:pPr>
        <w:ind w:left="380"/>
        <w:spacing w:after="0"/>
        <w:tabs>
          <w:tab w:leader="none" w:pos="4320" w:val="left"/>
        </w:tabs>
        <w:rPr>
          <w:sz w:val="20"/>
          <w:szCs w:val="20"/>
          <w:color w:val="auto"/>
        </w:rPr>
      </w:pPr>
      <w:r>
        <w:rPr>
          <w:rFonts w:ascii="Times New Roman" w:cs="Times New Roman" w:eastAsia="Times New Roman" w:hAnsi="Times New Roman"/>
          <w:sz w:val="18"/>
          <w:szCs w:val="18"/>
          <w:color w:val="auto"/>
        </w:rPr>
        <w:t>to this offering</w:t>
      </w:r>
      <w:r>
        <w:rPr>
          <w:sz w:val="20"/>
          <w:szCs w:val="20"/>
          <w:color w:val="auto"/>
        </w:rPr>
        <w:tab/>
      </w:r>
      <w:r>
        <w:rPr>
          <w:rFonts w:ascii="Times New Roman" w:cs="Times New Roman" w:eastAsia="Times New Roman" w:hAnsi="Times New Roman"/>
          <w:sz w:val="17"/>
          <w:szCs w:val="17"/>
          <w:color w:val="auto"/>
        </w:rPr>
        <w:t>purchase additional shares of Class A common stock).</w:t>
      </w:r>
    </w:p>
    <w:p>
      <w:pPr>
        <w:sectPr>
          <w:pgSz w:w="11900" w:h="16838" w:orient="portrait"/>
          <w:cols w:equalWidth="0" w:num="1">
            <w:col w:w="10920"/>
          </w:cols>
          <w:pgMar w:left="320" w:top="455" w:right="659" w:bottom="1440" w:gutter="0" w:footer="0" w:header="0"/>
          <w:type w:val="continuous"/>
        </w:sectPr>
      </w:pPr>
    </w:p>
    <w:p>
      <w:pPr>
        <w:spacing w:after="0" w:line="247" w:lineRule="exact"/>
        <w:rPr>
          <w:sz w:val="20"/>
          <w:szCs w:val="20"/>
          <w:color w:val="auto"/>
        </w:rPr>
      </w:pPr>
    </w:p>
    <w:p>
      <w:pPr>
        <w:jc w:val="both"/>
        <w:ind w:left="380" w:hanging="78"/>
        <w:spacing w:after="0" w:line="266" w:lineRule="auto"/>
        <w:rPr>
          <w:sz w:val="20"/>
          <w:szCs w:val="20"/>
          <w:color w:val="auto"/>
        </w:rPr>
      </w:pPr>
      <w:r>
        <w:rPr>
          <w:rFonts w:ascii="Times New Roman" w:cs="Times New Roman" w:eastAsia="Times New Roman" w:hAnsi="Times New Roman"/>
          <w:sz w:val="18"/>
          <w:szCs w:val="18"/>
          <w:color w:val="auto"/>
        </w:rPr>
        <w:t>Class A common stock outstanding after this offering, assuming exchange of all Units held by the Pre-IPO Unitholders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shares (or         shares if the underwriters exercise in full their option to purchase additional shares of Class A common stock).</w:t>
      </w:r>
    </w:p>
    <w:p>
      <w:pPr>
        <w:spacing w:after="0" w:line="401" w:lineRule="exact"/>
        <w:rPr>
          <w:sz w:val="20"/>
          <w:szCs w:val="20"/>
          <w:color w:val="auto"/>
        </w:rPr>
      </w:pPr>
    </w:p>
    <w:p>
      <w:pPr>
        <w:sectPr>
          <w:pgSz w:w="11900" w:h="16838" w:orient="portrait"/>
          <w:cols w:equalWidth="0" w:num="2">
            <w:col w:w="4180" w:space="160"/>
            <w:col w:w="6580"/>
          </w:cols>
          <w:pgMar w:left="320" w:top="455" w:right="659" w:bottom="1440" w:gutter="0" w:footer="0" w:header="0"/>
          <w:type w:val="continuous"/>
        </w:sectPr>
      </w:pPr>
    </w:p>
    <w:p>
      <w:pPr>
        <w:spacing w:after="0" w:line="16" w:lineRule="exact"/>
        <w:rPr>
          <w:sz w:val="20"/>
          <w:szCs w:val="20"/>
          <w:color w:val="auto"/>
        </w:rPr>
      </w:pPr>
    </w:p>
    <w:p>
      <w:pPr>
        <w:ind w:left="300"/>
        <w:spacing w:after="0"/>
        <w:tabs>
          <w:tab w:leader="none" w:pos="5080" w:val="left"/>
          <w:tab w:leader="none" w:pos="10460" w:val="left"/>
        </w:tabs>
        <w:rPr>
          <w:sz w:val="20"/>
          <w:szCs w:val="20"/>
          <w:color w:val="auto"/>
        </w:rPr>
      </w:pPr>
      <w:r>
        <w:rPr>
          <w:rFonts w:ascii="Times New Roman" w:cs="Times New Roman" w:eastAsia="Times New Roman" w:hAnsi="Times New Roman"/>
          <w:sz w:val="18"/>
          <w:szCs w:val="18"/>
          <w:color w:val="auto"/>
        </w:rPr>
        <w:t xml:space="preserve">Class B common stock outstanding, after giving effect            </w:t>
        <w:tab/>
        <w:t xml:space="preserve">shares, all of which will be held by the Pre-IPO Unitholders (or           </w:t>
      </w:r>
      <w:r>
        <w:rPr>
          <w:sz w:val="20"/>
          <w:szCs w:val="20"/>
          <w:color w:val="auto"/>
        </w:rPr>
        <w:tab/>
      </w:r>
      <w:r>
        <w:rPr>
          <w:rFonts w:ascii="Times New Roman" w:cs="Times New Roman" w:eastAsia="Times New Roman" w:hAnsi="Times New Roman"/>
          <w:sz w:val="17"/>
          <w:szCs w:val="17"/>
          <w:color w:val="auto"/>
        </w:rPr>
        <w:t>shares</w:t>
      </w:r>
    </w:p>
    <w:p>
      <w:pPr>
        <w:spacing w:after="0" w:line="27" w:lineRule="exact"/>
        <w:rPr>
          <w:sz w:val="20"/>
          <w:szCs w:val="20"/>
          <w:color w:val="auto"/>
        </w:rPr>
      </w:pPr>
    </w:p>
    <w:p>
      <w:pPr>
        <w:ind w:left="380"/>
        <w:spacing w:after="0"/>
        <w:tabs>
          <w:tab w:leader="none" w:pos="4320" w:val="left"/>
        </w:tabs>
        <w:rPr>
          <w:sz w:val="20"/>
          <w:szCs w:val="20"/>
          <w:color w:val="auto"/>
        </w:rPr>
      </w:pPr>
      <w:r>
        <w:rPr>
          <w:rFonts w:ascii="Times New Roman" w:cs="Times New Roman" w:eastAsia="Times New Roman" w:hAnsi="Times New Roman"/>
          <w:sz w:val="18"/>
          <w:szCs w:val="18"/>
          <w:color w:val="auto"/>
        </w:rPr>
        <w:t>to this offering</w:t>
      </w:r>
      <w:r>
        <w:rPr>
          <w:sz w:val="20"/>
          <w:szCs w:val="20"/>
          <w:color w:val="auto"/>
        </w:rPr>
        <w:tab/>
      </w:r>
      <w:r>
        <w:rPr>
          <w:rFonts w:ascii="Times New Roman" w:cs="Times New Roman" w:eastAsia="Times New Roman" w:hAnsi="Times New Roman"/>
          <w:sz w:val="17"/>
          <w:szCs w:val="17"/>
          <w:color w:val="auto"/>
        </w:rPr>
        <w:t>if the underwriters exercise in full their option to purchase additional shares of Class A</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common stock).</w:t>
      </w:r>
    </w:p>
    <w:p>
      <w:pPr>
        <w:sectPr>
          <w:pgSz w:w="11900" w:h="16838" w:orient="portrait"/>
          <w:cols w:equalWidth="0" w:num="1">
            <w:col w:w="10920"/>
          </w:cols>
          <w:pgMar w:left="320" w:top="455" w:right="659" w:bottom="1440" w:gutter="0" w:footer="0" w:header="0"/>
          <w:type w:val="continuous"/>
        </w:sectPr>
      </w:pPr>
    </w:p>
    <w:p>
      <w:pPr>
        <w:spacing w:after="0" w:line="234"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Voting power held by investors in this offering, after giving effect to this offering</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 (or   % if the underwriters exercise in full their option to purchase additional shares of Class A common stock).</w:t>
      </w:r>
    </w:p>
    <w:p>
      <w:pPr>
        <w:spacing w:after="0" w:line="200" w:lineRule="exact"/>
        <w:rPr>
          <w:sz w:val="20"/>
          <w:szCs w:val="20"/>
          <w:color w:val="auto"/>
        </w:rPr>
      </w:pPr>
    </w:p>
    <w:p>
      <w:pPr>
        <w:sectPr>
          <w:pgSz w:w="11900" w:h="16838" w:orient="portrait"/>
          <w:cols w:equalWidth="0" w:num="2">
            <w:col w:w="4080" w:space="260"/>
            <w:col w:w="6580"/>
          </w:cols>
          <w:pgMar w:left="320" w:top="455" w:right="65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Voting power held by our pre-IPO owners, after giving    % (or    % if the underwriters exercise in full their option to purchase additional shares</w:t>
      </w:r>
    </w:p>
    <w:p>
      <w:pPr>
        <w:spacing w:after="0" w:line="27" w:lineRule="exact"/>
        <w:rPr>
          <w:sz w:val="20"/>
          <w:szCs w:val="20"/>
          <w:color w:val="auto"/>
        </w:rPr>
      </w:pPr>
    </w:p>
    <w:p>
      <w:pPr>
        <w:ind w:left="380"/>
        <w:spacing w:after="0"/>
        <w:tabs>
          <w:tab w:leader="none" w:pos="4320" w:val="left"/>
        </w:tabs>
        <w:rPr>
          <w:sz w:val="20"/>
          <w:szCs w:val="20"/>
          <w:color w:val="auto"/>
        </w:rPr>
      </w:pPr>
      <w:r>
        <w:rPr>
          <w:rFonts w:ascii="Times New Roman" w:cs="Times New Roman" w:eastAsia="Times New Roman" w:hAnsi="Times New Roman"/>
          <w:sz w:val="18"/>
          <w:szCs w:val="18"/>
          <w:color w:val="auto"/>
        </w:rPr>
        <w:t>effect to this offering</w:t>
      </w:r>
      <w:r>
        <w:rPr>
          <w:sz w:val="20"/>
          <w:szCs w:val="20"/>
          <w:color w:val="auto"/>
        </w:rPr>
        <w:tab/>
      </w:r>
      <w:r>
        <w:rPr>
          <w:rFonts w:ascii="Times New Roman" w:cs="Times New Roman" w:eastAsia="Times New Roman" w:hAnsi="Times New Roman"/>
          <w:sz w:val="17"/>
          <w:szCs w:val="17"/>
          <w:color w:val="auto"/>
        </w:rPr>
        <w:t>of Class A common stock).</w:t>
      </w:r>
    </w:p>
    <w:p>
      <w:pPr>
        <w:spacing w:after="0" w:line="24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estimate that the proceeds to Medline Inc. from this offering, after deducting estimated</w:t>
      </w:r>
    </w:p>
    <w:p>
      <w:pPr>
        <w:spacing w:after="0" w:line="27" w:lineRule="exact"/>
        <w:rPr>
          <w:sz w:val="20"/>
          <w:szCs w:val="20"/>
          <w:color w:val="auto"/>
        </w:rPr>
      </w:pPr>
    </w:p>
    <w:p>
      <w:pPr>
        <w:ind w:left="4340" w:right="200"/>
        <w:spacing w:after="0" w:line="255" w:lineRule="auto"/>
        <w:rPr>
          <w:sz w:val="20"/>
          <w:szCs w:val="20"/>
          <w:color w:val="auto"/>
        </w:rPr>
      </w:pPr>
      <w:r>
        <w:rPr>
          <w:rFonts w:ascii="Times New Roman" w:cs="Times New Roman" w:eastAsia="Times New Roman" w:hAnsi="Times New Roman"/>
          <w:sz w:val="18"/>
          <w:szCs w:val="18"/>
          <w:color w:val="auto"/>
        </w:rPr>
        <w:t>underwriting discounts and commissions, will be approximately $        million (or $        million if the underwriters exercise in full their option to purchase additional shares of Class A common stock).</w:t>
      </w:r>
    </w:p>
    <w:p>
      <w:pPr>
        <w:spacing w:after="0" w:line="213" w:lineRule="exact"/>
        <w:rPr>
          <w:sz w:val="20"/>
          <w:szCs w:val="20"/>
          <w:color w:val="auto"/>
        </w:rPr>
      </w:pPr>
    </w:p>
    <w:p>
      <w:pPr>
        <w:ind w:left="4340" w:right="120"/>
        <w:spacing w:after="0" w:line="254" w:lineRule="auto"/>
        <w:rPr>
          <w:sz w:val="20"/>
          <w:szCs w:val="20"/>
          <w:color w:val="auto"/>
        </w:rPr>
      </w:pPr>
      <w:r>
        <w:rPr>
          <w:rFonts w:ascii="Times New Roman" w:cs="Times New Roman" w:eastAsia="Times New Roman" w:hAnsi="Times New Roman"/>
          <w:sz w:val="18"/>
          <w:szCs w:val="18"/>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Units from Medline Holdings, as described under “Organizational Structure—Offering Transactions,” which Medline Holdings will in turn use for general corporate purposes, including the repayment of indebtedness, and to bear all of the expenses of this offering. We estimate these offering expenses</w:t>
      </w: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320" w:top="455" w:right="6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53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9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 xml:space="preserve">(excluding underwriting discounts and commissions) will be approximately $          </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82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million. See “Use of Proceeds.”</w:t>
            </w:r>
          </w:p>
        </w:tc>
      </w:tr>
      <w:tr>
        <w:trPr>
          <w:trHeight w:val="436"/>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Medline Inc. intends to use any proceeds from the issuance of shares pursuant to any</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exercise by the underwriters of their option to purchase additional shares of Class A</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common stock to purchase or redeem outstanding equity interests from certain of our</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pre-IPO owners at a price per equity interest equal to the initial public offering price per</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share of our Class A common stock less the underwriting discounts and commissions, as</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described under “Organizational Structure—Offering Transactions.” Accordingly, we will</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not retain any of these proceeds. See “Principal Stockholders” for information regarding</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proceeds from this offering that may be paid to certain of our pre-IPO owners.</w:t>
            </w:r>
          </w:p>
        </w:tc>
      </w:tr>
      <w:tr>
        <w:trPr>
          <w:trHeight w:val="441"/>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rights</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Each share of our Class A common stock entitles its holder to one vote on all matters to be</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voted on by stockholders generally.</w:t>
            </w:r>
          </w:p>
        </w:tc>
      </w:tr>
      <w:tr>
        <w:trPr>
          <w:trHeight w:val="441"/>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Pre-IPO Unitholders will hold all of the outstanding shares of our Class B common</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stock. The shares of Class B common stock will have no economic rights but will entitle</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each holder to one vote for each share held of record on all matters to be voted on by</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stockholders generally, with the number of shares of Class B common stock held by each</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Pre-IPO Unitholder being equivalent to the number of Units held by each such Pre-IPO</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Unitholder. If at any time the ratio at which Units are exchangeable for shares of our</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Class A common stock changes from one-for-one as described under “Certain</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Relationships and Related Person Transactions—Exchange Agreement,” the number of</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votes to which Class B common stockholders are entitled will be adjusted accordingly.</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Holders of shares of our Class B common stock will vote together with holders of our</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Class A common stock as a single class on all matters on which stockholders are entitled to</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vote generally, except as otherwise required by law. See “Description of Capital Stock—</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Common Stock—Class B Common Stock.”</w:t>
            </w:r>
          </w:p>
        </w:tc>
      </w:tr>
      <w:tr>
        <w:trPr>
          <w:trHeight w:val="441"/>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declaration, amount, and payment of any future dividends will be at the sole discretion</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of our board of directors and will depend on general economic and business conditions; our</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financial condition and operating results; our available cash; current and anticipated cash</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needs; capital requirements; contractual, legal, tax, and regulatory restrictions and</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implications on the payment of dividends by us to our stockholders or by our subsidiaries</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(including Medline Holdings) to us; and such other factors as our board of directors may</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deem relevant. Holders of Class B common stock are not entitled to any dividends.</w:t>
            </w:r>
          </w:p>
        </w:tc>
      </w:tr>
      <w:tr>
        <w:trPr>
          <w:trHeight w:val="441"/>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Medline Inc. is a holding company and has no material assets other than its equity interests</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held directly or indirectly through wholly owned subsidiaries in Medline Holdings. We</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intend to cause Medline Holdings to make distributions to us in an amount sufficient to</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cover</w:t>
            </w:r>
          </w:p>
        </w:tc>
      </w:tr>
      <w:tr>
        <w:trPr>
          <w:trHeight w:val="172"/>
        </w:trPr>
        <w:tc>
          <w:tcPr>
            <w:tcW w:w="278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361"/>
        </w:trPr>
        <w:tc>
          <w:tcPr>
            <w:tcW w:w="2780" w:type="dxa"/>
            <w:vAlign w:val="bottom"/>
          </w:tcPr>
          <w:p>
            <w:pPr>
              <w:spacing w:after="0"/>
              <w:rPr>
                <w:sz w:val="24"/>
                <w:szCs w:val="24"/>
                <w:color w:val="auto"/>
              </w:rPr>
            </w:pPr>
          </w:p>
        </w:tc>
        <w:tc>
          <w:tcPr>
            <w:tcW w:w="82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480" w:type="dxa"/>
            <w:vAlign w:val="bottom"/>
            <w:tcBorders>
              <w:top w:val="single" w:sz="8" w:color="auto"/>
              <w:left w:val="single" w:sz="8" w:color="auto"/>
            </w:tcBorders>
          </w:tcPr>
          <w:p>
            <w:pPr>
              <w:spacing w:after="0"/>
              <w:rPr>
                <w:sz w:val="24"/>
                <w:szCs w:val="24"/>
                <w:color w:val="auto"/>
              </w:rPr>
            </w:pPr>
          </w:p>
        </w:tc>
        <w:tc>
          <w:tcPr>
            <w:tcW w:w="754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cash dividends, if any, declared by us. If Medline Holdings makes such distributions to</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Medline Inc., the other holders of Units will be entitled to receive equivalent pro rata</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distributions from Medline Holdings. Under the terms of the amended and restated limited</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partnership agreement, Medline Holdings is obligated to make tax distributions to holders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of Units (including Medline Inc.) at certain assumed tax rates. See “Risk Factors—Risks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Related to Our Organizational Structure—Medline Inc. is a holding company and its only</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material assets after completion of this offering will be its equity interests held directly or</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indirectly through wholly owned subsidiaries in Medline Holdings, and it is accordingly</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dependent upon distributions from Medline Holdings to pay taxes, make payments under</w:t>
            </w:r>
          </w:p>
        </w:tc>
      </w:tr>
      <w:tr>
        <w:trPr>
          <w:trHeight w:val="234"/>
        </w:trPr>
        <w:tc>
          <w:tcPr>
            <w:tcW w:w="348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 tax receivable agreement, and pay dividends.”</w:t>
            </w:r>
          </w:p>
        </w:tc>
      </w:tr>
      <w:tr>
        <w:trPr>
          <w:trHeight w:val="454"/>
        </w:trPr>
        <w:tc>
          <w:tcPr>
            <w:tcW w:w="3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rights of holders of Units</w:t>
            </w: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Prior to this offering, we will enter into an exchange agreement with the Pre-IPO</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Unitholders so that they may, after the completion of this offering (subject to the terms of</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 exchange agreement), exchange their Units for shares of Class A common stock of</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Medline Inc. on a one-for-one basis, subject to customary conversion rate adjustments for</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stock splits, stock dividends and reclassifications, whereupon an equivalent number of</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shares of Class B common stock held by each such Pre-IPO Unitholder will be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automatically transferred to us and cancelled and retired upon any such exchange. See</w:t>
            </w:r>
          </w:p>
        </w:tc>
      </w:tr>
      <w:tr>
        <w:trPr>
          <w:trHeight w:val="234"/>
        </w:trPr>
        <w:tc>
          <w:tcPr>
            <w:tcW w:w="348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“Certain Relationships and Related Person Transactions—Exchange Agreement.”</w:t>
            </w:r>
          </w:p>
        </w:tc>
      </w:tr>
      <w:tr>
        <w:trPr>
          <w:trHeight w:val="441"/>
        </w:trPr>
        <w:tc>
          <w:tcPr>
            <w:tcW w:w="3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Prior to the completion of this offering, we will enter into a tax receivable agreement with</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certain of our pre-IPO owners that provides for the payment by Medline Inc. to such</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pre-IPO owners of 90% of the benefits, if any, that Medline Inc. realizes, or is deemed to</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realize (calculated using certain assumptions), as a result of (i) Medline Inc.’s allocable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share of the existing tax basis acquired in this offering, (ii) increases in Medline Inc.’s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allocable share of existing tax basis and tax basis adjustments to the tangible and intangible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assets of Medline Holdings as a result of sales or exchanges of Units in connection with or</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after this offering, (iii) Medline Inc.’s utilization of certain tax attributes (including any</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existing tax basis) of certain entities that are taxable as corporations for U.S. federal</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income tax purposes through which the Pre-IPO Stockholders hold their interests in</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Medline Holdings prior to the Offering Transactions (the “Blocker Companies”), as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described under “Organizational Structure—Blocker Transfers,” and (iv) certain other tax</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benefits related to entering into the tax receivable agreement, including tax benefits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attributable to payments under the tax receivable agreement. Sales or exchanges of Units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are expected to result in increases in the tax basis of the assets of Medline Holdings. The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existing tax basis, increases in existing tax basis and tax basis adjustments generated over</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time may increase (for tax purposes) depreciation and amortization deductions available to</w:t>
            </w:r>
          </w:p>
        </w:tc>
      </w:tr>
      <w:tr>
        <w:trPr>
          <w:trHeight w:val="234"/>
        </w:trPr>
        <w:tc>
          <w:tcPr>
            <w:tcW w:w="348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Medline Inc. for tax purposes and, therefore, may reduce the amount of U.S.</w:t>
            </w:r>
          </w:p>
        </w:tc>
      </w:tr>
      <w:tr>
        <w:trPr>
          <w:trHeight w:val="172"/>
        </w:trPr>
        <w:tc>
          <w:tcPr>
            <w:tcW w:w="3480" w:type="dxa"/>
            <w:vAlign w:val="bottom"/>
            <w:tcBorders>
              <w:left w:val="single" w:sz="8" w:color="auto"/>
              <w:bottom w:val="single" w:sz="8" w:color="auto"/>
            </w:tcBorders>
          </w:tcPr>
          <w:p>
            <w:pPr>
              <w:spacing w:after="0"/>
              <w:rPr>
                <w:sz w:val="14"/>
                <w:szCs w:val="14"/>
                <w:color w:val="auto"/>
              </w:rPr>
            </w:pPr>
          </w:p>
        </w:tc>
        <w:tc>
          <w:tcPr>
            <w:tcW w:w="7540" w:type="dxa"/>
            <w:vAlign w:val="bottom"/>
            <w:tcBorders>
              <w:bottom w:val="single" w:sz="8" w:color="auto"/>
              <w:right w:val="single" w:sz="8" w:color="auto"/>
            </w:tcBorders>
          </w:tcPr>
          <w:p>
            <w:pPr>
              <w:spacing w:after="0"/>
              <w:rPr>
                <w:sz w:val="14"/>
                <w:szCs w:val="14"/>
                <w:color w:val="auto"/>
              </w:rPr>
            </w:pPr>
          </w:p>
        </w:tc>
      </w:tr>
      <w:tr>
        <w:trPr>
          <w:trHeight w:val="361"/>
        </w:trPr>
        <w:tc>
          <w:tcPr>
            <w:tcW w:w="3480" w:type="dxa"/>
            <w:vAlign w:val="bottom"/>
          </w:tcPr>
          <w:p>
            <w:pPr>
              <w:spacing w:after="0"/>
              <w:rPr>
                <w:sz w:val="24"/>
                <w:szCs w:val="24"/>
                <w:color w:val="auto"/>
              </w:rPr>
            </w:pPr>
          </w:p>
        </w:tc>
        <w:tc>
          <w:tcPr>
            <w:tcW w:w="75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4238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4238625"/>
                    </a:xfrm>
                    <a:prstGeom prst="rect">
                      <a:avLst/>
                    </a:prstGeom>
                    <a:noFill/>
                  </pic:spPr>
                </pic:pic>
              </a:graphicData>
            </a:graphic>
          </wp:anchor>
        </w:drawing>
      </w:r>
    </w:p>
    <w:p>
      <w:pPr>
        <w:spacing w:after="0" w:line="295" w:lineRule="exact"/>
        <w:rPr>
          <w:sz w:val="20"/>
          <w:szCs w:val="20"/>
          <w:color w:val="auto"/>
        </w:rPr>
      </w:pPr>
    </w:p>
    <w:p>
      <w:pPr>
        <w:ind w:left="4340"/>
        <w:spacing w:after="0" w:line="254" w:lineRule="auto"/>
        <w:rPr>
          <w:sz w:val="20"/>
          <w:szCs w:val="20"/>
          <w:color w:val="auto"/>
        </w:rPr>
      </w:pPr>
      <w:r>
        <w:rPr>
          <w:rFonts w:ascii="Times New Roman" w:cs="Times New Roman" w:eastAsia="Times New Roman" w:hAnsi="Times New Roman"/>
          <w:sz w:val="18"/>
          <w:szCs w:val="18"/>
          <w:color w:val="auto"/>
        </w:rPr>
        <w:t>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ectPr>
          <w:pgSz w:w="11900" w:h="16838" w:orient="portrait"/>
          <w:cols w:equalWidth="0" w:num="1">
            <w:col w:w="10860"/>
          </w:cols>
          <w:pgMar w:left="320" w:top="455" w:right="719" w:bottom="1440" w:gutter="0" w:footer="0" w:header="0"/>
        </w:sect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See “Risk Factors” for a discussion of risks you should carefully consider before deciding to invest in our Class A common stock.</w:t>
      </w:r>
    </w:p>
    <w:p>
      <w:pPr>
        <w:spacing w:after="0" w:line="189"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Certain U.S. federal income tax consequences to non-U.S. holders</w:t>
      </w:r>
    </w:p>
    <w:p>
      <w:pPr>
        <w:spacing w:after="0" w:line="20" w:lineRule="exact"/>
        <w:rPr>
          <w:sz w:val="20"/>
          <w:szCs w:val="20"/>
          <w:color w:val="auto"/>
        </w:rPr>
      </w:pPr>
      <w:r>
        <w:rPr>
          <w:sz w:val="20"/>
          <w:szCs w:val="20"/>
          <w:color w:val="auto"/>
        </w:rPr>
        <w:br w:type="column"/>
      </w: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certain U.S. federal income tax consequences that may be relevant to non-U.S. stockholders, see “Certain U.S. Federal Income Tax Consequences to Non-U.S. Holders.”</w:t>
      </w:r>
    </w:p>
    <w:p>
      <w:pPr>
        <w:spacing w:after="0" w:line="200" w:lineRule="exact"/>
        <w:rPr>
          <w:sz w:val="20"/>
          <w:szCs w:val="20"/>
          <w:color w:val="auto"/>
        </w:rPr>
      </w:pPr>
    </w:p>
    <w:p>
      <w:pPr>
        <w:sectPr>
          <w:pgSz w:w="11900" w:h="16838" w:orient="portrait"/>
          <w:cols w:equalWidth="0" w:num="2">
            <w:col w:w="3800" w:space="540"/>
            <w:col w:w="6520"/>
          </w:cols>
          <w:pgMar w:left="320" w:top="455" w:right="71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“MDLN”</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50"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In this prospectus, unless otherwise indicated, the number of shares of Class A common stock outstanding and the other information based thereon does not reflect:</w:t>
      </w:r>
    </w:p>
    <w:p>
      <w:pPr>
        <w:spacing w:after="0" w:line="6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shares of Class A common stock issuable upon exercise of the underwriters’ option to purchase additional shares of Class A</w:t>
            </w:r>
          </w:p>
        </w:tc>
      </w:tr>
      <w:tr>
        <w:trPr>
          <w:trHeight w:val="234"/>
        </w:trPr>
        <w:tc>
          <w:tcPr>
            <w:tcW w:w="240" w:type="dxa"/>
            <w:vAlign w:val="bottom"/>
          </w:tcPr>
          <w:p>
            <w:pPr>
              <w:spacing w:after="0"/>
              <w:rPr>
                <w:sz w:val="20"/>
                <w:szCs w:val="20"/>
                <w:color w:val="auto"/>
              </w:rPr>
            </w:pPr>
          </w:p>
        </w:tc>
        <w:tc>
          <w:tcPr>
            <w:tcW w:w="9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common stock from Medline Inc.;</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 Units (or, if the underwriters exercise their option to purchase</w:t>
            </w:r>
          </w:p>
        </w:tc>
      </w:tr>
      <w:tr>
        <w:trPr>
          <w:trHeight w:val="216"/>
        </w:trPr>
        <w:tc>
          <w:tcPr>
            <w:tcW w:w="240" w:type="dxa"/>
            <w:vAlign w:val="bottom"/>
          </w:tcPr>
          <w:p>
            <w:pPr>
              <w:spacing w:after="0"/>
              <w:rPr>
                <w:sz w:val="18"/>
                <w:szCs w:val="18"/>
                <w:color w:val="auto"/>
              </w:rPr>
            </w:pPr>
          </w:p>
        </w:tc>
        <w:tc>
          <w:tcPr>
            <w:tcW w:w="9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additional shares of Class A common stock,             shares of Class A common stock issuable upon exchange of             Units)</w:t>
            </w:r>
          </w:p>
        </w:tc>
      </w:tr>
      <w:tr>
        <w:trPr>
          <w:trHeight w:val="234"/>
        </w:trPr>
        <w:tc>
          <w:tcPr>
            <w:tcW w:w="240" w:type="dxa"/>
            <w:vAlign w:val="bottom"/>
          </w:tcPr>
          <w:p>
            <w:pPr>
              <w:spacing w:after="0"/>
              <w:rPr>
                <w:sz w:val="20"/>
                <w:szCs w:val="20"/>
                <w:color w:val="auto"/>
              </w:rPr>
            </w:pPr>
          </w:p>
        </w:tc>
        <w:tc>
          <w:tcPr>
            <w:tcW w:w="9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that will be held by the Pre-IPO Unitholders immediately following this offering; or</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Class A common stock that may be granted under the 2025 Medline Inc. Omnibus Incentive Plan (the “Omnibus</w:t>
            </w:r>
          </w:p>
        </w:tc>
      </w:tr>
    </w:tbl>
    <w:p>
      <w:pPr>
        <w:ind w:left="1240"/>
        <w:spacing w:after="0"/>
        <w:rPr>
          <w:sz w:val="20"/>
          <w:szCs w:val="20"/>
          <w:color w:val="auto"/>
        </w:rPr>
      </w:pPr>
      <w:r>
        <w:rPr>
          <w:rFonts w:ascii="Times New Roman" w:cs="Times New Roman" w:eastAsia="Times New Roman" w:hAnsi="Times New Roman"/>
          <w:sz w:val="18"/>
          <w:szCs w:val="18"/>
          <w:color w:val="auto"/>
        </w:rPr>
        <w:t>Incentive Plan”). See “Management—Equity Compensation—Omnibus Incentive Plan.”</w:t>
      </w:r>
    </w:p>
    <w:p>
      <w:pPr>
        <w:spacing w:after="0" w:line="3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320" w:top="455" w:right="7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3390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3390265"/>
                    </a:xfrm>
                    <a:prstGeom prst="rect">
                      <a:avLst/>
                    </a:prstGeom>
                    <a:noFill/>
                  </pic:spPr>
                </pic:pic>
              </a:graphicData>
            </a:graphic>
          </wp:anchor>
        </w:drawing>
      </w:r>
    </w:p>
    <w:p>
      <w:pPr>
        <w:spacing w:after="0" w:line="29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Summary Historical and Pro Forma Consolidated Financial and Other Data</w:t>
      </w:r>
    </w:p>
    <w:p>
      <w:pPr>
        <w:spacing w:after="0" w:line="229"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summary historical consolidated financial and other data for Medline Holdings and its subsidiaries and the summary pro forma consolidated financial and other data for Medline Inc. for the periods and at the dates indicated.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Medline Inc. will consolidate Medline Holdings on its consolidated financial statements and record a non-controlling interest related to the Units held by our Pre-IPO Unitholders on its consolidated balance sheet and consolidated statement of comprehensive income (loss). The reorganization will be accounted for as a reorganization of entities under common control.</w:t>
      </w:r>
    </w:p>
    <w:p>
      <w:pPr>
        <w:spacing w:after="0" w:line="192"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summary consolidated statements of comprehensive income (loss) data and statements of cash flows data presented below for the years ended December 31, 2024, 2023 and 2022 and the summary consolidated balance sheet data presented below as of December 31, 2024 and 2023 have been derived from the consolidated financial statements of Medline Holdings included elsewhere in this prospectus.</w:t>
      </w:r>
    </w:p>
    <w:p>
      <w:pPr>
        <w:spacing w:after="0" w:line="176" w:lineRule="exact"/>
        <w:rPr>
          <w:sz w:val="20"/>
          <w:szCs w:val="20"/>
          <w:color w:val="auto"/>
        </w:rPr>
      </w:pPr>
    </w:p>
    <w:p>
      <w:pPr>
        <w:ind w:left="300" w:firstLine="426"/>
        <w:spacing w:after="0" w:line="312" w:lineRule="auto"/>
        <w:rPr>
          <w:sz w:val="20"/>
          <w:szCs w:val="20"/>
          <w:color w:val="auto"/>
        </w:rPr>
      </w:pPr>
      <w:r>
        <w:rPr>
          <w:rFonts w:ascii="Times New Roman" w:cs="Times New Roman" w:eastAsia="Times New Roman" w:hAnsi="Times New Roman"/>
          <w:sz w:val="17"/>
          <w:szCs w:val="17"/>
          <w:color w:val="auto"/>
        </w:rPr>
        <w:t>The summary historical consolidated financial and other data of Medline Inc. has not been presented because Medline Inc. is a newly incorporated entity, has had no business transactions or activities to date, and had no assets or liabilities during the periods presented in this section.</w:t>
      </w:r>
    </w:p>
    <w:p>
      <w:pPr>
        <w:spacing w:after="0" w:line="14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Historical results are not necessarily indicative of the results expected for any future period. You should read the summary historical consolidated financial data below, together with the consolidated financial statements and related notes thereto included elsewhere in this prospectus, as well as “Organizational Structure,” “Unaudited Pro Forma Consolidated Financial Information,” “Management’s Discussion and Analysis of Financial Condition and Results of Operations,” “Description of Certain Indebtedness” and the other information included elsewhere in this prospectus.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320" w:top="455" w:right="6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56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95"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summary unaudited pro forma consolidated financial data of Medline Inc. presented below has been derived from our unaudited pro forma consolidated financial information included elsewhere in this prospectus. The summary unaudited pro forma consolidated statements of comprehensive income (loss) data for the year ended December 31, 2024 gives effect to the Reorganization Transactions and the Offering Transactions (each as defined under “Organizational Structure”) as if they had occurred on January 1, 2024. The summary unaudited pro forma consolidated balance sheet data as of December 31, 2024 gives effect to the transactions described under “Unaudited Pro Forma Consolidated Financial Information,” including the sale by us of        shares of Class A common stock in this offering at an assumed initial public offering price of $        per share (the midpoint of the range set forth on the cover page of this prospectus) and the application of the proceeds therefrom as described in “Use of Proceeds” as if they had occurred on December 31, 2024. The following summary unaudited consolidated pro forma financial information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Consolidated Financial Information.”</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4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2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60" w:type="dxa"/>
            <w:vAlign w:val="bottom"/>
          </w:tcPr>
          <w:p>
            <w:pPr>
              <w:spacing w:after="0"/>
              <w:rPr>
                <w:sz w:val="10"/>
                <w:szCs w:val="10"/>
                <w:color w:val="auto"/>
              </w:rPr>
            </w:pPr>
          </w:p>
        </w:tc>
        <w:tc>
          <w:tcPr>
            <w:tcW w:w="120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0"/>
                <w:szCs w:val="10"/>
                <w:color w:val="auto"/>
              </w:rPr>
            </w:pP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 other than per share data)</w:t>
            </w:r>
          </w:p>
        </w:tc>
        <w:tc>
          <w:tcPr>
            <w:tcW w:w="7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1620" w:type="dxa"/>
            <w:vAlign w:val="bottom"/>
            <w:gridSpan w:val="2"/>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8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Summary Statements of Comprehensive Income (Loss):</w:t>
            </w:r>
          </w:p>
        </w:tc>
        <w:tc>
          <w:tcPr>
            <w:tcW w:w="7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23,231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17,346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16,231</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Income (Loss) Per Share:</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spacing w:after="0"/>
        <w:rPr>
          <w:sz w:val="20"/>
          <w:szCs w:val="20"/>
          <w:color w:val="auto"/>
        </w:rPr>
      </w:pPr>
      <w:r>
        <w:rPr>
          <w:rFonts w:ascii="Times New Roman" w:cs="Times New Roman" w:eastAsia="Times New Roman" w:hAnsi="Times New Roman"/>
          <w:sz w:val="18"/>
          <w:szCs w:val="18"/>
          <w:color w:val="auto"/>
        </w:rPr>
        <w:t>Pro forma weighted-average shares used to compute net income per share:</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Diluted</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70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gridSpan w:val="11"/>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6"/>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6"/>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3"/>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lef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Summary Balance Sheet Data:</w:t>
            </w: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36,122</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19,145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mezzanine equity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partners’ capital / shareholders’ equity</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16,744</w:t>
            </w:r>
          </w:p>
        </w:tc>
        <w:tc>
          <w:tcPr>
            <w:tcW w:w="0" w:type="dxa"/>
            <w:vAlign w:val="bottom"/>
          </w:tcPr>
          <w:p>
            <w:pPr>
              <w:spacing w:after="0"/>
              <w:rPr>
                <w:sz w:val="1"/>
                <w:szCs w:val="1"/>
                <w:color w:val="auto"/>
              </w:rPr>
            </w:pPr>
          </w:p>
        </w:tc>
      </w:tr>
      <w:tr>
        <w:trPr>
          <w:trHeight w:val="373"/>
        </w:trPr>
        <w:tc>
          <w:tcPr>
            <w:tcW w:w="5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5"/>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7"/>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6"/>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7"/>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6"/>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8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Summary Statements of Cash Flows Data:</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700" w:type="dxa"/>
            <w:vAlign w:val="bottom"/>
            <w:gridSpan w:val="3"/>
          </w:tcPr>
          <w:p>
            <w:pPr>
              <w:jc w:val="right"/>
              <w:ind w:right="488"/>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73"/>
        </w:trPr>
        <w:tc>
          <w:tcPr>
            <w:tcW w:w="5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7"/>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20" w:type="dxa"/>
            <w:vAlign w:val="bottom"/>
            <w:gridSpan w:val="8"/>
          </w:tcPr>
          <w:p>
            <w:pPr>
              <w:jc w:val="center"/>
              <w:ind w:right="468"/>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0" w:type="dxa"/>
            <w:vAlign w:val="bottom"/>
          </w:tcPr>
          <w:p>
            <w:pPr>
              <w:spacing w:after="0"/>
              <w:rPr>
                <w:sz w:val="10"/>
                <w:szCs w:val="10"/>
                <w:color w:val="auto"/>
              </w:rPr>
            </w:pPr>
          </w:p>
        </w:tc>
        <w:tc>
          <w:tcPr>
            <w:tcW w:w="1440" w:type="dxa"/>
            <w:vAlign w:val="bottom"/>
            <w:gridSpan w:val="7"/>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0"/>
                <w:szCs w:val="10"/>
                <w:color w:val="auto"/>
              </w:rPr>
            </w:pPr>
          </w:p>
        </w:tc>
        <w:tc>
          <w:tcPr>
            <w:tcW w:w="84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 except percentages)</w:t>
            </w:r>
          </w:p>
        </w:tc>
        <w:tc>
          <w:tcPr>
            <w:tcW w:w="1040" w:type="dxa"/>
            <w:vAlign w:val="bottom"/>
          </w:tcPr>
          <w:p>
            <w:pPr>
              <w:spacing w:after="0"/>
              <w:rPr>
                <w:sz w:val="12"/>
                <w:szCs w:val="12"/>
                <w:color w:val="auto"/>
              </w:rPr>
            </w:pPr>
          </w:p>
        </w:tc>
        <w:tc>
          <w:tcPr>
            <w:tcW w:w="1420" w:type="dxa"/>
            <w:vAlign w:val="bottom"/>
            <w:gridSpan w:val="8"/>
          </w:tcPr>
          <w:p>
            <w:pPr>
              <w:jc w:val="center"/>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144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80" w:type="dxa"/>
            <w:vAlign w:val="bottom"/>
            <w:vMerge w:val="continue"/>
          </w:tcPr>
          <w:p>
            <w:pPr>
              <w:spacing w:after="0"/>
              <w:rPr>
                <w:sz w:val="15"/>
                <w:szCs w:val="15"/>
                <w:color w:val="auto"/>
              </w:rPr>
            </w:pPr>
          </w:p>
        </w:tc>
        <w:tc>
          <w:tcPr>
            <w:tcW w:w="1760" w:type="dxa"/>
            <w:vAlign w:val="bottom"/>
            <w:gridSpan w:val="6"/>
          </w:tcPr>
          <w:p>
            <w:pPr>
              <w:jc w:val="center"/>
              <w:ind w:left="1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5"/>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5"/>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Financial Data:</w:t>
            </w: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Medline Brand segment net sales</w:t>
            </w:r>
          </w:p>
        </w:tc>
        <w:tc>
          <w:tcPr>
            <w:tcW w:w="14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Medline Brand segment adjusted EBITDA</w:t>
            </w:r>
            <w:r>
              <w:rPr>
                <w:rFonts w:ascii="Times New Roman" w:cs="Times New Roman" w:eastAsia="Times New Roman" w:hAnsi="Times New Roman"/>
                <w:sz w:val="25"/>
                <w:szCs w:val="25"/>
                <w:color w:val="auto"/>
                <w:vertAlign w:val="superscript"/>
              </w:rPr>
              <w:t>(1)</w:t>
            </w:r>
          </w:p>
        </w:tc>
        <w:tc>
          <w:tcPr>
            <w:tcW w:w="12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Medline Brand segment adjusted EBITDA margin</w:t>
            </w:r>
            <w:r>
              <w:rPr>
                <w:rFonts w:ascii="Times New Roman" w:cs="Times New Roman" w:eastAsia="Times New Roman" w:hAnsi="Times New Roman"/>
                <w:sz w:val="25"/>
                <w:szCs w:val="25"/>
                <w:color w:val="auto"/>
                <w:vertAlign w:val="superscript"/>
              </w:rPr>
              <w:t>(1)</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Solutions segment net sales</w:t>
            </w:r>
          </w:p>
        </w:tc>
        <w:tc>
          <w:tcPr>
            <w:tcW w:w="12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Supply Chain Solutions segment adjusted EBITDA</w:t>
            </w:r>
            <w:r>
              <w:rPr>
                <w:rFonts w:ascii="Times New Roman" w:cs="Times New Roman" w:eastAsia="Times New Roman" w:hAnsi="Times New Roman"/>
                <w:sz w:val="25"/>
                <w:szCs w:val="25"/>
                <w:color w:val="auto"/>
                <w:vertAlign w:val="superscript"/>
              </w:rPr>
              <w:t>(1)</w:t>
            </w:r>
          </w:p>
        </w:tc>
        <w:tc>
          <w:tcPr>
            <w:tcW w:w="12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Supply Chain Solutions segment adjusted EBITDA margin</w:t>
            </w:r>
            <w:r>
              <w:rPr>
                <w:rFonts w:ascii="Times New Roman" w:cs="Times New Roman" w:eastAsia="Times New Roman" w:hAnsi="Times New Roman"/>
                <w:sz w:val="25"/>
                <w:szCs w:val="25"/>
                <w:color w:val="auto"/>
                <w:vertAlign w:val="superscript"/>
              </w:rPr>
              <w:t>(1)</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(2)</w:t>
            </w:r>
          </w:p>
        </w:tc>
        <w:tc>
          <w:tcPr>
            <w:tcW w:w="12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35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(2)</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0" w:right="160" w:hanging="422"/>
        <w:spacing w:after="0" w:line="25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18, “Segment Information” of our audited consolidated financial statements, included elsewhere in this prospectus. Segment adjusted EBITDA margin is segment adjusted EBITDA divided by segment net sales.</w:t>
      </w:r>
    </w:p>
    <w:p>
      <w:pPr>
        <w:spacing w:after="0" w:line="2" w:lineRule="exact"/>
        <w:rPr>
          <w:rFonts w:ascii="Times New Roman" w:cs="Times New Roman" w:eastAsia="Times New Roman" w:hAnsi="Times New Roman"/>
          <w:sz w:val="18"/>
          <w:szCs w:val="18"/>
          <w:color w:val="auto"/>
        </w:rPr>
      </w:pPr>
    </w:p>
    <w:p>
      <w:pPr>
        <w:ind w:left="720" w:right="120" w:hanging="422"/>
        <w:spacing w:after="0" w:line="26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73" w:lineRule="exact"/>
        <w:rPr>
          <w:rFonts w:ascii="Times New Roman" w:cs="Times New Roman" w:eastAsia="Times New Roman" w:hAnsi="Times New Roman"/>
          <w:sz w:val="18"/>
          <w:szCs w:val="18"/>
          <w:color w:val="auto"/>
        </w:rPr>
      </w:pPr>
    </w:p>
    <w:p>
      <w:pPr>
        <w:ind w:left="720" w:right="2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w:t>
      </w:r>
    </w:p>
    <w:p>
      <w:pPr>
        <w:spacing w:after="0" w:line="2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2978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Adjusted EBITDA Margin are supplemental measures that are not required by or presented in accordance with GAAP.</w:t>
      </w:r>
    </w:p>
    <w:p>
      <w:pPr>
        <w:spacing w:after="0" w:line="117" w:lineRule="exact"/>
        <w:rPr>
          <w:sz w:val="20"/>
          <w:szCs w:val="20"/>
          <w:color w:val="auto"/>
        </w:rPr>
      </w:pPr>
    </w:p>
    <w:p>
      <w:pPr>
        <w:ind w:left="720"/>
        <w:spacing w:after="0" w:line="253" w:lineRule="auto"/>
        <w:rPr>
          <w:sz w:val="20"/>
          <w:szCs w:val="20"/>
          <w:color w:val="auto"/>
        </w:rPr>
      </w:pPr>
      <w:r>
        <w:rPr>
          <w:rFonts w:ascii="Times New Roman" w:cs="Times New Roman" w:eastAsia="Times New Roman" w:hAnsi="Times New Roman"/>
          <w:sz w:val="18"/>
          <w:szCs w:val="18"/>
          <w:color w:val="auto"/>
        </w:rPr>
        <w:t>We evaluate our operating performance using Adjusted EBITDA and Adjusted EBITDA Margin. We define Adjusted EBITDA as net income (loss) before (i) interest expense, net, (ii) provision for income taxes, (iii) depreciation and amortization, and (iv) other adjustments to eliminate the impact of certain items that we do not consider indicative of our ongoing operating performance, including inventory-related adjustments, stock-based compensation and change of control expense, acquisition and integration-related adjustments, litigation charges, net, and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 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84" w:lineRule="exact"/>
        <w:rPr>
          <w:sz w:val="20"/>
          <w:szCs w:val="20"/>
          <w:color w:val="auto"/>
        </w:rPr>
      </w:pPr>
    </w:p>
    <w:p>
      <w:pPr>
        <w:ind w:left="720" w:right="20"/>
        <w:spacing w:after="0" w:line="255" w:lineRule="auto"/>
        <w:rPr>
          <w:sz w:val="20"/>
          <w:szCs w:val="20"/>
          <w:color w:val="auto"/>
        </w:rPr>
      </w:pPr>
      <w:r>
        <w:rPr>
          <w:rFonts w:ascii="Times New Roman" w:cs="Times New Roman" w:eastAsia="Times New Roman" w:hAnsi="Times New Roman"/>
          <w:sz w:val="18"/>
          <w:szCs w:val="18"/>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0361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(loss), the most comparable GAAP financial measure, to Adjusted EBITDA and Adjusted EBITDA Margin for the periods indicated.</w:t>
      </w:r>
    </w:p>
    <w:p>
      <w:pPr>
        <w:spacing w:after="0" w:line="182"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940"/>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86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80" w:type="dxa"/>
            <w:vAlign w:val="bottom"/>
            <w:gridSpan w:val="3"/>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 except percentages)</w:t>
            </w:r>
          </w:p>
        </w:tc>
        <w:tc>
          <w:tcPr>
            <w:tcW w:w="8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4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tax</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951</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Inventory-related adjustments</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Stock-based compensation and change of control expense</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Litigation charges, net</w:t>
            </w:r>
            <w:r>
              <w:rPr>
                <w:rFonts w:ascii="Times New Roman" w:cs="Times New Roman" w:eastAsia="Times New Roman" w:hAnsi="Times New Roman"/>
                <w:sz w:val="25"/>
                <w:szCs w:val="25"/>
                <w:color w:val="auto"/>
                <w:vertAlign w:val="superscript"/>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non-core (gains) charges</w:t>
            </w:r>
            <w:r>
              <w:rPr>
                <w:rFonts w:ascii="Times New Roman" w:cs="Times New Roman" w:eastAsia="Times New Roman" w:hAnsi="Times New Roman"/>
                <w:sz w:val="25"/>
                <w:szCs w:val="25"/>
                <w:color w:val="auto"/>
                <w:vertAlign w:val="superscript"/>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2,768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0"/>
              <w:spacing w:after="0" w:line="250" w:lineRule="exact"/>
              <w:rPr>
                <w:sz w:val="20"/>
                <w:szCs w:val="20"/>
                <w:color w:val="auto"/>
              </w:rPr>
            </w:pPr>
            <w:r>
              <w:rPr>
                <w:rFonts w:ascii="Times New Roman" w:cs="Times New Roman" w:eastAsia="Times New Roman" w:hAnsi="Times New Roman"/>
                <w:sz w:val="18"/>
                <w:szCs w:val="18"/>
                <w:color w:val="auto"/>
              </w:rPr>
              <w:t>Net income (loss) margin</w:t>
            </w:r>
            <w:r>
              <w:rPr>
                <w:rFonts w:ascii="Times New Roman" w:cs="Times New Roman" w:eastAsia="Times New Roman" w:hAnsi="Times New Roman"/>
                <w:sz w:val="26"/>
                <w:szCs w:val="26"/>
                <w:color w:val="auto"/>
                <w:vertAlign w:val="superscript"/>
              </w:rPr>
              <w:t>(6)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4"/>
                <w:szCs w:val="24"/>
                <w:color w:val="auto"/>
                <w:vertAlign w:val="superscript"/>
              </w:rPr>
              <w:t>(6)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right="100" w:hanging="419"/>
        <w:spacing w:after="0" w:line="257" w:lineRule="auto"/>
        <w:tabs>
          <w:tab w:leader="none" w:pos="700" w:val="left"/>
        </w:tabs>
        <w:rPr>
          <w:sz w:val="20"/>
          <w:szCs w:val="20"/>
          <w:color w:val="auto"/>
        </w:rPr>
      </w:pPr>
      <w:r>
        <w:rPr>
          <w:rFonts w:ascii="Times New Roman" w:cs="Times New Roman" w:eastAsia="Times New Roman" w:hAnsi="Times New Roman"/>
          <w:sz w:val="18"/>
          <w:szCs w:val="18"/>
          <w:color w:val="auto"/>
        </w:rPr>
        <w:t>(1)</w:t>
        <w:tab/>
        <w:t>Includes $        million, $607 million and $607 million of amortization of intangibles for the years ended December 31, 2024, 2023 and 2022, respectively, and $        million, $77 million and $78 million of depreciation associated with acquisitions for the years ended December 31, 2024, 2023 and 2022, respectively.</w:t>
      </w:r>
    </w:p>
    <w:p>
      <w:pPr>
        <w:spacing w:after="0" w:line="1" w:lineRule="exact"/>
        <w:rPr>
          <w:sz w:val="20"/>
          <w:szCs w:val="20"/>
          <w:color w:val="auto"/>
        </w:rPr>
      </w:pPr>
    </w:p>
    <w:p>
      <w:pPr>
        <w:ind w:left="720" w:right="12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adjustments associated with non-cash last-in, first-out reserves, which removes the entire impact of last-in, first-out (“LIFO”), and effectively reflects the results as if we were on a first-in, first-out (“FIFO”) inventory basis, and amortization of the inventory step-up resulting from acquisitions.</w:t>
      </w:r>
    </w:p>
    <w:p>
      <w:pPr>
        <w:spacing w:after="0" w:line="1" w:lineRule="exact"/>
        <w:rPr>
          <w:rFonts w:ascii="Times New Roman" w:cs="Times New Roman" w:eastAsia="Times New Roman" w:hAnsi="Times New Roman"/>
          <w:sz w:val="18"/>
          <w:szCs w:val="18"/>
          <w:color w:val="auto"/>
        </w:rPr>
      </w:pPr>
    </w:p>
    <w:p>
      <w:pPr>
        <w:ind w:left="720" w:right="20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change of control expenses related to the Sponsor Acquisition of $217 million and $272 million for the years ended December 31, 2023 and 2022, respectively.</w:t>
      </w:r>
    </w:p>
    <w:p>
      <w:pPr>
        <w:ind w:left="720" w:right="34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 charges of $163 million for the year ended December 31, 2023, related to the ethylene oxide (“EtO”) litigation and other one-time legal costs, net of insurance recoveries.</w:t>
      </w:r>
    </w:p>
    <w:p>
      <w:pPr>
        <w:ind w:left="72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other non-core (gains) charges, such as a gain due to a change in valuation estimate related to an acquisition, a loss on disposals of assets and exits, realized and unrealized foreign currency and investment losses, and other items.</w:t>
      </w:r>
    </w:p>
    <w:p>
      <w:pPr>
        <w:ind w:left="720" w:right="420" w:hanging="422"/>
        <w:spacing w:after="0" w:line="26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margin represents net income (loss) divided by net sales and Adjusted EBITDA Margin represents Adjusted EBITDA divided by net sales.</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and the other information set forth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are subject to inherent risks that could materially adversely affect our business, results of operations, and financial condition.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global operations are subject to risks that may materially adversely affect our business, results of operations, and financial condition. We import a significant percentage of our Medline Brand products from outside of the United States, including        % of our costs of goods sold from China for the year ended December 31, 2024. As a result of our global operations, we may experience, among other things:</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relating to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inherent in sourcing products, establishing channels of distribution, and contract manufacturing in foreign markets;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ending foreign distribution relationships where the distributor exclusively or predominantly markets and sells Medline Brand products;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related to transparency regarding extended international supply chains and labor risk based on sourcing footprint, including compliance with labor and human rights laws, that might arise despite reasonable efforts to mitigate this risk;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trade agreements and international trade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difficulty of collecting receivables in foreign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repatriating cash from our foreign operations to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requirements including, without limitation, compliance with the U.S. Foreign Corrupt Practices Act (the “FCPA”); UK bribery laws and similar anti-bribery, anti-corruption, and economic sanctions laws and regulations; laws pertaining to the accuracy of our internal books and records; and environmental, health, and safety laws and regulations;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 new or unanticipated litigation developments, and the status of litigation matters;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difficulties in importing or exporting our products and trade laws, import/export tariffs, quotas, sanctions, or penalties, custom duties and other trade restrictions;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under local laws to protect our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regulatory, legal, economic, and political changes in foreign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regulations that impact our operations, including purchases of capital equipment;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tax, governmental, or other regulatory investigations, enforcements, and penalties, which may lead to informational requests and audits;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disturbances, geopolitical turmoil, including terrorism, war, or political or military coups (including, without limitation, the ongoing wars in Ukraine and the Middle East);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including physical risks such as impacts from extreme weather events and other potential physical consequences;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legal, and regulatory impacts, including but not limited to those that affect the import of goods or require supply chain transparency and impacts as a result of the 2024 U.S. presidential election;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stakeholder expectations and reputational risk;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emergencies, such as the COVID-19 pandemic.</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See also “—Uncertain global and domestic macro-economic and political conditions could materially adversely affect our business, results of operations, and financial condition.”</w:t>
      </w:r>
    </w:p>
    <w:p>
      <w:pPr>
        <w:spacing w:after="0" w:line="26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derive fully the anticipated benefits from our existing or future acquisitions, joint ventures, investments, dispositions, or other strategic transactions.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Acquisitions, joint ventures, investments, dispositions, and other strategic transactions are an important part of our strategy to expand and enhance our products, services, and customer base and to enter new geographic areas. We are regularly in negotiations for potential acquisitions, joint ventures, investments, dispositions, and other strategic transactions.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we continue pursuing selective acquisitions, strategic investments, partnerships, or alliances with third parties to support our business and growth strategy, we may not be able to identify suitable acquisition, strategic investment, partnership, or alliance candidates on favorable terms, if at all. We may use a combination of additional debt, securities issuances, revolver borrowings, and/or cash on hand to finance such transactions.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decide from time to time to dispose of assets or businesses. We may encounter difficulty finding buyers or alternative exit strategies, fail to obtain necessary regulatory approval, or incur higher costs or charges than planned or unexpected charges. Future dispositions or divestitures may not occur within the anticipated timeframe or at all. Completed divestitures may also result in continued financial involvement in the divested business, such as through transition services arrangements, guarantees, indemnifications, or other financial arrangements, following the transaction.</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These transactions may involve challenges and risks. For example, acquisitions, strategic investments, partnerships, or alliances with third parties are subject to various antitrust, unfair trade practices, and/or consumer protection laws. More stringent interpretation of these existing laws or regulations, as well as future laws or regulations, could negatively impact our growth prospects. The process of exploring strategic transactions or selling a business could also negatively impact customer decision-making and cause uncertainty and negatively impact our ability to attract, retain, and motivate key employees. Any failures or delays in completing strategic transactions, dispositions, or divestitures could have an adverse effect on our business, financial condition, and results of operations, and on our ability to execute our strategy. In addition, we expend costs and management resources to pursue and complete strategic transactions and divestitures and manage post-closing arrangements. If a transaction does occur, we may not be able to realize any value created by the transaction.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healthcare industry could have an adverse effect on our business, results of operations, and financial condition.</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Many healthcare industry companies, including healthcare systems, distributors, manufacturers, suppliers, providers, and insurers, are consolidating or have formed strategic alliances. We expect that market demand,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government regulation, third-party coverage and reimbursement policies, and societal pressures will continue to change the healthcare industry worldwide, resulting in further business consolidations and alliances among our customers. As the healthcare industry consolidates, competition to provide goods and services to industry participants will become more intense. Additionally, our existing customers, including our Prime Vendor customers, may consolidate with industry participants that do not use our services or purchase our products, resulting in the loss of customer relationships. Further, this consolidation creates larger enterprises with greater negotiating power, which they can use to negotiate price concessions. If we must reduce our prices because of industry consolidation, or if we lose customers as a result of their consolidation with other industry participants, our business, results of operations, and financial condition could be materially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with accelerating pricing pressure and changes in technology.</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med-surg industry is highly competitive and characterized by pricing and margin pressure for our business. We compete with other medical product manufacturers and distributors, as well as customer self-distribution models and outsourced logistics companies. We compete on a range of factors, including market pricing, negotiating with provider networks and Group Purchasing Organizations (“GPOs”), total delivered product cost, product availability, the ability to fill and invoice orders accurately, delivery time, range of services provided, efficient product sourcing, inventory management, information technology, electronic commerce capabilities, and the ability to meet customer-specific requirements and preferences. In certain channels, competitors may have other products and services that are, or are perceived to be, superior to our own. Furthermore, the increasing leverage of organized buying groups may reduce market prices for our products, thereby reducing our revenue and margins. The cost of our efforts to manage these competitive pressures, or our inability to compete effectively with respect to them, could have a material adverse effect on our business, results of operations, and financial condition.</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Traditional distribution relationships are being challenged by online commerce solutions. Such competition requires us to adapt to changing technology, continue to provide enhanced service offerings, and continue to develop ways to differentiate our business to address demands of consumers and customers on a timely basis, which may require us to incur significant costs. Additionally, when we sell products through large online commerce solutions, such as Amazon, we forfeit our ability to establish pricing or differentiate in placement among competitor products and are required to pay a portion of the sale to the online commerce solution. The emergence of such competition and our inability to anticipate and effectively respond to changes on a timely basis could have a material adverse effect on our business.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inability to anticipate or adapt to major changes in available technology, benefit or coverage policies related to those changes, or the preferences of customers may cause our current product offerings to become less competitive or obsolete or require significant strategic changes. This, in turn, could cause us to incur increased capital expenditures and could have a material adverse effect on our business, results of operations, financial condition, and cash flows.</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Furthermore, our ability to compete effectively is increasingly dependent on access to and interpretation of data. Data quality impacts customer ordering, order fulfillment, and higher order processing. If we fail to effectively implement and maintain data governance structures across our businesses or to effectively interpret and utilize such data, our operations could be impacted and we may be at a competitive disadvantage.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the U.S. and global healthcare environments may not be favorable to us.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U.S. healthcare industry is subject to continued changes in public policy, laws, and regulations, including changes governing healthcare services, healthcare coverage, mandated benefits, efforts to promote increased transparency in the supply chain, further reduction of, or limitations on, governmental funding at the state or federal level, or efforts by healthcare insurance companies to further limit payments for products and services. The industry has undergone, and, as a result of the recent presidential and congressional elections, is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expected to further undergo significant changes. In the past, these changes have included a general decline in Medicare and Medicaid reimbursement levels, efforts by healthcare insurance companies to limit or reduce payments to pharmacies and providers, the basis for payments beginning to transition from a fee-for-service model to value-based payments and risk-sharing models, and the industry shifting away from traditional healthcare venues like hospitals and into clinics, physician offices, and patients’ homes. The impact of future legislative proposals and executive orders that may bring significant changes to the healthcare industry, including as a result of the recent U.S. elections, is uncertain. These possible changes, and the uncertainty surrounding them, may limit our negotiating power, the prices we are able to charge for our products, the amounts of reimbursement for our products, or our ability to develop new products, which could have a material adverse effect on our business, results of operations, and financial condition.</w:t>
      </w:r>
    </w:p>
    <w:p>
      <w:pPr>
        <w:spacing w:after="0" w:line="17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healthcare industry outside the United States is also subject to continuous and significant changes, including changes, actions, and proposals by governments, regulators, and third-party payers to control healthcare costs and, more generally, to reform healthcare systems. Certain of these actions and proposals could, among other things, limit the prices we are able to charge for our products or the amounts of reimbursement available for our products and could limit the acceptance and availability of our products in a variety of international markets. These actions and proposals could have an adverse effect on our business, results of operations, and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Increases in shipping costs or service issues with our third-party shippers could harm our business.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ability to meet our customers’ expedited delivery expectations is an integral component of our business strategy on which our customers rely. Shipping is a significant expense in the operation of our business, and we bear the cost of the majority of our freight expense. Global capacity challenges, port congestion, and equipment displacement continue to create upward pressure on import costs. Accordingly, any significant increase in shipping rates and times could have a material adverse effect on our business, results of operations, and financial condition. For example, in 2022, we experienced increases in freight expenses, which negatively impacted our results of operations. Higher freight expenses may continue to negatively affect our results of operations in the future. Further, the conflicts in the Middle East, such as the Israel-Hamas war, Ukraine, and other regions have brought, and could further bring about, disruption, instability, and volatility in global markets, supply chains, and logistics operations, including the current shipping disruptions and related shipping cost increases in the Red Sea and surrounding waterways, which could in turn adversely affect our business operations and financial performance. Similarly, strikes or other service interruptions affecting our third-party shippers, including at transportation centers or shipping ports, could cause our operating expenses to rise and materially adversely affect our ability to obtain materials and deliver products on a timely basis.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challenges or delays in our sourcing of new products and technologies could have an adverse impact on our long-term success.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continued growth and success depends on our ability to source new and differentiated products and services that address the evolving healthcare needs of patients, providers, and consumers. Sourcing successful products and technologies is also necessary to offset revenue losses when our existing products lose sales due to various factors such as competition and loss of patent exclusivity. New products or enhancements to existing products may not be accepted quickly or significantly in the marketplace due to product and price competition, changes in customer preferences or healthcare purchasing patterns, resistance by healthcare providers, or uncertainty over third-party reimbursement. We cannot be certain when or whether we will be able to source, license, or otherwise acquire products and technologies; whether potential products will be granted regulatory clearance, authorization, or certification; and, if cleared, authorized, or certified, how long the clearance, authorization, or certification of a product might take to complete or whether such products will be commercially successful.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concentration in and dependence on certain healthcare provider customers and GPOs.</w:t>
      </w:r>
    </w:p>
    <w:p>
      <w:pPr>
        <w:spacing w:after="0" w:line="121" w:lineRule="exact"/>
        <w:rPr>
          <w:sz w:val="20"/>
          <w:szCs w:val="20"/>
          <w:color w:val="auto"/>
        </w:rPr>
      </w:pPr>
    </w:p>
    <w:p>
      <w:pPr>
        <w:ind w:left="120" w:right="180" w:firstLine="440"/>
        <w:spacing w:after="0" w:line="273" w:lineRule="auto"/>
        <w:rPr>
          <w:sz w:val="20"/>
          <w:szCs w:val="20"/>
          <w:color w:val="auto"/>
        </w:rPr>
      </w:pPr>
      <w:r>
        <w:rPr>
          <w:rFonts w:ascii="Times New Roman" w:cs="Times New Roman" w:eastAsia="Times New Roman" w:hAnsi="Times New Roman"/>
          <w:sz w:val="17"/>
          <w:szCs w:val="17"/>
          <w:color w:val="auto"/>
        </w:rPr>
        <w:t>For the year ended December 31, 2024, our top five U.S. customers represented approximately $        billion (or   %) of our net sales. In addition, for the year ended December 31, 2024, approximately $        billion (or   %) of our net sales was from sales to member hospitals under contract with our largest GPOs: Vizient Supply, LLC, Premier Healthcare Alliance, L.P., and HealthTrust Purchasing Group, L.P. As of December 31, 2024, over   % of our sales go through GPOs in the United States. We could lose a significant healthcare provider customer if an existing contract expires without being replaced or is terminated by the customer prior to its expiration. Although the termination of our relationship with a given GPO would not necessarily result in the loss of the member hospitals as customers, any such termination of a GPO relationship, or a significant individual healthcare provider customer relationship, could have a material adverse effect on our business, results of operations, and financial condition.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develop, and retain key employees.</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Our sales, technical, and other key personnel play an integral role in the development, marketing, and selling of new and existing products. Our ability to attract, engage, develop, and retain qualified and experienced employees, including key executives and other talent, is essential for us to meet our strategic business objectives. We compete with many other businesses to attract and retain employees. Competition among potential employers might result in increased salaries, benefits, or other employee-related costs. Additionally, we have observed an overall tightening and increasingly competitive labor market due to labor shortages caused in part by the COVID-19 pandemic and responsive measures, inflationary pressures and other macroeconomic factors including increased wages offered by other employers, and voluntary attrition of our employees and the employees of our third-party suppliers, manufacturers, distributors, and customers. If we are unable to maintain competitive and equitable compensation and benefit programs and practices that meet the expectations of our employees, including incentive programs that reward financial and operational performance, remote and hybrid work practices, flexible and alternative work arrangements, and corporate responsibility practices, our ability to recruit, hire, engage, motivate, and retain talent could be negatively affected. Furthermore, we may be unable to maintain an inclusive culture that aligns our diverse work force with our mission and values, or we may suffer negative perception of our belonging initiatives due to our perceived over or under pursuit of such initiatives. We have experienced and could continue to experience further or increased attempts to unionize portions of our workforce. Finally, any of these risks could increase our labor costs, harm our culture, decrease employee engagement, create legal costs, or damage our reputation, all of which could negatively impact our ability to attract, hire, develop, and retain a talented, competitive, and highly skilled workforce and have a material adverse effect on our business, results of operations, and financial condition.</w:t>
      </w:r>
    </w:p>
    <w:p>
      <w:pPr>
        <w:spacing w:after="0" w:line="19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also experience sudden loss of key personnel due to a variety of causes, such as illness or the competitive factors above. Our ability to effectively succession plan, and to execute such plans, is also important to our long-term success. In addition, recent legal and regulatory changes affect our ability to enforce post-termination obligations from certain employees with respect to non-competition, non-solicitation, and protection of confidential information, which may negatively impact our ability to retain employees and protect our information and relationships with customers and other third parties.</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depend on the proper functioning of our critical facilities and distribution networks and could be negatively impacted by events outside our control.</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business depends on the proper functioning of our business processes and critical facilities and our logistics and distribution networks as well as those of our third-party suppliers. We have a differentiated network of 27 manufacturing facilities, 68 global distribution facilities, and a fleet of more than 2,000 MedTrans trucks. Disruptions impacting our critical facilities or our logistics and distribution networks, including those caused by infrastructure, information, and equipment malfunction; failure to follow specific protocols and procedures; facility shut-downs; recalls or quality problems; regulatory enforcement actions; increased shipping times;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defective raw materials; labor shortages; tariffs or other import or export restrictions; natural disasters such as hurricanes, tornadoes, earthquakes, or wildfires; property damage, including from riots and other environmental factors; the impact of epidemics, pandemics, or other public health crises, and actions by businesses, communities, and governments in response could adversely affect our business, results of operations, and financial condition and damage to our reputation. We also incur costs to remediate these disruptions, and it is possible that these costs could be significant.</w:t>
      </w:r>
    </w:p>
    <w:p>
      <w:pPr>
        <w:spacing w:after="0" w:line="2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recognize impairment charges related to goodwill, identified intangible assets, and fixed assets that would reduce our reported assets and earnings.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Goodwill and other identifiable intangible assets comprise a substantial portion of our total assets. There is significant judgment required in the analysis of a potential impairment of goodwill, identified intangible assets and fixed assets. If, as a result of a general economic slowdown, deterioration in one or more of the markets in which we operate or impairment in our financial performance and/or future outlook, the estimated fair value of our long-lived assets decreases, we may determine that one or more of our long-lived assets is impaired. Recognition of an impairment would reduce our reported assets and earnings, and any such impairment charge could have a material adverse effect on our business, results of operations,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from the entry into new or amended contracts, planned cost savings, and business improvement initiatives.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often enter into new or expanded contracts with customers. Although we may expect to realize substantial benefits from such contracts, we may not be successful with this strategy, or we may not realize all of the benefits we expect from such contracts. Additionally, our cost savings and business improvement initiatives could result in unexpected charges and expenses that negatively impact our financial results, and we could fail to achieve the desired efficiencies and estimated cost savings. If we are not able to effectively implement these initiatives, including outsourcing or similar third-party relationships, or if they fail to operate as intended, our financial results could be adversely affected. These types of initiatives could also yield unintended consequences such as distraction of management and employees, business disruption, and an inability to attract or retain key personnel, which could negatively affect our business or financial condition and results of operations.</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impact on patients and healthcare providers and the serious and potentially costly consequences of product failure. Our business exposes us to potential product liability risks that are inherent in the design, manufacture, and marketing of med-surg products. Component failures, manufacturing nonconformances, design defects, quality problems, off-label use, regulatory noncompliance, or inadequate disclosure of product-related risks or product-related information with respect to our products, whether manufactured by Medline or our third-party manufacturers, have occurred and may occur in the future and have resulted in and may result in product recalls. Such issues, if they were to occur in the future, may result in adverse reactions, an unsafe condition, or personal injury or death. Such issues may lead to a recall of, or the issuance of a safety alert relating to, such products, and could also result in product liability claims and lawsuits, including class actions.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Strong product quality is critical to the success of our goods and services. If we or our third-party manufacturers fall short of these standards and our products are the subject of recalls or safety alerts, our reputation could be damaged, we could lose customers, and our revenue and results of operations could decline. Reputational value is based in large part on perceptions of subjective qualities, including the perception of our employees. Even an isolated incident, or the aggregate effect of individually insignificant incidents, can erode trust and confidence, particularly if they result in adverse publicity, governmental investigations, or litigation,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and as a result, could tarnish our brand and lead to adverse effects on our business, financial condition, and results of operations. In certain situations, we may undertake a voluntary recall or market withdrawal of products or temporarily shut down production lines based on performance relative to our own internal safety and quality monitoring and testing data or based on data from governmental or regulatory authorities or our third-party manufacturers.</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such problems, including quality issues at our third-party manufacturers, past and future product liability claims, recalls, market withdrawals, or safety alerts, regardless of their ultimate outcome, could harm our reputation and have a material adverse effect on our business, results of operations, and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establish and maintain Prime Vendor relationships may cause our revenue to decline.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ability to earn Prime Vendor agreements is an important revenue driver for us. Our active Prime Vendor agreements as of December 31, 2024 generated approximately   % ($        billion) of net sales for the year ended December 31, 2024. Certain of our Prime Vendor agreements provide for rights of termination for convenience. If we are unable to successfully establish new Prime Vendor agreements, maintain or expand our Prime Vendor relationships or if there is an actual or perceived decrease in the quality of service and care levels we provide to our Prime Vendor customers, our Prime Vendor relationships could be negatively impacted and revenues may decline.</w:t>
      </w:r>
    </w:p>
    <w:p>
      <w:pPr>
        <w:spacing w:after="0" w:line="28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increased pressure to maintain or decrease the price of our goods and services and we are unable to reduce our expenses, there may be a material adverse effect on our business, results of operations, and financial condition.</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have experienced, and may continue to experience, increased pressure to lower the prices for certain of our goods and services due to pricing pressure from managed care organizations and other third-party payers, increased market power of GPOs, IDNs and other customers, and increased competition among med-surg products and services providers. GPOs and IDNs negotiate pricing arrangements with medical product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GPO contract positions do not guarantee that any level of sales will be achieved, as members of the GPO are generally free to purchase from other suppliers, and any such purchases could result in a decline in our sales volumes and revenue. The formation of new provider networks and GPOs may shift purchasing decisions to entities or persons with whom we do not have a historical relationship. This may threaten our ability to compete effectively, which could in turn negatively impact our financial results. Although we may seek to obtain similar terms from manufacturers to obtain access to lower prices demanded by GPO contracts or other contracts, and to develop relationships with provider networks and new GPOs, we may not be able to secure such terms or execute such contracts. If we experience pressure to reduce the prices for our goods and services and we are unable to reduce our expenses, our business, results of operations, financial condition, and cash flows will be adversely affected.</w:t>
      </w:r>
    </w:p>
    <w:p>
      <w:pPr>
        <w:spacing w:after="0" w:line="301"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or loss of a third-party manufacturer or supplier or other manufacturing or supply-related impacts could result in delays and increased costs, which may adversely affect our business.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and supply certain raw materials, component parts, and finished goods. For example, we utilize a network of more than 500 global partners across 40 countries for the vast majority of the other two-thirds of our Medline Brand products that are not manufactured at our manufacturing facilities, and, through our Supply Chain Solutions segment, we offer med-surg products from over 1,250 third-party suppliers. We depend on these third-party manufacturers to allocate a portion of their manufacturing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120" w:right="20"/>
        <w:spacing w:after="0" w:line="289" w:lineRule="auto"/>
        <w:rPr>
          <w:sz w:val="20"/>
          <w:szCs w:val="20"/>
          <w:color w:val="auto"/>
        </w:rPr>
      </w:pPr>
      <w:r>
        <w:rPr>
          <w:rFonts w:ascii="Times New Roman" w:cs="Times New Roman" w:eastAsia="Times New Roman" w:hAnsi="Times New Roman"/>
          <w:sz w:val="17"/>
          <w:szCs w:val="17"/>
          <w:color w:val="auto"/>
        </w:rPr>
        <w:t>capacity sufficient to meet our needs, to produce products of acceptable quality and at acceptable manufacturing yields, and to deliver those products to us on a timely basis and at acceptable prices. However, if these third-party manufacturers are unable to meet our near-term or long-term manufacturing requirements, it could result in lost sales and have a material adverse effect on our business, results of operations, and financial condition.</w:t>
      </w:r>
    </w:p>
    <w:p>
      <w:pPr>
        <w:spacing w:after="0" w:line="15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reliance on third parties for regulatory compliance and quality assurance, potential third-party misappropriation of our intellectual property, our limited ability to manage our inventory provided by third parties, the possibility of breach of manufacturing agreements by third parties, and the possibility of termination or nonrenewal of manufacturing agreements by third parties at a time that is costly or inconvenient for us could, among other things, adversely affect our ability to deliver our products on a timely basis, cause us to incur potentially substantial increased costs, or expose us to additional regulatory risk or litigation. Moreover, if any of our third-party manufacturers suffer any damage to facilities, lose benefits under their material agreements, experience power outages, encounter financial difficulties, are unable to secure necessary raw materials from their suppliers or suffer any other reduction in efficiency, experience a force majeure, or fail to comply with regulatory requirements, we may experience significant business disruption. In the event of any such disruption, we would need to seek and source other qualified third-party manufacturers, likely resulting in further delays and increased costs, which could have a material adverse effect on our business, results of operations, and financial condition. In certain cases we may not be able to establish additional or replacement suppliers or third-party manufacturers in a timely or cost-effective manner, partly as a result of U.S. Food and Drug Administration (“FDA”) and other regulations that require, among other things, qualification and registration of replacement suppliers and third-party manufacturers, regulatory clearance, authorization, or certification of the products that will be manufactured, and validation of materials, components, and processes prior to their use in or with our products.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also manufacture certain of our own products and contract manufacture products for others, which requires the availability of labor and the timely delivery of a sufficient amount of quality components and materials from third-party suppliers. For reasons including quality assurance, cost effectiveness, and the highly exacting and complex nature of manufacturing certain of these products, certain components, raw materials, and services needed to manufacture these products are obtained from a limited number of suppliers and have limited availability. Our supplier relationships could be interrupted, become less favorable to us, or be terminated, and the supply of these components, compounds, raw materials, or products could be interrupted or become insufficient.</w:t>
      </w:r>
    </w:p>
    <w:p>
      <w:pPr>
        <w:spacing w:after="0" w:line="18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addition, for quality assurance or cost effectiveness, we have purchased from sole suppliers certain components and raw materials, such as polymers used in our Medline Brand products, and we expect to continue to purchase these components and raw materials from these sole suppliers. Although there are other sources in the marketplace for these items, we may not be able to quickly establish additional or replacement sources for certain components or materials due to regulations and requirements of the FDA, other regulatory authorities, and notified bodies regarding the manufacture of our products. The loss of any sole supplier or any sustained supply interruption or reduction in any manufacturing capabilities or processes that affects the ability to manufacture or distribute our products in a timely or cost-effective manner could have a material adverse effect on our business, results of operations, financial condition, and cash flows.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Regulation and Legal Proceedings</w:t>
      </w:r>
    </w:p>
    <w:p>
      <w:pPr>
        <w:spacing w:after="0" w:line="117"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proper function, security, and availability of our information technology systems and data, as well as those of third parties throughout our global supply chain, to operate our business.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to operate our business and securely process, transmit and store any personally identifiable information (“Personal Data”), protected health information (“PHI”) and other sensitive and confidential data in connection with it, which includes our own proprietary applications and tools (e.g., PrefConnect and FitRight Connect) and a wide variety of third-party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technologies. Our information technology networks and systems may also require integration with customers’ and other third parties’ systems and networks. We must regularly update and improve our IT systems and infrastructure and undertake investments in new IT systems and infrastructure. We cannot guarantee that our data security controls are sufficient or that the IT systems and infrastructure on which we depend, including those of third parties, will continue to meet our current and future business needs or adequately safeguard our operations. Security interruptions to or breaches, unauthorized access, acquisition, use, disclosure, theft, modification, or destruction of our information technology systems (or those of third parties working on our behalf, or data or Personal Data and PHI held therein), including physical or electronic break-ins, computer viruses, malware, ransomware, phishing, spoofing and other attacks by hackers, and similar breaches, or employee or contractor error, negligence, or malfeasance, have in the past, and may in the future, create system disruptions or shutdowns, result in unauthorized access to, or disclosure, misuse, modification, or loss or destruction of, our or our customers’ (or their members’ and patients’) or employees’ data, or result in damage, disablement, or encryption of our data or our customers’ (or their members and patients’) or employees’ data. Such data may include sensitive data or information, including PHI or other Personal Data. Any such incident that compromises the information of our customers or employees or disrupts our business operations could result in widespread negative publicity, damage to our reputation, a loss of customers, disruption of our business, operational delays, and legal liabilities. We utilize third-party service providers for important aspects of the collection, creation, receipt, maintenance, transmission, use, storage, retention, security, transfer, return, destruction, disclosure, and other operations (separately and collectively, “Processing” or “Process”) of employee and customer (and their members’ and patients’) Personal Data, PHI, and other confidential and sensitive information, and therefore rely on the security procedures of such third-party service providers with respect to such data, and they face the same risks as those set forth above.</w:t>
      </w:r>
    </w:p>
    <w:p>
      <w:pPr>
        <w:spacing w:after="0" w:line="19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take certain administrative, physical, and technological safeguards to address data security risks, such as by requiring contractors and other third-party service providers who handle PHI, other Personal Data, and other confidential and sensitive information on our behalf to enter into agreements that obligate them to use reasonable efforts to safeguard such PHI, other Personal Data, and other confidential and sensitive information, and to comply with applicable laws regarding their Processing of such PHI and other Personal Data.</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Measures taken to protect our systems, those of our contractors or third-party service providers, or the PHI, other Personal Data, or other confidential and sensitive information we, our contractors, or third-party service providers Process, may not adequately protect us from security risks. We have and may in the future be required to expend significant capital and other resources to protect against security breaches or to alleviate problems caused by security breaches, regardless of whether such breaches are of our systems or networks, or the systems or networks of our customers, contractors, or third-party service providers. Any failure to so modify, upgrade, or replace such systems and networks, any disruptions that occur during the process of such modification, upgrade, or replacement and/or any breakdown, interruption, or corruption of our information technology systems and infrastructure could create system disruptions, shutdowns, delays in generating or the corruption or loss of data and information, or other disruptions that could result in negative financial, operational, business, or reputational consequences for us. Despite our implementation of data privacy and security measures, cyberattacks are becoming harder to detect and more frequent in recent years, in part because of the proliferation of new technologies and the increased sophistication and activities of organized crime, hackers, terrorists, activists, malicious state actors, and other internal and external parties. Further, these attacks are becoming increasingly sophisticated through the use of certain AI, automated decision-making and machine learning technology (collectively, “Machine Learning Technology”) and are often well-funded, including in some cases by state sponsors. As a result, we, our customers or our third-party service providers have and may in the future be unable to anticipate the techniques used to attack our or their systems or networks, or to implement adequate protective measures.</w:t>
      </w:r>
    </w:p>
    <w:p>
      <w:pPr>
        <w:spacing w:after="0" w:line="19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Security breaches, interruptions of systems, or other security incidents that we, our customers or our third-party service providers experience have and could in the future harm our reputation, compel us to comply with breach notification and other laws in all 50 U.S. states, and under applicable provisions of the Health Insurance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Portability and Accountability Act of 1996, as amended, and the regulations that implement the law and its amendments (collectively, “HIPAA”), the EU’s General Data Protection Regulation and its UK equivalent (“UK GDPR” and collectively, “GDPR”) and other laws and regulations, expose us to legal and regulatory fines, penalties, and other liabilities, contract and indemnity obligations, and cause us to incur significant costs for investigations and remediation, notification to affected individuals, measures intended to repair or replace systems or technology and prevent future occurrences and potential increases in insurance premiums. If we are unable to prevent or mitigate security breaches, interruptions of systems, or other privacy or security incidents in the future, or to implement satisfactory remedial measures, or if it is perceived that we have been unable to do so, our operations could be disrupted, and we may suffer a loss of customers, reputation, and individual and investor confidence. Affected users (including customers or third parties) or government authorities could initiate legal or regulatory actions against us in connection with any privacy or security breaches or improper disclosures or Processing of data, which could cause us to incur significant expense and liability or result in orders or consent decrees, forcing us to modify our business practices.</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Furthermore, if any of our critical suppliers or service providers is the target of a cybersecurity or ransomware attack or experiences any other kind of adverse event impacting relevant information technology systems, we could experience a significant disruption in our supply chain, unauthorized access or use of our information, shortages, disruptions to our financial reporting or other critical business functions, or other adverse consequences impacting our business operations. Notwithstanding the diligence that we perform on our service providers, we may not be in a position to verify the risks or reliability of their information technology systems or privacy and data security practices and protocols. Any such disruption or incident impacting our suppliers or service providers could have a material adverse effect on our business and may result in our incurring significant remediation costs.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While we maintain insurance covering certain business interruptions, cybersecurity-related damages and claim expenses, we may not carry insurance or maintain coverage sufficient to compensate for all liability, or all types of liability, or cover any indemnification claims against us relating to any security incident or, breach, disruption in information technology services. In any event, insurance coverage would not address the reputational damage that could result from a security incident. Moreover, we cannot be certain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products and technologies, as well as our business activities and government contracts, are subject to a complex set of regulations and rigorous enforcement, including by the FDA, the U.S. Department of Justice (“DOJ”), the U.S. Department of Health and Human Services (“HHS”) Office of the Inspector General, Environmental Protection Agency (“EPA”), and numerous other federal, state, and non-U.S. governmental authorities. To varying degrees, each of these authorities requires us, and our third-party manufacturers, to comply with laws and regulations governing the development, testing, manufacturing, registration, labeling, promotion, and distribution of our products. We cannot guarantee that we will be able to obtain or maintain the required marketing clearances, authorizations, or certifications to market our new products or for enhancements or modifications to existing products. Obtaining the necessary clearances, authorizations, or certifications may take a significant amount of time; require the expenditure of substantial resources; and limit the proposed uses of our products. The failure to obtain or maintain clearances, authorizations, and certifications could have a material adverse effect on our business, results of operations, and financial condition. Future laws and regulations may also have a material adverse effect on our business, results of operations, and financial condition.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Both before and after a product is commercially marketed, we have responsibilities under the FDA, the European Union Medical Device Regulation (“EU MDR”), and other applicable U.S. and non-U.S. regulations, including with respect to clinical studies, quality systems, manufacturing, imports, and labeling and promotional practices. We may conduct and participate in clinical studies to obtain marketing clearance, authorization, or certification for new products and new indications for existing products. Unfavorable clinical data from existing or future clinical studies or unfavorable performance evaluations, assessments, and testing may adversely impact our ability to obtain product clearances, authorizations, and certifications, our position in, and share of, the markets in which we participate, and our business, results of operations, financial condition and cash flows. Our facilities and procedures and those of our suppliers are also subject to periodic inspections by the FDA and other governmental and regulatory authorities and to audits by notified bodies to determine compliance with applicable regulations, including quality system regulations for the design, manufacture, packaging, and servicing of med-surg products. In the United States, the results of these inspections can include, and have in the past included, notices of inspectional observations (FDA Form 483s), warning letters, or other forms of enforcement. Our products may also be subject to Import Alerts that restrict the importation of certain of our products or products manufactured by our suppliers into the United States. For example, in January 2024, the FDA issued Import Alerts restricting the importation of plastic syringes manufactured in China by specific suppliers, which impacted our ability to source Medline Brand syringes. In addition, the FDA has taken the position that medical product manufacturers are prohibited from promoting their products other than for the FDA-approved or FDA-cleared indications for use set forth in the product labeling, otherwise known as “off-label use.” A failure to comply with laws, regulations, or guidelines on labeling and promotion could subject us to enforcement actions, significant civil or criminal legal exposure, administrative obligations and costs, untitled letters, warning letters, and other potential penalties from, or agreements with, the federal government and other governmental and regulatory authorities.</w:t>
      </w:r>
    </w:p>
    <w:p>
      <w:pPr>
        <w:spacing w:after="0" w:line="19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the FDA or other federal, state, local, or foreign governmental or regulatory authorities were to conclude that we are not in compliance with applicable laws or regulations, or that any of our products are ineffective or pose an unreasonable health risk, the FDA or these other authorities could determine such products are adulterated or misbranded, detain or seize such products, order a recall, repair, replacement, or refund of such products, refuse to grant pending applications for clearance, authorization, or certification, require certificates of non-U.S. governments for exports, require corrective actions, seek an injunction, and/or require us to notify health professionals and others that the products present unreasonable risks of substantial harm to the public health, and in certain rare circumstances, ban such products. The FDA and other governmental or regulatory authorities may also take other actions, including assessing civil or criminal penalties against us, our officers, or our employees and imposing operating restrictions on a company-wide basis. The FDA may also recommend prosecution to the DOJ. In the European Union (“EU”), penalties for regulatory non-compliance could also be severe, including fines, revocation or suspension of a company’s products or quality management system certificates, and criminal sanctions. Any adverse regulatory action, depending on its magnitude, may require termination of distribution, impose operating restrictions, result in shutdowns or delays in the introduction of products into the market, restrict us from effectively marketing and selling our products, and limit our ability to obtain future clearances, authorizations or certifications, licenses, registrations, or permits, and could result in a substantial modification to our business practices and operations. Such actions could result in restrictions on our ability to carry on or expand our operations and higher than anticipated costs or lower than anticipated sales. In addition, our inability to address noncompliance issues raised by the FDA and other governmental or regulatory authorities or notified bodies in an effective and timely manner may also cause negative publicity and a loss of customer confidence in us or our current or future products, which may result in the loss of sales and difficulty in successfully launching new products.</w:t>
      </w:r>
    </w:p>
    <w:p>
      <w:pPr>
        <w:spacing w:after="0" w:line="19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we occasionally receive subpoenas or other requests for information from state and federal governmental authorities, which primarily relate to financial arrangements with healthcare professionals, regulatory compliance, and product promotional practices. These investigations may require us to expend extensive resources or time to respond. Any adverse outcome in one or more of these investigations could result in civil and/or criminal proceedings, substantial fines, penalties, and/or administrative remedies, including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exclusion from government reimbursement programs, debarment, and/or entry into corporate integrity agreements with governmental authorities. In addition, resolution of any of these matters could involve the imposition of additional, costly compliance obligations. These potential consequences could have a material adverse effect on our business, results of operations, and financial condition.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Finally, we also have contracts with government entities, which are subject to risks such as lack of funding and complex legal compliance requirements. For example, government contract purchase obligations are typically subject to the availability of government funding, which may be eliminated. Our government contracts might not be renewed or might be terminated for convenience by the government with little or no prior notice, which could have a material adverse effect on our business, results of operations, and financial condition. Additionally, we have seen an increasing trend under government contracts, as well as contracts with other customers, to require a designated amount of the contract to be fulfilled by underrepresented suppliers for goods and services, including minority-owned, women-owned, veteran-owned, or other diversity suppliers (“Diversity Suppliers”). As a result, we may be required to set aside a portion of spend under our contracts for Diversity Suppliers, which may decrease our net sales under such arrangements. We have also seen an increasing trend for such contracts to include additional conditions related to environmental, social, and governance (“ESG”) and similar requirements, such as information on ethical sourcing or access to our suppliers for social audits, the implementation of environmentally preferable purchasing programs, or product-end-of-life and product circularity. These requirements may lead to increased compliance costs and impact our ability to renew such contracts.</w:t>
      </w:r>
    </w:p>
    <w:p>
      <w:pPr>
        <w:spacing w:after="0" w:line="29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environmental, health, and safety requirements, and our operations involve hazardous and other environmentally sensitive substances.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extensive federal, state, provincial, local, and international environmental, health, and safety requirements concerning, among other things, the health and safety of our employees, the generation, disposal, storage, registration, labeling, reporting, use, and transportation of hazardous and other environmentally sensitive substances (including per- and polyfluoroalkyl substances, or “PFAS”), consumer products, emissions or discharges of substances into the environment, investigation and remediation of contamination at various sites, and chemical constituents (including PFAS) in products. Our suppliers are also subject to such requirements, and any failure by, or inability of, our suppliers to comply with such requirements could result in shortages of products or capacity that could impact our operations.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New environmental, health, and safety laws and regulations, violations of these laws or regulations, stricter enforcement of existing requirements, or the discovery of previously unknown contamination could result in increased costs and other burdens. For example, we and other medical product manufacturers use EtO to sterilize certain medical products we manufacture or distribute. EtO has been the subject of increasing public and regulatory scrutiny because of changes in the assessment of health risks related to EtO emissions. We have made substantial capital expenditures to upgrade emissions controls at certain of our facilities where we expect to continue using EtO. If regulatory measures become more stringent or widespread, we could experience increased costs to comply with more stringent emissions standards, and we and other industry participants may be unable to effectively sterilize medical products, possibly resulting in supply shortages or an industry-wide reduction in surgical or medical procedures, which would negatively impact demand for our products. Likewise, the presence of PFAS in products is also an emerging area of focus by regulators and the public, and we have implemented procedures to comply with evolving regulatory requirements.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certain environmental laws assess liability on current or previous owners or operators of real property or those who have arranged for the disposal or treatment of hazardous and other environmentally sensitive substances for the costs of investigation, removal, or remediation of those substances at their properties or at other locations where those substances have been sent for treatment or disposal. This liability may be imposed regardless of fault, and in many situations may be joint and several, meaning that a liable entity may be held responsible for more than its share of the liability, potentially up to the entire liability, if other responsible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entities cannot be found or are unable to respond. In addition to cleanup actions brought by governmental authorities, private parties could bring personal injury or other claims due to the presence of, or exposure to, hazardous substances and other environmentally sensitive materials. The ultimate cost of site cleanup and timing of future cash outflows is difficult to predict, given the uncertainties regarding the extent of the required cleanup and the interpretation of applicable requirements.</w:t>
      </w:r>
    </w:p>
    <w:p>
      <w:pPr>
        <w:spacing w:after="0" w:line="180"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cost of complying with current or future environmental, health and safety requirements, and obligations to investigate and/or remediate environmental conditions currently known or as may be identified or arise in the future and/or to address claims resulting from such conditions, may require material expenditures by us, exceed our estimates, or have a material adverse effect on our business, results of operations, and financial condition.</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We are subject to applicable anti-corruption, anti-bribery, and similar laws, such as the FCPA, the U.S. domestic bribery statute in 18 U.S.C. § 201, and similar laws in other jurisdictions in which we operate. Anti-corruption laws generally prohibit companies and intermediaries from corruptly promising, authorizing, making, offering, or providing anything of value to a foreign government official or, in certain instances, commercial counterparties, for the purpose of obtaining or retaining business. These laws may also require companies to implement adequate internal controls, procedures, and certain books and records standards and controls. Our international operations create a risk of unauthorized payments or offers of payments by one of our employees, consultants, sales agents, distributors, channel partners, or other third parties acting on our behalf. Because of the predominance of government-administered healthcare systems in many jurisdictions around the world, many of our customer relationships outside of the United States involve governmental entities, which increases risks under the FCPA and other anti-corruption laws. We also participate in public-private partnerships and other commercial and policy arrangements with governments around the globe, which could be subject to these laws and similarly increase risks under the FCPA and other anti-corruption laws. Global enforcement of anti-corruption laws has increased in recent years, including investigations and enforcement proceedings leading to assessment of significant fines, penalties, and other sanctions against companies and individuals.</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we are subject to laws and regulations, including governmental export and import controls, that could subject us to liability. Our products are subject to export controls of the jurisdictions in which we operate, including the U.S. Department of Commerce’s Export Administration Regulations. In addition, various governmental authorities, including the United Nations, the EU, the United Kingdom and the United States (including the Office of Foreign Assets Control within the U.S. Department of the Treasury (“OFAC”)) administer and enforce economic sanctions laws and regulations prohibiting persons subject to their jurisdiction from dealing with countries or territories subject to comprehensive sanctions and with certain other designated individuals and entities (collectively, “Sanctions Targets”). Our international operations may expose us, directly or indirectly, to Sanctions Targets. Any future imposition of sanctions by the United States, the EU or any of its member states, the United Kingdom, or any other sanctions authority relevant to our business may reduce the flow of goods from certain of our suppliers or may prevent us, either legally or practically, from engaging in dealings with certain individuals, countries, or jurisdictions.</w:t>
      </w:r>
    </w:p>
    <w:p>
      <w:pPr>
        <w:spacing w:after="0" w:line="18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policies and procedures designed to promote compliance by us and our directors, officers, employees, representatives, consultants, sales agents, distributors, or other third parties with the FCPA, OFAC restrictions, and other applicable laws and regulations related to anti-corruption, economic sanctions, and export controls may not always be effective, and our employees, representatives, consultants, sales agents, or distributors may engage in conduct for which we could be held responsible. Any alleged or actual violations of these laws and regulations may subject us to government scrutiny, significant criminal or civil penalties, or other sanctions and other liabilities, including exclusion from government contracting, as well as related stockholder lawsuits, all of which could disrupt our business, and adversely affect our reputation, business, results of operations, and financial condition.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business includes Processing performed on any Personal Data of our applicants, employees and other workforce members (current and former), customers’ and vendors’ employees and other workforce members and other third parties as well as PHI where we meet the definition of a Covered Entity or a Business Associate (as such terms are defined under HIPAA) for certain parts of our business. We are directly or indirectly subject to numerous and evolving federal, state, and foreign laws and regulations relating to the Processing of Personal Data and PHI, such as HIPAA, the GDPR, the California Consumer Privacy Act, which was further expanded by the California Privacy Rights Act of 2020 (“CPRA” and collectively, “CCPA”), and similar data privacy legislation enacted or under consideration by various other U.S. states. Laws and regulations relating to privacy and data protection are continually evolving and subject to potentially differing interpretations by various courts and regulators. Compliance with all current and emerging privacy, security and data protection laws, regulations, and requirements, as well as laws that are adjacent (such as the proliferation of new laws and regulations addressing generative AI) to those domains is increasingly difficult.</w:t>
      </w:r>
    </w:p>
    <w:p>
      <w:pPr>
        <w:spacing w:after="0" w:line="188"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In the United States, the Federal Trade Commission (the “FTC”) is increasingly active in regulating health-related privacy and security. The FTC has taken enforcement actions against companies for statements or promises made about the privacy or security of health information through Section 5 of the Federal Trade Commission Act (the “FTCA”), which prohibits unfair or deceptive acts or practices, as well as through the Health Breach Notification Rule (“HBNR”), which applies to certain “personal health record-related entities” or “third party service providers.” We may also be subject to scrutiny by federal and state regulators, partners, and consumers of our collection, use and disclosure of consumer Personal Data, including consumer health data. Additionally, federal and state consumer protection laws are increasingly being applied by FTC and states’ Attorneys General to regulate the collection, use, storage, and disclosure of Personal Data, through websites or otherwise, and to regulate the presentation of website content.</w:t>
      </w:r>
    </w:p>
    <w:p>
      <w:pPr>
        <w:spacing w:after="0" w:line="17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At the state level in the United States, the CCPA, which increased the privacy protections afforded California residents with respect to Personal Data that is not subject to and handled in compliance with HIPAA, limits how we may Process Personal Data of California residents by, among other things, establishing data privacy rights for California residents and a regulatory agency dedicated to enforcing compliance. Various other U.S. states have enacted similar comprehensive consumer data privacy legislation, and several other U.S. states are considering expanding or passing privacy laws in the near term. Further, states such as Washington, Connecticut, and Nevada have recently enacted broadly applicable laws to protect the privacy of personal health information, which generally requires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Similarly, many foreign laws and regulations, including in countries in which we currently operate, govern the Processing of Personal Data. For example, the GDPR imposes strict requirements for controllers and processors in any country with respect to the Personal Data of EU and UK residents. Non-compliance with the GDPR can result in substantial fines and other penalties, required changes to our business practices and reputational harm, any of which could have an adverse effect on our business.</w:t>
      </w:r>
    </w:p>
    <w:p>
      <w:pPr>
        <w:spacing w:after="0" w:line="180"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 the event of a privacy or security incident or claim that we or a third party with which we do business has violated applicable privacy or security laws and regulations, we may be subject to regulatory or legal action. A data breach or any allegations of a failure to comply with such privacy or security laws by us or our service providers or other third parties working on our behalf could result in reputational damage, adverse publicity, loss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of consumer confidence, reduced sales and profits, complications in executing our growth initiatives, and regulatory and legal risk, including enforcement action, regulatory investigations, fines and penalties, and in some cases, civil liabilities where individuals have been provided with a private right of action, all of which could materially and adversely affect the results of our operations, financial performance, and business, as well as have a negative impact on business reputation and performance. In addition, we could be required to modify our activities, solutions and services as a result of any enforcement actions or remediation efforts, which could have an adverse effect on our business, results of operations or financial condition. If laws or regulations are changed or expanded, or if governing jurisdictions interpret or implement laws or regulations in new ways it could require changes in our business practices and adversely affect our business, financial condition and results of operations.</w:t>
      </w:r>
    </w:p>
    <w:p>
      <w:pPr>
        <w:spacing w:after="0" w:line="293"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w:t>
      </w:r>
    </w:p>
    <w:p>
      <w:pPr>
        <w:spacing w:after="0" w:line="67"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We use Machine Learning Technology in connection with our business activities to realize operating efficiencies. Notwithstanding our policies and related personnel training governing use of Machine Learning Technology, our personnel, affiliates, or other third parties working with us or on our behalf could utilize Machine Learning Technology in contravention of such policies, including in ways that could subject us to potential liabilities. We could be further exposed to the risks of Machine Learning Technology if third-party service providers or any other counterparties with whom we interact, whether or not known to us, also use Machine Learning Technology in their business activities. Machine Learning Technology and its current and potential future applications, as well as the legal and regulatory frameworks within which it operates, continue to rapidly evolve. As such, it is not possible to predict the full extent of the current or future risks related to Machine Learning Technology. Independent of its context of use, 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or result in a degree of bias, inaccuracy and error—potentially materially so—and could otherwise be inadequate or flawed, which would be likely to degrade the effectiveness of Machine Learning Technology and the reliability and accuracy of its output. To the extent that we rely on or use the output of Machine Learning Technology, any such inaccuracies, biases or errors could have adverse impacts on us, our business, our results of operations or financial condition. Additionally, the volume of and reliance on data and algorithms also make Machine Learning Technology, and in turn us, more susceptible to cybersecurity threats.</w:t>
      </w:r>
    </w:p>
    <w:p>
      <w:pPr>
        <w:spacing w:after="0" w:line="19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could be exposed to risks to the extent third-party service providers or any counterparties use Machine Learning Technology in their business activities, notwithstanding any preventative policies aimed at restricting or governing the use of such technologies. We are not able to control the way third-party products are developed, trained or maintained or the way third-party services utilizing Machine Learning Technology are provided to us. Use of Machine Learning Technology could include the input of our confidential information (including confidential information and Personal Data) by third parties in contravention of non-disclosure agreements or by our personnel or other related parties in contravention of our policies and procedures and, in each case, could result in such confidential or personal information becoming part of a dataset that is generally accessible by Machine Learning Technology applications and users. The misuse or misappropriation of our data or information of our customers could have an adverse impact on our reputation and could subject us to legal and regulatory investigations and/or actions.</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Moreover, some customers may impose their own restrictions on our use of Machine Learning Technology in our performance of services under a contract. While we generally resist any broad restrictions by customers related to our use of Machine Learning Technology, we may be subject to certain restrictions that could create redundancies in systems that omit Machine Learning Technology, which may be costly and inefficient.</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recent years, the use of Machine Learning Technology has come under increased regulatory scrutiny, especially in the case of generative AI and related developments, due to the potential harm to individuals where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Personal Data or intellectual property is processed or where models are trained on vast data sets that include Personal Data or intellectual property. The current administration has taken several actions related to Machine Learning Technology. For example, in April 2023, the FTC, DOJ, Consumer Financial Protection Bureau, and U.S. Equal Employment Opportunity Commission released a joint statement on Machine Learning Technology demonstrating interest in monitoring the development and use of automated systems and enforcement of their respective laws and regulations. In October 2023, President Biden signed an executive order that establishes new standards for Machine Learning Technology safety and security, and various U.S. states are in the process of enacting (or have already enacted) new laws and regulations that are aimed at providing individuals with additional protections in connection with Machine Learning Technology. It is unclear what, if any, of the current administration’s initiatives related to Machine Learning Technology will be continued, modified, revoked, or replaced by the incoming Trump administration. In addition to the U.S. regulatory framework, the EU has recently introduced a new regulation applicable to certain Machine Learning Technology and the data used to train, test and deploy them (the “EU AI Act”). The EU AI Act entered into force on August 1, 2024, with its obligations set to apply in phases from six to 36 months thereafter. The EU AI Act applies on an extraterritorial basis and will impose significant requirements on both the providers and deployers of Machine Learning Technology, with violations punishable by sanctions of up to 7% of annual worldwide revenue or EUR 35 million (whichever is higher) for the most serious breaches. Any actual or perceived failure to comply with evolving regulatory frameworks around the development and use of Machine Learning Technology could adversely affect our business, results of operations and financial condition. New laws, regulations, executive orders, guidance and decisions in this area may limit our ability to use Machine Learning Technology or require us to make changes to our operations that may decrease our operational efficiency, result in an increase to operating costs, and hinder our ability to improve our services.</w:t>
      </w:r>
    </w:p>
    <w:p>
      <w:pPr>
        <w:spacing w:after="0" w:line="299"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tax laws change or we experience adverse outcomes resulting from examination of our tax returns or disagreements with taxing authorities, it could adversely affect our business, financial condition,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 significantly increase our tax obligations in many countries where we do business, or require us to change the manner in which we operate our business. For example, in August 2022, the Inflation Reduction Act (the “IRA”) was signed into law. The IRA, among other things, includes a new 15% corporate minimum tax as well as a 1% excise tax on corporate stock repurchases, subject to certain exceptions. Other such developments include certain proposals by the Organization for Economic Co-operation and Development arising from its Base Erosion and Profit Shifting project and the implementation of the global minimum tax under the Pillar Two model rules. The application and interpretation of these laws in different jurisdictions affect our operations in complex ways and are subject to change, and some changes may be retroactively applied.</w:t>
      </w:r>
    </w:p>
    <w:p>
      <w:pPr>
        <w:spacing w:after="0" w:line="192"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In addition, we are subject to the examination of our income and other tax returns by the United States Internal Revenue Service (the “IRS”)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6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litigation brought by third parties claiming infringement, misappropriation, or other violation by us of their intellectual property rights.</w:t>
      </w:r>
    </w:p>
    <w:p>
      <w:pPr>
        <w:spacing w:after="0" w:line="5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violations of the intellectual property of third parties. However, we cannot be certain that our products and technologies and the conduct of our business does not and will not infringe, misappropriate, or otherwise violate the intellectual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property rights of others or be alleged to do same. Any claim that we, or consultants, customers or other third parties retained or indemnified by us, have violated the intellectual property of third parties, with or without merit, and whether or not it results in litigation, is settled out of court or is determined in our favor, could be time consuming and costly to address and resolve, and could divert the time and attention of management and technical personnel from our business. Our liability insurance may not cover potential claims of this type adequately or at all. We also may have to seek third-party licenses to intellectual property, which may be unavailable, require payment of significant royalties, or be available only at commercially unreasonable, unfavorable, or otherwise unacceptable terms. In the event of a settlement or adverse judgment, our results of operations may materially decline if we are prohibited from using intellectual property that is material to the operation of our business.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 Any of these events could have a material adverse effect on our business, results of operations, and financial condition.</w:t>
      </w:r>
    </w:p>
    <w:p>
      <w:pPr>
        <w:spacing w:after="0" w:line="298"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and financial condition.</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physical impacts of climate change, including increased frequency and severity of natural disasters, sea levels rising, and extreme temperatures, may pose physical risks to our facilities and/or operations, and/or disrupt our supply chain. For example, storm activity in Nuevo Laredo, Mexico in 2021 caused damage to our facilities and temporarily disrupted our operations in the region, and similar climate events could adversely affect our business, results of operations, and financial condition in the future. Our transition risks, which are risks associated with the transition towards a low-carbon economy, may include mass climate-related migration and shifting demand for our products and decreased availability or less favorable pricing for water and other critical raw materials or energy, which could impact our manufacturing and distribution operations and the competitiveness of our products. While shifting needs can create opportunities in new markets or for new products, failure to adapt to these changed circumstances can also pose potential business risks.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business could be affected by current and future local, state, federal, and international laws, regulations, treaties, agreements, and policies related to greenhouse gas emissions and climate change. Some existing laws and regulations to reduce greenhouse gas emissions include controls, carbon levies, cap and trade programs and/or other measures, and additional regulation of such emissions is likely. More stringent interpretation of existing laws or regulations, as well as future laws or regulations in response to concerns over climate change, could require us and/or our suppliers to take action to reduce emissions of greenhouse gases or incur costs to obtain allowances or credits for our emissions. As a result, the costs and restrictions associated with sourcing, manufacturing, and distributing our products could significantly increase, which may adversely affect our business, results of operations, and financial condition. Further, the impacts of climate change may influence customer preferences, including driving customers to seek products that are low carbon or have other sustainability characteristics, and failure to provide products that anticipate or adequately respond to these changes in preference could damage our reputation and result in loss of market share.</w:t>
      </w:r>
    </w:p>
    <w:p>
      <w:pPr>
        <w:spacing w:after="0" w:line="292"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ESG matters or the failure or perceived failure to meet our ESG goals may increase our costs, harm our reputation or adversely affect our business.</w:t>
      </w:r>
    </w:p>
    <w:p>
      <w:pPr>
        <w:spacing w:after="0" w:line="51"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Companies are facing increasing scrutiny from investors, customers, patients, consumers, employees, proxy advisory firms, nongovernmental organizations, and other stakeholders related to ESG matters, including governance practices and with respect to environmental and social sustainability–related efforts and belonging initiatives. We may experience pressure to make commitments relating to ESG matters that affect our business or industry, including strategic risk mitigation initiatives relating to sustainability. Expectations regarding the management of ESG initiatives continue to rapidly evolve. We may from time to time engage in various efforts, including setting policies and goals or making voluntary or required statements and disclosures. The policies, goals, statements, and disclosures reflect our current circumstances, plans, and aspirations at the time they are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made. Our efforts to accomplish and accurately report on our efforts and goals are subject to a number of factors, many of which are outside of our control, including economic conditions, our ability to implement certain types of technology, the costs of implementing aspirational changes, our ability to offer our products and services at competitive market rates to meet customer and consumer expectations, unforeseen operational and implementation challenges, and collaboration with third parties. Our expectations and assumptions are necessarily uncertain and may be prone to error or subject to misinterpretation given the long timelines involved and the lack of an established, singular approach to identifying, measuring and reporting on many ESG matters. We may also be required to expend significant resources to meet our goals, which could increase our operational costs. We may also determine that it is in the best interest of our Company and our stockholders to prioritize other business, social, governance, or sustainable investments over the achievement of our current goals based on economic, technological developments, regulatory and social factors, business strategy, or pressure from investors, activist groups, or other stakeholders. Additionally, our current ESG practices may not comply with future stakeholder expectations, reporting frameworks, regulatory requirements, or best practices. If we are not effective in addressing ESG matters important to our stakeholders, or setting and meeting relevant ESG goals in a timely manner, our reputation, attractiveness as an investment, business partner, or acquiror, access to and costs of capital, financial results, and stock price may suffer. In addition, even if we are effective at addressing ESG matters, we may experience increased costs to execute upon these goals that may not be offset by any benefit to our reputation, which could have an adverse impact on our business and financial condition.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disputes, which could adversely impact our business, results of operations, and financial condition.</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are routinely party to a number of lawsuits, settlement discussions, mediations, arbitrations, demands, investigations, and other disputes, including those related to commercial matters and contracts, personal injury and product liability, state and federal labor and employment (including healthcare benefits and discrimination), healthcare regulation, intellectual property, import and export regulations, environmental matters (such as PFAS purportedly found in products and EtO emissions), tax, real property, privacy, and our trucking operations. These current and future matters require us to dedicate significant internal and external resources and costs to respond and comply, and may result in substantial monetary damages or penalties; harm our reputation; require us to pay additional wages, insurance expenses, and payroll-related taxes or sizeable statutory penalties; cause us to lose patent protection or tax benefits; require us to revise or restate our financial statements; divert our management’s time, attention, and resources; or otherwise adversely affect our sales and business. In addition, we may be required to redesign, re-label, restrict, or recall products; cease manufacturing and selling products; comply with a court injunction restricting or prohibiting further marketing and sale of products or services; or comply with a consent decree, which could result in further regulatory constraints, or we may be subject to the seizure of our product inventory. Even claims without merit could subject us to adverse publicity, harm our reputation, require us to incur significant legal fees, or cause us to modify our pay or other practices. Any of these events could have a material adverse effect on our business, results of operations, financial condition, cash flows, and profitability. In addition, even if we believe we have meritorious defenses, from time to time we may engage in settlement discussions and mediation. In considering settlements, we take into account various factors, including developments in pending legal proceedings and the related risks and uncertainties.</w:t>
      </w:r>
    </w:p>
    <w:p>
      <w:pPr>
        <w:spacing w:after="0" w:line="184"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The reserves we establish for estimated losses with respect to these matters represent our estimate of the probable loss at the time the reserve is established, to the extent future losses are probable and reasonably estimable. This involves judgment and may not reflect the full range of uncertainties and unpredictable outcomes. Additional reserves may be established or current reserves may be significantly increased from time to time. Until the final resolution of a matter, we may be exposed to losses in excess of the amount recorded, and such amounts could be material. In addition, any settlements we enter may be confidential and could be significant and result in charges in excess of accruals. If any of our estimates and assumptions change or prove to have been incorrect, it could have a material effect on our business, consolidated financial position, results of operations, or cash flows.</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laws and regulations relating to reimbursement of healthcare goods and services may subject us to penalties and adversely impact our reputation, business, results of operations, financial condition, and cash flows.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ability of our customers to obtain appropriate reimbursement for products and services from third-party payers is critical because it affects which products customers purchase and the prices they are willing to pay. Our products are purchased principally by hospitals or healthcare professionals that typically seek reimbursement from various third-party payers, such as governmental healthcare programs (e.g., Medicare, Medicaid, TRICARE, and comparable non-U.S. programs), private insurance plans, and managed care plans for the healthcare services provided to their patients. As a result, our products are subject to laws and regulations enforced by governmental and regulatory authorities, including HHS, CMS, the DOJ, and state and non-U.S. agencies responsible for reimbursement and regulation of healthcare goods and services. These laws and regulations address fair competition, kickbacks, false claims, self-referrals, and healthcare fraud and abuse (e.g., the federal False Claims Act (“FCA”), Physician Self-Referral Law (the “Stark Law”), Anti-Kickback Statute (“AKS”), the Civil Monetary Penalties Statute, HIPAA, and the Physician Payments Sunshine Act). See “Business—Government Regulation—Healthcare Fraud and Abuse Laws and Regulations.” Many jurisdictions have similar laws that apply to reimbursement by state Medicaid or other funded programs and all payers, and require transparency in interactions with and payments, or other transfers of value, to healthcare professionals.</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relationships that we, and third parties that market and/or sell our products, have with healthcare facilities and professionals are subject to scrutiny under these and other federal, state, and foreign laws. For example, we are engaged in giving discounts within the meaning of the AKS, which prohibits knowingly and willfully offering, paying, soliciting, or receiving any remuneration to induce or reward, or in return for the referral of an individual for, or the purchasing, ordering, or recommending of items or services, for which payment may be made in whole or in part by Medicare, Medicaid, or other federally funded healthcare programs. Under the AKS, there are exceptions for, among other things, properly reported discounts which includes the payment of rebates, and payments of certain administrative fees to GPOs. AKS regulations contain enumerated safe harbors that implement and further refine the statutory exceptions for discounts and payments to GPOs. Engaging in a business practice for which there is an AKS safe harbor may be regarded as suspect if the practice fails to meet each of the prescribed criteria of the appropriate safe harbor, even if such arrangement is lawful. Such arrangements may be subject to greater scrutiny by enforcement agencies.</w:t>
      </w:r>
    </w:p>
    <w:p>
      <w:pPr>
        <w:spacing w:after="0" w:line="188"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maintain internal policies, procedures, training, and monitoring to help ensure our arrangements comply with applicable fraud and abuse laws and other laws and regulations relating to reimbursement of healthcare goods and services. However, governmental officials responsible for enforcing these laws or whistleblowers may assert that we are in violation of them.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Medicaid, and TRICARE, integrity oversight and reporting obligations, or reputational harm, any of which could adversely affect our financial results. In certain circumstances, insurance companies may also attempt to bring a private cause of action against us for causing the submission of false claims.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are also subject to risks relating to changes in government and private healthcare reimbursement programs and policies, and changes in legal and regulatory requirements in the United States and around the world. Implementation of further legislative or administrative reforms to these reimbursement systems, adverse judicial decisions related to these reimbursement systems, or adverse decisions relating to coverage of or reimbursement for our products by administrators of these systems could have an impact on the acceptance of and demand for our products and the prices that our customers are willing to pay for them.</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we also directly submit claims to governmental healthcare programs as a Medicare-enrolled durable medical equipment, prosthetics, orthotics, and supplies (“DMEPOS”) supplier. As a result, we have been and from time to time are subject to audits by government healthcare programs and third-party payers related to such claims, which may require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program may not cover claims brought against us, deny coverage of claims, or be inadequate to cover future losses.</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We maintain third-party insurance to cover our exposure to certain property and casualty losses and are self-insured for certain retentions, claims, and expenses related to other property and casualty losses, including product liability, environmental, and cybersecurity and data privacy losses. Settlement or judgements of claims brought against us may not be covered by insurance or, if covered, our claim may be denied or subject to insurance coverage limits provided by third-party insurers that are insufficient to fully cover unanticipated losses. We are actively pursuing litigation with our excess insurance carriers related to their obligations to reimburse such payments, but we may not be able to obtain reimbursements sufficient to cover our settlement obligations. For example, in connection with the settlement of tort lawsuits related to emissions of EtO from our facility in Waukegan, Illinois, our excess insurance carriers have denied coverage with respect to our settlement payments. As a result of this litigation, we recognized</w:t>
      </w:r>
    </w:p>
    <w:p>
      <w:pPr>
        <w:spacing w:after="0" w:line="2" w:lineRule="exact"/>
        <w:rPr>
          <w:sz w:val="20"/>
          <w:szCs w:val="20"/>
          <w:color w:val="auto"/>
        </w:rPr>
      </w:pPr>
    </w:p>
    <w:p>
      <w:pPr>
        <w:jc w:val="both"/>
        <w:ind w:left="120" w:right="280"/>
        <w:spacing w:after="0" w:line="255" w:lineRule="auto"/>
        <w:rPr>
          <w:sz w:val="20"/>
          <w:szCs w:val="20"/>
          <w:color w:val="auto"/>
        </w:rPr>
      </w:pPr>
      <w:r>
        <w:rPr>
          <w:rFonts w:ascii="Times New Roman" w:cs="Times New Roman" w:eastAsia="Times New Roman" w:hAnsi="Times New Roman"/>
          <w:sz w:val="18"/>
          <w:szCs w:val="18"/>
          <w:color w:val="auto"/>
        </w:rPr>
        <w:t>$        million of net litigation charges for the year ended December 31, 2024. See “—We are involved in legal proceedings and disputes, which could adversely impact our business, results of operations, and financial condition” and Note 12, “Commitments and Contingencies” of our audited consolidated financial statements included elsewhere in this prospectus.</w:t>
      </w:r>
    </w:p>
    <w:p>
      <w:pPr>
        <w:spacing w:after="0" w:line="18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Litigation brought against us, regardless of its merits, could be costly to defend and could result in increases of our insurance premiums and exhaust any insurance coverage that we may have. The financial impact of such litigation is difficult to assess or quantify but could adversely affect our business, results of operations, and financial condition. Even where the claim should be covered by insurance, we have significant self-insured retention amounts, which we would have to pay in full before obtaining any insurance proceeds. Product liability insurance for these types of claims is becoming more limited and may not be available to us at amounts that we historically have obtained or that we would like to obtain.</w:t>
      </w:r>
    </w:p>
    <w:p>
      <w:pPr>
        <w:spacing w:after="0" w:line="287"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and enforce our intellectual property rights, or the failure of the strength or scope of our intellectual property rights, could harm our business, financial condition, and results of operations.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rely on a combination of patents, trademarks for our material brands (e.g., Medline, Curad, Microtek, Hudson and Proxima), copyrights, trade secrets, and other intellectual property rights in the United States and other countries, as well as agreements (such as employee, customer, non-disclosure, and non-competition agreements) to protect our intellectual property and proprietary rights. We may, over time, increase our investment in formal registrations for additional intellectual property, including through additional patent and trademark and registrations. Effective intellectual property protection is expensive to develop and maintain, both in terms of initial registration and ongoing renewal and maintenance requirements and the costs of defending and asserting our rights.</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Others may infringe our trademarks or other intellectual property, independently develop similar manufacturing processes and technology, duplicate any of our manufacturing processes, technology or services, or design around our intellectual property to avoid any infringement. The measures we take to obtain, maintain, protect, and enforce our intellectual property, including litigation, could cause us to expend significant cost and time, may distract management and may not be sufficient to detect, prevent, or enforce infringement,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misappropriation, or other violation. Effective intellectual property protection may not be available in every country in which we offer our products and services now or in the future or may not protect them to the same extent as the laws of the United States. Any changes in, or unexpected court interpretations of, intellectual property laws may compromise our ability to enforce our patent, trademark, trade secret, and other intellectual property rights. Further, our intellectual property rights may be challenged, or our efforts to enforce them may be met with defenses, counterclaims and countersuits attacking their validity and enforceability that, if successful, could weaken, invalidate, or render them unenforceable.</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protect our intellectual property, particularly our patents, brands, and know-how, our intellectual property may be impaired, we may lose a portion of our intellection property and our image, brand, competitive position, and business could be harmed. Moreover, our failure to develop and properly manage new intellectual property could hurt our market position and business opportunities. All of these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Financial and Economic Market Conditions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could have a significant impact on our results of operations.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operate in various international markets, including Canada, Mexico, Europe and the Asia Pacific region. For the year ended December 31, 2024,   % of our total net sales and   % of our total operating expenses incurred were in currencies other than U.S. dollars, with the majority of our international spend exposed to the Mexican peso. The results of operations of, and certain of our intercompany balances associated with, our international service offerings are exposed to foreign currency exchange rate fluctuations. Upon translation into U.S. dollars, our results of operations may differ materially from expectations, and we may record significant gains or losses on the remeasurement of intercompany balances. As we have expanded our international operations, our exposure to foreign currency exchange rate fluctuations has increased. We hold cash equivalents and marketable securities in foreign currencies including the pound and euros. If the U.S. dollar strengthens compared to these currencies, our cash equivalents and marketable securities balances, when translated, may be materially less than expected and vice versa. Furthermore, we purchase certain of these commodities in currencies other than U.S. dollars and fluctuations in the exchange rate between those currencies and the U.S. dollar may increase our costs. We are also subject to risks due to fluctuations in foreign exchange rates on certain supplies and raw materials that we purchase when negotiating contract renewals. We do not currently have in place any foreign currency exchange rate hedges, and fluctuations in foreign currency exchange rates could have a significant impact on our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may be adversely affected by inflationary pressures.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Inflation has had, and may continue to have, a material impact on the cost to source materials or produce and distribute finished goods to customers. We may not be able to pass these elevated costs on to customers due to contractual or regulatory limits on pricing or customer pressure to reduce costs. To the extent we are able to take pricing actions, there may be a difference between the timing of when we take such actions and the impact of those actions on our results of operations. Additionally, the pricing actions we take may negatively impact our market share. Our failure to effectively assess, timely change and properly set pricing, make price adjustments, or impose surcharges may negatively impact our ability to achieve our pricing objectives. For example, in 2022, we experienced a significant increase in the cost of raw materials and components used to manufacture our products and in the cost of products manufactured by third parties. While certain of these cost increases were passed on to customers, we were required to absorb a large portion of the cost increases due to the existing pricing arrangements. In the event the increase in our costs outpaces the compensating rate increases we may receive, or if we are unable to pass on all or part of our cost increases to our customers through price adjustments and/or surcharges, our profitability and cash flows may be adversely affected.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global and domestic macro-economic and political conditions could materially adversely affect our business, results of operations, and financial condition.</w:t>
      </w:r>
    </w:p>
    <w:p>
      <w:pPr>
        <w:spacing w:after="0" w:line="5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Uncertain global and domestic macro-economic and political conditions that affect the economy and the economic outlook of the United States, Europe, Asia and other parts of the world where we do business or source raw materials could materially adversely affect our business, results of operations, and financial condition. These uncertainties, include, among other things:</w:t>
      </w:r>
    </w:p>
    <w:p>
      <w:pPr>
        <w:spacing w:after="0" w:line="81" w:lineRule="exact"/>
        <w:rPr>
          <w:sz w:val="20"/>
          <w:szCs w:val="20"/>
          <w:color w:val="auto"/>
        </w:rPr>
      </w:pPr>
    </w:p>
    <w:p>
      <w:pPr>
        <w:ind w:left="1080" w:right="3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and policies governing foreign trade (including, without limitation, the United States-Mexico-Canada Agreement, the EU-UK Trade and Cooperation Agreement of December 2020 and other international trade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restrictions on imports and exports;</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sanctions (such as President-elect Trump’s proposal to impose tariffs on imports, including on imports from China and Mexico, which could lead to retaliatory measures on U.S. exports; see “Management’s Discussion and Analysis of Financial Condition and Results of Operations—Key Factors and Trends—Trade Relations”);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including further deterioration of, the relationship between the United States and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as a result of the 2024 U.S. presidential election;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debt levels;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levels (and a corresponding increase in the uninsured and underinsured population);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employment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and strengthening of the dollar, which have and will continue to impact our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fuel and energy costs;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inflation on our ability to procure products and our ability to increase prices over time and pass through to our customers price increases we may receive;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and the availability of certain tax deductions;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or healthcare costs;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or outbreak of war, terrorism, or public unrest (including, without limitation, the ongoing wars in Ukraine and the Middle East);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policies governing manufacturing, development and investment in territories and countries where we do business.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Global geopolitical conflicts, including the ongoing wars in Ukraine and the Middle East, could lead to significant economic downturns and market and other disruptions, including volatility in the capital markets, economic instability, increases in inflation, increased fuel prices, supply chain constraints and disruptions, political and social instability, and economic sanctions, all of which may adversely impact us and the healthcare industry as a whole, particularly if the conflicts occur in areas in which we have a significant concentration of suppliers or customers.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Additionally, changes in government, government debt, and/or budget crises may lead to reductions in government spending in certain countries, which could reduce overall healthcare spending, and/or higher income or corporate taxes, which could depress spending overall. Recessionary or inflationary conditions and depressed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levels of consumer and commercial spending may also cause customers to reduce, modify, delay, or cancel plans to purchase our products and may cause suppliers to reduce their output or change their terms of sale. Additionally, if customers’ cash flow or operating and financial performance deteriorate, or if they are unable to make scheduled payments or obtain credit, they may not be able to, or may delay, payment to us. Likewise, for similar reasons suppliers may restrict credit or impose different payment terms.</w:t>
      </w:r>
    </w:p>
    <w:p>
      <w:pPr>
        <w:spacing w:after="0" w:line="284"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business is exposed to price fluctuations of key commodities, which may negatively impact our results of operations and cash flows.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manufacturing business relies on product inputs, such as oil-based resins, pulp, cotton, nitrile, and vinyl, as well as other commodities, in the manufacture of its products. Prices of these commodities are volatile and have fluctuated in recent years, which may contribute to fluctuations in our results of operations. We do not currently engage in any hedging activities with respect to commodities. Prices of oil and gas also affect our distribution and transportation costs. Furthermore, due to competitive dynamics and contractual limitations, we may be unable to pass along commodity-driven cost increases through higher prices. If we cannot fully offset cost increases through other cost reductions, or recover these costs through price increases or surcharges, we could experience lower margins and profitability, which could have a material adverse effect on our business, results of operations, financial condition, and cash flows.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5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We have a substantial amount of debt and are permitted to incur a substantial amount of additional indebtedness, including secured debt, to finance working capital, capital expenditures, investments, or acquisitions, or for other purposes. See “Description of Certain Indebtedness.” Our existing debt could have important consequences, the risks of which may increase if we incur any additional debt, including:</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satisfy our obligations, including debt service requirements under our outstanding debt;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or other general corporate purposes;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therefore reducing our ability to use our cash flow to fund our operations, capital expenditures, future business opportunities, and other purposes;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economic downturns and adverse industry conditions and our flexibility to plan for, or react to, changes in our business or industry is more limited;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capitalize on business opportunities and react to competitive pressures compared to our competitors who are not as highly leveraged, including due to the restrictive covenants in the credit agreement that governs the Senior Secured Credit Facilities (as defined herein) and the indentures that govern the Senior Notes (as defined herein);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or to refinance debt on favorable terms or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potential or existing customers or vendors to not contract with us due to concerns over our ability to meet our financial obligations.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 holding company, and our consolidated assets are owned by, and our business is conducted through, our subsidiaries. Revenue from these subsidiaries is our primary source of funds for debt payments and operating expenses. If our subsidiaries are restricted from making distributions to us, our ability to meet our debt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service obligations or otherwise fund our operations may be impaired. Moreover, there may be restrictions on payments by subsidiaries to their parent companies under applicable laws, including laws that require companies to maintain minimum amounts of capital and to make payments to stockholders only from profits. As a result, although a subsidiary of ours may have cash, we may not be able to obtain that cash to satisfy our obligation to service our outstanding debt or fund our operations.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and refinance our indebtedness is subject to our financial and operating performance, which in turn is affected by general and regional economic, financial, competitive, business, and other factors, all of which are beyond our control, including the availability of financing in the international banking and capital markets. Our business may not generate sufficient cash flow from operations or future borrowings may not be available to us in an amount sufficient to enable us to service our debt, to refinance our debt, or to fund our other liquidity needs. Any refinancing or restructuring of our indebtedness could be at higher interest rates and may require us to comply with more onerous covenants that could further restrict our business operations. Moreover, in the event of a default, the holders of our indebtedness could elect to declare such indebtedness be due and payable and/or elect to exercise other rights, such as the lenders under our Revolving Credit Facility terminating their commitments thereunder and ceasing to make further loans or the lenders under our Senior Secured Credit Facilities instituting foreclosure proceedings against their collateral, any of which could materially adversely affect our results of operations and financial condition.</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All of the debt under our Senior Secured Credit Facilities bears interest at variable rates. In recent years, we have experienced higher interest expense on our credit facilities due to interest rate increases, and if interest rates were to increase, our debt service obligations on our credit facilities would further increase, even though the amount borrowed remained the same, especially if our hedging strategies do not effectively mitigate the effects of these increases, and our net income and cash flows, including cash available for servicing our indebtedness, would correspondingly decrease.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we amended the credit agreement governing our Senior Secured Credit Facilities in order to transition our dollar denominated Senior Secured Credit Facilities to the use of the Secured Overnight Financing Rate (“SOFR”) as a replacement for LIBOR. The composition and characteristics of SOFR are not the same as those of LIBOR. As a result, SOFR or any alternative reference rate may not perform in the same way as LIBOR would have at any time, including, without limitation, as a result of changes in interest and yield rates in the market, market volatility, or global or regional economic, financial, political, regulatory, judicial, or other events. Although SOFR plus a spread adjustment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 With limited operating history, it remains unknown whether SOFR will continue to evolve and what the effects of its implementation may be on the markets for financial instruments. Disruption in the financial market could have a material adverse effect on our business, financial condition, and results of operations.</w:t>
      </w:r>
    </w:p>
    <w:p>
      <w:pPr>
        <w:spacing w:after="0" w:line="29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and the indentures that govern the Senior Notes each impose significant operating and financial restrictions on our subsidiaries. These restrictions will limit the ability of our subsidiaries to, among other things:</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issue disqualified stock or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distributions on, or redeem or repurchase,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the ability of restricted subsidiaries to make dividends or other payments to the issuer/borrower or the guarantors of the relevant debt;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subsidiaries as unrestricted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 that is subordinated in right of payment to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addition, if borrowings under our Revolving Credit Facility exceed certain thresholds, our subsidiaries are also subject to a first lien net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leverage ratio financial covenant in the credit agreement that governs the Senior Secured Credit Facilities. See “Description of Certain Indebtedness.”</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0"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other terms of our existing indebtedness and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results of operations, and financial condition could be adversely affected.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Medline Inc. will be a holding company and after completion of this offering will have no material assets other than its ownership of Units held directly or indirectly through wholly owned subsidiaries. Medline Inc. will have no independent means of generating revenue and intends to cause Medline Holdings to make distributions to its holders of Units, including Medline Inc. and the Pre-IPO Unitholders, in an amount sufficient to cover all applicable taxes at assumed tax rates, payments under the tax receivable agreement, and dividends, if any, declared by it. Deterioration in the financial condition, earnings, or cash flow of Medline Holdings and its subsidiaries for any reason could limit or impair their ability to pay such distributions. Additionally, to the extent that Medline Inc. needs funds, and Medline Holdings is restricted from making such distributions under applicable law or regulation or under the terms of its financing arrangements, or is otherwise unable to provide such funds, such restriction could materially adversely affect Medline Inc.’s liquidity and financial condition. There can be no assurance that Medline Holdings will generate sufficient cash flow to distribute funds to us or that applicable state law and contractual restrictions, including negative covenants in any applicable debt instruments, will permit such distributions. Medline Holdings is currently subject to debt instruments or other agreements that restrict its ability to make distributions to us, which may in turn affect Medline Holdings’ ability to pay distributions to us and thereby adversely affect our cash flows.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Medline Holdings will continue to be treated as a partnership for U.S. federal income tax purposes and, as such, generally will not be subject to any entity-level U.S. federal income tax. Instead, taxable income will be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40"/>
          </w:cols>
          <w:pgMar w:left="320" w:top="455"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allocated to holders of Units, including Medline Inc. Accordingly, Medline Inc. will be required to pay income taxes on its allocable share of any net taxable income of Medline Holdings. Liability may be imputed for adjustments to a partnership’s tax return to the partnership itself in certain circumstances, absent an election to the contrary. Medline Holdings may be subject to material liabilities pursuant to this legislation and related guidance if, for example, its calculations of taxable income are incorrect. In addition, the income taxes on Medline Inc.’s allocable share of Medline Holdings’ net taxable income will increase over time as the Pre-IPO Unitholders exchange their Units for shares of Class A common stock. Such increase in Medline Inc.’s tax expenses may have a material adverse effect on our business, results of operations, and financial condition.</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amended and restated limited partnership agreement, Medline Holdings is obligated to make tax distributions to holders of Units (including Medline Inc.) at certain assumed tax rates. These tax distributions in certain periods are likely to exceed Medline Inc.’s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Units from Medline Holdings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undertake ameliorative actions between Units and shares of Class A common stock and instead, for example, hold such cash balances, the Pre-IPO Unitholders may benefit from any value attributable to such cash balances as a result of their ownership of Class A common stock following a sale or exchange of their Units for shares of Class A common stock, notwithstanding that such Pre-IPO Unitholders may previously have participated as holders of Units in distributions by Medline Holdings that resulted in such excess cash balances at Medline Inc. See “Certain Relationships and Related Person Transactions—Medline Holdings Amended and Restated Limited Partnership Agreement.”</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The credit agreement that governs our Senior Secured Credit Facilities and the indentures governing the Senior Notes include, and any financing arrangement that we enter into in the future may include, restrictive covenants that limit our ability to pay dividends. In addition, Medline Holdings is generally prohibited under Delaware law from making a distribution to a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Tax Receivable Agreement confers benefits upon certain of our pre-IPO owners.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tax receivable agreement confers benefits upon certain of our pre-IPO owners. Prior to the completion of this offering, Medline Inc. will enter into a tax receivable agreement with certain of its pre-IPO owners that provides for the payment by Medline Inc. to such pre-IPO owners of 90% of the benefits, if any, that Medline Inc. realizes, or is deemed to realize (calculated using certain assumptions), as a result of (i) Medline Inc.’s allocable share of existing tax basis acquired in this offering, (ii) increases in Medline Inc.’s allocable share of existing tax basis and tax basis adjustments to the tangible and intangible assets of Medline Holdings as a result of sales or exchanges of Units in connection with or after this offering, (iii) Medline Inc.’s utilization of certain tax attributes (including any existing tax basis) of the Blocker Companies and (iv) certain other tax benefits related to entering into the tax receivable agreement, including tax benefits attributable to payments under the tax receivable agreement. The existing tax basis, increases in existing tax basis, and the tax basis adjustments generated over time may increase (for tax purposes) depreciation and amortization deductions available to Medline Inc. and, therefore, may reduce the amount of tax that Medline Inc. would otherwise be required to pay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the future. It is possible that the IRS may challenge all or part of the validity of such tax basis or other tax attributes covered by the tax receivable agreement, and a court could sustain such a challenge.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payment obligation under the tax receivable agreement is an obligation of Medline Inc. and not of Medline Holdings. While the amount of existing tax basis and anticipated tax basis adjustments and utilization of tax attributes, as well as the amount and timing of any payments under the tax receivable agreement, will vary depending upon a number of factors, we expect the payments that Medline Inc. may make under the tax receivable agreement will be substantial. The actual amounts payable will depend upon, among other things, the timing of purchases or exchanges, the price of shares of our Class A common stock at the time of such purchases or exchanges, the extent to which such purchases or exchanges are taxable and the amount and timing of our taxable income. The payments under the tax receivable agreement are not conditioned upon continued ownership of us by the pre-IPO owners. See “Certain Relationships and Related Person Transactions—Tax Receivable Agreement.”</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significantly exceed the actual benefits Medline Inc. realizes in respect of the tax attributes subject to the tax receivable agreement.</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of certain changes of control, the calculation of any future payments that the parties to the tax receivable agreement are or become entitled to receive under the tax receivable agreement will utilize certain valuation assumptions, including that any Units that have not been exchanged are deemed exchanged for the market value of the shares of Class A common stock at the time of the change of control, Medline Inc.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or the five-year period after the change of control.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even in the absence of a change of control, payments under the tax receivable agreement could be in excess of 90% of Medline Inc.’s actual cash tax benefits.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Medline Inc. realizes in respect of the tax attributes subject to the tax receivable agreement and/or if distributions to Medline Inc. by Medline Holdings are not sufficient to permit Medline Inc.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 See “Certain Relationships and Related Person Transactions—Tax Receivable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certain valuation assumptions under the tax receivable agreement in the case of certain changes of control may impair our ability to consummate change of control transactions or negatively impact the value received by owners of our Class A common stock.</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 will be determined applying certain valuation assumptions, including that Medline Inc. will have sufficient taxable income to fully utilize the deductions arising from the increased tax deductions and tax basis and other benefits related to entering into the tax receivable agreement, and may significantly exceed the actual benefits Medline Inc. realizes in respect of the tax attributes subject to the tax receivable agreement. We expect that the payments that we may make under the tax receivable agreement following a change of control will be substantial and may be in excess of 90% of Medline Inc.’s actual cash tax benefits. As a result,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Class A Common Stock</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Designating Stockholders will continue to hold a significant percentage of our stock, and their interests may conflict with ours or yours in the future.</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Immediately following this offering and the application of net proceeds therefrom, the Designating Stockholders will beneficially own or control approximately   % of the combined voting power of our shares eligible to vote in the election of our directors (or   % if the underwriters exercise in full their option to purchase additional shares of Class A common stock). Moreover, we will agree to nominate to our board individuals designated by the Designating Stockholders in accordance with the director nomination agreements we intend to enter into in connection with this offering. The Designating Stockholders will retain the right to designate directors subject to the maintenance of certain ownership requirements in us. See “Certain Relationships and Related Person Transactions—Director Nomination Agreements.”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immediately following this offering and the application of the net proceeds therefrom, the Pre-IPO Unitholders (which include certain interests held by our Principal Stockholders) will own   % of the Units (or   % if the underwriters exercise in full their option to purchase additional shares of Class A common stock). Because they hold their ownership interest in our business directly in Medline Holdings, rather than through Medline Inc., the Pre-IPO Unitholders may have conflicting interests with holders of shares of our Class A common stock. For example, if Medline Holdings makes distributions to Medline Inc., the Pre-IPO Unitholders will also be entitled to receive such distributions pro rata in accordance with the percentages of their respective Units in Medline Holdings and their preferences as to the timing and amount of any such distributions may differ from those of our public stockholders. The pre-IPO owners may also have different tax positions from Medline Inc., which could influence their decisions regarding whether and when to dispose of assets, especially in light of the existence of the tax receivable agreement that we will enter into in connection with this offering, and whether and when to incur new or refinance existing indebtedness.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not limit the ability of our Sponsors, the Mills Family, and our Other Pre-IPO Investors to compete with us, and they may have investments in businesses whose interests conflict with ours.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Sponsors, the Mills Family, our Other Pre-IPO Investors, and their respective affiliates engage in a broad spectrum of activities, including investments in businesses that may compete with us. In the ordinary course of their business activities, our Sponsors, the Mills Family, our Other Pre-IPO Investors, and their respective affiliates may engage in activities where their interests conflict with our interests or those of our stockholders. Our amended and restated certificate of incorporation provides that we will renounce any interest or expectancy that we would otherwise have in, and the right to be offered to participate in, any business opportunity that from time to time may be presented to our Sponsors, our Other Pre-IPO Investors, the Mills Family, subject to limited exceptions, or any of their respective affiliates or any of our directors who are not employed by us (including any non-employee director who serves as one of our officers in both their director and officer capacities) or their affiliates. See “Description of Capital Stock —Conflicts of Interest.” Our Sponsors, the Mills Family, our Other Pre-IPO Investors, and their respective affiliates also may pursue acquisition opportunities that may be complementary to our business, and, as a result, those acquisition opportunities may not be available to us. In addition, our Sponsors, the Mills Family, and our Other Pre-IPO Investors may have an interest in our pursuing acquisitions, divestitures, and other transactions that, in their judgment, could enhance their investment, even though such transactions might involve risks to us and our stockholders.</w:t>
      </w:r>
    </w:p>
    <w:p>
      <w:pPr>
        <w:spacing w:after="0" w:line="29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which could lower our profits, make it more difficult to run our business, or divert management’s attention from our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 public company reporting requirements. We also will incur costs associated with the Sarbanes-Oxley Act of 2002 (the “Sarbanes-Oxley Act”) and related rules implemented by the Securities and Exchange Commission (the “SEC”) and Nasdaq, and compliance with these requirements will place significant demands on our legal, accounting, and finance staff and on our financial and information systems. In addition, we might not be successful in implementing these requirements.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291"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privately held company, we were not required to evaluate our internal control over financial reporting in a manner that meets the standards of publicly traded companies required by Section 404(a) of the Sarbanes-Oxley Act (“Section 404”).</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our independent registered public accounting firm will be required to attest to the effectiveness of our internal control over financial reporting on an annual basis, beginning with our second annual report.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currently in the process of updating our control processes and automating certain of our procedures and systems in anticipation of becoming a public company, but our internal controls over financial reporting currently do not meet all of the standards contemplated by Section 404 that we will eventually be required to meet. Because we currently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 could result in the conclusion that we have a material weakness in our internal controls. In connection with updating our control processes and the implementation of the necessary procedures and practices related to internal control over financial reporting, we have identified deficiencies and may identify deficiencies in the future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29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28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market for our Class A common stock and an active trading market for our Class A common stock may never develop or be sustained, which may cause shares of our Class A common stock to trade at a discount from their initial offering price and make it difficult to sell the shares of Class A common stock you purchase.</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Class A common stock. The initial public offering price per share of Class A common stock will be determined by agreement among us and the representatives of the underwriters and may not be indicative of the price at which shares of our Class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common stock will trade in the public market after this offering. If you purchase shares of our Class A common stock, you may not be able to resell those shares at or above the initial public offering price. We cannot predict the extent to which investor interest in the Company will lead to the development of an active trading market on Nasdaq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share of our Class A common stock and Class B common stock entitles its holder to one vote on all matters to be voted on by the stockholders generally. We cannot predict whether our dual class structure will result in a lower or more volatile market price of our Class A common stock, in adverse publicity, or other adverse consequences. Certain index providers have in the past announced restrictions on including companies with multiple class share structures in certain of their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initial public offering price.</w:t>
      </w:r>
    </w:p>
    <w:p>
      <w:pPr>
        <w:spacing w:after="0" w:line="192"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suffer immediate and substantial dilution.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initial public offering price per share of Class A common stock will be substantially higher than our pro forma net tangible book value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for the Units by the pre-IPO owners. See “Dilution.”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Class A common stock or Units in connection with our incentive plans, acquisitions or otherwise.</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After this offering we will have         shares of Class A common stock authorized but unissued, including         shares of Class A common stock issuable upon exchange of Units that will be held by the Pre-IPO Unitholders (or         shares if the underwriters exercise their options to purchase additional shares of our Class A common stock).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partnership agreement of Medline Holdings permits Medline Holdings to issue an unlimited number of additional partnership interests of Medline Holdings with designations, preferences, rights, powers and duties that are different from, and may be senior to, those applicable to the Units, and which may be exchangeable for shares of our Class A common stock. Additionally, we have reserved an aggregate of</w:t>
      </w:r>
    </w:p>
    <w:p>
      <w:pPr>
        <w:spacing w:after="0" w:line="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shares of Class A common stock and Units for issuance under our Omnibus Incentive Plan. Any Class A common stock that we issue, including under our Omnibus Incentive Plan or other equity incentive plans that we may adopt in the future, would dilute the percentage ownership held by the investors who purchase Class A common stock in this offering. See “Dilution.”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whose terms could materially adversely affect the voting power or value of our Class A common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us to issue, without the approval of our stockholders, one or more series of preferred stock having such designations, preferences, limitations and relative rights, including preferences over our Class A common stock respecting dividends and distributions, as our board of directors may determine. The terms of one or more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91"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shares of our Class A common stock outstanding, or         shares if the underwriters exercise in full their option to purchase additional shares of our Class A common stock. All of the shares of our Class A common stock sold in this offering will be freely tradable without restriction or further registration under the Securities Act, by persons other than our “affiliates,” as that term is defined under Rule 144 of the Securities Act. See “Shares Eligible for Future Sale.”</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and the Pre-IPO Unitholders will enter into an exchange agreement under which they (or certain permitted transferees) will have the right, after the completion of this offering (subject to the terms of the exchange agreement), to exchange their Units for shares of our Class A common stock on a one-for-one basis, subject to customary conversion rate adjustments for stock splits, stock dividends and reclassifications, whereupon an equivalent number of shares of Class B common stock held by each such Pre-IPO Unitholder will be automatically transferred to us and cancelled and retired upon any such exchange. Upon completion of this offering (subject to the terms of the exchange agreement), an aggregate of</w:t>
      </w:r>
    </w:p>
    <w:p>
      <w:pPr>
        <w:spacing w:after="0" w:line="3"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        Units (or         Units if the underwriters exercise their option to purchase additional shares of our Class A common stock) may be exchanged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shares of our Class A common stock. Any shares we issue upon exchange of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Units exchanged. We, our directors, executive officers, and holders of substantially all of our outstanding Units immediately prior to this offering have agreed, subject to certain exceptions, not to dispose of or hedge any shares of our Class A common stock (including shares issued upon exchange of Units) or securities convertible into or exchangeable for shares of our Class A common stock for 180 days from the date of this prospectus, except with the prior written consent of two of the representatives of the underwriters. See “Underwriting.” As a result of the registration rights agreement, however, all of these shares of our Class A common stock (including shares issued upon exchange of Units) may be eligible for future sale without restriction, subject to applicable lock-up arrangements. See “Shares Eligible for Future Sale—Registration Rights” and “Certain Relationships and Related Person Transactions—Registration Rights Agreement.”</w:t>
      </w:r>
    </w:p>
    <w:p>
      <w:pPr>
        <w:spacing w:after="0" w:line="19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our Principal Stockholders will continue to be considered affiliates following the expiration of the lock-up period based on their expected share ownership and their board nomination rights. Certain of our other stockholders may also be considered affiliates at that time. However, subject to the expiration or waiver of the 180-day lock-up period, the holders of these shares of Class A common stock will have the right, subject to certain exceptions and conditions, to require us to register their shares of Class A common stock under the Securities Act, and they will have the right to participate in future registrations of securities by us. Registration of any of these outstanding shares of Class A common stock would result in such shares becoming freely tradable without compliance with Rule 144 upon effectiveness of the registration statement. See “Shares Eligible for Future Sale.”</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shares of our Class A common stock or securities convertible into or exchangeable for shares of our Class A common stock issued pursuant to our Omnibus Incentive Plan. Any such Form S-8 registration statements will automatically become effective upon filing. Accordingly, shares registered under such registration statements will be available for sale in the open market. We expect that the initial registration statement on Form S-8 will cover         shares of our Class A common stock.</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amount of shares of our Class A common stock issued in connection with an investment or acquisition could constitute a material portion of our then outstanding shares of Class A common stock. As the lock-up period or other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91"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5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81" w:lineRule="exact"/>
        <w:rPr>
          <w:sz w:val="20"/>
          <w:szCs w:val="20"/>
          <w:color w:val="auto"/>
        </w:rPr>
      </w:pPr>
    </w:p>
    <w:p>
      <w:pPr>
        <w:ind w:left="1080" w:right="3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allow us to authorize the issuance of shares of one or more series of preferred stock, including in connection with a stockholder rights plan, financing transactions or otherwise, the terms of which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series may be established and the shares of which may be issued without stockholder approval, and which terms may include super voting rights, special approval rights, special or preferential rights to dividends or distributions upon a liquidation, dissolution or winding up, conversion rights, redemption rights, or other rights, powers, or preferences prior or superior to the rights of the holders of common stock;</w:t>
      </w:r>
    </w:p>
    <w:p>
      <w:pPr>
        <w:spacing w:after="0" w:line="81" w:lineRule="exact"/>
        <w:rPr>
          <w:sz w:val="20"/>
          <w:szCs w:val="20"/>
          <w:color w:val="auto"/>
        </w:rPr>
      </w:pPr>
    </w:p>
    <w:p>
      <w:pPr>
        <w:ind w:left="1080" w:right="46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consent in lieu of a meeting from and after the date on which our Principal Stockholders cease to beneficially own or control, in the aggregate, at least 30% of the total voting power of all then outstanding shares of our capital stock entitled to vote generally in the election of directors unless such action is recommended by all directors then in office;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certain limitations on convening special stockholder meetings;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other items of business that can be acted upon by stockholders at annual or special meetings.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elected not to be governed by Section 203 of the General Corporation Law of the State of Delaware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together with such person’s affiliates and associates, owns 15% or more of the outstanding voting stock of the corporation),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a person becoming an interested stockholder prior to the time such person became an interested stockholder. Our amended and restated certificate of incorporation provides that our Principal Stockholders and their affiliates, and any of their respective direct or indirect transferees, and any group as to which such persons are a party, do not constitute “interested stockholders” for purposes of this provision. See “Description of Capital Stock—Anti-Takeover Effects of Our Amended and Restated Certificate of Incorporation and Amended and Restated Bylaws and Certain Provisions of Delaware Law—Business Combinations.”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297"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72" w:lineRule="exact"/>
        <w:rPr>
          <w:sz w:val="20"/>
          <w:szCs w:val="20"/>
          <w:color w:val="auto"/>
        </w:rPr>
      </w:pPr>
    </w:p>
    <w:p>
      <w:pPr>
        <w:ind w:left="120" w:right="220" w:firstLine="440"/>
        <w:spacing w:after="0" w:line="269"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unless we consent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bylaws or as to which the DGCL confers jurisdiction on the Court of Chancery of the State of Delaware; or</w:t>
      </w:r>
    </w:p>
    <w:p>
      <w:pPr>
        <w:spacing w:after="0" w:line="3" w:lineRule="exact"/>
        <w:rPr>
          <w:sz w:val="20"/>
          <w:szCs w:val="20"/>
          <w:color w:val="auto"/>
        </w:rPr>
      </w:pPr>
    </w:p>
    <w:p>
      <w:pPr>
        <w:ind w:left="5540" w:right="4480" w:hanging="5424"/>
        <w:spacing w:after="0" w:line="433" w:lineRule="auto"/>
        <w:tabs>
          <w:tab w:leader="none" w:pos="4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 58</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will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the Company or the Company’s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the proceeds from this offering may be used to purchase or redeem outstanding equity interests from certain of our pre-IPO owners and will not be available to fund our operations.</w:t>
      </w:r>
    </w:p>
    <w:p>
      <w:pPr>
        <w:spacing w:after="0" w:line="5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intend to use any proceeds from the issuance of shares pursuant to any exercise by the underwriters of their option to purchase additional shares of Class A common stock to purchase or redeem outstanding equity interests from certain pre-IPO owners at a price per equity interest equal to the initial public offering price per share of our Class A common stock less the underwriting discounts and commissions, as described under “Organizational Structure—Offering Transactions” and “Use of Proceeds.” Accordingly, we will not retain any of these proceeds, and none of these proceeds will be available to fund our operations, capital expenditures, or acquisition opportunities.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 this prospectus. Factors that may cause actual results to differ from expected results include:</w:t>
      </w:r>
    </w:p>
    <w:p>
      <w:pPr>
        <w:spacing w:after="0" w:line="94" w:lineRule="exact"/>
        <w:rPr>
          <w:sz w:val="20"/>
          <w:szCs w:val="20"/>
          <w:color w:val="auto"/>
        </w:rPr>
      </w:pPr>
    </w:p>
    <w:p>
      <w:pPr>
        <w:ind w:left="1080" w:right="340" w:hanging="424"/>
        <w:spacing w:after="0" w:line="312" w:lineRule="auto"/>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in our global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extensive and complex laws and governmental regulations and the cost of adverse regulatory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compliance with environmental, health, and safety requirements;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from the entry into new or amended contracts, planned cost savings, and business improvement initiatives;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pressures;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government-imposed import policies, tariffs, and legislation;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accelerating price pressure in our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anti-bribery laws, anti-corruption laws, and those laws and regulations pertaining to economic sanctions;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we work with to comply with complex and rapidly evolving data privacy, security, and data protection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increasing use of Machine Learning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tax legislation and audits by tax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U.S. and global healthcare environments;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certain significant suppliers and third-party shippers;</w:t>
      </w:r>
    </w:p>
    <w:p>
      <w:pPr>
        <w:spacing w:after="0" w:line="130" w:lineRule="exact"/>
        <w:rPr>
          <w:rFonts w:ascii="Times New Roman" w:cs="Times New Roman" w:eastAsia="Times New Roman" w:hAnsi="Times New Roman"/>
          <w:sz w:val="18"/>
          <w:szCs w:val="18"/>
          <w:color w:val="auto"/>
        </w:rPr>
      </w:pPr>
    </w:p>
    <w:p>
      <w:pPr>
        <w:ind w:left="1080" w:right="9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fluctuations of key commodities and other factors of production including labor and transportation on our manufacturing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challenges or delays in the Company’s sourcing of new products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in and dependence on certain healthcare provider customers and GPOs;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key employees;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60"/>
          </w:cols>
          <w:pgMar w:left="320" w:top="455"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proper functioning of critical facilities and distribution networks;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litigation brought by third parties claiming infringement, misappropriation, or other violation by us of their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requirements to recognize impairment charges related to goodwill, identified intangible assets, and fixed assets;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derive fully the anticipated benefits from our existing or future acquisitions, joint ventures, investments, dispositions, or other strategic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recalls, and product liability claims;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legal, regulatory, and market measures to address climate 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aspirations, goals, and disclosures related to ESG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outcome of legal proceedings we are involved 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relating to reimbursement of healthcare goods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we work with to reduce expenses if we experience decreasing prices for our goods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insurance program to cover future losses;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positive perceptions of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 ability to incur substantially more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the financial risks associated with interest rate fluctuations on our variable rate debt;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our debt agreements, which may restrict our ability to pursue our business strategies and our ability to comply with them;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“Risk Factors” and elsewhere in this prospectus.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“Management’s Discussion and Analysis of Financial Condition and Results of Operations.” 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prospectus speak only as of the date of this prospectus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in this prospectus to reflect changed assumptions, the occurrence of unanticipated events, or changes to future operating results over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includes market and industry data and forecasts that we have derived from independent consultant reports, publicly available information, various industry publications, other published industry sources, and our internal data, surveys, and estimates. Independent consultant reports, industry publications, and other published industry sources generally indicate that the information contained therein was obtained from sources believed to be reliable.</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assumptions and estimates of our and our industry’s future performance are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Statements regarding our market position (including statements that we are the largest company in a particular market), unless otherwise noted, are based on our 2023 sales in the relevant market relative to the publicly reported sales of our competitors in such market.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right="20" w:firstLine="440"/>
        <w:spacing w:after="0" w:line="238" w:lineRule="auto"/>
        <w:rPr>
          <w:sz w:val="20"/>
          <w:szCs w:val="20"/>
          <w:color w:val="auto"/>
        </w:rPr>
      </w:pPr>
      <w:r>
        <w:rPr>
          <w:rFonts w:ascii="Times New Roman" w:cs="Times New Roman" w:eastAsia="Times New Roman" w:hAnsi="Times New Roman"/>
          <w:sz w:val="18"/>
          <w:szCs w:val="18"/>
          <w:color w:val="auto"/>
        </w:rPr>
        <w:t xml:space="preserve">We own or have the right to use trademarks, trade names, and service marks used in connection with our business, including, but not limited to, Medline, Curad, Microtek, Hudson, and Proxima, which are protected 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Existing Organizational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diagram below depicts our current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2914650</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171450</wp:posOffset>
            </wp:positionV>
            <wp:extent cx="1508760" cy="26485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0876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Certain intermediate holding companies that are not material to this offering have been omitted from the structure chart.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Organizational Structure Following this Offering</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(as defined herein), whereby Medline Inc. will begin to consolidate Medline Holdings in its consolidated financial statements, will be accounted for as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 Medline Inc. will consolidate Medline Holdings in its consolidated financial statements and record a non-controlling interest related to the Units held by the Pre-IPO Unitholders on its consolidated balance sheet and statement of income.</w:t>
      </w:r>
    </w:p>
    <w:p>
      <w:pPr>
        <w:spacing w:after="0" w:line="17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Pre-IPO Unitholders will hold all of the issued and outstanding shares of our Class B common stock. The shares of Class B common stock will have no economic rights but will entitle each holder to one vote for each share held of record on all matters to be voted on by stockholders generally, with the number of shares of Class B common stock held by each Pre-IPO Unitholder being equivalent to the number of Units held by each such Pre-IPO Unitholder. If at any time the ratio at which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post-offering organizational structure, as described above, is commonly referred to as an umbrella partnership-C-corporation (or UP-C) structure. This organizational structure will allow the Pre-IPO Unitholders to retain their equity ownership in Medline Holdings, an entity that is classified as a partnership for U.S. federal income tax purposes, in the form of Units. Investors in this offering and the Pre-IPO Stockholders will, by contrast, hold their equity ownership in Medline Inc., a Delaware corporation that is a domestic corporation for U.S. federal income tax purposes, in the form of shares of Class A common stock. We believe that the Pre-IPO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diagram below depicts our organizational structure immediately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060440" cy="4123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60440" cy="412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7"/>
          <w:szCs w:val="17"/>
          <w:color w:val="auto"/>
        </w:rPr>
        <w:t>Certain intermediate holding companies that are not material to this offering have been omitted from the structure chart.</w:t>
      </w:r>
    </w:p>
    <w:p>
      <w:pPr>
        <w:spacing w:after="0" w:line="27" w:lineRule="exact"/>
        <w:rPr>
          <w:sz w:val="20"/>
          <w:szCs w:val="20"/>
          <w:color w:val="auto"/>
        </w:rPr>
      </w:pPr>
    </w:p>
    <w:p>
      <w:pPr>
        <w:ind w:left="660" w:right="700" w:hanging="544"/>
        <w:spacing w:after="0" w:line="290"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our Class A common stock and Class B common stock entitles its holder to one vote on all matters to be voted on by the stockholders generally. For additional information, see “Description of Capital Stock—Common Stock—Class B Common Stock.”</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of Medline Inc.</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Medline Inc. was incorporated as a Delaware corporation on November 6, 2024. Medline Inc. has not engaged in any business or other activities except in connection with its formation and this offering. The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40"/>
          </w:cols>
          <w:pgMar w:left="320" w:top="455" w:right="5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amended and restated certificate of incorporation of Medline Inc. authorizes two classes of common stock, Class A common stock and Class B common stock, each having the terms described in “Description of Capital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Blocker Transfers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our Pre-IPO Stockholders hold their interests in Medline Holdings through Blocker Companies that are taxable as corporations for U.S. federal income tax purposes. At the time of this offering, we will enter into certain restructuring transactions (such transactions, the “Blocker Transfers”) that will result in the Pre-IPO Stockholders acquiring         shares of newly issued Class A common stock in exchange for the acquisition by Medline Inc. of the Blocker Companies and, indirectly, the equivalent number of Units held by the Blocker Companies. Each of the Blocker Companies will initially become a wholly owned subsidiary of Medline Inc.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Restatement of the Limited Partnership Agreement of Medline Holdings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the limited partnership agreement of Medline Holdings will be amended and restated to, among other things, modify its capital structure by creating a single new class of limited partnership interests that we refer to as “Units.” We refer to this amendment and restatement, together with the transactions described above under “—Blocker Transfers” and the entry into the Exchange Agreement and Tax Receivable Agreement described below as the “Reorganization Transactions.” As a result of these transactions, our pre-IPO owners will hold their ownership interests directly in Medline Holdings (in the case of the Pre-IPO Unitholders) or Medline Inc. (in the case of the Pre-IPO Stockholders). Immediately following the Reorganization Transactions but prior to the other Offering Transactions described below, there will be         Units issued and outstanding.</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limited partnership agreement of Medline Holdings, Medline Inc. will become the sole general partner of Medline Holdings. Accordingly, Medline Inc. will have the right to determine when distributions will be made to the holders of Units and the amount of any such distributions. If Medline Inc., as the general partner, authorizes a distribution, such distribution will be made to the holders of Units pro rata in accordance with the percentages of their respective Units held.</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holders of Units in Medline Holdings, including Medline Inc., will incur U.S. federal, state, and local income taxes on their allocable share of any taxable income of Medline Holdings. Net profits and net losses of Medline Holdings will generally be allocated to its owners (including Medline Inc.) pro rata in accordance with the percentages of their respective Units held, except as otherwise required by law. The amended and restated limited partnership agreement will provide for cash distributions to the holders of Units if Medline Inc. determines that the taxable income of Medline Holdings will give rise to taxable income for the holders of Units. In accordance with the amended and restated limited partnership agreement, we intend to cause Medline Holdings to make pro rata cash distributions to the holders of Units in Medline Holdings, including us, for purposes of funding their tax obligations in respect of the income of Medline Holdings that is allocated to them. Generally, these tax distributions will be computed based on our estimate of the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See “Certain Relationships and Related Person Transactions—Medline Holdings Amended and Restated Limited Partnership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and the holders of outstanding Units will enter into an exchange agreement at the time of this offering under which they (or certain permitted transferees thereof) may (subject to the terms of the exchange agreement) exchange their Units for shares of our Class A common stock on a one-for-one basis, subject to customary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conversion rate adjustments for stock splits, stock dividends and reclassifications, whereupon an equivalent number of shares of Class B common stock held by each such Pre-IPO Unitholder will be automatically transferred to us and cancelled and retired upon any such exchange. Class A common stock received by such Pre-IPO Unitholder upon such exchanges during the applicable restricted periods described in “Shares Eligible for Future Sale—Lock-Up Agreements,” would be subject to the restrictions described in such section. The exchange agreement will also provide that a holder of Units will not have the right to exchange Units if Medline Inc. determines that such exchange would be prohibited by law or regulation or would violate other agreements with Medline Inc. to which the holder of Units may be subject. Medline Inc. may impose additional restrictions on exchange that it determines to be necessary or advisable so that Medline Holdings is not treated as a “publicly traded partnership” for U.S. federal income tax purposes. As a holder exchanges Units for shares of Class A common stock, the number of Units held by Medline Inc. is correspondingly increased as it acquires the exchanged Units. Holders of outstanding Units do not have the right to require a redemption of the Units. If at any time the ratio at which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See “Certain Relationships and Related Person Transactions—Exchange Agreement.”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Prior to the completion of this offering, Medline Inc. will enter into a tax receivable agreement with certain of our pre-IPO owners that provides for the payment by Medline Inc. to such pre-IPO owners of 90% of the benefits, if any, that Medline Inc. actually realizes, or is deemed to realize (calculated using certain assumptions), as a result of (i) Medline Inc.’s allocable share of existing tax basis acquired in this offering, (ii) increases in Medline Inc.’s allocable share of existing tax basis and tax basis adjustments to the tangible and intangible assets of Medline Holdings as a result of sales or exchanges of Units in connection with or after this offering, (iii) Medline Inc.’s utilization of certain tax attributes of the Blocker Companies, and (iv) certain other tax benefits related to our entering into the tax receivable agreement, including tax benefits attributable (including any existing tax basis) to payments under the tax receivable agreement. Sales or exchanges of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Transactions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Medline Inc. intends to use the proceeds (net of underwriting discounts and commissions) from the issuance by it of shares of Class A common stock in this offering (excluding any proceeds from the issuance of shares pursuant to any exercise by the underwriters of their option to purchase additional shares of Class A common stock) to acquire an equivalent number of newly issued Units from Medline Holdings. Assuming that the       </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shares of Class A common stock to be sold by Medline Inc. in this offering are sold at $        per share, which is the midpoint of the range on the front cover of this prospectus, at the time of this offering, Medline Inc. will acquire from Medline Holdings an equivalent number of newly issued Units for an aggregate of $        million. The issuance of such newly issued Units by Medline Holdings to Medline Inc. will correspondingly dilute the ownership interests of the Pre-IPO Unitholders in Medline Holdings. Medline Inc. intends to cause Medline Holdings, in turn, to use these proceeds for general corporate purposes, including the repayment of indebtedness, and to bear all of the expenses of this offering. See “Use of Proceeds.”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Medline Inc. will use any proceeds (net of underwriting discounts and commissions) from the issuance by it of shares of Class A common stock pursuant to any exercise by the underwriters of their option to purchase additional shares of Class A common stock to purchase or redeem outstanding Units and shares of Class A common stock from our pre-IPO owners at a price per equity interest equal to the initial public offering price per share of our Class A common stock less the underwriting discounts and commissions. Accordingly, we will not retain any of these proceeds. Assuming that the shares of Class A common stock to be sold by Medline Inc. in this offering are sold at $        per share, which is the midpoint of the range on the front cover of this prospectus, and assuming that the underwriters exercise their option to purchase        additional shares of Class A common stock in full, at the time of this offering, Medline Inc. will purchase or redeem from our pre-IPO owners an equivalent number of outstanding equity interests for an aggregate of $        million. See “Principal Stockholders” for additional information regarding the proceeds from this offering that will be paid to certain of our pre-IPO owners.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Accordingly, following this offering Medline Inc. will directly or indirectly hold a number of Units that is equal to the number of shares of Class A common stock that it has issued, a relationship that we believe fosters transparency because it results in a single share of Class A common stock representing (albeit indirectly) the same percentage equity interest in Medline Holdings as a single Unit.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transactions described above:</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the investors in this offering will collectively own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our Class A common stock (or             shares of Class A common</w:t>
            </w:r>
          </w:p>
        </w:tc>
      </w:tr>
      <w:tr>
        <w:trPr>
          <w:trHeight w:val="234"/>
        </w:trPr>
        <w:tc>
          <w:tcPr>
            <w:tcW w:w="240" w:type="dxa"/>
            <w:vAlign w:val="bottom"/>
          </w:tcPr>
          <w:p>
            <w:pPr>
              <w:spacing w:after="0"/>
              <w:rPr>
                <w:sz w:val="20"/>
                <w:szCs w:val="20"/>
                <w:color w:val="auto"/>
              </w:rPr>
            </w:pPr>
          </w:p>
        </w:tc>
        <w:tc>
          <w:tcPr>
            <w:tcW w:w="1022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stock if the underwriters exercise in full their option to purchase additional shares of Class A common stock);</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the Pre-IPO Stockholders will hold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68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shares of our Class A common stock (or          shares of Class A common stock if the</w:t>
            </w:r>
          </w:p>
        </w:tc>
      </w:tr>
      <w:tr>
        <w:trPr>
          <w:trHeight w:val="234"/>
        </w:trPr>
        <w:tc>
          <w:tcPr>
            <w:tcW w:w="240" w:type="dxa"/>
            <w:vAlign w:val="bottom"/>
          </w:tcPr>
          <w:p>
            <w:pPr>
              <w:spacing w:after="0"/>
              <w:rPr>
                <w:sz w:val="20"/>
                <w:szCs w:val="20"/>
                <w:color w:val="auto"/>
              </w:rPr>
            </w:pPr>
          </w:p>
        </w:tc>
        <w:tc>
          <w:tcPr>
            <w:tcW w:w="1022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underwriters exercise in full their option to purchase additional shares of Class A common stock);</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Pre-IPO Unitholders will hold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 </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2"/>
              </w:rPr>
              <w:t>Units (or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    </w:t>
            </w:r>
          </w:p>
        </w:tc>
        <w:tc>
          <w:tcPr>
            <w:tcW w:w="53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w w:val="99"/>
              </w:rPr>
              <w:t>Units if the underwriters exercise in full their option to purchase</w:t>
            </w:r>
          </w:p>
        </w:tc>
      </w:tr>
      <w:tr>
        <w:trPr>
          <w:trHeight w:val="234"/>
        </w:trPr>
        <w:tc>
          <w:tcPr>
            <w:tcW w:w="240" w:type="dxa"/>
            <w:vAlign w:val="bottom"/>
          </w:tcPr>
          <w:p>
            <w:pPr>
              <w:spacing w:after="0"/>
              <w:rPr>
                <w:sz w:val="20"/>
                <w:szCs w:val="20"/>
                <w:color w:val="auto"/>
              </w:rPr>
            </w:pPr>
          </w:p>
        </w:tc>
        <w:tc>
          <w:tcPr>
            <w:tcW w:w="3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additional shares of Class A common stock);</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5"/>
              </w:rPr>
              <w:t>Medline Inc. will directly or indirectly hold  </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Units (or  </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Units if the underwriters exercise in full their option to purchase</w:t>
            </w:r>
          </w:p>
        </w:tc>
      </w:tr>
      <w:tr>
        <w:trPr>
          <w:trHeight w:val="234"/>
        </w:trPr>
        <w:tc>
          <w:tcPr>
            <w:tcW w:w="240" w:type="dxa"/>
            <w:vAlign w:val="bottom"/>
          </w:tcPr>
          <w:p>
            <w:pPr>
              <w:spacing w:after="0"/>
              <w:rPr>
                <w:sz w:val="20"/>
                <w:szCs w:val="20"/>
                <w:color w:val="auto"/>
              </w:rPr>
            </w:pPr>
          </w:p>
        </w:tc>
        <w:tc>
          <w:tcPr>
            <w:tcW w:w="3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additional shares of Class A common stock);</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the investors in this offering will collectively have  </w:t>
            </w:r>
          </w:p>
        </w:tc>
        <w:tc>
          <w:tcPr>
            <w:tcW w:w="624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w w:val="98"/>
              </w:rPr>
              <w:t>% of the voting power in Medline Inc. (or    % if the underwriters exercise in full</w:t>
            </w:r>
          </w:p>
        </w:tc>
      </w:tr>
      <w:tr>
        <w:trPr>
          <w:trHeight w:val="234"/>
        </w:trPr>
        <w:tc>
          <w:tcPr>
            <w:tcW w:w="240" w:type="dxa"/>
            <w:vAlign w:val="bottom"/>
          </w:tcPr>
          <w:p>
            <w:pPr>
              <w:spacing w:after="0"/>
              <w:rPr>
                <w:sz w:val="20"/>
                <w:szCs w:val="20"/>
                <w:color w:val="auto"/>
              </w:rPr>
            </w:pPr>
          </w:p>
        </w:tc>
        <w:tc>
          <w:tcPr>
            <w:tcW w:w="546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w w:val="99"/>
              </w:rPr>
              <w:t>their option to purchase additional shares of Class A common stock); and</w:t>
            </w:r>
          </w:p>
        </w:tc>
        <w:tc>
          <w:tcPr>
            <w:tcW w:w="4760" w:type="dxa"/>
            <w:vAlign w:val="bottom"/>
          </w:tcPr>
          <w:p>
            <w:pPr>
              <w:spacing w:after="0"/>
              <w:rPr>
                <w:sz w:val="20"/>
                <w:szCs w:val="20"/>
                <w:color w:val="auto"/>
              </w:rPr>
            </w:pP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the Pre-IPO Stockholders will have  </w:t>
            </w:r>
          </w:p>
        </w:tc>
        <w:tc>
          <w:tcPr>
            <w:tcW w:w="7380" w:type="dxa"/>
            <w:vAlign w:val="bottom"/>
            <w:gridSpan w:val="9"/>
          </w:tcPr>
          <w:p>
            <w:pPr>
              <w:jc w:val="right"/>
              <w:ind w:right="230"/>
              <w:spacing w:after="0"/>
              <w:rPr>
                <w:sz w:val="20"/>
                <w:szCs w:val="20"/>
                <w:color w:val="auto"/>
              </w:rPr>
            </w:pPr>
            <w:r>
              <w:rPr>
                <w:rFonts w:ascii="Times New Roman" w:cs="Times New Roman" w:eastAsia="Times New Roman" w:hAnsi="Times New Roman"/>
                <w:sz w:val="18"/>
                <w:szCs w:val="18"/>
                <w:color w:val="auto"/>
              </w:rPr>
              <w:t>% of the voting power in Medline Inc. (or    % if the underwriters exercise in full their option to</w:t>
            </w:r>
          </w:p>
        </w:tc>
      </w:tr>
      <w:tr>
        <w:trPr>
          <w:trHeight w:val="216"/>
        </w:trPr>
        <w:tc>
          <w:tcPr>
            <w:tcW w:w="240" w:type="dxa"/>
            <w:vAlign w:val="bottom"/>
          </w:tcPr>
          <w:p>
            <w:pPr>
              <w:spacing w:after="0"/>
              <w:rPr>
                <w:sz w:val="18"/>
                <w:szCs w:val="18"/>
                <w:color w:val="auto"/>
              </w:rPr>
            </w:pPr>
          </w:p>
        </w:tc>
        <w:tc>
          <w:tcPr>
            <w:tcW w:w="1022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purchase additional shares of Class A common stock) and the Pre-IPO Unitholders, as holders of all of the outstanding shares of Class B</w:t>
            </w:r>
          </w:p>
        </w:tc>
      </w:tr>
      <w:tr>
        <w:trPr>
          <w:trHeight w:val="216"/>
        </w:trPr>
        <w:tc>
          <w:tcPr>
            <w:tcW w:w="240" w:type="dxa"/>
            <w:vAlign w:val="bottom"/>
          </w:tcPr>
          <w:p>
            <w:pPr>
              <w:spacing w:after="0"/>
              <w:rPr>
                <w:sz w:val="18"/>
                <w:szCs w:val="18"/>
                <w:color w:val="auto"/>
              </w:rPr>
            </w:pPr>
          </w:p>
        </w:tc>
        <w:tc>
          <w:tcPr>
            <w:tcW w:w="546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w w:val="98"/>
              </w:rPr>
              <w:t>common stock, will have    % of the voting power in Medline Inc. (or  </w:t>
            </w:r>
          </w:p>
        </w:tc>
        <w:tc>
          <w:tcPr>
            <w:tcW w:w="4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9"/>
              </w:rPr>
              <w:t>% if the underwriters exercise in full their option to purchase</w:t>
            </w:r>
          </w:p>
        </w:tc>
      </w:tr>
      <w:tr>
        <w:trPr>
          <w:trHeight w:val="234"/>
        </w:trPr>
        <w:tc>
          <w:tcPr>
            <w:tcW w:w="240" w:type="dxa"/>
            <w:vAlign w:val="bottom"/>
          </w:tcPr>
          <w:p>
            <w:pPr>
              <w:spacing w:after="0"/>
              <w:rPr>
                <w:sz w:val="20"/>
                <w:szCs w:val="20"/>
                <w:color w:val="auto"/>
              </w:rPr>
            </w:pPr>
          </w:p>
        </w:tc>
        <w:tc>
          <w:tcPr>
            <w:tcW w:w="3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additional shares of Class A common stock).</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64"/>
        </w:trPr>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estimate that the proceeds to Medline Inc. from this offering at an assumed initial public offering price of $        per share, which is the midpoint of the price range set forth on the cover page of this prospectus, after deducting estimated underwriting discounts and commissions, will be approximately $        million (or $        million if the underwriters exercise in full their option to purchase additional shares of Class A common stock). A $1.00 increase or decrease in the assumed initial public offering price of $        per share would increase or decrease, as applicable, the proceeds to Medline Inc. from this offering by approximately $        million, assuming the number of shares offered by us remains the same as set forth on the cover page of this prospectus and after deducting the estimated underwriting discounts and commissions (of which approximately $        million would be an increase or decrease, as applicable, in the cash available for general corporate purposes, including the repayment of indebtedness (specific indebtedness to be repaid to be identified in a later pre-effective amendment to the registration statement), and $        million would be an increase or decrease, as applicable, in the cash applied to redeem or repurchase shares of outstanding equity interests from certain pre-IPO owners as described below).</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Units from Medline Holdings, as described under “Organizational Structure—Offering Transactions,” which Medline Holdings will in turn use for general corporate purposes, including the repayment of indebtedness (specific indebtedness to be repaid to be identified in a later pre-effective amendment to the registration statement), and to bear all of the expenses of this offering. We estimate these offering expenses (excluding underwriting discounts and commissions) will be approximately $        million.</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Medline Inc. intends to use any proceeds from the issuance of shares pursuant to any exercise by the underwriters of their option to purchase additional shares of Class A common stock to purchase or redeem outstanding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will provide that holders of Class B common stock shall not be entitled to any dividends on their shares of Class B common stock.</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Medline Inc. is a holding company and has no material assets other than its ownership of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Units will also be entitled to receive distributions pro rata in accordance with the percentages of their respective Units held.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amended and restated limited partnership agreement of Medline Holdings will provide that pro rata cash distributions be made to holders of Units (including Medline Inc.) at certain assumed tax rates, which we refer to as “tax distributions.” See “Certain Relationships and Related Person Transactions—Medline Holdings Amended and Restated Limited Partnership Agreement.” We anticipate that amounts received by Medline Inc. in certain periods are likely to exceed Medline Inc.’s actual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Units from Medline Holdings at a per unit price determined by reference to the market value of the Class A common stock; paying dividends, which may include special dividends, on its Class A common stock; or any combination of the foregoing. We also expect, if necessary, to undertake ameliorative actions, which may include pro rata or non-pro rata reclassifications, combinations, subdivisions or adjustments of outstanding Units, to maintain 1:1 parity between Units and shares of Class A common stock. See “Risk Factors—Risks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dividends.”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 See “Description of Certain Indebtedness.”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capitalization as of December 31, 2024:</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prepared in accordance with Article 11 of Regulation S-X giving effect to the transactions described under</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“Unaudited Pro Forma Consolidated Financial Information,” included elsewhere in the prospectus, which reflects the sale by us of</w:t>
      </w:r>
    </w:p>
    <w:p>
      <w:pPr>
        <w:spacing w:after="0" w:line="9" w:lineRule="exact"/>
        <w:rPr>
          <w:sz w:val="20"/>
          <w:szCs w:val="20"/>
          <w:color w:val="auto"/>
        </w:rPr>
      </w:pPr>
    </w:p>
    <w:p>
      <w:pPr>
        <w:jc w:val="both"/>
        <w:ind w:left="1080" w:right="20"/>
        <w:spacing w:after="0" w:line="260" w:lineRule="auto"/>
        <w:rPr>
          <w:sz w:val="20"/>
          <w:szCs w:val="20"/>
          <w:color w:val="auto"/>
        </w:rPr>
      </w:pPr>
      <w:r>
        <w:rPr>
          <w:rFonts w:ascii="Times New Roman" w:cs="Times New Roman" w:eastAsia="Times New Roman" w:hAnsi="Times New Roman"/>
          <w:sz w:val="18"/>
          <w:szCs w:val="18"/>
          <w:color w:val="auto"/>
        </w:rPr>
        <w:t>        shares of Class A common stock in this offering at an assumed initial public offering price of $        per share (the midpoint of the range set forth on the cover page of this prospectus) and the application of the proceeds therefrom as described in “Use of Proceeds.”</w:t>
      </w:r>
    </w:p>
    <w:p>
      <w:pPr>
        <w:spacing w:after="0" w:line="18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information below is illustrative only and our capitalization following this offering will be adjusted based on the actual initial public offering price and other terms of this offering determined at pricing. Cash and cash equivalents are not components of our total capitalization. You should read this table together with the other information contained in this prospectus, including “Organizational Structure,” “Use of Proceeds,” “Unaudited Pro Forma Consolidated Financial Information,” “Management’s Discussion and Analysis of Financial Condition and Results of Operations,” and the historical financial statements and related notes thereto included elsewhere in this prospectus.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26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Medline</w:t>
            </w: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Medline Inc.</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60" w:type="dxa"/>
            <w:vAlign w:val="bottom"/>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7"/>
        </w:trPr>
        <w:tc>
          <w:tcPr>
            <w:tcW w:w="26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gridSpan w:val="4"/>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(Dollars in millions, except par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 amounts)</w:t>
            </w:r>
          </w:p>
        </w:tc>
        <w:tc>
          <w:tcPr>
            <w:tcW w:w="0" w:type="dxa"/>
            <w:vAlign w:val="bottom"/>
          </w:tcPr>
          <w:p>
            <w:pPr>
              <w:spacing w:after="0"/>
              <w:rPr>
                <w:sz w:val="1"/>
                <w:szCs w:val="1"/>
                <w:color w:val="auto"/>
              </w:rPr>
            </w:pPr>
          </w:p>
        </w:tc>
      </w:tr>
      <w:tr>
        <w:trPr>
          <w:trHeight w:val="20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4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center"/>
              <w:ind w:right="21"/>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Debt:</w:t>
            </w:r>
          </w:p>
        </w:tc>
        <w:tc>
          <w:tcPr>
            <w:tcW w:w="2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Senior Secured Credit Facilities</w:t>
            </w:r>
          </w:p>
        </w:tc>
        <w:tc>
          <w:tcPr>
            <w:tcW w:w="21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Dollar Term Loan Facility</w:t>
            </w:r>
          </w:p>
        </w:tc>
        <w:tc>
          <w:tcPr>
            <w:tcW w:w="2140" w:type="dxa"/>
            <w:vAlign w:val="bottom"/>
          </w:tcPr>
          <w:p>
            <w:pPr>
              <w:spacing w:after="0"/>
              <w:rPr>
                <w:sz w:val="18"/>
                <w:szCs w:val="18"/>
                <w:color w:val="auto"/>
              </w:rPr>
            </w:pP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Euro Term Loan Facility</w:t>
            </w:r>
          </w:p>
        </w:tc>
        <w:tc>
          <w:tcPr>
            <w:tcW w:w="21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3.875% Senior Secured Notes due 2029</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6.250% Senior Secured Notes due 2029</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5.250% Senior Notes due 2029</w:t>
            </w:r>
          </w:p>
        </w:tc>
        <w:tc>
          <w:tcPr>
            <w:tcW w:w="21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lines of credit</w:t>
            </w:r>
          </w:p>
        </w:tc>
        <w:tc>
          <w:tcPr>
            <w:tcW w:w="2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1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2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Units</w:t>
            </w:r>
          </w:p>
        </w:tc>
        <w:tc>
          <w:tcPr>
            <w:tcW w:w="21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mezzanine equity</w:t>
            </w:r>
          </w:p>
        </w:tc>
        <w:tc>
          <w:tcPr>
            <w:tcW w:w="21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capital/shareholders’ equity</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60" w:type="dxa"/>
            <w:vAlign w:val="bottom"/>
            <w:gridSpan w:val="4"/>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 100,000 shares authorized and no shares issued and</w:t>
            </w: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xml:space="preserve">outstanding, actual; and     </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shares authorized and        </w:t>
            </w:r>
          </w:p>
        </w:tc>
        <w:tc>
          <w:tcPr>
            <w:tcW w:w="396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99"/>
              </w:rPr>
              <w:t>shares issued and outstanding on a pro forma</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basis</w:t>
            </w:r>
          </w:p>
        </w:tc>
        <w:tc>
          <w:tcPr>
            <w:tcW w:w="214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760" w:type="dxa"/>
            <w:vAlign w:val="bottom"/>
            <w:gridSpan w:val="4"/>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$0.0001 per share, 100,000 shares authorized and 10,000 shares issued</w:t>
            </w: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3"/>
              </w:rPr>
              <w:t>and outstanding, actual; and  </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      shares authorized and  </w:t>
            </w:r>
          </w:p>
        </w:tc>
        <w:tc>
          <w:tcPr>
            <w:tcW w:w="39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shares issued and outstanding on a pro</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forma basis</w:t>
            </w:r>
          </w:p>
        </w:tc>
        <w:tc>
          <w:tcPr>
            <w:tcW w:w="21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partners’ capital/shareholders’ equity</w:t>
            </w:r>
          </w:p>
        </w:tc>
        <w:tc>
          <w:tcPr>
            <w:tcW w:w="3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40" w:type="dxa"/>
            <w:vAlign w:val="bottom"/>
            <w:vMerge w:val="restart"/>
          </w:tcPr>
          <w:p>
            <w:pPr>
              <w:jc w:val="right"/>
              <w:ind w:right="295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8"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increase (decrease) in the assumed initial public offering price per share, assuming no change in the number of shares to be sold, would</w:t>
      </w:r>
    </w:p>
    <w:p>
      <w:pPr>
        <w:spacing w:after="0" w:line="27"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increase (decrease) each of pro forma total equity and total capitalization by approximately $        million. An increase (decrease) of 1,000,000 shares in the expected number of shares to be sold in the offering (excluding any shares to be sold pursuant to any exercise by the underwriters of their option to purchase additional shares of Class A common stock), assuming no change in the assumed initial offering price per share, would increase (decrease) our pro forma total equity and total capitalization by approximately $        million.</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40"/>
          </w:cols>
          <w:pgMar w:left="320" w:top="455"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you invest in shares of our Class A common stock in this offering, your investment will be immediately diluted to the extent of the difference between the initial public offering price per share of Class A common stock and the pro forma net tangible book value per share of Class A common stock after this offering. Dilution results from the fact that the per share offering price of the shares of Class A common stock is substantially in excess of the pro forma net tangible book value per share attributable to the Class A common stock held by our pre-IPO owners.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pro forma net tangible book deficit as of December 31, 2024 was approximately $        million, or $        per share of Class A common stock. Pro forma net tangible book deficit represents the amount of total tangible assets less total liabilities, and pro forma net tangible book deficit per share of Class A common stock represents pro forma net tangible book deficit divided by the number of shares of Class A common stock outstanding, after giving effect to the Reorganization Transactions and assuming that all of the holders of Units in Medline Holdings (other than Medline Inc.) exchanged their Units for newly issued shares of Class A common stock on a one-for-one basis.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After giving effect to the transactions described under “Unaudited Pro Forma Consolidated Financial Information,” including the application of the proceeds from this offering as described in “Use of Proceeds,” after deducting the underwriting discounts and commissions and estimated offering expenses payable by us, our pro forma net tangible book deficit as of December 31, 2024 would have been $        million, or $        per share of Class A common stock. This represents an immediate decrease in net tangible book deficit of $        per share of Class A common stock to our pre-IPO owners and an immediate dilution in net tangible book deficit of $        per share of Class A common stock to investors in this offering.</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of Class A common stock basis assuming the underwriters do not exercise their option to purchase additional shares of Class A common stock:</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Class A common stock</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deficit per share of Class A common stock as of December 31, 2024</w:t>
            </w: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198"/>
        </w:trPr>
        <w:tc>
          <w:tcPr>
            <w:tcW w:w="20" w:type="dxa"/>
            <w:vAlign w:val="bottom"/>
          </w:tcPr>
          <w:p>
            <w:pPr>
              <w:spacing w:after="0"/>
              <w:rPr>
                <w:sz w:val="17"/>
                <w:szCs w:val="17"/>
                <w:color w:val="auto"/>
              </w:rPr>
            </w:pPr>
          </w:p>
        </w:tc>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pro forma net tangible book value per share of Class A common stock attributable to investors in</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this offering</w:t>
            </w:r>
          </w:p>
        </w:tc>
        <w:tc>
          <w:tcPr>
            <w:tcW w:w="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tangible book deficit per share of Class A common stock after the offering</w:t>
            </w:r>
          </w:p>
        </w:tc>
        <w:tc>
          <w:tcPr>
            <w:tcW w:w="2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pro forma net tangible book deficit per share of Class A common stock to investors in this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w:t>
            </w:r>
          </w:p>
        </w:tc>
        <w:tc>
          <w:tcPr>
            <w:tcW w:w="2060" w:type="dxa"/>
            <w:vAlign w:val="bottom"/>
            <w:gridSpan w:val="4"/>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Because the Pre-IPO Unitholders will own direct economic interests in Medline Holdings that are not represented with economic interests in Medline Inc., we have presented dilution in pro forma net tangible book deficit per share of Class A common stock to investors in this offering assuming that all of the holders of Units in Medline Holdings (other than Medline Inc.) exchanged their Units for newly issued shares of Class A common stock on a one-for-one basis in order to more meaningfully present the dilutive impact on the investors in this offering.</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$1.00 increase in the assumed initial public offering price of $        per share of our Class A common stock would increase our pro forma net tangible book value after giving effect to this offering by $        million, or by $        per share of our Class A common stock, assuming the</w:t>
      </w: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number of shares offered by us remains the same and after deducting estimated underwriting discounts and commissions. A $1.00 decrease in the assumed initial public offering price per share would result in equal changes in the opposite direction.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December 31, 2024, the total number of shares of Class A common stock purchased from us, the total cash consideration paid to us, and the average price per share of Class A common stock paid by our pre-IPO owners and by new investors purchasing shares of Class A common stock in this offering, assuming that all of the holders of Units in Medline Holdings (other than Medline Inc.) exchanged their Units for newly issued shares of our Class A common stock on a one-for-one basis.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Class A common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gridSpan w:val="4"/>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8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 Share of</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00" w:type="dxa"/>
            <w:vAlign w:val="bottom"/>
          </w:tcPr>
          <w:p>
            <w:pPr>
              <w:spacing w:after="0"/>
              <w:rPr>
                <w:sz w:val="10"/>
                <w:szCs w:val="10"/>
                <w:color w:val="auto"/>
              </w:rPr>
            </w:pPr>
          </w:p>
        </w:tc>
        <w:tc>
          <w:tcPr>
            <w:tcW w:w="660" w:type="dxa"/>
            <w:vAlign w:val="bottom"/>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84"/>
              </w:rPr>
              <w:t>Number </w:t>
            </w:r>
          </w:p>
        </w:tc>
        <w:tc>
          <w:tcPr>
            <w:tcW w:w="40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0"/>
              </w:rPr>
              <w:t>Percent </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Pre-IPO owners</w:t>
            </w:r>
          </w:p>
        </w:tc>
        <w:tc>
          <w:tcPr>
            <w:tcW w:w="24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5"/>
                <w:szCs w:val="25"/>
                <w:color w:val="auto"/>
                <w:vertAlign w:val="superscript"/>
              </w:rPr>
              <w:t>(1)</w:t>
            </w:r>
          </w:p>
        </w:tc>
        <w:tc>
          <w:tcPr>
            <w:tcW w:w="800" w:type="dxa"/>
            <w:vAlign w:val="bottom"/>
            <w:tcBorders>
              <w:right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in this offering</w:t>
            </w:r>
          </w:p>
        </w:tc>
        <w:tc>
          <w:tcPr>
            <w:tcW w:w="1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paid by our pre-IPO owners has not been adjusted for returns on such consideration arising from distributions.</w:t>
      </w:r>
    </w:p>
    <w:p>
      <w:pPr>
        <w:spacing w:after="0" w:line="225" w:lineRule="exact"/>
        <w:rPr>
          <w:sz w:val="20"/>
          <w:szCs w:val="20"/>
          <w:color w:val="auto"/>
        </w:rPr>
      </w:pPr>
    </w:p>
    <w:p>
      <w:pPr>
        <w:jc w:val="both"/>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option to purchase additional shares is exercised in full, the number of shares held by new investors will be increased to        , or approximately   % of the total number of shares of Class A common stock, assuming that all of the holders of Units in Medline Holdings (other than Medline Inc.) exchanged their Units for newly issued shares of our Class A common stock on a one-for-one basis.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dilution information above is for illustrative purposes only. Our net tangible book deficit following the consummation of this offering is subject to adjustment based on the actual initial public offering price of our shares of Class A common stock and other terms of this offering determined at pricing.</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Medline Inc. was formed on November 6, 2024. Medline Inc. currently has no assets or liabilities and has conducted no operations to date other than in connection with its incorporation and this offering. The following unaudited pro forma consolidated financial information reflects the impact of the Transactions (as defined herein). Following the completion of the Transactions, Medline Inc. will be a holding company and its sole material assets will consist of         % of the outstanding Units, which it will hold directly or indirectly through wholly owned subsidiaries and will acquire as described in “Organizational Structure—Offering Transactions.” The remaining Units will be held by the Pre-IPO Unitholders. Medline Inc. will be the sole general partner of Medline Holdings. As the general partner of Medline Holdings, Medline Inc. will operate and control all of the business and affairs of Medline Holdings and its direct and indirect subsidiaries, and, through Medline Holdings, LP and its direct and indirect subsidiaries, conduct its business.</w:t>
      </w:r>
    </w:p>
    <w:p>
      <w:pPr>
        <w:spacing w:after="0" w:line="19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balance sheet as of December 31, 2024 and the unaudited pro forma consolidated statement of comprehensive income (loss) for the year ended December 31, 2024 present our consolidated financial position and results of operations after giving effect to the following transactions (collectively, the “Transactions”):</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as described and defined under “Organizational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us of shares of Class A common stock pursuant to this offering and the application of the proceeds from this offering as</w:t>
      </w:r>
    </w:p>
    <w:p>
      <w:pPr>
        <w:spacing w:after="0" w:line="27" w:lineRule="exact"/>
        <w:rPr>
          <w:sz w:val="20"/>
          <w:szCs w:val="20"/>
          <w:color w:val="auto"/>
        </w:rPr>
      </w:pPr>
    </w:p>
    <w:p>
      <w:pPr>
        <w:ind w:left="1080" w:right="80"/>
        <w:spacing w:after="0" w:line="260" w:lineRule="auto"/>
        <w:rPr>
          <w:sz w:val="20"/>
          <w:szCs w:val="20"/>
          <w:color w:val="auto"/>
        </w:rPr>
      </w:pPr>
      <w:r>
        <w:rPr>
          <w:rFonts w:ascii="Times New Roman" w:cs="Times New Roman" w:eastAsia="Times New Roman" w:hAnsi="Times New Roman"/>
          <w:sz w:val="18"/>
          <w:szCs w:val="18"/>
          <w:color w:val="auto"/>
        </w:rPr>
        <w:t>described in “Use of Proceeds,” based on an assumed initial public offering price of $        per share, after deducting the underwriting discounts and commissions and estimated offering expenses payable by us in connection with this offering.</w:t>
      </w:r>
    </w:p>
    <w:p>
      <w:pPr>
        <w:spacing w:after="0" w:line="18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unaudited pro forma consolidated financial information presented assumes no exercise by the underwriters of their option to purchase additional shares of Class A common stock in the offering.</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is derived from the historical consolidated financial statements of Medline Holdings. The unaudited pro forma consolidated balance sheet as of December 31, 2024 gives effect to the Transactions as if they had occurred on December 31, 2024. The unaudited pro forma consolidated statement of comprehensive income (loss) for the year ended December 31, 2024 gives pro forma effect to the Transactions as if they had occurred on January 1, 2024.</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was prepared in accordance with Article 11 of Regulation S-X, using the assumptions set forth in the notes to the unaudited pro forma consolidated financial information. The unaudited pro forma consolidated financial information has been adjusted to include transaction accounting adjustments, which reflect the application of the accounting required by GAAP, linking the effects of the Transactions listed above to Medline Holdings’ historical consolidated financial statements.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unaudited pro forma consolidated financial information, we have assumed that shares of Class A common stock will be issued by us at a price per share equal to the midpoint of the estimated offering price range set forth on the cover page of this prospectus and, as a result, immediately following the completion of this offering, the ownership percentage represented by Units not held by Medline Inc. will be         %, and net earnings attributable to Units not held indirectly by Medline Inc. will accordingly represent         % of our net earnings. If the underwriters’ option to purchase additional shares is exercised in full, the ownership percentage represented by Units not held by Medline Inc. will be         % and net earnings attributable to Units not held by Medline Inc. will accordingly represent         % of our net earnings.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officers’ liability insurance; director fees; additional expenses associated with complying with the reporting requirements of the SEC; transfer agent fees; costs relating to additional accounting, legal and administrative personnel; increased auditing (including audits over the effectiveness of the company’s internal controls), tax, and legal fees; stock exchange listing fees; and other public company expenses. We have not included any pro forma adjustments relating to these costs in the information below.</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Medline Inc. Further, pro forma adjustments represent management’s best estimates based on information available as of the date of this prospectus and are subject to change as additional information becomes available.</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should be read together with “Organizational Structure,” “Use of Proceeds,” “Capitalization,” “Management’s Discussion and Analysis of Financial Condition and Results of Operations,” and the historical consolidated financial statements and related notes thereto included elsewhere in this prospectus.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320" w:top="455" w:right="5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CONSOLIDATED BALANCE SHEET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ectPr>
          <w:pgSz w:w="11900" w:h="16838" w:orient="portrait"/>
          <w:cols w:equalWidth="0" w:num="1">
            <w:col w:w="11080"/>
          </w:cols>
          <w:pgMar w:left="320" w:top="455" w:right="499" w:bottom="1440" w:gutter="0" w:footer="0" w:header="0"/>
        </w:sect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Medline</w:t>
            </w: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0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80" w:type="dxa"/>
            <w:vAlign w:val="bottom"/>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7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Transactions</w:t>
            </w:r>
          </w:p>
        </w:tc>
        <w:tc>
          <w:tcPr>
            <w:tcW w:w="0" w:type="dxa"/>
            <w:vAlign w:val="bottom"/>
          </w:tcPr>
          <w:p>
            <w:pPr>
              <w:spacing w:after="0"/>
              <w:rPr>
                <w:sz w:val="1"/>
                <w:szCs w:val="1"/>
                <w:color w:val="auto"/>
              </w:rPr>
            </w:pPr>
          </w:p>
        </w:tc>
      </w:tr>
      <w:tr>
        <w:trPr>
          <w:trHeight w:val="173"/>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0" w:type="dxa"/>
            <w:vAlign w:val="bottom"/>
          </w:tcPr>
          <w:p>
            <w:pPr>
              <w:spacing w:after="0"/>
              <w:rPr>
                <w:sz w:val="1"/>
                <w:szCs w:val="1"/>
                <w:color w:val="auto"/>
              </w:rPr>
            </w:pPr>
          </w:p>
        </w:tc>
      </w:tr>
      <w:tr>
        <w:trPr>
          <w:trHeight w:val="106"/>
        </w:trPr>
        <w:tc>
          <w:tcPr>
            <w:tcW w:w="2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6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260" w:type="dxa"/>
            <w:vAlign w:val="bottom"/>
            <w:vMerge w:val="restart"/>
          </w:tcPr>
          <w:p>
            <w:pPr>
              <w:spacing w:after="0"/>
              <w:rPr>
                <w:sz w:val="9"/>
                <w:szCs w:val="9"/>
                <w:color w:val="auto"/>
              </w:rPr>
            </w:pPr>
          </w:p>
        </w:tc>
        <w:tc>
          <w:tcPr>
            <w:tcW w:w="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color w:val="auto"/>
              </w:rPr>
              <w:t xml:space="preserve">       </w:t>
            </w:r>
          </w:p>
        </w:tc>
        <w:tc>
          <w:tcPr>
            <w:tcW w:w="700" w:type="dxa"/>
            <w:vAlign w:val="bottom"/>
            <w:vMerge w:val="restart"/>
          </w:tcPr>
          <w:p>
            <w:pPr>
              <w:spacing w:after="0"/>
              <w:rPr>
                <w:sz w:val="9"/>
                <w:szCs w:val="9"/>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color w:val="auto"/>
              </w:rPr>
              <w:t xml:space="preserve">Trade accounts receivable, net of allowance for credit losses of $       </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580"/>
              <w:spacing w:after="0" w:line="133"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(a )</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long-term assets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40" w:type="dxa"/>
            <w:vAlign w:val="bottom"/>
            <w:gridSpan w:val="3"/>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other non-current assets</w:t>
            </w:r>
          </w:p>
        </w:tc>
        <w:tc>
          <w:tcPr>
            <w:tcW w:w="38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6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80" w:type="dxa"/>
            <w:vAlign w:val="bottom"/>
            <w:gridSpan w:val="4"/>
            <w:vMerge w:val="restart"/>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LIABILITIES, MEZZANINE EQUITY AND PARTNERS’ CAPITAL / SHAREHOLDERS’</w:t>
            </w: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18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4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spacing w:after="0"/>
              <w:rPr>
                <w:sz w:val="12"/>
                <w:szCs w:val="12"/>
                <w:color w:val="auto"/>
              </w:rPr>
            </w:pPr>
          </w:p>
        </w:tc>
        <w:tc>
          <w:tcPr>
            <w:tcW w:w="8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color w:val="auto"/>
              </w:rPr>
              <w:t>Current portion of long-term borrowings and other short-term borrowings</w:t>
            </w: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580"/>
              <w:spacing w:after="0" w:line="133"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borrowings, less current portion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180" w:type="dxa"/>
            <w:vAlign w:val="bottom"/>
            <w:gridSpan w:val="4"/>
          </w:tcPr>
          <w:p>
            <w:pPr>
              <w:ind w:left="580"/>
              <w:spacing w:after="0" w:line="133" w:lineRule="exact"/>
              <w:rPr>
                <w:sz w:val="20"/>
                <w:szCs w:val="20"/>
                <w:color w:val="auto"/>
              </w:rPr>
            </w:pPr>
            <w:r>
              <w:rPr>
                <w:rFonts w:ascii="Times New Roman" w:cs="Times New Roman" w:eastAsia="Times New Roman" w:hAnsi="Times New Roman"/>
                <w:sz w:val="14"/>
                <w:szCs w:val="14"/>
                <w:color w:val="auto"/>
              </w:rPr>
              <w:t>Total other non-current liabilities</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 liability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(a )</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580"/>
              <w:spacing w:after="0" w:line="133"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Mezzanine equity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Class A Units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580"/>
              <w:spacing w:after="0" w:line="133" w:lineRule="exact"/>
              <w:rPr>
                <w:sz w:val="20"/>
                <w:szCs w:val="20"/>
                <w:color w:val="auto"/>
              </w:rPr>
            </w:pPr>
            <w:r>
              <w:rPr>
                <w:rFonts w:ascii="Times New Roman" w:cs="Times New Roman" w:eastAsia="Times New Roman" w:hAnsi="Times New Roman"/>
                <w:sz w:val="14"/>
                <w:szCs w:val="14"/>
                <w:color w:val="auto"/>
              </w:rPr>
              <w:t>Total mezzanine equity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Partners’ capital / Shareholders’ equity</w:t>
            </w:r>
          </w:p>
        </w:tc>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units issued and outstanding as of December 31, 2024</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w w:val="99"/>
              </w:rPr>
              <w:t>Class A Units, no par value,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38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(b )</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w w:val="99"/>
              </w:rPr>
              <w:t>Class B Units, no par value,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3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units issued and outstanding as of December 31, 2024</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(b )</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color w:val="auto"/>
                <w:w w:val="97"/>
              </w:rPr>
              <w:t>Class B CUPI Units, no par value,  </w:t>
            </w:r>
          </w:p>
        </w:tc>
        <w:tc>
          <w:tcPr>
            <w:tcW w:w="3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      units issued and outstanding as of December 31, 2024</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(b )</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(b )</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partners’ capital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(b )</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color w:val="auto"/>
              </w:rPr>
              <w:t>Class B common stock, par value $0.0001 per share</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(b )</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(e )</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gridSpan w:val="4"/>
          </w:tcPr>
          <w:p>
            <w:pPr>
              <w:ind w:left="580"/>
              <w:spacing w:after="0" w:line="142" w:lineRule="exact"/>
              <w:rPr>
                <w:sz w:val="20"/>
                <w:szCs w:val="20"/>
                <w:color w:val="auto"/>
              </w:rPr>
            </w:pPr>
            <w:r>
              <w:rPr>
                <w:rFonts w:ascii="Times New Roman" w:cs="Times New Roman" w:eastAsia="Times New Roman" w:hAnsi="Times New Roman"/>
                <w:sz w:val="14"/>
                <w:szCs w:val="14"/>
                <w:color w:val="auto"/>
              </w:rPr>
              <w:t>Total partners’ capital / shareholders’ equity attributable to Medline Holdings / Medline Inc.</w:t>
            </w: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(b )</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gridSpan w:val="4"/>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partners’ capital / shareholders’ equity</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8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mezzanine equity and partners’ capital / shareholders’ equity</w:t>
            </w:r>
          </w:p>
        </w:tc>
        <w:tc>
          <w:tcPr>
            <w:tcW w:w="6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-4851400</wp:posOffset>
            </wp:positionV>
            <wp:extent cx="6995160" cy="93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-4662805</wp:posOffset>
            </wp:positionV>
            <wp:extent cx="699516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-4474210</wp:posOffset>
            </wp:positionV>
            <wp:extent cx="6995160" cy="93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-4268470</wp:posOffset>
            </wp:positionV>
            <wp:extent cx="6995160" cy="94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-4079875</wp:posOffset>
            </wp:positionV>
            <wp:extent cx="699516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-3891280</wp:posOffset>
            </wp:positionV>
            <wp:extent cx="6995160" cy="93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-3702685</wp:posOffset>
            </wp:positionV>
            <wp:extent cx="6995160" cy="939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-3479800</wp:posOffset>
            </wp:positionV>
            <wp:extent cx="6995160" cy="939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-3162300</wp:posOffset>
            </wp:positionV>
            <wp:extent cx="6995160" cy="93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-2974340</wp:posOffset>
            </wp:positionV>
            <wp:extent cx="6995160" cy="94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-2785110</wp:posOffset>
            </wp:positionV>
            <wp:extent cx="6995160" cy="93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-2579370</wp:posOffset>
            </wp:positionV>
            <wp:extent cx="6995160"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-2390775</wp:posOffset>
            </wp:positionV>
            <wp:extent cx="6995160" cy="9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-2185035</wp:posOffset>
            </wp:positionV>
            <wp:extent cx="6995160" cy="93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-1979295</wp:posOffset>
            </wp:positionV>
            <wp:extent cx="6995160" cy="939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-1790700</wp:posOffset>
            </wp:positionV>
            <wp:extent cx="6995160" cy="939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-1585595</wp:posOffset>
            </wp:positionV>
            <wp:extent cx="699516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-1396365</wp:posOffset>
            </wp:positionV>
            <wp:extent cx="6995160" cy="93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-1207770</wp:posOffset>
            </wp:positionV>
            <wp:extent cx="6995160" cy="93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-1019175</wp:posOffset>
            </wp:positionV>
            <wp:extent cx="6995160" cy="93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-831215</wp:posOffset>
            </wp:positionV>
            <wp:extent cx="6995160"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-642620</wp:posOffset>
            </wp:positionV>
            <wp:extent cx="6995160" cy="93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-342265</wp:posOffset>
            </wp:positionV>
            <wp:extent cx="6995160" cy="93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946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Pro Forma</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Medline Inc.</w:t>
      </w:r>
    </w:p>
    <w:p>
      <w:pPr>
        <w:spacing w:after="0" w:line="120" w:lineRule="exact"/>
        <w:rPr>
          <w:sz w:val="20"/>
          <w:szCs w:val="20"/>
          <w:color w:val="auto"/>
        </w:rPr>
      </w:pPr>
    </w:p>
    <w:p>
      <w:pPr>
        <w:spacing w:after="0"/>
        <w:tabs>
          <w:tab w:leader="none" w:pos="380" w:val="left"/>
          <w:tab w:leader="none" w:pos="700" w:val="left"/>
        </w:tabs>
        <w:rPr>
          <w:sz w:val="20"/>
          <w:szCs w:val="20"/>
          <w:color w:val="auto"/>
        </w:rPr>
      </w:pPr>
      <w:r>
        <w:rPr>
          <w:rFonts w:ascii="Times New Roman" w:cs="Times New Roman" w:eastAsia="Times New Roman" w:hAnsi="Times New Roman"/>
          <w:sz w:val="11"/>
          <w:szCs w:val="11"/>
          <w:color w:val="auto"/>
        </w:rPr>
        <w:t>(d )</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22860</wp:posOffset>
            </wp:positionV>
            <wp:extent cx="4972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699770</wp:posOffset>
            </wp:positionV>
            <wp:extent cx="4972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811530</wp:posOffset>
            </wp:positionV>
            <wp:extent cx="4972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6350</wp:posOffset>
            </wp:positionV>
            <wp:extent cx="4972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23495</wp:posOffset>
            </wp:positionV>
            <wp:extent cx="4972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7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1"/>
          <w:szCs w:val="11"/>
          <w:color w:val="auto"/>
        </w:rPr>
        <w:t>(d )</w:t>
      </w:r>
      <w:r>
        <w:rPr>
          <w:sz w:val="20"/>
          <w:szCs w:val="20"/>
          <w:color w:val="auto"/>
        </w:rPr>
        <w:tab/>
      </w:r>
      <w:r>
        <w:rPr>
          <w:rFonts w:ascii="Times New Roman" w:cs="Times New Roman" w:eastAsia="Times New Roman" w:hAnsi="Times New Roman"/>
          <w:sz w:val="24"/>
          <w:szCs w:val="2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338455</wp:posOffset>
            </wp:positionV>
            <wp:extent cx="4972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22860</wp:posOffset>
            </wp:positionV>
            <wp:extent cx="4972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228600</wp:posOffset>
            </wp:positionV>
            <wp:extent cx="4972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22860</wp:posOffset>
            </wp:positionV>
            <wp:extent cx="4972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 )</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22860</wp:posOffset>
            </wp:positionV>
            <wp:extent cx="4972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211455</wp:posOffset>
            </wp:positionV>
            <wp:extent cx="4972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22860</wp:posOffset>
            </wp:positionV>
            <wp:extent cx="4972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133985</wp:posOffset>
            </wp:positionV>
            <wp:extent cx="4972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9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6350</wp:posOffset>
            </wp:positionV>
            <wp:extent cx="4972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23495</wp:posOffset>
            </wp:positionV>
            <wp:extent cx="4972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9600" w:space="300"/>
            <w:col w:w="1180"/>
          </w:cols>
          <w:pgMar w:left="320" w:top="455" w:right="499" w:bottom="1440" w:gutter="0" w:footer="0" w:header="0"/>
          <w:type w:val="continuous"/>
        </w:sectPr>
      </w:pPr>
    </w:p>
    <w:p>
      <w:pPr>
        <w:ind w:left="540" w:right="420" w:hanging="424"/>
        <w:spacing w:after="0" w:line="261" w:lineRule="auto"/>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historical amounts, represents total partners’ capital attributable to Medline Holdings. For Pro Forma amounts, represents total partners’/shareholders’ equity attributable to Medline Inc.</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5" w:right="4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 PRO FORMA CONSOLIDATED STATEMENT OF COMPREHENSIVE INCOME (LOSS)</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expense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Selling, general, and administrative expenses</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operating expense</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Foreign exchange (loss) gain, net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Medline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4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260" w:type="dxa"/>
            <w:vAlign w:val="bottom"/>
          </w:tcPr>
          <w:p>
            <w:pPr>
              <w:spacing w:after="0"/>
              <w:rPr>
                <w:sz w:val="12"/>
                <w:szCs w:val="12"/>
                <w:color w:val="auto"/>
              </w:rPr>
            </w:pPr>
          </w:p>
        </w:tc>
        <w:tc>
          <w:tcPr>
            <w:tcW w:w="168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8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60" w:type="dxa"/>
            <w:vAlign w:val="bottom"/>
          </w:tcPr>
          <w:p>
            <w:pPr>
              <w:spacing w:after="0"/>
              <w:rPr>
                <w:sz w:val="15"/>
                <w:szCs w:val="15"/>
                <w:color w:val="auto"/>
              </w:rPr>
            </w:pPr>
          </w:p>
        </w:tc>
        <w:tc>
          <w:tcPr>
            <w:tcW w:w="168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18"/>
                <w:szCs w:val="18"/>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tcPr>
          <w:p>
            <w:pPr>
              <w:spacing w:after="0"/>
              <w:rPr>
                <w:sz w:val="18"/>
                <w:szCs w:val="18"/>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-146050</wp:posOffset>
            </wp:positionV>
            <wp:extent cx="699516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13"/>
          <w:szCs w:val="13"/>
          <w:color w:val="auto"/>
        </w:rPr>
        <w:t>(g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41275</wp:posOffset>
            </wp:positionV>
            <wp:extent cx="699516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color w:val="auto"/>
        </w:rPr>
        <w:t>(g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-86360</wp:posOffset>
            </wp:positionV>
            <wp:extent cx="699516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187325</wp:posOffset>
            </wp:positionV>
            <wp:extent cx="6995160" cy="10115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011555"/>
                    </a:xfrm>
                    <a:prstGeom prst="rect">
                      <a:avLst/>
                    </a:prstGeom>
                    <a:noFill/>
                  </pic:spPr>
                </pic:pic>
              </a:graphicData>
            </a:graphic>
          </wp:anchor>
        </w:drawing>
      </w:r>
    </w:p>
    <w:p>
      <w:pPr>
        <w:spacing w:after="0" w:line="1888" w:lineRule="exact"/>
        <w:rPr>
          <w:sz w:val="20"/>
          <w:szCs w:val="20"/>
          <w:color w:val="auto"/>
        </w:rPr>
      </w:pPr>
    </w:p>
    <w:p>
      <w:pPr>
        <w:sectPr>
          <w:pgSz w:w="11900" w:h="16838" w:orient="portrait"/>
          <w:cols w:equalWidth="0" w:num="2">
            <w:col w:w="4840" w:space="720"/>
            <w:col w:w="558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(h )</w:t>
            </w:r>
          </w:p>
        </w:tc>
        <w:tc>
          <w:tcPr>
            <w:tcW w:w="800" w:type="dxa"/>
            <w:vAlign w:val="bottom"/>
          </w:tcPr>
          <w:p>
            <w:pPr>
              <w:spacing w:after="0"/>
              <w:rPr>
                <w:sz w:val="19"/>
                <w:szCs w:val="19"/>
                <w:color w:val="auto"/>
              </w:rPr>
            </w:pPr>
          </w:p>
        </w:tc>
        <w:tc>
          <w:tcPr>
            <w:tcW w:w="1620" w:type="dxa"/>
            <w:vAlign w:val="bottom"/>
            <w:gridSpan w:val="2"/>
          </w:tcPr>
          <w:p>
            <w:pPr>
              <w:jc w:val="right"/>
              <w:ind w:right="1030"/>
              <w:spacing w:after="0"/>
              <w:rPr>
                <w:sz w:val="20"/>
                <w:szCs w:val="20"/>
                <w:color w:val="auto"/>
              </w:rPr>
            </w:pPr>
            <w:r>
              <w:rPr>
                <w:rFonts w:ascii="Times New Roman" w:cs="Times New Roman" w:eastAsia="Times New Roman" w:hAnsi="Times New Roman"/>
                <w:sz w:val="13"/>
                <w:szCs w:val="13"/>
                <w:color w:val="auto"/>
              </w:rPr>
              <w:t>(h )</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(i )</w:t>
            </w:r>
          </w:p>
        </w:tc>
        <w:tc>
          <w:tcPr>
            <w:tcW w:w="800" w:type="dxa"/>
            <w:vAlign w:val="bottom"/>
          </w:tcPr>
          <w:p>
            <w:pPr>
              <w:spacing w:after="0"/>
              <w:rPr>
                <w:sz w:val="20"/>
                <w:szCs w:val="20"/>
                <w:color w:val="auto"/>
              </w:rPr>
            </w:pPr>
          </w:p>
        </w:tc>
        <w:tc>
          <w:tcPr>
            <w:tcW w:w="1620" w:type="dxa"/>
            <w:vAlign w:val="bottom"/>
            <w:gridSpan w:val="2"/>
          </w:tcPr>
          <w:p>
            <w:pPr>
              <w:jc w:val="right"/>
              <w:ind w:right="1030"/>
              <w:spacing w:after="0"/>
              <w:rPr>
                <w:sz w:val="20"/>
                <w:szCs w:val="20"/>
                <w:color w:val="auto"/>
              </w:rPr>
            </w:pPr>
            <w:r>
              <w:rPr>
                <w:rFonts w:ascii="Times New Roman" w:cs="Times New Roman" w:eastAsia="Times New Roman" w:hAnsi="Times New Roman"/>
                <w:sz w:val="13"/>
                <w:szCs w:val="13"/>
                <w:color w:val="auto"/>
              </w:rPr>
              <w:t>(i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income (loss) attributable to Medline Inc.</w:t>
            </w: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Net Income (Loss) Per Share: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(i )</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(j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60" w:type="dxa"/>
            <w:vAlign w:val="bottom"/>
            <w:shd w:val="clear" w:color="auto" w:fill="CCEEFF"/>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Pro Forma Number of Shares Used in Computing Income Per</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(j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6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CONSOLIDATED FINANCIAL INFORMATION</w:t>
      </w:r>
    </w:p>
    <w:p>
      <w:pPr>
        <w:spacing w:after="0" w:line="252"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Consolidated Balance Sheet</w:t>
      </w:r>
    </w:p>
    <w:p>
      <w:pPr>
        <w:spacing w:after="0" w:line="121" w:lineRule="exact"/>
        <w:rPr>
          <w:sz w:val="20"/>
          <w:szCs w:val="20"/>
          <w:color w:val="auto"/>
        </w:rPr>
      </w:pPr>
    </w:p>
    <w:p>
      <w:pPr>
        <w:ind w:left="120" w:right="3420"/>
        <w:spacing w:after="0" w:line="282" w:lineRule="auto"/>
        <w:rPr>
          <w:sz w:val="20"/>
          <w:szCs w:val="20"/>
          <w:color w:val="auto"/>
        </w:rPr>
      </w:pPr>
      <w:r>
        <w:rPr>
          <w:rFonts w:ascii="Times New Roman" w:cs="Times New Roman" w:eastAsia="Times New Roman" w:hAnsi="Times New Roman"/>
          <w:sz w:val="18"/>
          <w:szCs w:val="18"/>
          <w:color w:val="auto"/>
        </w:rPr>
        <w:t>Transaction accounting adjustments include the following adjustments related to the unaudited pro forma consolidated balance sheet as of December 31, 2024.</w:t>
      </w:r>
    </w:p>
    <w:p>
      <w:pPr>
        <w:spacing w:after="0" w:line="67" w:lineRule="exact"/>
        <w:rPr>
          <w:sz w:val="20"/>
          <w:szCs w:val="20"/>
          <w:color w:val="auto"/>
        </w:rPr>
      </w:pPr>
    </w:p>
    <w:p>
      <w:pPr>
        <w:ind w:left="1080" w:hanging="532"/>
        <w:spacing w:after="0" w:line="253"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greater detail in “Organizational Structure,” prior to the completion of this offering, we will enter into the Reorganization Transactions, along with a tax receivable agreement with certain of our pre-IPO owners that provides for the payment by Medline Inc. to such pre-IPO owners of 90% of the benefits, if any, that Medline Inc. actually realizes, or is deemed to realize (calculated using certain assumptions), as a result of (i) Medline Inc.’s allocable share of existing tax basis acquired in this offering, (ii) increases in Medline Inc.’s allocable share of existing tax basis and tax basis adjustments to the tangible and intangible assets of Medline Holdings as a result of sales or exchanges of Units in connection with or after this offering, (iii) Medline Inc.’s utilization of certain tax attributes (including any existing tax basis) of the Blocker Companies, and (iv) certain other tax benefits related to entering into the tax receivable agreement, including tax benefits attributable to payments under the tax receivable agreement. The tax receivable agreement will be accounted for as a contingent liability, with amounts accrued when considered probable and reasonably estimable. The following are the adjustments associated with these transactions:</w:t>
      </w:r>
    </w:p>
    <w:p>
      <w:pPr>
        <w:spacing w:after="0" w:line="99" w:lineRule="exact"/>
        <w:rPr>
          <w:rFonts w:ascii="Times New Roman" w:cs="Times New Roman" w:eastAsia="Times New Roman" w:hAnsi="Times New Roman"/>
          <w:sz w:val="18"/>
          <w:szCs w:val="18"/>
          <w:color w:val="auto"/>
        </w:rPr>
      </w:pPr>
    </w:p>
    <w:p>
      <w:pPr>
        <w:ind w:left="1540" w:hanging="439"/>
        <w:spacing w:after="0" w:line="254"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 deferred tax asset of $        million (or $        million if the underwriters exercise in full their option to purchase additional shares of Class A common stock). Following the Reorganization Transactions, Medline Inc. will be subject to U.S. federal income taxes, in addition to state and local taxes as a corporation on its share of Medline Holdings’ taxable income. As a result, the pro forma balance sheet reflects an adjustment to our taxes assuming the federal rates currently in effect and the highest statutory rates apportioned to each state, local and foreign jurisdiction. The total presented deferred tax liability is measured based on the following: (i) differences between financial reporting and tax basis associated with Medline Inc.’s investment in Medline Holdings; (ii) tax loss carryforwards and credits from the merged Blocker Companies; and (iii) tax benefits from future deductions attributable to payments under the tax receivable agreement as a result of the Offering Transactions.</w:t>
      </w:r>
    </w:p>
    <w:p>
      <w:pPr>
        <w:spacing w:after="0" w:line="84"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The deferred tax asset includes (i) a deferred tax asset of $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6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million related to Medline Inc.’s investment in Medline</w:t>
            </w:r>
          </w:p>
        </w:tc>
      </w:tr>
      <w:tr>
        <w:trPr>
          <w:trHeight w:val="216"/>
        </w:trPr>
        <w:tc>
          <w:tcPr>
            <w:tcW w:w="320" w:type="dxa"/>
            <w:vAlign w:val="bottom"/>
          </w:tcPr>
          <w:p>
            <w:pPr>
              <w:spacing w:after="0"/>
              <w:rPr>
                <w:sz w:val="18"/>
                <w:szCs w:val="18"/>
                <w:color w:val="auto"/>
              </w:rPr>
            </w:pPr>
          </w:p>
        </w:tc>
        <w:tc>
          <w:tcPr>
            <w:tcW w:w="9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Holdings, (ii) a deferred tax benefit of $            million related to the tax attributes acquired by Medline Inc. as part of the</w:t>
            </w:r>
          </w:p>
        </w:tc>
      </w:tr>
      <w:tr>
        <w:trPr>
          <w:trHeight w:val="216"/>
        </w:trPr>
        <w:tc>
          <w:tcPr>
            <w:tcW w:w="320" w:type="dxa"/>
            <w:vAlign w:val="bottom"/>
          </w:tcPr>
          <w:p>
            <w:pPr>
              <w:spacing w:after="0"/>
              <w:rPr>
                <w:sz w:val="18"/>
                <w:szCs w:val="18"/>
                <w:color w:val="auto"/>
              </w:rPr>
            </w:pP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Reorganization Transactions, and (iii) a deferred tax asset of $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6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      million related to tax benefits from future deductions</w:t>
            </w:r>
          </w:p>
        </w:tc>
      </w:tr>
      <w:tr>
        <w:trPr>
          <w:trHeight w:val="216"/>
        </w:trPr>
        <w:tc>
          <w:tcPr>
            <w:tcW w:w="320" w:type="dxa"/>
            <w:vAlign w:val="bottom"/>
          </w:tcPr>
          <w:p>
            <w:pPr>
              <w:spacing w:after="0"/>
              <w:rPr>
                <w:sz w:val="18"/>
                <w:szCs w:val="18"/>
                <w:color w:val="auto"/>
              </w:rPr>
            </w:pPr>
          </w:p>
        </w:tc>
        <w:tc>
          <w:tcPr>
            <w:tcW w:w="9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attributable to payments under the tax receivable agreement. The deferred tax asset related to Medline Inc.’s investment in Medline</w:t>
            </w:r>
          </w:p>
        </w:tc>
      </w:tr>
      <w:tr>
        <w:trPr>
          <w:trHeight w:val="216"/>
        </w:trPr>
        <w:tc>
          <w:tcPr>
            <w:tcW w:w="320" w:type="dxa"/>
            <w:vAlign w:val="bottom"/>
          </w:tcPr>
          <w:p>
            <w:pPr>
              <w:spacing w:after="0"/>
              <w:rPr>
                <w:sz w:val="18"/>
                <w:szCs w:val="18"/>
                <w:color w:val="auto"/>
              </w:rPr>
            </w:pPr>
          </w:p>
        </w:tc>
        <w:tc>
          <w:tcPr>
            <w:tcW w:w="9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Holdings is primarily due to differences between the purchase accounting and tax treatment of the Sponsors’ acquisition of Medline</w:t>
            </w:r>
          </w:p>
        </w:tc>
      </w:tr>
      <w:tr>
        <w:trPr>
          <w:trHeight w:val="216"/>
        </w:trPr>
        <w:tc>
          <w:tcPr>
            <w:tcW w:w="320" w:type="dxa"/>
            <w:vAlign w:val="bottom"/>
          </w:tcPr>
          <w:p>
            <w:pPr>
              <w:spacing w:after="0"/>
              <w:rPr>
                <w:sz w:val="18"/>
                <w:szCs w:val="18"/>
                <w:color w:val="auto"/>
              </w:rPr>
            </w:pPr>
          </w:p>
        </w:tc>
        <w:tc>
          <w:tcPr>
            <w:tcW w:w="9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Holdings. To the extent we estimate that we will not realize either a portion or all of our deferred tax assets, based on an analysis of</w:t>
            </w:r>
          </w:p>
        </w:tc>
      </w:tr>
      <w:tr>
        <w:trPr>
          <w:trHeight w:val="234"/>
        </w:trPr>
        <w:tc>
          <w:tcPr>
            <w:tcW w:w="320" w:type="dxa"/>
            <w:vAlign w:val="bottom"/>
          </w:tcPr>
          <w:p>
            <w:pPr>
              <w:spacing w:after="0"/>
              <w:rPr>
                <w:sz w:val="20"/>
                <w:szCs w:val="20"/>
                <w:color w:val="auto"/>
              </w:rPr>
            </w:pPr>
          </w:p>
        </w:tc>
        <w:tc>
          <w:tcPr>
            <w:tcW w:w="9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available sources of taxable income, we will reduce our deferred tax assets with a valuation allowance.</w:t>
            </w:r>
          </w:p>
        </w:tc>
      </w:tr>
      <w:tr>
        <w:trPr>
          <w:trHeight w:val="31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9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Record a $            million liability under the tax receivable agreement (or $            million if the underwriters exercise in full</w:t>
            </w:r>
          </w:p>
        </w:tc>
      </w:tr>
      <w:tr>
        <w:trPr>
          <w:trHeight w:val="216"/>
        </w:trPr>
        <w:tc>
          <w:tcPr>
            <w:tcW w:w="320" w:type="dxa"/>
            <w:vAlign w:val="bottom"/>
          </w:tcPr>
          <w:p>
            <w:pPr>
              <w:spacing w:after="0"/>
              <w:rPr>
                <w:sz w:val="18"/>
                <w:szCs w:val="18"/>
                <w:color w:val="auto"/>
              </w:rPr>
            </w:pPr>
          </w:p>
        </w:tc>
        <w:tc>
          <w:tcPr>
            <w:tcW w:w="9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their option to purchase additional shares of Class A common stock) based on our estimate of the aggregate amount that we will pay</w:t>
            </w:r>
          </w:p>
        </w:tc>
      </w:tr>
      <w:tr>
        <w:trPr>
          <w:trHeight w:val="234"/>
        </w:trPr>
        <w:tc>
          <w:tcPr>
            <w:tcW w:w="320" w:type="dxa"/>
            <w:vAlign w:val="bottom"/>
          </w:tcPr>
          <w:p>
            <w:pPr>
              <w:spacing w:after="0"/>
              <w:rPr>
                <w:sz w:val="20"/>
                <w:szCs w:val="20"/>
                <w:color w:val="auto"/>
              </w:rPr>
            </w:pPr>
          </w:p>
        </w:tc>
        <w:tc>
          <w:tcPr>
            <w:tcW w:w="9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 the pre-IPO owners under the tax receivable agreement as a result of the Offering Transactions;</w:t>
            </w:r>
          </w:p>
        </w:tc>
      </w:t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Record an adjustment to additional paid-in capital of $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million, for the change in deferred tax liabilities and the increase in</w:t>
            </w:r>
          </w:p>
        </w:tc>
      </w:tr>
    </w:tbl>
    <w:p>
      <w:pPr>
        <w:ind w:left="1540"/>
        <w:spacing w:after="0"/>
        <w:rPr>
          <w:sz w:val="20"/>
          <w:szCs w:val="20"/>
          <w:color w:val="auto"/>
        </w:rPr>
      </w:pPr>
      <w:r>
        <w:rPr>
          <w:rFonts w:ascii="Times New Roman" w:cs="Times New Roman" w:eastAsia="Times New Roman" w:hAnsi="Times New Roman"/>
          <w:sz w:val="18"/>
          <w:szCs w:val="18"/>
          <w:color w:val="auto"/>
        </w:rPr>
        <w:t>liabilities due to existing owners under the tax receivable agreement as a result of the Offering Transactions.</w:t>
      </w:r>
    </w:p>
    <w:p>
      <w:pPr>
        <w:spacing w:after="0" w:line="99"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As described in greater detail in “Organizational Structure,” the Pre-IPO Unitholders will hold         Units (or         Units if the underwriters exercise in full their option to purchase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100" w:right="100"/>
        <w:spacing w:after="0" w:line="253" w:lineRule="auto"/>
        <w:rPr>
          <w:sz w:val="20"/>
          <w:szCs w:val="20"/>
          <w:color w:val="auto"/>
        </w:rPr>
      </w:pPr>
      <w:r>
        <w:rPr>
          <w:rFonts w:ascii="Times New Roman" w:cs="Times New Roman" w:eastAsia="Times New Roman" w:hAnsi="Times New Roman"/>
          <w:sz w:val="18"/>
          <w:szCs w:val="18"/>
          <w:color w:val="auto"/>
        </w:rPr>
        <w:t>additional shares of Class A common stock) immediately following this offering. Due to the uncertainty as to the amount and timing of future exchanges of Units by the Pre-IPO Unitholders and as to the price per share of our Class A common stock at the time of any such exchanges, the unaudited pro forma consolidated financial information does not assume that exchanges of Units have occurred. However, if the Pre-IPO Unitholders were to exchange an additional 10% of the Units that they will hold immediately following this offering for shares of Class A common stock, we would recognize an incremental deferred tax asset of approximately $        million and a noncurrent liability of approximately $        million based on the Company’s estimate of the aggregate amount that it will pay under the tax receivable agreement as a result of such hypothetical exchange, assuming: (i) a price of $        per share of Class A common</w:t>
      </w:r>
    </w:p>
    <w:p>
      <w:pPr>
        <w:spacing w:after="0" w:line="3" w:lineRule="exact"/>
        <w:rPr>
          <w:sz w:val="20"/>
          <w:szCs w:val="20"/>
          <w:color w:val="auto"/>
        </w:rPr>
      </w:pPr>
    </w:p>
    <w:p>
      <w:pPr>
        <w:ind w:left="1100" w:right="100"/>
        <w:spacing w:after="0" w:line="250" w:lineRule="auto"/>
        <w:rPr>
          <w:sz w:val="20"/>
          <w:szCs w:val="20"/>
          <w:color w:val="auto"/>
        </w:rPr>
      </w:pPr>
      <w:r>
        <w:rPr>
          <w:rFonts w:ascii="Times New Roman" w:cs="Times New Roman" w:eastAsia="Times New Roman" w:hAnsi="Times New Roman"/>
          <w:sz w:val="18"/>
          <w:szCs w:val="18"/>
          <w:color w:val="auto"/>
        </w:rPr>
        <w:t>stock (based on an assumed initial public offering price of $        per share, the midpoint of the estimated price range set forth on the cover page of this prospectus); (ii) a constant corporate tax rate of         %; (iii) we will have sufficient taxable income to fully utilize</w:t>
      </w:r>
    </w:p>
    <w:p>
      <w:pPr>
        <w:spacing w:after="0" w:line="1" w:lineRule="exact"/>
        <w:rPr>
          <w:sz w:val="20"/>
          <w:szCs w:val="20"/>
          <w:color w:val="auto"/>
        </w:rPr>
      </w:pPr>
    </w:p>
    <w:p>
      <w:pPr>
        <w:ind w:left="1100" w:right="80"/>
        <w:spacing w:after="0" w:line="253" w:lineRule="auto"/>
        <w:rPr>
          <w:sz w:val="20"/>
          <w:szCs w:val="20"/>
          <w:color w:val="auto"/>
        </w:rPr>
      </w:pPr>
      <w:r>
        <w:rPr>
          <w:rFonts w:ascii="Times New Roman" w:cs="Times New Roman" w:eastAsia="Times New Roman" w:hAnsi="Times New Roman"/>
          <w:sz w:val="18"/>
          <w:szCs w:val="18"/>
          <w:color w:val="auto"/>
        </w:rPr>
        <w:t>the tax benefits; and (iv) no material changes in tax law.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Units by Pre-IPO Unitholders,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92" w:lineRule="exact"/>
        <w:rPr>
          <w:sz w:val="20"/>
          <w:szCs w:val="20"/>
          <w:color w:val="auto"/>
        </w:rPr>
      </w:pPr>
    </w:p>
    <w:p>
      <w:pPr>
        <w:ind w:left="1080" w:right="20" w:hanging="532"/>
        <w:spacing w:after="0" w:line="254"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Holdings has been, and we anticipate will continue to be, treated as a partnership for U.S. federal income tax purposes. As such, Medline Holdings’ earnings and losses will flow through to its partners, including Medline Inc., and are generally not subject to significant entity-level taxes at the Medline Holdings level. As described in “Organizational Structure,” upon completion of the Reorganization Transactions, Medline Inc. will be a holding company, and its sole material assets will be its equity interests held directly or indirectly through wholly owned subsidiaries in Medline Holdings. As the sole general partner of Medline Holdings, Medline Inc. will operate and</w:t>
      </w:r>
    </w:p>
    <w:p>
      <w:pPr>
        <w:spacing w:after="0" w:line="3" w:lineRule="exact"/>
        <w:rPr>
          <w:sz w:val="20"/>
          <w:szCs w:val="20"/>
          <w:color w:val="auto"/>
        </w:rPr>
      </w:pPr>
    </w:p>
    <w:p>
      <w:pPr>
        <w:ind w:left="1080" w:right="20"/>
        <w:spacing w:after="0" w:line="253" w:lineRule="auto"/>
        <w:rPr>
          <w:sz w:val="20"/>
          <w:szCs w:val="20"/>
          <w:color w:val="auto"/>
        </w:rPr>
      </w:pPr>
      <w:r>
        <w:rPr>
          <w:rFonts w:ascii="Times New Roman" w:cs="Times New Roman" w:eastAsia="Times New Roman" w:hAnsi="Times New Roman"/>
          <w:sz w:val="18"/>
          <w:szCs w:val="18"/>
          <w:color w:val="auto"/>
        </w:rPr>
        <w:t>control all the business and affairs of Medline Holdings. As a result of the Reorganization and Offering Transactions, Medline Inc. will directly or indirectly own approximately        % of the economic interest in Medline Holdings but will have 100% of the voting power and will control the management of Medline Holdings. Immediately following the completion of the Reorganization Transactions, the ownership percentage held by noncontrolling interest will be approximately         %.</w:t>
      </w:r>
    </w:p>
    <w:p>
      <w:pPr>
        <w:spacing w:after="0" w:line="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Represents an adjustment to equity reflecting (i) par value for Class A common stock and Class B common stock, (ii) a decrease in</w:t>
      </w:r>
    </w:p>
    <w:p>
      <w:pPr>
        <w:spacing w:after="0" w:line="27" w:lineRule="exact"/>
        <w:rPr>
          <w:sz w:val="20"/>
          <w:szCs w:val="20"/>
          <w:color w:val="auto"/>
        </w:rPr>
      </w:pPr>
    </w:p>
    <w:p>
      <w:pPr>
        <w:ind w:left="1100"/>
        <w:spacing w:after="0" w:line="260" w:lineRule="auto"/>
        <w:rPr>
          <w:sz w:val="20"/>
          <w:szCs w:val="20"/>
          <w:color w:val="auto"/>
        </w:rPr>
      </w:pPr>
      <w:r>
        <w:rPr>
          <w:rFonts w:ascii="Times New Roman" w:cs="Times New Roman" w:eastAsia="Times New Roman" w:hAnsi="Times New Roman"/>
          <w:sz w:val="18"/>
          <w:szCs w:val="18"/>
          <w:color w:val="auto"/>
        </w:rPr>
        <w:t>$        million of shareholders’ interest to the noncontrolling interests related to the         % economic interest held by the Pre-IPO Unitholders, and (iii) reclassification of shareholders’ interest of $        million to additional paid-in capital.</w:t>
      </w:r>
    </w:p>
    <w:p>
      <w:pPr>
        <w:spacing w:after="0" w:line="73" w:lineRule="exact"/>
        <w:rPr>
          <w:sz w:val="20"/>
          <w:szCs w:val="20"/>
          <w:color w:val="auto"/>
        </w:rPr>
      </w:pPr>
    </w:p>
    <w:p>
      <w:pPr>
        <w:ind w:left="1100" w:right="4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Mezzanine equity units will be recapitalized and converted into Units in Medline Holdings. As a result, no Mezzanine equity units will be outstanding following this offering.</w:t>
      </w:r>
    </w:p>
    <w:p>
      <w:pPr>
        <w:spacing w:after="0" w:line="67" w:lineRule="exact"/>
        <w:rPr>
          <w:sz w:val="20"/>
          <w:szCs w:val="20"/>
          <w:color w:val="auto"/>
        </w:rPr>
      </w:pPr>
    </w:p>
    <w:p>
      <w:pPr>
        <w:ind w:left="1080" w:right="260" w:hanging="532"/>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deferring certain costs which primarily represent legal, accounting and other costs directly associated with this offering. As of December 31, 2024, $        million of these costs were recorded to “Other current assets”, and an additional $        million of capitalizable costs are expected to be incurred subsequent to December 31, 2024. Upon completion of this offering, these deferred costs will be charged against the proceeds from this offering with a corresponding reduction to additional paid-in capital.</w:t>
      </w:r>
    </w:p>
    <w:p>
      <w:pPr>
        <w:sectPr>
          <w:pgSz w:w="11900" w:h="16838" w:orient="portrait"/>
          <w:cols w:equalWidth="0" w:num="1">
            <w:col w:w="11120"/>
          </w:cols>
          <w:pgMar w:left="320" w:top="455" w:right="459" w:bottom="1440" w:gutter="0" w:footer="0" w:header="0"/>
        </w:sectPr>
      </w:pPr>
    </w:p>
    <w:p>
      <w:pPr>
        <w:spacing w:after="0" w:line="8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 xml:space="preserve">Represents the net primary proceeds of approximately $            million, based on an assumed initial public offering price of $       </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per share, which is the midpoint of the estimated offering price range set forth on the cover page of this prospectus, after deducting</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assumed underwriting discounts and commissions and estimated offering expenses. These amounts, as described in “Use of Proceeds”</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above, relate to payment of approximately $            million of assumed underwriting discounts and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966" w:lineRule="exact"/>
        <w:rPr>
          <w:sz w:val="20"/>
          <w:szCs w:val="20"/>
          <w:color w:val="auto"/>
        </w:rPr>
      </w:pPr>
    </w:p>
    <w:p>
      <w:pPr>
        <w:sectPr>
          <w:pgSz w:w="11900" w:h="16838" w:orient="portrait"/>
          <w:cols w:equalWidth="0" w:num="2">
            <w:col w:w="10760" w:space="60"/>
            <w:col w:w="30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100" w:right="580"/>
        <w:spacing w:after="0" w:line="282" w:lineRule="auto"/>
        <w:rPr>
          <w:sz w:val="20"/>
          <w:szCs w:val="20"/>
          <w:color w:val="auto"/>
        </w:rPr>
      </w:pPr>
      <w:r>
        <w:rPr>
          <w:rFonts w:ascii="Times New Roman" w:cs="Times New Roman" w:eastAsia="Times New Roman" w:hAnsi="Times New Roman"/>
          <w:sz w:val="18"/>
          <w:szCs w:val="18"/>
          <w:color w:val="auto"/>
        </w:rPr>
        <w:t>commissions and estimated offering expenses; and payment of approximately $        million to repay in full borrowings under our        , partial repayment of our        , and accrued interest.</w:t>
      </w:r>
    </w:p>
    <w:p>
      <w:pPr>
        <w:spacing w:after="0" w:line="67"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is a reconciliation of the adjustments impacting additional paid-in-capital:</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8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Note</w:t>
            </w:r>
          </w:p>
        </w:tc>
        <w:tc>
          <w:tcPr>
            <w:tcW w:w="0" w:type="dxa"/>
            <w:vAlign w:val="bottom"/>
          </w:tcPr>
          <w:p>
            <w:pPr>
              <w:spacing w:after="0"/>
              <w:rPr>
                <w:sz w:val="1"/>
                <w:szCs w:val="1"/>
                <w:color w:val="auto"/>
              </w:rPr>
            </w:pPr>
          </w:p>
        </w:tc>
      </w:tr>
      <w:tr>
        <w:trPr>
          <w:trHeight w:val="173"/>
        </w:trPr>
        <w:tc>
          <w:tcPr>
            <w:tcW w:w="678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adjustment from recognition of deferred tax asset and Tax Receivable Agreement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adjustments to additional paid-in-capital above in note (e), other accounts within shareholders’ equity, including retained</w:t>
      </w:r>
    </w:p>
    <w:p>
      <w:pPr>
        <w:spacing w:after="0" w:line="27" w:lineRule="exact"/>
        <w:rPr>
          <w:sz w:val="20"/>
          <w:szCs w:val="20"/>
          <w:color w:val="auto"/>
        </w:rPr>
      </w:pPr>
    </w:p>
    <w:p>
      <w:pPr>
        <w:ind w:left="1080" w:right="40"/>
        <w:spacing w:after="0" w:line="260" w:lineRule="auto"/>
        <w:rPr>
          <w:sz w:val="20"/>
          <w:szCs w:val="20"/>
          <w:color w:val="auto"/>
        </w:rPr>
      </w:pPr>
      <w:r>
        <w:rPr>
          <w:rFonts w:ascii="Times New Roman" w:cs="Times New Roman" w:eastAsia="Times New Roman" w:hAnsi="Times New Roman"/>
          <w:sz w:val="18"/>
          <w:szCs w:val="18"/>
          <w:color w:val="auto"/>
        </w:rPr>
        <w:t>earnings, are adjusted to reflect the approximately        % ownership interest held by the noncontrolling interests. The following table is a reconciliation of the adjustments impacting noncontrolling interest:</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8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Note</w:t>
            </w:r>
          </w:p>
        </w:tc>
        <w:tc>
          <w:tcPr>
            <w:tcW w:w="0" w:type="dxa"/>
            <w:vAlign w:val="bottom"/>
          </w:tcPr>
          <w:p>
            <w:pPr>
              <w:spacing w:after="0"/>
              <w:rPr>
                <w:sz w:val="1"/>
                <w:szCs w:val="1"/>
                <w:color w:val="auto"/>
              </w:rPr>
            </w:pPr>
          </w:p>
        </w:tc>
      </w:tr>
      <w:tr>
        <w:trPr>
          <w:trHeight w:val="173"/>
        </w:trPr>
        <w:tc>
          <w:tcPr>
            <w:tcW w:w="678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adjustment from recognition of deferred tax asset and Tax Receivable Agreement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Consolidated Statement of Comprehensive Income (Loss)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Transaction accounting adjustments include the following adjustments related to the unaudited pro forma consolidated statement of comprehensive income (loss) for the year ended December 31, 2024, as follows:</w:t>
      </w:r>
    </w:p>
    <w:p>
      <w:pPr>
        <w:spacing w:after="0" w:line="67" w:lineRule="exact"/>
        <w:rPr>
          <w:sz w:val="20"/>
          <w:szCs w:val="20"/>
          <w:color w:val="auto"/>
        </w:rPr>
      </w:pPr>
    </w:p>
    <w:p>
      <w:pPr>
        <w:jc w:val="both"/>
        <w:ind w:left="1080" w:right="140" w:hanging="532"/>
        <w:spacing w:after="0" w:line="257"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transaction-related costs of approximately $        million in connection with the Offering Transactions that were not reflected in the historical consolidated statement of comprehensive income (loss). These non-recurring transaction-related costs were not eligible for</w:t>
      </w:r>
    </w:p>
    <w:p>
      <w:pPr>
        <w:spacing w:after="0" w:line="1" w:lineRule="exact"/>
        <w:rPr>
          <w:rFonts w:ascii="Times New Roman" w:cs="Times New Roman" w:eastAsia="Times New Roman" w:hAnsi="Times New Roman"/>
          <w:sz w:val="18"/>
          <w:szCs w:val="18"/>
          <w:color w:val="auto"/>
        </w:rPr>
      </w:pPr>
    </w:p>
    <w:p>
      <w:pPr>
        <w:ind w:left="1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are reflected as if incurred on January 1, 2024, the date the Offering Transactions occurred for purposes of the unaudited pro forma consolidated statement of comprehensive income (loss).</w:t>
      </w:r>
    </w:p>
    <w:p>
      <w:pPr>
        <w:spacing w:after="0" w:line="86"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Reorganization Transactions, Medline Inc. will be subject to U.S. federal income taxes, in addition to state and local taxes, as a corporation on its share of Medline Holdings’ taxable income. As a result, the unaudited pro forma consolidated statement of comprehensive income (loss)reflects an adjustment to income tax expense to reflect an effective income tax rate of        % which includes a provision for United States federal income taxes and assumes the highest statutory rates apportioned to each state and local jurisdiction.</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“Organizational Structure,” upon completion of the Reorganization Transactions, Medline Inc. will become the sole</w:t>
      </w:r>
    </w:p>
    <w:p>
      <w:pPr>
        <w:spacing w:after="0" w:line="27" w:lineRule="exact"/>
        <w:rPr>
          <w:sz w:val="20"/>
          <w:szCs w:val="20"/>
          <w:color w:val="auto"/>
        </w:rPr>
      </w:pPr>
    </w:p>
    <w:p>
      <w:pPr>
        <w:ind w:left="1080" w:right="420"/>
        <w:spacing w:after="0" w:line="253" w:lineRule="auto"/>
        <w:rPr>
          <w:sz w:val="20"/>
          <w:szCs w:val="20"/>
          <w:color w:val="auto"/>
        </w:rPr>
      </w:pPr>
      <w:r>
        <w:rPr>
          <w:rFonts w:ascii="Times New Roman" w:cs="Times New Roman" w:eastAsia="Times New Roman" w:hAnsi="Times New Roman"/>
          <w:sz w:val="18"/>
          <w:szCs w:val="18"/>
          <w:color w:val="auto"/>
        </w:rPr>
        <w:t>general partner of Medline Holdings and its subsidiaries. As a result of this offering, Medline Inc. will directly or indirectly own approximately        % of the economic interest in Medline Holdings but will have 100% of the voting power and will control the management of Medline Holdings. Immediately following the completion of this offering, the ownership percentage held by noncontrolling interests will be approximately        %. Net earnings attributable to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5"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1100" w:right="120"/>
        <w:spacing w:after="0" w:line="266" w:lineRule="auto"/>
        <w:rPr>
          <w:sz w:val="20"/>
          <w:szCs w:val="20"/>
          <w:color w:val="auto"/>
        </w:rPr>
      </w:pPr>
      <w:r>
        <w:rPr>
          <w:rFonts w:ascii="Times New Roman" w:cs="Times New Roman" w:eastAsia="Times New Roman" w:hAnsi="Times New Roman"/>
          <w:sz w:val="18"/>
          <w:szCs w:val="18"/>
          <w:color w:val="auto"/>
        </w:rPr>
        <w:t>noncontrolling interests will represent        % of net earnings before income taxes. These amounts have been determined based on an assumption that the underwriters’ option to purchase additional shares is not exercised. If the underwriters’ option to purchase additional shares is exercised in full, the ownership percentage held by the noncontrolling interest would decrease to        %.</w:t>
      </w:r>
    </w:p>
    <w:p>
      <w:pPr>
        <w:spacing w:after="0" w:line="81" w:lineRule="exact"/>
        <w:rPr>
          <w:sz w:val="20"/>
          <w:szCs w:val="20"/>
          <w:color w:val="auto"/>
        </w:rPr>
      </w:pPr>
    </w:p>
    <w:p>
      <w:pPr>
        <w:ind w:left="1080" w:hanging="532"/>
        <w:spacing w:after="0" w:line="25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basic and diluted pro forma net income (loss) per share of Class A common stock represents pro forma net income (loss) attributable to Medline Inc. divided by the Class A common stock issued in the Reorganization Transactions and in this offering, which is assumed to be outstanding for the entirety of the period presented. The noncontrolling interest owners own shares of Class B common stock. These shares of Class B common stock are not considered participating securities because they have no right to receive dividends or a distribution on liquidation or winding up of Medline Inc., and no earnings are allocable to such class. Accordingly, basic and diluted earnings per share of Class B common stock has not been presented. The table below presents the computation of pro forma basic and dilutive net income (loss) per share for Medline Inc. (in thousands, except per share amounts):</w:t>
      </w:r>
    </w:p>
    <w:p>
      <w:pPr>
        <w:spacing w:after="0" w:line="21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color w:val="auto"/>
        </w:rPr>
        <w:t>Year Ended</w:t>
      </w:r>
    </w:p>
    <w:p>
      <w:pPr>
        <w:jc w:val="center"/>
        <w:ind w:left="8340"/>
        <w:spacing w:after="0" w:line="226" w:lineRule="auto"/>
        <w:rPr>
          <w:sz w:val="20"/>
          <w:szCs w:val="20"/>
          <w:color w:val="auto"/>
        </w:rPr>
      </w:pPr>
      <w:r>
        <w:rPr>
          <w:rFonts w:ascii="Times New Roman" w:cs="Times New Roman" w:eastAsia="Times New Roman" w:hAnsi="Times New Roman"/>
          <w:sz w:val="14"/>
          <w:szCs w:val="14"/>
          <w:color w:val="auto"/>
        </w:rPr>
        <w:t>December 31,</w:t>
      </w:r>
    </w:p>
    <w:p>
      <w:pPr>
        <w:jc w:val="center"/>
        <w:ind w:left="8340"/>
        <w:spacing w:after="0" w:line="234" w:lineRule="auto"/>
        <w:rPr>
          <w:sz w:val="20"/>
          <w:szCs w:val="20"/>
          <w:color w:val="auto"/>
        </w:rPr>
      </w:pPr>
      <w:r>
        <w:rPr>
          <w:rFonts w:ascii="Times New Roman" w:cs="Times New Roman" w:eastAsia="Times New Roman" w:hAnsi="Times New Roman"/>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Net income attributable to Medline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Incremental common shares attributable to dilutive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line="181" w:lineRule="auto"/>
        <w:rPr>
          <w:sz w:val="20"/>
          <w:szCs w:val="20"/>
          <w:color w:val="auto"/>
        </w:rPr>
      </w:pPr>
      <w:r>
        <w:rPr>
          <w:rFonts w:ascii="Times New Roman" w:cs="Times New Roman" w:eastAsia="Times New Roman" w:hAnsi="Times New Roman"/>
          <w:sz w:val="18"/>
          <w:szCs w:val="18"/>
          <w:color w:val="auto"/>
        </w:rPr>
        <w:t>Assumed conversion of Units to shares of Class A common stock</w:t>
      </w:r>
      <w:r>
        <w:rPr>
          <w:rFonts w:ascii="Times New Roman" w:cs="Times New Roman" w:eastAsia="Times New Roman" w:hAnsi="Times New Roman"/>
          <w:sz w:val="26"/>
          <w:szCs w:val="26"/>
          <w:color w:val="auto"/>
          <w:vertAlign w:val="superscript"/>
        </w:rPr>
        <w:t>(1)</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5871845"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(Diluted)</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Pro Forma Basic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Pro Forma Diluted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91440</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1540" w:hanging="439"/>
        <w:spacing w:after="0" w:line="289" w:lineRule="auto"/>
        <w:tabs>
          <w:tab w:leader="none" w:pos="15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noncontrolling interest owners, which we refer to as Pre-IPO Unitholders, have exchange rights which enable the noncontrolling interest owners to exchange Units for shares of Class A common stock on a one for one basis. The noncontrolling interest owners exchange rights cause the Units to be considered dilutive shares for purposes of dilutive income (loss) per share calculations.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results of operations and financial condition in conjunction with the “Unaudited Pro Forma Consolidated Financial Information” and the consolidated financial statements and related notes thereto included elsewhere in this prospectus. In addition to historical consolidated financial information, the following discussion contains forward-looking statements and involves numerous risks and uncertainties, including, but not limited to, those described in the “Risk Factors” section of this prospectus. Actual results may differ materially from those contained in any forward-looking statements. Unless the context otherwise requires, references in this section to “Medline,” “we,” “our,” “us,” and the “Company” refer to Medline Holdings, LP and its consolidated subsidiaries.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the largest med-surg products and supply chain solutions company serving healthcare providers across the continuum of care.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ranging from surgical kits and sterile procedure trays to intravenous kits, wound care supplies, and consumable lab and diagnostics products. We hold the leading position across several of our end markets and many of our key product families. We distribute these products through our expansive network of 68 global distribution facilities spanning over 28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2024, our financial results were as follows:</w:t>
      </w:r>
    </w:p>
    <w:p>
      <w:pPr>
        <w:spacing w:after="0" w:line="13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We generated net sales of $            billion, net income of $            million, and Adjusted EBITDA of $            billion, representing</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 Adjusted EBITDA Margin of            %.</w:t>
      </w:r>
    </w:p>
    <w:p>
      <w:pPr>
        <w:sectPr>
          <w:pgSz w:w="11900" w:h="16838" w:orient="portrait"/>
          <w:cols w:equalWidth="0" w:num="1">
            <w:col w:w="11140"/>
          </w:cols>
          <w:pgMar w:left="320" w:top="455" w:right="439" w:bottom="1440" w:gutter="0" w:footer="0" w:header="0"/>
        </w:sectPr>
      </w:pPr>
    </w:p>
    <w:p>
      <w:pPr>
        <w:spacing w:after="0" w:line="112" w:lineRule="exact"/>
        <w:rPr>
          <w:sz w:val="20"/>
          <w:szCs w:val="20"/>
          <w:color w:val="auto"/>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that period,        % of total net sales and  segment, while        % of total net sales and 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 of total Adjusted EBITDA were generated from our Medline Brand</w:t>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      % of total Adjusted EBITDA were generated from Supply Chain Solutions.</w:t>
      </w:r>
    </w:p>
    <w:p>
      <w:pPr>
        <w:spacing w:after="0" w:line="218" w:lineRule="exact"/>
        <w:rPr>
          <w:sz w:val="20"/>
          <w:szCs w:val="20"/>
          <w:color w:val="auto"/>
        </w:rPr>
      </w:pPr>
    </w:p>
    <w:p>
      <w:pPr>
        <w:sectPr>
          <w:pgSz w:w="11900" w:h="16838" w:orient="portrait"/>
          <w:cols w:equalWidth="0" w:num="2">
            <w:col w:w="4900" w:space="40"/>
            <w:col w:w="6200"/>
          </w:cols>
          <w:pgMar w:left="320" w:top="455" w:right="439" w:bottom="1440" w:gutter="0" w:footer="0" w:header="0"/>
          <w:type w:val="continuous"/>
        </w:sect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reconciliation of Adjusted EBITDA and Adjusted EBITDA Margin to the most directly comparable GAAP financial measures, information about why we consider Adjusted EBITDA and Adjusted EBITDA Margin useful and a discussion of the material risks and limitations of these measures, see “—Non-GAAP Financial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operate under two reportable segments, Medline Brand and Supply Chain Solutions. During the year ended December 31, 2024, Medline Brand segment net sales and segment adjusted EBITDA were $        and $        , respectively, while Supply Chain Solutions segment net sales and segment adjusted EBITDA were $        and $        ,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offer our customers approximately 190,000 med-surg products through our Medline Brand segment. We produce approximately one-third of these products, which are primarily Class I and II medical devices, through our 27 manufacturing facilities. We focus our manufacturing capabilities on products where we can leverage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technology and automation to drive higher quality and lower costs to better serve our customers. For the vast majority of the other two-thirds of Medline Brand products, we utilize a network of more than 500 global partners across a diversified set of 40 countries, with approximately 300 of these relationships being exclusive to 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three Medline Brand segment product categories are as follows:</w:t>
      </w:r>
    </w:p>
    <w:p>
      <w:pPr>
        <w:spacing w:after="0" w:line="129" w:lineRule="exact"/>
        <w:rPr>
          <w:sz w:val="20"/>
          <w:szCs w:val="20"/>
          <w:color w:val="auto"/>
        </w:rPr>
      </w:pPr>
    </w:p>
    <w:p>
      <w:pPr>
        <w:ind w:left="1080" w:right="60" w:hanging="424"/>
        <w:spacing w:after="0" w:line="267"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Front Line Care </w:t>
      </w:r>
      <w:r>
        <w:rPr>
          <w:rFonts w:ascii="Times New Roman" w:cs="Times New Roman" w:eastAsia="Times New Roman" w:hAnsi="Times New Roman"/>
          <w:sz w:val="18"/>
          <w:szCs w:val="18"/>
          <w:color w:val="auto"/>
        </w:rPr>
        <w:t>offers mission-critical med-surg products for patient-facing needs, including wound care products, exam gloves, skin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incontinence products, environment cleaning supplies, textiles, hand sanitizer, durable medical equipment, patient plastics, and decolonization and infection control products.</w:t>
      </w:r>
    </w:p>
    <w:p>
      <w:pPr>
        <w:spacing w:after="0" w:line="78" w:lineRule="exact"/>
        <w:rPr>
          <w:rFonts w:ascii="Times New Roman" w:cs="Times New Roman" w:eastAsia="Times New Roman" w:hAnsi="Times New Roman"/>
          <w:sz w:val="18"/>
          <w:szCs w:val="18"/>
          <w:color w:val="auto"/>
        </w:rPr>
      </w:pPr>
    </w:p>
    <w:p>
      <w:pPr>
        <w:ind w:left="1080" w:right="160" w:hanging="424"/>
        <w:spacing w:after="0" w:line="315" w:lineRule="auto"/>
        <w:tabs>
          <w:tab w:leader="none" w:pos="10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Surgical Solutions </w:t>
      </w:r>
      <w:r>
        <w:rPr>
          <w:rFonts w:ascii="Times New Roman" w:cs="Times New Roman" w:eastAsia="Times New Roman" w:hAnsi="Times New Roman"/>
          <w:sz w:val="17"/>
          <w:szCs w:val="17"/>
          <w:color w:val="auto"/>
        </w:rPr>
        <w:t>offers operating room and perioperative environment product solutions, including surgical procedure trays, drapes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gowns, personal protective equipment, sterile wraps, surgical instruments, surgeon’s gloves, procedure kits, and orthopedic implants.</w:t>
      </w:r>
    </w:p>
    <w:p>
      <w:pPr>
        <w:spacing w:after="0" w:line="40" w:lineRule="exact"/>
        <w:rPr>
          <w:rFonts w:ascii="Times New Roman" w:cs="Times New Roman" w:eastAsia="Times New Roman" w:hAnsi="Times New Roman"/>
          <w:sz w:val="17"/>
          <w:szCs w:val="17"/>
          <w:color w:val="auto"/>
        </w:rPr>
      </w:pPr>
    </w:p>
    <w:p>
      <w:pPr>
        <w:ind w:left="1080" w:right="300" w:hanging="424"/>
        <w:spacing w:after="0" w:line="267"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Laboratory and Diagnostics </w:t>
      </w:r>
      <w:r>
        <w:rPr>
          <w:rFonts w:ascii="Times New Roman" w:cs="Times New Roman" w:eastAsia="Times New Roman" w:hAnsi="Times New Roman"/>
          <w:sz w:val="18"/>
          <w:szCs w:val="18"/>
          <w:color w:val="auto"/>
        </w:rPr>
        <w:t>offers a full range of laboratory and diagnostic product solutions, including point of care testing, analyzers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instrumentation, lab and diagnostic consumables, diagnostic instruments, vital signs monitors, and anatomic pathology and phlebotomy products.</w:t>
      </w:r>
    </w:p>
    <w:p>
      <w:pPr>
        <w:spacing w:after="0" w:line="17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are highly diversified across Medline Brand products and categories, with no significant concentration in any one product. This is a result of our track record of successfully bringing new products to market, with more than 2,100 granted patents and more than 400 FDA 510(k) clearances. The continuous innovation of our product portfolio allows us to support the vast majority of a customer’s med-surg product needs.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offer approximately 145,000 med-surg products from over 1,250 third-party suppliers, including nearly all leading national brands, through our Supply Chain Solutions segment. As a scaled service provider that sells and delivers to the entire continuum of care, Medline is a highly desirable partner to these brands. We also provide our customers supply chain optimization services such as consulting engagements, outsourced warehouse and technology management, put-away-ready packaging, third-party logistics, inventory rationalization, and route planning.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Distribution Network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 differentiated network of 68 global distribution centers, 46 of which are in the United States. Our 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by which customers can place orders for delivery within a desired date, expand our product offering, and better service our expanding customer base. We also operate our own fleet of more than 2,000 MedTrans trucks that deliver our products across care settings within the United States. Our $      billion of global on-hand inventory as of December 31, 2024, coupled with our market-leading supply chain capabilities, drive our ability to fulfill customer orders with service levels of 99% and support our high customer satisfaction levels. Over the last five years we have invested $1.8 billion in total capital expenditures within our distribution network. We currently have over 30% in excess capacity across our platform to support our long-term growth.</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Commercial Platform</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deep connectivity to our customers is driven by the strength of our dedicated and tenured commercial team. We have a U.S. commercial team of more than 3,800 people across all points of care, which includes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which empowers our salesforce to work with our product managers to create innovative products that meet market demand. We have a team devoted to each channel in the United States and each region or country internationally, which allows our salesforce teams to develop market-specific knowledge. Our differentiated, customer-focused culture and salesforce empowerment have driven a strong U.S. salesforce retention rate of greater than 85% in 2023.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and Trends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Aging Population and Increased Healthcare Utilization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Secular tailwinds, including an aging population and the growing prevalence of chronic conditions, which are expected to drive elevated volumes and increased health expenditures over the long term. The number of Americans aged 65 and older is projected to increase by 47% from 2022 to 2050, and today approximately 60% of Americans have at least one chronic disease, with approximately 40% having two or more. Due to these factors, national health expenditures are projected to outpace GDP growth, with an annual growth rate of 5.6% from 2023 to 2032, according to CMS. We will continue to serve our customer base as their underlying patient volumes increase and the demand for our med-surg products grows over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End Market Dynamics Including Shifting Sites of Care and Consolidation</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Our business is positively impacted by the ongoing shift of higher acuity procedures to lower-cost sites of care and consolidation of healthcare providers into IDNs. These factors have led to increased volumes across non-acute care delivery settings and drive customers to seek partners with reliable manufacturing and distribution capabilities who can serve their various end markets. Because of our comprehensive capabilities and offerings, we view these industry changes as advantageous and reflective of the broad strengths embedded in our business model. By continuing to enhance our product portfolio and tailor our service offerings, we aim to expand the value we provide to our customers across the entire continuum of care.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Prime Vendor Growth</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historical track record of earning new Prime Vendor customers has been a key driver of sustained growth and share gains for Medline. As Prime Vendor, we can deliver significant cost savings to our customers. Our scale allows us to consistently deliver lower prices and better service levels on Medline Brand products relative to third-party alternatives, while also lowering the distribution cost for delivery of the full range of med-surg products. This often motivates customers to purchase more Medline Brand products over time.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example, in the acute care sector, at the beginning of a Prime Vendor relationship, Medline Brand products typically represent approximately 10% of a customer’s product mix but can reach over 50% Medline Brand over time. This like-for-like product conversion opportunity will grow as we expand our product portfolio, either through new product development or acquisitions.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Medline Brand conversion is mutually beneficial for both our customers and us—the value we provide customers at the outset of a Prime Vendor agreement meaningfully increases over time, as they accrue savings by purchasing our lower cost Medline Brand products, while our profitability grows given the enhanced margin profile of Medline Brand products.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Non-Prime Vendor Growth</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customer base includes those who purchase products through us but with whom we do not currently have a Prime Vendor relationship. We expect Medline Brand net sales to non-Prime Vendor customers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continue to grow as we deepen our relationships with these customers and expand our Medline Brand product portfolio. Furthermore, as these customers recognize the value proposition of Medline Brand and distribution network, we will have the opportunity to earn Prime Vendor agreements from them.</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Medline Brand Growth</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ability to sell Medline Brand products has impacted and will continue to impact our financial performance. These products represent approximately 50% of our net sales today, or $        billion for the fiscal year ending December 31, 2024. The product categories that comprise our Medline Brand offerings represent a $        billion U.S. market opportunity, resulting in meaningful whitespace for future growth relative to our current net sales volume.</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sell these Medline Brand products to both our Prime Vendor and non-Prime Vendor customers. Today, our Prime Vendor agreements have a weighted average mix of approximately 70% Supply Chain Solutions and approximately 30% Medline Brand, presenting a significant opportunity to drive customer savings through further Medline Brand adoption in the years ahead. The amount of addressable like-for-like product sales with existing Prime Vendor customers represents a conversion opportunity of approximately $        billion in net sales as of December 31, 2024, which could generate an incremental $        billion of gross profit. Additionally, we will continue to highlight the value proposition of our Medline Brand products and distribution capabilities to non-Prime Vendor customers.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Product Launches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approach to product development is shaped by a long history of actively gathering and incorporating customer feedback. Over the years, we have refined our ability to identify underlying needs and challenges faced by our customers. By carefully examining customer pain points, our teams are encouraged to respond with well-informed product innovations that address these issues directly and effectively.</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innovation process involves close collaboration across multiple parts of our organization. Medline product teams work with our salesforce and regulatory experts to translate the insights gained from customer experiences into new Medline Brand products. This integrated approach ensures that we introduce high-quality products that meet recognized needs.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scaled go-to-market strategy and entrepreneurial culture allows us to quickly introduce new products across our customer base, increasing the likelihood of commercial success. By continually applying this model, we aim to maintain our role as a dependable partner and resource for our customers, supporting them with innovative solutions as their needs evolve.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M&amp;A</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disciplined, global M&amp;A strategy is focused on pursuing adjacent products and services as well as expanding into 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recent notable acquisitions include:</w:t>
      </w:r>
    </w:p>
    <w:p>
      <w:pPr>
        <w:spacing w:after="0" w:line="131" w:lineRule="exact"/>
        <w:rPr>
          <w:sz w:val="20"/>
          <w:szCs w:val="20"/>
          <w:color w:val="auto"/>
        </w:rPr>
      </w:pPr>
    </w:p>
    <w:p>
      <w:pPr>
        <w:ind w:left="1080" w:right="16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2024, we acquired the global surgical solutions business of Ecolab, Inc., including industry-leading Microtek product lines. The acquisition provides us with innovative sterile drape solutions for surgeons, patients, and operating room equipment, as well as Ecolab’s fluid temperature management system. The purchase price for the acquisition was approximately $926 million.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right="4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2024, we acquired 100% of the shares of Sinclair Dental Co. Ltd for approximately $195 million. Sinclair Dental Co. Ltd was the largest independent distributor of dental supplies and equipment in Canada. Their dental products, including patented ones, will diversify our portfolio in Canada and are expected to earn us new customers. The addition of their distribution centers will also expand our footprint in Canada.</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industry consolidation continues, we believe we are well-positioned to capitalize on this trend to continue to grow and gain share in this global market. See “Risk Factors—Risks Related to Our Business, Industry and Operations—We may be unable to derive fully the anticipated benefits from our existing or future acquisitions, joint ventures, investments, dispositions, or other strategic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 Relations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2018, the previous Trump administration raised tariffs on a range of products from China, including some medical products. While a number of Medline Brand products contract manufactured in China experienced increased costs, we were able to utilize our scale to deploy a set of strategic actions to mitigate the impacts on our results. In turn, we shared a portion of these savings with our customers by maintaining competitive pricing on the affected products. These strategic actions included the following:</w:t>
      </w:r>
    </w:p>
    <w:p>
      <w:pPr>
        <w:spacing w:after="0" w:line="83" w:lineRule="exact"/>
        <w:rPr>
          <w:sz w:val="20"/>
          <w:szCs w:val="20"/>
          <w:color w:val="auto"/>
        </w:rPr>
      </w:pPr>
    </w:p>
    <w:p>
      <w:pPr>
        <w:jc w:val="both"/>
        <w:ind w:left="1080" w:right="140" w:hanging="424"/>
        <w:spacing w:after="0" w:line="26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Shifted Production Across Our Globally Diversified Network of Sourcing Partners: </w:t>
      </w:r>
      <w:r>
        <w:rPr>
          <w:rFonts w:ascii="Times New Roman" w:cs="Times New Roman" w:eastAsia="Times New Roman" w:hAnsi="Times New Roman"/>
          <w:sz w:val="18"/>
          <w:szCs w:val="18"/>
          <w:color w:val="auto"/>
        </w:rPr>
        <w:t>Our global network of more than 500 global sourcing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across 40 countries enabled us to strategically shift which country our Medline Brand products are sourced from, and allowed us to manage costs while simultaneously maintaining the high quality our customers expect from our products;</w:t>
      </w:r>
    </w:p>
    <w:p>
      <w:pPr>
        <w:spacing w:after="0" w:line="78"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Procured More Cost-Competitive Raw Materials: </w:t>
      </w:r>
      <w:r>
        <w:rPr>
          <w:rFonts w:ascii="Times New Roman" w:cs="Times New Roman" w:eastAsia="Times New Roman" w:hAnsi="Times New Roman"/>
          <w:sz w:val="18"/>
          <w:szCs w:val="18"/>
          <w:color w:val="auto"/>
        </w:rPr>
        <w:t>We focused on securing more cost-competitive raw materials, leveraging global supplier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and tactical negotiating strategies to contain expenses without compromising quality;</w:t>
      </w:r>
    </w:p>
    <w:p>
      <w:pPr>
        <w:spacing w:after="0" w:line="63" w:lineRule="exact"/>
        <w:rPr>
          <w:rFonts w:ascii="Times New Roman" w:cs="Times New Roman" w:eastAsia="Times New Roman" w:hAnsi="Times New Roman"/>
          <w:sz w:val="18"/>
          <w:szCs w:val="18"/>
          <w:color w:val="auto"/>
        </w:rPr>
      </w:pPr>
    </w:p>
    <w:p>
      <w:pPr>
        <w:ind w:left="1080" w:right="640" w:hanging="424"/>
        <w:spacing w:after="0" w:line="284"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Optimized Production Processes: </w:t>
      </w:r>
      <w:r>
        <w:rPr>
          <w:rFonts w:ascii="Times New Roman" w:cs="Times New Roman" w:eastAsia="Times New Roman" w:hAnsi="Times New Roman"/>
          <w:sz w:val="18"/>
          <w:szCs w:val="18"/>
          <w:color w:val="auto"/>
        </w:rPr>
        <w:t>We implemented process improvements and enhanced existing automation capabilities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inefficiencies in our manufacturing facilities, driving sustainable cost savings; and</w:t>
      </w:r>
    </w:p>
    <w:p>
      <w:pPr>
        <w:spacing w:after="0" w:line="63"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Adjustments: </w:t>
      </w:r>
      <w:r>
        <w:rPr>
          <w:rFonts w:ascii="Times New Roman" w:cs="Times New Roman" w:eastAsia="Times New Roman" w:hAnsi="Times New Roman"/>
          <w:sz w:val="18"/>
          <w:szCs w:val="18"/>
          <w:color w:val="auto"/>
        </w:rPr>
        <w:t>For products where we were unable to offset these cost pressures, we enacted selective price increases, enabling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continued investment in the capabilities essential to enhance our customer value proposition.</w:t>
      </w:r>
    </w:p>
    <w:p>
      <w:pPr>
        <w:spacing w:after="0" w:line="16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President-elect Trump has proposed tariffs on products manufactured in China and Mexico. Although the exact nature and extent of such tariffs has not been determined, we intend to mitigate the impact of any incremental tariffs through the combination of our domestic manufacturing capabilities and our proven ability to execute on strategic actions similar to those mentioned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Supply Chain Disruption and Inflationary Pressures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business is impacted by supply chain disruptions, including but not limited to labor shortages, raw material shortages, and third-party supplier issues. Additionally, inflation has had, and may continue to have, a material impact on the cost to source materials or produce and distribute finished goods to customers. In these periods of disruption, our costs typically increase, and our operations may be constrained. While these factors can impact profitability, we have established the capabilities and infrastructure designed to mitigate the associated impact on our financial performance.</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This was evidenced during the COVID-19 pandemic, which caused widespread supply chain disruption and heightened demand for essential med-surg products in the United States. During this period, we experienced elevated inflationary pressures associated with inbound freight, fuel, and labor costs, in particular. Our globally diversified sourcing partnerships, robust domestic manufacturing footprint, and owned distribution network allowed us to provide reliable product availability and maintain competitive pricing, resulting in uninterrupted net sales growth.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center"/>
        <w:ind w:left="440"/>
        <w:spacing w:after="0" w:line="312" w:lineRule="auto"/>
        <w:rPr>
          <w:sz w:val="20"/>
          <w:szCs w:val="20"/>
          <w:color w:val="auto"/>
        </w:rPr>
      </w:pPr>
      <w:r>
        <w:rPr>
          <w:rFonts w:ascii="Times New Roman" w:cs="Times New Roman" w:eastAsia="Times New Roman" w:hAnsi="Times New Roman"/>
          <w:sz w:val="17"/>
          <w:szCs w:val="17"/>
          <w:color w:val="auto"/>
        </w:rPr>
        <w:t>Seasonal factors inherent in our business change the demand for products, including illness or disease patterns, the timing of elective medical procedures, and customer spending patterns. Historically, we have experienced higher net sales in the fourth quarter as a result of certain of these factors.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the Reorganization Transactions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Medline Inc. was incorporated in November 2024 in contemplation of an initial public offering. Prior to the completion of this offering, we will execute several reorganization transactions described in “Organizational Structure—Blocker Transfers” and “Organizational Structure—Amendment and Restatement of the Limited Partnership Agreement of Medline Holdings,” as a result of which the limited partnership agreement of Medline Holdings will be amended and restated to, among other things, modify its capital structure by creating a single new class of limited partnership interests that we refer to as “Units.” Pursuant to the amended and restated limited partnership agreement of Medline Holdings, Medline Inc. will be the general partner of Medline Holdings.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Medline Inc. is a corporation for U.S. federal and state income tax purposes. Medline Inc.’s accounting predecessor, Medline Holdings, is treated as a flow-through entity for U.S. federal income tax purposes, and, as such, has generally not been subject to U.S. federal income tax at the entity level. Accordingly, unless otherwise specified, the historical results of operations and other financial information set forth in this prospectus do not include any provision for U.S. federal income tax. Following this offering, Medline Inc. will pay U.S. federal and state income taxes as a corporation on its share of Medline Holdings’ taxable income. The reorganization will be accounted for as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w:t>
      </w:r>
    </w:p>
    <w:p>
      <w:pPr>
        <w:spacing w:after="0" w:line="18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Reorganization Transactions and this offering, we will enter into the tax receivable agreement as described under “Certain Relationships and Related Person Transactions—Tax Receivable Agreement.”</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and the Pre-IPO Unitholders will also enter into an exchange agreement under which they (or certain permitted transferees) will have the right (subject to the terms of the exchange agreement) to exchange their Units for shares of our Class A common stock on a one-for-one basis, subject to customary conversion rate adjustments for stock splits, stock dividends and reclassifications, whereupon an equivalent number of shares of Class B common stock held by such Pre-IPO Unitholder will be automatically transferred to us and cancelled and retired upon any such exchange. See “Organizational Structure” and “Certain Relationships and Related Person Transactions.”</w:t>
      </w:r>
    </w:p>
    <w:p>
      <w:pPr>
        <w:spacing w:after="0" w:line="183"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Following this offering, the Pre-IPO Unitholders will hold all of the issued and outstanding shares of our Class B common stock. The shares of Class B common stock will have no economic rights but will entitle each holder to one vote for each share held of record on all matters to be voted on by stockholders generally, with the number of shares of Class B common stock held by each Pre-IPO Unitholder being equivalent to the number of Units held by such Pre-IPO Unitholder. If at any time the ratio at which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Company Costs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incurred costs associated with preparing to become a public company during the year ended December 31, 2024, and following the completion of this offering, we will continue to incur these costs as well as additional expenses associated with operating as a public company. We expect that these costs will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are currently inapplicable to us as a private company. These additional rules and regulations will increase our legal, regulatory, financial, and insurance compliance costs and will make some activities more time-consuming and costly.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generate net sales principally from the sales of products. The majority of the sales transactions are supported by an underlying agreement or a formal purchase order. Net sales are recognized with the transfer of control that is generally when a product is shipped to a customer, the customer has legal title to the product, and we have a right to payment for such product. Although products are generally sold at fixed prices, our contracts have variable consideration, which we estimate at the point when net sales are recognized, based on the expected value to be provided to the customer.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Cost of goods sold consists of product costs, including the cost of materials, direct and indirect labor costs, overhead, depreciation of manufacturing assets, inbound shipping and handling costs, and import expenses, net of any applicable third-party supplier rebates.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include corporate management and support functions, such as general management, legal, accounting, finance, human resources, sales, marketing, and other functions not directly associated with net sales generating activities. SG&amp;A expenses include salaries, bonuses and other payroll-related benefits, general operating expenses such as occupancy costs, information technology infrastructure, travel, outbound freight, advertising, research and development, marketing expenses, and bad debt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Intangible assets are initially measured at fair value and consist of trade names, customer relationships, and developed technology from acquisitions. The definite lived intangible assets are amortized using the straight-line method over their estimated useful lives.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Other operating expenses includes restructuring costs, impairment, litigation settlement charges, gain (loss) on sale of assets, and acquisition costs.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includes interest expense incurred on borrowings, amortization expense of deferred financing costs, and gain or loss from cash flow hedge transactions, as well as interest income generated on overdue customer receivable balances, bank deposits, and money market investments.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income, net includes investment income or loss from market value changes on undesignated derivatives, gain related to the derecognition of intangible assets, pro-rata income or loss of equity investment, debt extinguishment loss, debt refinancing/issuance cost, and other non-operating income or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 net</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Foreign exchange (loss) gain, net is generated by trade balances and loans denominated in currencies other than U.S. dollars, the reporting currency, as well as settlements of intercompany balances.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The provision for income taxes consists primarily of income taxes related to our U.S. corporate and foreign subsidiaries in jurisdictions in which we conduct business. The majority of our income is generated within U.S. pass-through entities, in which federal and some state income taxes are not assessed at the entity level. As such, our effective tax rate will vary based on the level of income earned by tax paying and non-tax paying entities as well as the geographic mix of profits and other items. Following the completion of this offering, we will be subject to taxation as a corporation.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 compared to the year ended December 31, 2023</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4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73"/>
        </w:trPr>
        <w:tc>
          <w:tcPr>
            <w:tcW w:w="5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17,346</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5,885</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3,867</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662</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1,250</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(976)</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264</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234</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sales for the year ended December 31, 2024 increased $        million, or        %, to $        million, compared to $23,231 million for the respective period in 2023 primarily as a result of        . Net sales for the year ended December 31, 2024 increased $        million, or        % from organic growth.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U.S. business for the year ended December 31, 2024 increased $        million, or        %, to $        million, compared to $21,800 million for the respective period in 2023 primarily driven by        .</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International business, for the year ended December 31, 2024 decreased $        million, or        %, to $        million, compared to $1,431 million for the respective period in 2023. International sales were boosted primarily by        .</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goods sold for the year ended December 31, 2024 increased $            million, or            %, to $            million, compared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$17,346 million for the respective period in 2023 primarily driven by            . Gross profit as a percentage of sales increased from    % for the 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December 31, 2024 to   % for the year ended December 31, 2023 driven by            .</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SG&amp;A expense for the year ended December 31, 2024 increased $        million, or        %, to $        million, compared to $3,867 million for the respective period in 2023, primarily due to         .</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2024 increased $        million, or        %, to $        million, compared to $106 million for the respective period in 2023, primarily due to        .</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Interest expense, net for the year ended December 31, 2024 decreased $        million, or        %, to $        million, compared to $976 million for the respective period in 2023, primarily due to        .</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Other income, net for the year ended December 31, 2024 decreased $        million, or        %, to $        million, compared to $1 million for the respective period in 2023. The other income in 2023 consisted primarily of        .</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 net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Foreign exchange (loss) gain, net for the year ended December 31, 2024 increased $        million to $        million net loss, compared to $11 million net loss for the respective period in 2023, primarily due to        .</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2024 increased $        million, or        %, to $        million, compared to $30 million for the respective period in 2023, primarily due to         .</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2023 compared to the year ended December 31, 2022</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vMerge w:val="restart"/>
          </w:tcPr>
          <w:p>
            <w:pPr>
              <w:spacing w:after="0"/>
              <w:rPr>
                <w:sz w:val="10"/>
                <w:szCs w:val="10"/>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2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40" w:type="dxa"/>
            <w:vAlign w:val="bottom"/>
            <w:vMerge w:val="continue"/>
          </w:tcPr>
          <w:p>
            <w:pPr>
              <w:spacing w:after="0"/>
              <w:rPr>
                <w:sz w:val="15"/>
                <w:szCs w:val="15"/>
                <w:color w:val="auto"/>
              </w:rPr>
            </w:pPr>
          </w:p>
        </w:tc>
        <w:tc>
          <w:tcPr>
            <w:tcW w:w="5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5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6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6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17,346</w:t>
            </w: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16,231</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1,115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5,885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668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3,867</w:t>
            </w: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191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86</w:t>
            </w:r>
          </w:p>
        </w:tc>
        <w:tc>
          <w:tcPr>
            <w:tcW w:w="8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17"/>
                <w:szCs w:val="17"/>
                <w:color w:val="auto"/>
              </w:rPr>
              <w:t>NM</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(976)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17"/>
                <w:szCs w:val="17"/>
                <w:color w:val="auto"/>
              </w:rPr>
              <w:t>NM</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254</w:t>
            </w:r>
          </w:p>
        </w:tc>
        <w:tc>
          <w:tcPr>
            <w:tcW w:w="88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17"/>
                <w:szCs w:val="17"/>
                <w:color w:val="auto"/>
              </w:rPr>
              <w:t>NM</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259</w:t>
            </w:r>
          </w:p>
        </w:tc>
        <w:tc>
          <w:tcPr>
            <w:tcW w:w="88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17"/>
                <w:szCs w:val="17"/>
                <w:color w:val="auto"/>
              </w:rPr>
              <w:t>NM</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20"/>
        <w:spacing w:after="0" w:line="198" w:lineRule="auto"/>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Not Meaningful</w:t>
      </w:r>
    </w:p>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sales for the year ended December 31, 2023 increased $1,783 million, or 8.3%, to $23,231 million, compared to $21,448 million for the respective period in 2022. Net sales for the year ended December 31, 2023 increased $1,776 million, or 8.3% from organic growth with foreign currency having an immaterial impact on net sales.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U.S. business for the year ended December 31, 2023 increased $1,835 million, or 9.2%, to $21,800 million, compared to $19,965 million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respective period in 2022. In the United States, the acute care business increased $1,451 million, or 10.0%, to $15,906 million, compared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$14,455 million for the respective period in 2022, primarily driven by the implementation of new Prime Vendor relationships as well as the growth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existing Prime Vendor business. Other existing customer net sales also grew due to the increase in medical procedures over the prior year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consolidation of residual customer spend. The U.S. non-acute business increased $384 million, or 7.0%, to $5,894 million, compared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$5,510 million for the respective period in 2022, primarily driven by volume and sales growth in ambulatory surgical centers and physician offices.</w:t>
      </w:r>
    </w:p>
    <w:p>
      <w:pPr>
        <w:spacing w:after="0" w:line="20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International business for the year ended December 31, 2023 decreased $52 million, or 3.5%, to $1,431 million, compared to $1,483 million for the respective period in 2022, which was impacted by spot buys of personal protective equipment (“PPE”) products in response to the COVID-19 pandemic, partially offset by growth in ongoing sales activities in 2023.</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Cost of goods sold for the year ended December 31, 2023 increased $1,115 million, or 6.9%, to $17,346 million, compared to $16,231 million for the respective period in 2022. For the year ended December 31, 2023, the increase was primarily driven by the growth in net sales. Gross profit as a percentage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net sales increased from 24.3% for the year ended December 31, 2022 to 25.3% for the year ended December 31, 2023, driven by lower costs for freight and certain raw materials, manufacturing efficiencies, and sourcing savings. These savings were partially offset by inflationary pressure in the first half of 2023 on certain product costs and $79 million of higher amortization expense due to the inventory step-up related to the Sponsor Acquisition, compared to the respective period in 2022.</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SG&amp;A expense for the year ended December 31, 2023 increased $191 million, or 5.2%, to $3,867 million, compared to $3,676 million for the respective period in 2022, due to an increase in labor costs, investment in our commercial team and distribution network, and upgrades in our technology infrastructure to support long-term growth.</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2023 increased $86 million, to $106 million, compared to $20 million for the respective period in 2022, primarily due to a one-time EtO litigation charge of $163 million, partially offset by a gain of $75 million from a change in valuation estimate related to an acquisition.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for the year ended December 31, 2023 increased $104 million, or 11.9%, to $976 million, compared to $872 million for the respective period in 2022, primarily due to the higher interest expense of $317 million on our variable-rate debt, partially offset by a $207 million gain from interest rate hedging and interest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compares business segment net sales, segment adjusted EBITDA, and segment adjusted EBITDA margin for the years ended December 31, 2024 and 2023.</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740" w:type="dxa"/>
            <w:vAlign w:val="bottom"/>
            <w:gridSpan w:val="2"/>
          </w:tcPr>
          <w:p>
            <w:pPr>
              <w:jc w:val="right"/>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tcPr>
          <w:p>
            <w:pPr>
              <w:spacing w:after="0"/>
              <w:rPr>
                <w:sz w:val="10"/>
                <w:szCs w:val="10"/>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760" w:type="dxa"/>
            <w:vAlign w:val="bottom"/>
            <w:vMerge w:val="continue"/>
          </w:tcPr>
          <w:p>
            <w:pPr>
              <w:spacing w:after="0"/>
              <w:rPr>
                <w:sz w:val="15"/>
                <w:szCs w:val="15"/>
                <w:color w:val="auto"/>
              </w:rPr>
            </w:pPr>
          </w:p>
        </w:tc>
        <w:tc>
          <w:tcPr>
            <w:tcW w:w="9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Medline Brand</w:t>
            </w:r>
          </w:p>
        </w:tc>
        <w:tc>
          <w:tcPr>
            <w:tcW w:w="9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7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 xml:space="preserve">$             </w:t>
            </w: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   11,613</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2,704</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Segment adjusted EBITDA margin</w:t>
            </w:r>
            <w:r>
              <w:rPr>
                <w:rFonts w:ascii="Times New Roman" w:cs="Times New Roman" w:eastAsia="Times New Roman" w:hAnsi="Times New Roman"/>
                <w:sz w:val="25"/>
                <w:szCs w:val="25"/>
                <w:color w:val="auto"/>
                <w:vertAlign w:val="superscript"/>
              </w:rPr>
              <w:t>(1)</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23.3%</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Solutions</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11,618</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491</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EBITDA margin</w:t>
            </w:r>
            <w:r>
              <w:rPr>
                <w:rFonts w:ascii="Times New Roman" w:cs="Times New Roman" w:eastAsia="Times New Roman" w:hAnsi="Times New Roman"/>
                <w:sz w:val="26"/>
                <w:szCs w:val="26"/>
                <w:color w:val="auto"/>
                <w:vertAlign w:val="superscript"/>
              </w:rPr>
              <w:t>(1)</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segment adjusted EBITDA margin as the segment adjusted EBITDA divided by segment net sales.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segments please refer to Note 18, “Segment Information” to our audited consolidated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Medline Brand segment net sales for the year ended December 31, 2024 increased $        million, or        %, to $        million, compared to $11,613 million for the respective period in 2023, primarily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driven by        . Surgical Solutions net sales for the year ended December 31, 2024 increased $        million, or        %, to $        million, compared to $4,931 million for the respective period in 2023 due to         . Front Line Care net sales for the year ended December 31, 2024</w:t>
      </w:r>
    </w:p>
    <w:tbl>
      <w:tblPr>
        <w:tblLayout w:type="fixed"/>
        <w:tblInd w:w="120" w:type="dxa"/>
        <w:tblCellMar>
          <w:top w:w="0" w:type="dxa"/>
          <w:left w:w="0" w:type="dxa"/>
          <w:bottom w:w="0" w:type="dxa"/>
          <w:right w:w="0" w:type="dxa"/>
        </w:tblCellMar>
      </w:tblPr>
      <w:tr>
        <w:trPr>
          <w:trHeight w:val="198"/>
        </w:trPr>
        <w:tc>
          <w:tcPr>
            <w:tcW w:w="9940" w:type="dxa"/>
            <w:vAlign w:val="bottom"/>
            <w:gridSpan w:val="18"/>
          </w:tcPr>
          <w:p>
            <w:pPr>
              <w:spacing w:after="0" w:line="198" w:lineRule="exact"/>
              <w:rPr>
                <w:sz w:val="20"/>
                <w:szCs w:val="20"/>
                <w:color w:val="auto"/>
              </w:rPr>
            </w:pPr>
            <w:r>
              <w:rPr>
                <w:rFonts w:ascii="Times New Roman" w:cs="Times New Roman" w:eastAsia="Times New Roman" w:hAnsi="Times New Roman"/>
                <w:sz w:val="18"/>
                <w:szCs w:val="18"/>
                <w:color w:val="auto"/>
              </w:rPr>
              <w:t>increased $            million, or            %, to $            million, compared to $5,845 million for the respective period in 2023 due to  </w:t>
            </w:r>
          </w:p>
        </w:tc>
        <w:tc>
          <w:tcPr>
            <w:tcW w:w="1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2"/>
              </w:rPr>
              <w:t>   .</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Laboratory and Diagnostics net sales for the year ended December 31, 2024 increased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5"/>
              </w:rPr>
              <w:t>million, or 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xml:space="preserve">%, to $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840" w:type="dxa"/>
            <w:vAlign w:val="bottom"/>
            <w:gridSpan w:val="4"/>
          </w:tcPr>
          <w:p>
            <w:pPr>
              <w:jc w:val="center"/>
              <w:ind w:right="93"/>
              <w:spacing w:after="0"/>
              <w:rPr>
                <w:sz w:val="20"/>
                <w:szCs w:val="20"/>
                <w:color w:val="auto"/>
              </w:rPr>
            </w:pPr>
            <w:r>
              <w:rPr>
                <w:rFonts w:ascii="Times New Roman" w:cs="Times New Roman" w:eastAsia="Times New Roman" w:hAnsi="Times New Roman"/>
                <w:sz w:val="18"/>
                <w:szCs w:val="18"/>
                <w:color w:val="auto"/>
                <w:w w:val="98"/>
              </w:rPr>
              <w:t>million,</w:t>
            </w: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compared to $837 million for the respective period in 2023.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14"/>
        </w:trPr>
        <w:tc>
          <w:tcPr>
            <w:tcW w:w="72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 xml:space="preserve">Medline Brand segment adjusted EBITDA for the year ended December 31, 2024 increased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 </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87"/>
              </w:rPr>
              <w:t>million, or </w:t>
            </w:r>
          </w:p>
        </w:tc>
        <w:tc>
          <w:tcPr>
            <w:tcW w:w="180" w:type="dxa"/>
            <w:vAlign w:val="bottom"/>
          </w:tcPr>
          <w:p>
            <w:pPr>
              <w:jc w:val="center"/>
              <w:ind w:left="7"/>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xml:space="preserve">%, to $ </w:t>
            </w:r>
          </w:p>
        </w:tc>
        <w:tc>
          <w:tcPr>
            <w:tcW w:w="180" w:type="dxa"/>
            <w:vAlign w:val="bottom"/>
          </w:tcPr>
          <w:p>
            <w:pPr>
              <w:jc w:val="center"/>
              <w:ind w:left="75"/>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w w:val="98"/>
              </w:rPr>
              <w:t>million, compared to $2,704 million for the respective period in 2023, primarily due to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4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6"/>
        </w:trPr>
        <w:tc>
          <w:tcPr>
            <w:tcW w:w="72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 xml:space="preserve">Supply Chain Solutions segment net sales for the year ended December 31, 2024 increased $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87"/>
              </w:rPr>
              <w:t>   million, or 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to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w:t>
            </w:r>
          </w:p>
        </w:tc>
      </w:t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million, compared to $11,618 million for the respective period in 2023, primarily driven by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2"/>
              </w:rPr>
              <w:t>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14"/>
        </w:trPr>
        <w:tc>
          <w:tcPr>
            <w:tcW w:w="788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 xml:space="preserve">Supply Chain Solutions segment adjusted EBITDA for the year ended December 31, 2024 increased $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87"/>
              </w:rPr>
              <w:t>million, or 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center"/>
              <w:ind w:left="9"/>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to</w:t>
            </w:r>
          </w:p>
        </w:tc>
      </w:tr>
      <w:tr>
        <w:trPr>
          <w:trHeight w:val="234"/>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million, compared to $491 million for the respective period in 2023, primarily due to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9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compares business segment net sales, segment adjusted EBITDA and segment adjusted EBITDA margin for the years ended December 31, 2023 and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3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Medline Brand</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11,613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10,999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614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2,704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464</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Segment adjusted EBITDA margin</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Solutions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18"/>
                <w:szCs w:val="18"/>
                <w:color w:val="auto"/>
              </w:rPr>
            </w:pPr>
          </w:p>
        </w:tc>
        <w:tc>
          <w:tcPr>
            <w:tcW w:w="138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11,618</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1,169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351"/>
        </w:trPr>
        <w:tc>
          <w:tcPr>
            <w:tcW w:w="440" w:type="dxa"/>
            <w:vAlign w:val="bottom"/>
          </w:tcPr>
          <w:p>
            <w:pPr>
              <w:spacing w:after="0"/>
              <w:rPr>
                <w:sz w:val="24"/>
                <w:szCs w:val="24"/>
                <w:color w:val="auto"/>
              </w:rPr>
            </w:pPr>
          </w:p>
        </w:tc>
        <w:tc>
          <w:tcPr>
            <w:tcW w:w="4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Segment adjusted EBITDA margin</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13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segment adjusted EBITDA margin as the segment adjusted EBITDA divided by segment net sales.</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segments please refer to Note 18, “Segment Information” to our audited consolidated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Medline Brand segment net sales for the year ended December 31, 2023 increased $614 million, or 5.6%, to $11,613 million, compared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$10,999 million for the respective period in 2022, primarily driven by growth in Surgical Solutions and Front Line Care, partially offset by post-COVID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normalization compared to 2022. Surgical Solutions net sales for the year ended December 31, 2023 increased $485 million, or 10.9%, to</w:t>
      </w:r>
    </w:p>
    <w:p>
      <w:pPr>
        <w:spacing w:after="0" w:line="9" w:lineRule="exact"/>
        <w:rPr>
          <w:sz w:val="20"/>
          <w:szCs w:val="20"/>
          <w:color w:val="auto"/>
        </w:rPr>
      </w:pPr>
    </w:p>
    <w:p>
      <w:pPr>
        <w:jc w:val="both"/>
        <w:ind w:left="120" w:right="740"/>
        <w:spacing w:after="0" w:line="255" w:lineRule="auto"/>
        <w:rPr>
          <w:sz w:val="20"/>
          <w:szCs w:val="20"/>
          <w:color w:val="auto"/>
        </w:rPr>
      </w:pPr>
      <w:r>
        <w:rPr>
          <w:rFonts w:ascii="Times New Roman" w:cs="Times New Roman" w:eastAsia="Times New Roman" w:hAnsi="Times New Roman"/>
          <w:sz w:val="18"/>
          <w:szCs w:val="18"/>
          <w:color w:val="auto"/>
        </w:rPr>
        <w:t>$4,931 million, compared to $4,446 million for the respective period in 2022, largely driven by continued existing customer growth as surgery procedures recovered throughout 2023 from the prior year backlog. Front Line Care net sales for the year ended December 31, 2023 increased $136 million, or 2.4%, to</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$5,845 million, compared to $5,709 million for the respective period in 2022 due to volume increases in over-the-counter, skin care, and wound care products, partially offset by PPE normalization post-COVID. Laboratory and Diagnostics net sales for the year ended December 31, 2023 decreased $7 million, or 0.8%, to $837 million, compared to $844 million for the respective period in 2022 driven by a decrease in test kit volumes due to the normalization of COVID and flu seasons.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Medline Brand segment adjusted EBITDA for the year ended December 31, 2023 increased $464 million, or 20.7%, to $2,704 million, compared to $2,240 million for the respective period in 2022, primarily driven by net sales growth, lower inflationary cost pressures such as inbound freight, and margin benefit from manufacturing efficiencies and sourcing savings. Medline Brand segment adjusted EBITDA margin increased to 23.3% from 20.4%.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Supply Chain Solutions segment net sales for the year ended December 31, 2023 increased $1,169 million, or 11.2%, to $11,618 million, compared to $10,449 million for the respective period in 2022, primarily driven by the implementation of new Prime Vendor relationships and growth with existing customers.</w:t>
      </w:r>
    </w:p>
    <w:p>
      <w:pPr>
        <w:spacing w:after="0" w:line="176"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Supply Chain Solutions segment adjusted EBITDA for the year ended December 31, 2023 increased $1 million, or 0.2%, to $491 million, compared to $490 million for the respective period in 2022, primarily driven by the increase in new Prime Vendor implementations. Supply Chain Solutions segment adjusted EBITDA margin decreased to 4.2% from 4.7%, primarily driven by lower distribution fees under new Prime Vendor relationships, higher labor costs, and investment in our distribution network.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in this prospectus.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Adjusted EBITDA is defined as net income (loss) plus (i) interest expense, net, (ii) provision for income taxes, (iii) depreciation and amortization, and (iv) other adjustments to eliminate the impact of certain items that we do not consider indicative of our ongoing operating performance. During the periods presented, we adjust for inventory-related adjustments, stock-based compensation and change of control expense, acquisition and integration-related adjustments, litigation charges, net, and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(loss), the most comparable GAAP measure, to Adjusted EBITDA and Adjusted EBITDA Margin: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440" w:type="dxa"/>
            <w:vAlign w:val="bottom"/>
          </w:tcPr>
          <w:p>
            <w:pPr>
              <w:spacing w:after="0"/>
              <w:rPr>
                <w:sz w:val="10"/>
                <w:szCs w:val="10"/>
                <w:color w:val="auto"/>
              </w:rPr>
            </w:pPr>
          </w:p>
        </w:tc>
        <w:tc>
          <w:tcPr>
            <w:tcW w:w="8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00" w:type="dxa"/>
            <w:vAlign w:val="bottom"/>
          </w:tcPr>
          <w:p>
            <w:pPr>
              <w:spacing w:after="0"/>
              <w:rPr>
                <w:sz w:val="10"/>
                <w:szCs w:val="10"/>
                <w:color w:val="auto"/>
              </w:rPr>
            </w:pPr>
          </w:p>
        </w:tc>
        <w:tc>
          <w:tcPr>
            <w:tcW w:w="1700" w:type="dxa"/>
            <w:vAlign w:val="bottom"/>
            <w:gridSpan w:val="4"/>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gridSpan w:val="3"/>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00" w:type="dxa"/>
            <w:vAlign w:val="bottom"/>
            <w:gridSpan w:val="3"/>
            <w:vMerge w:val="continue"/>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tax</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(1)</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Inventory-related adjustments</w:t>
            </w:r>
            <w:r>
              <w:rPr>
                <w:rFonts w:ascii="Times New Roman" w:cs="Times New Roman" w:eastAsia="Times New Roman" w:hAnsi="Times New Roman"/>
                <w:sz w:val="25"/>
                <w:szCs w:val="25"/>
                <w:color w:val="auto"/>
                <w:vertAlign w:val="superscript"/>
              </w:rPr>
              <w:t>(2)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Stock-based compensation and change of control</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tcPr>
          <w:p>
            <w:pPr>
              <w:ind w:left="200"/>
              <w:spacing w:after="0" w:line="235" w:lineRule="exact"/>
              <w:rPr>
                <w:sz w:val="20"/>
                <w:szCs w:val="20"/>
                <w:color w:val="auto"/>
              </w:rPr>
            </w:pPr>
            <w:r>
              <w:rPr>
                <w:rFonts w:ascii="Times New Roman" w:cs="Times New Roman" w:eastAsia="Times New Roman" w:hAnsi="Times New Roman"/>
                <w:sz w:val="18"/>
                <w:szCs w:val="18"/>
                <w:color w:val="auto"/>
              </w:rPr>
              <w:t>expense</w:t>
            </w:r>
            <w:r>
              <w:rPr>
                <w:rFonts w:ascii="Times New Roman" w:cs="Times New Roman" w:eastAsia="Times New Roman" w:hAnsi="Times New Roman"/>
                <w:sz w:val="26"/>
                <w:szCs w:val="26"/>
                <w:color w:val="auto"/>
                <w:vertAlign w:val="superscript"/>
              </w:rPr>
              <w:t>(3)</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Litigation charges, net</w:t>
            </w:r>
            <w:r>
              <w:rPr>
                <w:rFonts w:ascii="Times New Roman" w:cs="Times New Roman" w:eastAsia="Times New Roman" w:hAnsi="Times New Roman"/>
                <w:sz w:val="25"/>
                <w:szCs w:val="25"/>
                <w:color w:val="auto"/>
                <w:vertAlign w:val="superscript"/>
              </w:rPr>
              <w:t>(4)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non-core (gains) charges</w:t>
            </w:r>
            <w:r>
              <w:rPr>
                <w:rFonts w:ascii="Times New Roman" w:cs="Times New Roman" w:eastAsia="Times New Roman" w:hAnsi="Times New Roman"/>
                <w:sz w:val="25"/>
                <w:szCs w:val="25"/>
                <w:color w:val="auto"/>
                <w:vertAlign w:val="superscript"/>
              </w:rPr>
              <w:t>(5)</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ind w:left="880"/>
              <w:spacing w:after="0" w:line="250" w:lineRule="exact"/>
              <w:rPr>
                <w:sz w:val="20"/>
                <w:szCs w:val="20"/>
                <w:color w:val="auto"/>
              </w:rPr>
            </w:pPr>
            <w:r>
              <w:rPr>
                <w:rFonts w:ascii="Times New Roman" w:cs="Times New Roman" w:eastAsia="Times New Roman" w:hAnsi="Times New Roman"/>
                <w:sz w:val="18"/>
                <w:szCs w:val="18"/>
                <w:color w:val="auto"/>
              </w:rPr>
              <w:t>Net income (loss) margin</w:t>
            </w:r>
            <w:r>
              <w:rPr>
                <w:rFonts w:ascii="Times New Roman" w:cs="Times New Roman" w:eastAsia="Times New Roman" w:hAnsi="Times New Roman"/>
                <w:sz w:val="26"/>
                <w:szCs w:val="26"/>
                <w:color w:val="auto"/>
                <w:vertAlign w:val="superscript"/>
              </w:rPr>
              <w:t>(6)</w:t>
            </w: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79"/>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43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4"/>
                <w:szCs w:val="24"/>
                <w:color w:val="auto"/>
                <w:vertAlign w:val="superscript"/>
              </w:rPr>
              <w:t>(6)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79"/>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60" w:hanging="41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w:t>
        <w:tab/>
        <w:t>Includes $        million, $607 million and $607 million of amortization of intangibles for the year ended December 31, 2024, 2023, and 2022, respectively, and $        million, $77 million and $78 million of depreciation associated with acquisitions for the years ended December 31,</w:t>
      </w:r>
    </w:p>
    <w:p>
      <w:pPr>
        <w:ind w:left="540"/>
        <w:spacing w:after="0"/>
        <w:rPr>
          <w:sz w:val="20"/>
          <w:szCs w:val="20"/>
          <w:color w:val="auto"/>
        </w:rPr>
      </w:pPr>
      <w:r>
        <w:rPr>
          <w:rFonts w:ascii="Times New Roman" w:cs="Times New Roman" w:eastAsia="Times New Roman" w:hAnsi="Times New Roman"/>
          <w:sz w:val="18"/>
          <w:szCs w:val="18"/>
          <w:color w:val="auto"/>
        </w:rPr>
        <w:t>2024, 2023, and 2022, respectively.</w:t>
      </w:r>
    </w:p>
    <w:p>
      <w:pPr>
        <w:spacing w:after="0" w:line="9" w:lineRule="exact"/>
        <w:rPr>
          <w:sz w:val="20"/>
          <w:szCs w:val="20"/>
          <w:color w:val="auto"/>
        </w:rPr>
      </w:pPr>
    </w:p>
    <w:p>
      <w:pPr>
        <w:ind w:left="540" w:right="26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adjustments associated with non-cash last-in, first-out reserves, which removes the entire impact of LIFO, and effectively reflects the results as if we were on a FIFO inventory basis, and amortization of the inventory step-up resulting from acquisitions.</w:t>
      </w:r>
    </w:p>
    <w:p>
      <w:pPr>
        <w:ind w:left="540" w:right="1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change of control expenses related to the Sponsor Acquisition of $217 million and $272 million for the years ended December 31, 2023 and 2022, respectively.</w:t>
      </w:r>
    </w:p>
    <w:p>
      <w:pPr>
        <w:ind w:left="540" w:right="12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 charges of $163 million for the year ended December 31, 2023, related to the EtO litigation and other one-time legal costs, net of insurance recoveries.</w:t>
      </w:r>
    </w:p>
    <w:p>
      <w:pPr>
        <w:ind w:left="540" w:right="36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other non-core (gains) charges, such as a gain due to a change in valuation estimate related to an acquisition, a loss on disposals of assets and exits, realized and unrealized foreign currency and investment losses, and other items.</w:t>
      </w:r>
    </w:p>
    <w:p>
      <w:pPr>
        <w:ind w:left="540" w:right="180" w:hanging="424"/>
        <w:spacing w:after="0" w:line="26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margin represents net income (loss) divided by net sales and Adjusted EBITDA Margin represents Adjusted EBITDA divided by net sales.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adjustments for Ratio Calculation Purposes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springing financial covenant in the credit agreement governing our Senior Secured Credit Facilities (as defined herein) and other ratios related to incurrence-based covenants (measured only upon the taking of certain actions, including the incurrence of additional indebtedness) under the credit agreement that governs our Senior Secured Credit Facilities and the indentures governing our outstanding Senior Notes are calculated in part based on financial measures similar to Adjusted EBITDA as presented elsewhere in this prospectus, which financial measures are determined at the Medline Borrower, LP level and adjust for certain additional items such as contribution from acquisitions and the run-rate impact of signed contracts, cost savings and customer losses. These incremental adjustments, as calculated pursuant to such agreements, provide us with a net benefit (charge) to Adjusted EBITDA for ratio calculation purposes of $        million, $70 million and $189 million for the years ended December 31, 2024, 2023, and 2022, respectively.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our cash flows from operations, and our Revolving Credit Facility (defined in “Description of Certain Indebtedness”). As of December 31, 2024, we had cash and cash equivalents of $        million and available liquidity under our Revolving Credit Facility of $        million. Medline Inc. intends to use the proceeds (net of underwriting discounts and commissions) from the issuance of shares in this offering (excluding the proceeds from the issuance of any shares pursuant to any exercise by the underwriters of their option to purchase additional shares of Class A common stock) to acquire an equivalent number of newly issued Units from Medline Holdings, as described under “Organizational Structure—Offering Transactions,” which Medline Holdings will in turn use for general corporate purposes, including the repayment of indebtedness, and to bear all of the expenses of this offering. We estimate these offering expenses (excluding underwriting discounts and commissions) will be approximately $        million. Medline Inc. intends to use the proceeds from the issuance of any shares pursuant to any exercise by the underwriters of their option to purchase additional shares of Class A common stock to purchase or redeem outstanding Units and shares of Class A common stock from certain of our pre-IPO owners at a price per equity interest equal to the initial public offering price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primary uses of cash include product purchases, operating costs, personnel-related costs, capital expenditures related to property and equipment, acquisitions, and payments of interest under our indebtedness. We also used a portion of our cash to make payments due under the Medline Industries, Inc. Managing Partner Program in connection with the Sponsor Acquisition. The second cash payment of $501 million was made in the fourth quarter of 2022, and the third and final cash payment of $492 million was made in the fourth quarter of 2023.</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net capital expenditures were $        million, $275 million and $254 million for the years ended December 31, 2024, 2023, and 2022, respectively. These include the continued investment in new production lines in our manufacturing facilities, automation in our distribution centers and expansion of our MedTrans fleet.</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After completion of this offering, Medline Inc. will be a holding company and will have no material assets other than its ownership of Units in Medline Holdings. Medline Inc. has no independent means of generating net sales. Medline Inc. intends to cause Medline Holdings to make distributions and payments to its holders of Units, including Medline Inc. and the Pre-IPO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the indentures governing the Senior Notes (as defined herein), contain covenants that may restrict Medline Holdings and its subsidiaries from paying such distributions, subject to certain exceptions. Further, Medline Holdings is generally prohibited under Delaware law from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“Dividend Policy” and “Risk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Factors—Risks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consolidated statements of cash flows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80" w:type="dxa"/>
            <w:vAlign w:val="bottom"/>
          </w:tcPr>
          <w:p>
            <w:pPr>
              <w:spacing w:after="0"/>
              <w:rPr>
                <w:sz w:val="10"/>
                <w:szCs w:val="10"/>
                <w:color w:val="auto"/>
              </w:rPr>
            </w:pPr>
          </w:p>
        </w:tc>
        <w:tc>
          <w:tcPr>
            <w:tcW w:w="8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40" w:type="dxa"/>
            <w:vAlign w:val="bottom"/>
            <w:gridSpan w:val="4"/>
          </w:tcPr>
          <w:p>
            <w:pPr>
              <w:ind w:left="7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gridSpan w:val="2"/>
            <w:vMerge w:val="continue"/>
          </w:tcPr>
          <w:p>
            <w:pPr>
              <w:spacing w:after="0"/>
              <w:rPr>
                <w:sz w:val="15"/>
                <w:szCs w:val="15"/>
                <w:color w:val="auto"/>
              </w:rPr>
            </w:pPr>
          </w:p>
        </w:tc>
        <w:tc>
          <w:tcPr>
            <w:tcW w:w="262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504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cash and cash equivalents and restricted cash provided</w:t>
            </w:r>
          </w:p>
        </w:tc>
        <w:tc>
          <w:tcPr>
            <w:tcW w:w="8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(used in):</w:t>
            </w:r>
          </w:p>
        </w:tc>
        <w:tc>
          <w:tcPr>
            <w:tcW w:w="17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44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20" w:type="dxa"/>
            <w:vAlign w:val="bottom"/>
            <w:gridSpan w:val="3"/>
          </w:tcPr>
          <w:p>
            <w:pPr>
              <w:ind w:left="880"/>
              <w:spacing w:after="0" w:line="205" w:lineRule="exact"/>
              <w:rPr>
                <w:sz w:val="20"/>
                <w:szCs w:val="20"/>
                <w:color w:val="auto"/>
              </w:rPr>
            </w:pPr>
            <w:r>
              <w:rPr>
                <w:rFonts w:ascii="Times New Roman" w:cs="Times New Roman" w:eastAsia="Times New Roman" w:hAnsi="Times New Roman"/>
                <w:sz w:val="18"/>
                <w:szCs w:val="18"/>
                <w:color w:val="auto"/>
              </w:rPr>
              <w:t>Net increase (decrease) in cash and cash equivalents and</w:t>
            </w:r>
          </w:p>
        </w:tc>
        <w:tc>
          <w:tcPr>
            <w:tcW w:w="84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20" w:type="dxa"/>
            <w:vAlign w:val="bottom"/>
            <w:gridSpan w:val="2"/>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40" w:type="dxa"/>
            <w:vAlign w:val="bottom"/>
          </w:tcPr>
          <w:p>
            <w:pPr>
              <w:spacing w:after="0"/>
              <w:rPr>
                <w:sz w:val="20"/>
                <w:szCs w:val="20"/>
                <w:color w:val="auto"/>
              </w:rPr>
            </w:pP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tc>
        <w:tc>
          <w:tcPr>
            <w:tcW w:w="1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4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Net cash provided by operating activities was $    </w:t>
            </w:r>
          </w:p>
        </w:tc>
        <w:tc>
          <w:tcPr>
            <w:tcW w:w="670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w w:val="99"/>
              </w:rPr>
              <w:t>      million, $1,685 million and $187 million for the years ended December 31, 2024, 2023</w:t>
            </w: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2022, respectively.</w:t>
            </w:r>
          </w:p>
        </w:tc>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was primarily from            .</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primarily from net income excluding non-cash items as well as changes in working capital. Optimization of our inventory from surplus levels in 2022 provided cash of $444 million and accounts payable contributed $136 million. These were offset by changes in trade accounts receivable of $153 million primarily due to an increase in net sales and accrued expenses and other current liabilities of $112 million due to change in control payments, partially offset by the EtO litigation accrual.</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2022 was primarily from net income excluding non-cash items, partially offset by changes in working capital. Trade accounts receivable used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80"/>
          </w:cols>
          <w:pgMar w:left="320" w:top="455"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$376 million due to higher net sales than collections. Inventories used $195 million as we built surplus to address global supply chain delays. Accrued expenses and other current liabilities and accounts payable used cash of $144 million and $103 million, respectively, due to the timing of payments.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primarily relates to            .</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driven by net capital expenditures of $275 million, investment payments of $16 million, and payments for acquisitions of business and assets of $26 million.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driven by net capital expenditures of $254 million and payments for acquisitions of business of $17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primarily relates to            .</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was driven by distributions to partners of $114 million and repayments for long-term borrowings of $77 million.</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used in financing activities was driven by repayments for long-term borrowings of $61 million and distributions to partners of $23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long-term borrowings and the effective interest rates as of December 31, 2024, are summarized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480" w:type="dxa"/>
            <w:vAlign w:val="bottom"/>
            <w:gridSpan w:val="2"/>
            <w:vMerge w:val="restart"/>
          </w:tcPr>
          <w:p>
            <w:pPr>
              <w:jc w:val="center"/>
              <w:ind w:left="1559"/>
              <w:spacing w:after="0"/>
              <w:rPr>
                <w:sz w:val="20"/>
                <w:szCs w:val="20"/>
                <w:color w:val="auto"/>
              </w:rPr>
            </w:pPr>
            <w:r>
              <w:rPr>
                <w:rFonts w:ascii="Times New Roman" w:cs="Times New Roman" w:eastAsia="Times New Roman" w:hAnsi="Times New Roman"/>
                <w:sz w:val="14"/>
                <w:szCs w:val="14"/>
                <w:color w:val="auto"/>
              </w:rPr>
              <w:t>Maturity dates</w:t>
            </w: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Average effective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by fiscal year</w:t>
            </w:r>
          </w:p>
        </w:tc>
        <w:tc>
          <w:tcPr>
            <w:tcW w:w="6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 rate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Long-term borrowings</w:t>
            </w:r>
          </w:p>
        </w:tc>
        <w:tc>
          <w:tcPr>
            <w:tcW w:w="1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Unsecured debt</w:t>
            </w: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3"/>
          </w:tcPr>
          <w:p>
            <w:pPr>
              <w:ind w:left="880"/>
              <w:spacing w:after="0"/>
              <w:rPr>
                <w:sz w:val="20"/>
                <w:szCs w:val="20"/>
                <w:color w:val="auto"/>
              </w:rPr>
            </w:pPr>
            <w:r>
              <w:rPr>
                <w:rFonts w:ascii="Times New Roman" w:cs="Times New Roman" w:eastAsia="Times New Roman" w:hAnsi="Times New Roman"/>
                <w:sz w:val="18"/>
                <w:szCs w:val="18"/>
                <w:i w:val="1"/>
                <w:iCs w:val="1"/>
                <w:color w:val="auto"/>
              </w:rPr>
              <w:t>Total unsecured debt</w:t>
            </w:r>
          </w:p>
        </w:tc>
        <w:tc>
          <w:tcPr>
            <w:tcW w:w="1660" w:type="dxa"/>
            <w:vAlign w:val="bottom"/>
          </w:tcPr>
          <w:p>
            <w:pPr>
              <w:spacing w:after="0"/>
              <w:rPr>
                <w:sz w:val="19"/>
                <w:szCs w:val="19"/>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Secured debt</w:t>
            </w: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Variable (Euro denominated)</w:t>
            </w:r>
            <w:r>
              <w:rPr>
                <w:rFonts w:ascii="Times New Roman" w:cs="Times New Roman" w:eastAsia="Times New Roman" w:hAnsi="Times New Roman"/>
                <w:sz w:val="25"/>
                <w:szCs w:val="25"/>
                <w:color w:val="auto"/>
                <w:vertAlign w:val="superscript"/>
              </w:rPr>
              <w:t>(1)</w:t>
            </w: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secured debt</w:t>
            </w: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Total other</w:t>
            </w:r>
            <w:r>
              <w:rPr>
                <w:rFonts w:ascii="Times New Roman" w:cs="Times New Roman" w:eastAsia="Times New Roman" w:hAnsi="Times New Roman"/>
                <w:sz w:val="25"/>
                <w:szCs w:val="25"/>
                <w:color w:val="auto"/>
                <w:vertAlign w:val="superscript"/>
              </w:rPr>
              <w:t>(2)</w:t>
            </w:r>
          </w:p>
        </w:tc>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gridSpan w:val="2"/>
          </w:tcPr>
          <w:p>
            <w:pPr>
              <w:spacing w:after="0"/>
              <w:rPr>
                <w:sz w:val="11"/>
                <w:szCs w:val="11"/>
                <w:color w:val="auto"/>
              </w:rPr>
            </w:pPr>
          </w:p>
        </w:tc>
        <w:tc>
          <w:tcPr>
            <w:tcW w:w="3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includes exchange rate adjustments.</w:t>
            </w:r>
          </w:p>
        </w:tc>
        <w:tc>
          <w:tcPr>
            <w:tcW w:w="1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includes deferred financing costs.</w:t>
            </w:r>
          </w:p>
        </w:tc>
        <w:tc>
          <w:tcPr>
            <w:tcW w:w="1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6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98</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040" w:firstLine="440"/>
        <w:spacing w:after="0" w:line="282" w:lineRule="auto"/>
        <w:rPr>
          <w:sz w:val="20"/>
          <w:szCs w:val="20"/>
          <w:color w:val="auto"/>
        </w:rPr>
      </w:pPr>
      <w:r>
        <w:rPr>
          <w:rFonts w:ascii="Times New Roman" w:cs="Times New Roman" w:eastAsia="Times New Roman" w:hAnsi="Times New Roman"/>
          <w:sz w:val="18"/>
          <w:szCs w:val="18"/>
          <w:color w:val="auto"/>
        </w:rPr>
        <w:t>On June 5, 2021, the owners of Medline agreed to sell a majority ownership in the Company to the Sponsors. In connection with the consummation of the Sponsor Acquisition, we entered into the following debt financing transactions:</w:t>
      </w:r>
    </w:p>
    <w:p>
      <w:pPr>
        <w:spacing w:after="0" w:line="67" w:lineRule="exact"/>
        <w:rPr>
          <w:sz w:val="20"/>
          <w:szCs w:val="20"/>
          <w:color w:val="auto"/>
        </w:rPr>
      </w:pPr>
    </w:p>
    <w:p>
      <w:pPr>
        <w:ind w:left="1080" w:hanging="424"/>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$7,270 million under a senior secured term loan facility (the “Initial Dollar Term Loan Facility” and the loans thereunder, the “Initial Dollar Term Loans”), the borrowing of the Euro equivalent of $500 million under a senior secured term loan facility (the “Initial Euro Term Loan Facility” and the loans thereunder, the “Initial Euro Term Loans”), and the obtaining of commitments under a $1,000 million senior secured revolving credit facility (the “Revolving Credit Facility”);</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$2,230 million by MRE Propco, LP (a subsidiary of Medline Holdings, LP) in a mortgage loan (collectively, the “CMBS Loan”);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$4,500 million aggregate principal amount of 3.875% secured notes (the “Secured 2021 Notes”) and $2,500 million aggregate principal amount of 5.250% unsecured notes (the “Unsecured 2021 Notes” and, together with the Secured 2021 Notes, the “2021 Notes”).</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we had $        million of total debt outstanding, including $        million of Senior Notes (as defined herein), $        million of New Dollar Term Loans (as defined herein) and €        million of New Euro Term Loans (as defined herein) with $       </w:t>
      </w: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million available under our Revolving Credit Facility (after consideration of letter of credit of $        million). In addition, under the credit agreement governing our Senior Secured Credit Facilities, we will have the right at any time, subject to customary conditions, to request incremental term loans or incremental revolving credit commitments in an aggregate principal amount of up to (a) the greater of (1) $2,375 million and (2) an amount equal to 100% of our trailing consolidated EBITDA (as defined in our Senior Secured Credit Facilities)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spacing w:after="0" w:line="19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March 27, 2024 (the “Second Amendment Date”), we entered into an amendment to the credit agreement that governs the Senior Secured Credit Facilities to reduce the principal balance by $1,000 million and reduce the applicable margin for the Initial Dollar Term Loans by 0.36% overall, resulting in a margin spread of SOFR plus 2.75% per annum.</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July 8, 2024 (the “Third Amendment Date”), we amended the credit agreement that governs the Senior Secured Credit Facilities to incur additional dollar denominated term loans of a different class than the Initial Dollar Term Loans (the “Additional Dollar Term Loan Facility”; the term loans provided for thereunder, the “Additional Dollar Term Loans”) and to reduce the applicable margin for the Initial Euro Term Loans. Pursuant to the amendment, the Company also incurred additional Euro-denominated term loans of the same class as the Refinanced Euro Term Loans (as defined herein) in an aggregate principal amount of €185 million (the “Additional Euro Term Loans”). We received additional net loan proceeds of</w:t>
      </w:r>
    </w:p>
    <w:p>
      <w:pPr>
        <w:spacing w:after="0" w:line="3"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$1,503 million and U.S. Dollar equivalent of $198 million from the Additional Dollar Term Loans and the Additional Euro Term Loans, respectively. The Additional Dollar Term Loans bear a variable interest rate of SOFR plus 2.25%, while the variable interest rate on the Initial Dollar Term Loans remained at SOFR plus 2.75%. The New Euro Term Loans bear a variable interest rate of EURO Interbank offer Rate (“EURIBOR”) plus an applicable spread ranging from 2.25% to 2.75% based on certain of our debt ratios. The maturity date for all Term Loans remains October 21, 2028 (the “Initial Term Loan Maturity Date”). The amendment also extended the maturity date of the Revolving Credit Facility from October 21, 2026 to July 8, 2029 (subject to a springing maturity 91 days inside of the maturity date of the Dollar Term Loans, the New Euro Term Loans, the Secured 2021 Notes and the 2024 Notes) and did not change the maximum borrowing capacity of $1,000 million or any other terms. On July 9, 2024, we used the net proceeds from Additional 2024 Notes, the additional loan proceeds from the Additional Dollar Term Loans and the Additional Euro Term Loans, and $23 million cash on hand to extinguish the entire outstanding principal balance of $2,219 million of CMBS Loan.</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November 19, 2024 (the “Fourth Amendment Date”), we entered into an amendment to the credit agreement that governs the Senior Secured Credit Facilities to (i) reduce the applicable margin for the Initial Dollar Term Loans by 0.50% overall to match the applicable margin for the Additional Dollar Term Loans, resulting in a margin spread of SOFR plus 2.25% per annum and (ii) cause the Initial Dollar Term Loans and the Additional Dollar Term Loans to be a single fungible class of term loans (such class of dollar-denominated term loans, the “New Dollar Term Loans”). Amortization payments equal to 0.25% of revised aggregate principal amount of $7,631 million of the Initial Dollar Term Loans are still due quarterly.</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contains affirmative and negative covenants and customary events of default. For additional information, see “Description of Certain Indebtedness—Senior Secured Credit Facilities.”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27, 2024, we issued $1,000 million aggregate principal amount of 6.250% Senior Secured Notes due 2029 pursuant to an indenture, with a maturity date of April 1, 2029 (the “Initial 2024 Notes”). We received net proceeds of $993 million and used the proceeds from the issuance to pay down a portion of the principal on the then-outstanding Initial Dollar Term Loans. On June 24, 2024, we issued $500 million aggregate principal amount of 6.250% Senior Secured Notes due 2029 with a maturity date of April 1, 2029 (the “Additional 2024 Notes” and, together with the Initial 2024 Notes, the “2024 Notes”). We received net proceeds of $495 million and used the proceeds to repay a portion of the CMBS Loan on July 9, 2024. The 2024 Notes have a fixed annual interest rate of 6.250%, which will be paid in cash semi-annually in arrears on April 1 and October 1 of each year, and will mature on April 1, 2029.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use interest rate derivatives to add stability to interest expense and to manage our exposure to interest rate movements. We primarily use interest rate swaps and caps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As of December 31, 2024, we held interest rate swaps with a notional value of $        with maturity date of November 2025 to December 2026 and interest rate caps with a notional value of $        with maturity date of November 2025 to December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Transactions, Medline Inc. will enter into a tax receivable agreement with certain of our pre-IPO owners that provides for the payment by Medline Inc. to such pre-IPO owners of 90% of the benefits, if any, that Medline Inc. actually realizes, or is deemed to realize (calculated using certain assumptions), as a result of (i) Medline Inc.’s allocable share of existing tax basis acquired in this offering, (ii) increases in Medline Inc.’s allocable share of existing tax basis and tax basis adjustments to the tangible and intangible assets of Medline Holdings as a result of sales or exchanges of Units in connection with or after this offering, (iii) Medline Inc.’s utilization of certain tax attributes (including any existing tax basis) of the Blocker Companies, and (iv) certain other tax benefits related to entering into the tax receivable agreement, including tax benefits attributable to payments under the tax receivable agreement. Sales or exchanges of Units by Pre-IPO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 share of existing tax basis acquired in this offering and the increase in Medline Inc.’s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allocable share of existing tax basis and the anticipated tax basis adjustments upon purchases or exchanges of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The term of the tax receivable agreement will continue until all such tax benefits have been utilized or expired. Additionally, in the event of certain changes of control, any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Units for shares of Class A common stock, as well as the amount and timing of any payments under the tax receivable agreement, will vary depending upon a number of factors, including the timing of purchases or exchanges, the price of shares of Class A common stock at the time of the purchase or exchange, the extent to which such purchases or exchanges do not result in a basis adjustment, the amount of tax attributes, changes in tax rates and the amount and timing of our income.</w:t>
      </w:r>
    </w:p>
    <w:p>
      <w:pPr>
        <w:spacing w:after="0" w:line="19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Units in connection with or after this offering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basis points. The payments under the tax receivable agreement are not conditioned upon continued ownership of us by the pre-IPO owners. See “Certain Relationships and Related Person Transactions—Tax Receivable Agreement.”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payments that we may be required to make under the tax receivable agreement that we will enter into prior to the completion of this offering may be significant and are not reflected in the discussion set forth below. As described in greater detail in “Organizational Structure,” the Pre-IPO Unitholders will hold       Units (or       Units if the underwriters exercise in full their option to purchase additional shares of Class A common stock) immediately following this offering. If the Pre-IPO Unitholders were to exchange an additional 10% of the Units that they will hold immediately following this offering for shares of Class A common stock, we would recognize an incremental deferred tax asset of approximately $      million and a noncurrent liability of approximately $      million based on the Company’s estimate of the aggregate amount that it will pay under the tax receivable agreement as a result of such hypothetical exchange, assuming: (i) a price of $      per share of Class A common stock (based on an assumed initial public offering price of $      per share, the midpoint of the estimated price range set forth on the cover page of this prospectus); (ii) a constant corporate tax rate of     %; (iii) we will have sufficient taxable income to fully utilize the tax benefits; and (iv) no material changes in tax law.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Units by Pre-IPO Unitholders,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Future payments to our Pre-IPO Unitholders in respect of subsequent exchanges of Units for shares of Class A common stock would be in addition to these amounts and are expected to be substantial as well. See “—Tax Receivable Agreement” and “Certain Relationships and Related Person Transactions—Tax Receivable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approximate principal contractual obligations as of December 31, 2024:</w:t>
      </w:r>
    </w:p>
    <w:p>
      <w:pPr>
        <w:spacing w:after="0" w:line="246" w:lineRule="exact"/>
        <w:rPr>
          <w:sz w:val="20"/>
          <w:szCs w:val="20"/>
          <w:color w:val="auto"/>
        </w:rPr>
      </w:pPr>
    </w:p>
    <w:p>
      <w:pPr>
        <w:ind w:left="7440"/>
        <w:spacing w:after="0"/>
        <w:tabs>
          <w:tab w:leader="none" w:pos="8380" w:val="left"/>
          <w:tab w:leader="none" w:pos="9400" w:val="left"/>
        </w:tabs>
        <w:rPr>
          <w:sz w:val="20"/>
          <w:szCs w:val="20"/>
          <w:color w:val="auto"/>
        </w:rPr>
      </w:pPr>
      <w:r>
        <w:rPr>
          <w:rFonts w:ascii="Times New Roman" w:cs="Times New Roman" w:eastAsia="Times New Roman" w:hAnsi="Times New Roman"/>
          <w:sz w:val="14"/>
          <w:szCs w:val="14"/>
          <w:b w:val="1"/>
          <w:bCs w:val="1"/>
          <w:color w:val="auto"/>
        </w:rPr>
        <w:t>Total</w:t>
      </w:r>
      <w:r>
        <w:rPr>
          <w:sz w:val="20"/>
          <w:szCs w:val="20"/>
          <w:color w:val="auto"/>
        </w:rPr>
        <w:tab/>
      </w:r>
      <w:r>
        <w:rPr>
          <w:rFonts w:ascii="Times New Roman" w:cs="Times New Roman" w:eastAsia="Times New Roman" w:hAnsi="Times New Roman"/>
          <w:sz w:val="14"/>
          <w:szCs w:val="14"/>
          <w:b w:val="1"/>
          <w:bCs w:val="1"/>
          <w:color w:val="auto"/>
        </w:rPr>
        <w:t>Current</w:t>
      </w:r>
      <w:r>
        <w:rPr>
          <w:sz w:val="20"/>
          <w:szCs w:val="20"/>
          <w:color w:val="auto"/>
        </w:rPr>
        <w:tab/>
      </w:r>
      <w:r>
        <w:rPr>
          <w:rFonts w:ascii="Times New Roman" w:cs="Times New Roman" w:eastAsia="Times New Roman" w:hAnsi="Times New Roman"/>
          <w:sz w:val="14"/>
          <w:szCs w:val="14"/>
          <w:b w:val="1"/>
          <w:bCs w:val="1"/>
          <w:u w:val="single" w:color="auto"/>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7620</wp:posOffset>
            </wp:positionV>
            <wp:extent cx="587184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Long-term borrowings</w:t>
      </w:r>
    </w:p>
    <w:p>
      <w:pPr>
        <w:ind w:left="1000"/>
        <w:spacing w:after="0" w:line="180" w:lineRule="auto"/>
        <w:rPr>
          <w:sz w:val="20"/>
          <w:szCs w:val="20"/>
          <w:color w:val="auto"/>
        </w:rPr>
      </w:pPr>
      <w:r>
        <w:rPr>
          <w:rFonts w:ascii="Times New Roman" w:cs="Times New Roman" w:eastAsia="Times New Roman" w:hAnsi="Times New Roman"/>
          <w:sz w:val="18"/>
          <w:szCs w:val="18"/>
          <w:color w:val="auto"/>
        </w:rPr>
        <w:t>Interest on borrowings</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tabs>
          <w:tab w:leader="none" w:pos="7360" w:val="left"/>
          <w:tab w:leader="none" w:pos="8400" w:val="left"/>
          <w:tab w:leader="none" w:pos="9620" w:val="left"/>
        </w:tabs>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5"/>
          <w:szCs w:val="25"/>
          <w:color w:val="auto"/>
          <w:vertAlign w:val="superscript"/>
        </w:rPr>
        <w:t>(2)</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r>
    </w:p>
    <w:p>
      <w:pPr>
        <w:ind w:left="1000"/>
        <w:spacing w:after="0" w:line="181" w:lineRule="auto"/>
        <w:rPr>
          <w:sz w:val="20"/>
          <w:szCs w:val="20"/>
          <w:color w:val="auto"/>
        </w:rPr>
      </w:pPr>
      <w:r>
        <w:rPr>
          <w:rFonts w:ascii="Times New Roman" w:cs="Times New Roman" w:eastAsia="Times New Roman" w:hAnsi="Times New Roman"/>
          <w:sz w:val="17"/>
          <w:szCs w:val="17"/>
          <w:color w:val="auto"/>
        </w:rPr>
        <w:t>Unconditional purchase obligations</w:t>
      </w:r>
      <w:r>
        <w:rPr>
          <w:rFonts w:ascii="Times New Roman" w:cs="Times New Roman" w:eastAsia="Times New Roman" w:hAnsi="Times New Roman"/>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Pension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4445</wp:posOffset>
            </wp:positionV>
            <wp:extent cx="18427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19685</wp:posOffset>
            </wp:positionV>
            <wp:extent cx="184277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4277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139700</wp:posOffset>
            </wp:positionV>
            <wp:extent cx="7715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6" w:lineRule="exact"/>
        <w:rPr>
          <w:sz w:val="20"/>
          <w:szCs w:val="20"/>
          <w:color w:val="auto"/>
        </w:rPr>
      </w:pPr>
    </w:p>
    <w:p>
      <w:pPr>
        <w:ind w:left="540" w:hanging="424"/>
        <w:spacing w:after="0" w:line="261"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debt obligations are calculated for future periods using interest rates in effect at the end of 2024. Certain of these projected interest payments may differ in the future based on changes in reference rate index for variable debt, foreign currency fluctuations, or other factors</w:t>
      </w:r>
    </w:p>
    <w:p>
      <w:pPr>
        <w:ind w:left="540"/>
        <w:spacing w:after="0"/>
        <w:rPr>
          <w:sz w:val="20"/>
          <w:szCs w:val="20"/>
          <w:color w:val="auto"/>
        </w:rPr>
      </w:pPr>
      <w:r>
        <w:rPr>
          <w:rFonts w:ascii="Times New Roman" w:cs="Times New Roman" w:eastAsia="Times New Roman" w:hAnsi="Times New Roman"/>
          <w:sz w:val="18"/>
          <w:szCs w:val="18"/>
          <w:color w:val="auto"/>
        </w:rPr>
        <w:t xml:space="preserve">or events. The projected interest payments only pertain to obligations and agreements outstanding at December 31, 2024. Refer to Note          </w:t>
      </w:r>
    </w:p>
    <w:p>
      <w:pPr>
        <w:spacing w:after="0" w:line="9" w:lineRule="exact"/>
        <w:rPr>
          <w:sz w:val="20"/>
          <w:szCs w:val="20"/>
          <w:color w:val="auto"/>
        </w:rPr>
      </w:pPr>
    </w:p>
    <w:p>
      <w:pPr>
        <w:ind w:left="540" w:right="580"/>
        <w:spacing w:after="0" w:line="250" w:lineRule="auto"/>
        <w:rPr>
          <w:sz w:val="20"/>
          <w:szCs w:val="20"/>
          <w:color w:val="auto"/>
        </w:rPr>
      </w:pPr>
      <w:r>
        <w:rPr>
          <w:rFonts w:ascii="Times New Roman" w:cs="Times New Roman" w:eastAsia="Times New Roman" w:hAnsi="Times New Roman"/>
          <w:sz w:val="18"/>
          <w:szCs w:val="18"/>
          <w:color w:val="auto"/>
        </w:rPr>
        <w:t>and Note      , respectively, in our audited consolidated financial statements included elsewhere in this prospectus for further discussion regarding our debt instruments outstanding at December 31, 2024.</w:t>
      </w:r>
    </w:p>
    <w:p>
      <w:pPr>
        <w:spacing w:after="0" w:line="1" w:lineRule="exact"/>
        <w:rPr>
          <w:sz w:val="20"/>
          <w:szCs w:val="20"/>
          <w:color w:val="auto"/>
        </w:rPr>
      </w:pPr>
    </w:p>
    <w:p>
      <w:pPr>
        <w:ind w:left="540" w:right="8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operating leases for corporate offices, manufacturing and distribution facilities, vehicles, and equipment. Our leases have remaining terms ranging from less than 12 months to approximately 15 years, some of which may include options to extend or terminate the lease when it is</w:t>
      </w:r>
    </w:p>
    <w:p>
      <w:pPr>
        <w:spacing w:after="0" w:line="1" w:lineRule="exact"/>
        <w:rPr>
          <w:sz w:val="20"/>
          <w:szCs w:val="20"/>
          <w:color w:val="auto"/>
        </w:rPr>
      </w:pPr>
    </w:p>
    <w:p>
      <w:pPr>
        <w:ind w:left="540" w:right="40"/>
        <w:spacing w:after="0" w:line="250" w:lineRule="auto"/>
        <w:rPr>
          <w:sz w:val="20"/>
          <w:szCs w:val="20"/>
          <w:color w:val="auto"/>
        </w:rPr>
      </w:pPr>
      <w:r>
        <w:rPr>
          <w:rFonts w:ascii="Times New Roman" w:cs="Times New Roman" w:eastAsia="Times New Roman" w:hAnsi="Times New Roman"/>
          <w:sz w:val="18"/>
          <w:szCs w:val="18"/>
          <w:color w:val="auto"/>
        </w:rPr>
        <w:t>reasonably certain and there is a significant economic incentive to exercise that option. As of December 31, 2024 our right-of-use assets related to operating leases were $ million and our current and non-current operating lease liabilities were $        million and $        million, respectively. Please see Note 9, “Leases” to our audited consolidated financial statements for further information.</w:t>
      </w:r>
    </w:p>
    <w:p>
      <w:pPr>
        <w:spacing w:after="0" w:line="1" w:lineRule="exact"/>
        <w:rPr>
          <w:sz w:val="20"/>
          <w:szCs w:val="20"/>
          <w:color w:val="auto"/>
        </w:rPr>
      </w:pPr>
    </w:p>
    <w:p>
      <w:pPr>
        <w:ind w:left="540" w:right="120" w:hanging="424"/>
        <w:spacing w:after="0" w:line="26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significant contractual unconditional purchase obligations. These commitments do not exceed our projected requirements and are in the normal course of business. Examples include firm commitments for goods and service contracts.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do not have guarantees or other off-balance sheet financing arrangements, including variable interest entities, of a magnitude that we believe could have a material impact on our financial condition or liquidity. See our consolidated financial statements and related notes thereto, included elsewhere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U.S. GAAP, which often require us to make estimates and assumptions that affect the reported amounts of assets, liabilities, net sales, expenses, and related disclosures.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w:t>
      </w:r>
    </w:p>
    <w:p>
      <w:pPr>
        <w:spacing w:after="0" w:line="16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critical accounting estimates, assumptions, and judgments that we believe to have the most significant impact on our consolidated financial statements are described below. This discussion is provided to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descriptions of our accounting policies contained in Note 1, “Nature of Business and Significant Accounting Policies” to our audited consolidated financial statements, included elsewhere in this prospectus.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net sales are generated principally from the sale of products. The amount of net sales recognized is adjusted for variable consideration, including sales rebates, distributor chargebacks, return allowances, scrap allowances, and other rights, which may require significant judgement in determining the amounts by which to reduce net sales. Our estimate of variable consideration and ultimate determination of the estimated amounts to include in the transaction price are based upon the contractual terms between us and our customers, products subject to a rebate, the lag between the sale and the payment of the rebate, and historical rebate payment trends. We estimate these amounts at the point net sales is recognized based on the expected value to be provided to the customer and reduces net sales accordingly. Our estimate of variable consideration and ultimate determination of the estimated amounts to include in the transaction price is based primarily on assessments of anticipated performance and historical information that is reasonably available to us.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Allowances for Refunds and Credit Losses</w:t>
      </w:r>
    </w:p>
    <w:p>
      <w:pPr>
        <w:spacing w:after="0" w:line="11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in the collection of amounts owed by customers.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Changes in these factors, among others, may lead to adjustments in our allowance for credit losses. The calculation of the required allowance requires significant judgment by management. If the financial condition of our customers worsens, or economic conditions change, we may be required to make changes to our allowance for credit losses.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primarily by the LIFO cost method. For certain foreign subsidiaries, cost is determined using the FIFO method.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If future market conditions vary from those projected, and our estimates prove to be inaccurate, we may be required to write down inventory values and record an adjustment to cost of goods sold. Rebates received from vendors relating to the purchase or distribution of inventory are considered product discounts and are accounted for as reductions in the cost of inventory.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Goodwill and Indefinite-Lived Intangible Assets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make certain estimates and judgments in impairment assessments of goodwill and indefinite-lived intangible assets. We perform our annual impairment tests in October and monitor for interim indicators of impairment on an ongoing basis. To perform the qualitative review, we consider the weight of evidence and significance of all identified events and circumstances and most relevant drivers of fair value, both positive and negative, in determining whether it is more likely than not that impairment has occurred.</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Goodwill impairment testing is conducted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required. We apply the goodwill impairment test by comparing the estimated fair value of a reporting unit to its carrying value and an impairment charge is recorded equal to the amount of excess carrying value above the estimated fair value, if any, but not to exceed the amount of goodwill allocated to the reporting unit. To estimate the fair value of our reporting unit, we consider all generally accepted valuation approaches to value a business or an entity, and we rely on approach(es) that are deemed most suitable to estimate value as of the measurement date. We have generally used a combination of the market approach and the income approach. Under the market approach, we estimate fair value by comparing the reporting unit to similar businesses, or guideline companies whose securities are actively traded in public markets and select market multiple(s) deemed appropriate, and apply the selected multiple(s) to the reporting unit’s financial metric. Under the income approach, we use a discounted cash flow model in which cash flows anticipated over several periods, plus a terminal value at the end of that time horizon, are discounted to their present value using an appropriate rate that is commensurate with the risk inherent within the reporting unit. The fair value is then estimated as a weighted average of the values indicated by the valuation approaches relied upon.</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impairment test for indefinite-lived intangibles involves first assessing qualitative factors to determine if it is more likely than not that the fair value of the indefinite-lived intangible asset is less than its carrying amount. We use estimates and significant judgements and consider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based on a review of qualitative factors it is more likely than not that the fair value of an indefinite-lived intangible asset is less than its carrying value, we proceed to compare the fair value of the indefinite-lived intangible asset with its carrying amount. If the carrying value of an indefinite-lived intangible asset exceeds its estimated fair value, an impairment equal to the excess is recorded.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whereby the identifiable assets and liabilities of the acquired business, including contingent consideration, as well as any non-controlling interest in the acquired business, are recorded at their estimated fair values as of the date that we obtain control of the acquired business. Any purchase consideration in excess of the estimated fair values of the net assets acquired is recorded as goodwill. Significant estimates may be used to determine the fair value of assets acquired and liabilities assumed. Critical estimates in valuing intangible assets include, but are not limited to, expected future cash flows and discount rates. Fair value estimates are based on the assumptions management believes a market participant would use in pricing the asset or liability. Amounts recorded in a business combination may change during the measurement period, which is a period not to exceed one year from the date of acquisitions, as additional information about conditions existing at the acquisition date becomes available.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consisting of Medline Holdings, LP profits interest, is measured at fair value on the grant date or date of modification, as applicable. Determining the amount of stock-based compensation expense to be recorded requires us to develop estimates to be used in calculating the grant-date fair value of stock options. Our valuation model requires us to make estimates of the following assumptions: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Fair Value of Equity-Based Awards:</w:t>
      </w:r>
      <w:r>
        <w:rPr>
          <w:rFonts w:ascii="Times New Roman" w:cs="Times New Roman" w:eastAsia="Times New Roman" w:hAnsi="Times New Roman"/>
          <w:sz w:val="18"/>
          <w:szCs w:val="18"/>
          <w:color w:val="auto"/>
        </w:rPr>
        <w:t xml:space="preserve"> The weighted average per unit fair value of the equity-based units is calculated using the Monte Carlo simulation in an option pricing framework, where the total equity value of the 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85"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precedent transactions involving equity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and financial performance;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assumptions were made in the Monte Carlo simulation:</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Volatility:</w:t>
      </w:r>
      <w:r>
        <w:rPr>
          <w:rFonts w:ascii="Times New Roman" w:cs="Times New Roman" w:eastAsia="Times New Roman" w:hAnsi="Times New Roman"/>
          <w:sz w:val="18"/>
          <w:szCs w:val="18"/>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The risk-free interest rate is estimated based on U.S. Treasury zero-coupon notes with terms consistent with the expected term of the awards.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Dividend Yield:</w:t>
      </w:r>
      <w:r>
        <w:rPr>
          <w:rFonts w:ascii="Times New Roman" w:cs="Times New Roman" w:eastAsia="Times New Roman" w:hAnsi="Times New Roman"/>
          <w:sz w:val="18"/>
          <w:szCs w:val="18"/>
          <w:color w:val="auto"/>
        </w:rPr>
        <w:t xml:space="preserve"> The Company has never declared or paid any cash dividends and does not presently plan to pay cash dividends in the foreseeable future. Consequently, the Company used an expected dividend yield of zero.</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Applying these valuation approaches involves the use of estimates, judgments and assumptions that are highly complex and subjective, including our expected future net sales and expenses, the determination of discount rates, valuation multiples, the selection of comparable public companies and the probability of future events. Changes in any or all of these estimates and assumptions may impact our valuation as of each valuation date. Such changes may have a material impact on the valuation of our shares and our share-based awards.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this offering, it will not be necessary to determine the fair value of our shares, as our shares will be traded in the public market.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Recently Issued Accounting Standards Not Yet Adopted</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accounting standards and recently issued accounting standards not yet adopted, please see Note 1, “Nature of Business and Significant Accounting Policies” to our audited consolidated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from adverse changes in foreign currency exchange rates, interest rates, and inflation.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international sales, including in Canada, certain countries in the EU, Japan, Australia, the United Kingdom, and certain countries in Latin America, among others, all of which have a different currency exposure than the U.S. dollar. We have a natural, partial operational hedge in some of these geographies where local manufacturing and assembly have been established for strategic purposes. However, we have exposure to the Mexican peso related to more significant manufacturing operations in Mexico. We also incur expenses in U.S. dollars, and currencies of the other countries in which we have operations.</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While we rarely hedge against foreign currency risk via derivative instruments, we monitor the movements of these currencies and actively engage in regional vendor load balancing to minimize foreign exchange risk. Our results of operations are subject to changes in foreign exchange rates due to the translation of our results to U.S. dollars, as well.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10% appreciation/depreciation in the Mexican peso against the U.S. dollar would have increased or decreased our expenses incurred and paid in the Mexican peso by approximately $        million or $        million, respectively, in the year ended December 31,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        million of gross outstanding indebtedness, including $        million of borrowings at variable interest rates before considering deferred financing costs of $        million. The borrowings under the Senior Secured Credit Facilities accrue interest at variable interest rates and thus are subject to interest rate risk.</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Borrowings under the New Dollar Term Loan Facility and New Euro Term Loan Facility bear interest at a floating rate per annum, based on the SOFR plus an applicable spread and EURIBOR plus an applicable spread, respectively. As of December 31, 2024, we had $        million and</w:t>
      </w: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        million outstanding under the New Dollar Term Loan Facility and New Euro Term Loan Facility, respectively, bearing interest at variable rates. Each change of 25 basis point in interest rates would result in a $        million change in annual interest expense on term loan borrowing.</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various rates per annum, all of which float with relevant rate indices, i.e., SOFR. As of December 31, 2024, we do not have borrowings outstanding under the Revolving Credit Facility. Although we do not have any borrowings outstanding under our Revolving Credit Facility as of December 31, 2024, had the Revolving Credit Facility been fully drawn, each change of 25 basis point in interest rates would result in a $        million change in annual interest expense on such outstanding borrowings under the Revolving Credit Facility.</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interest rate swaps and interest rate caps to manage interest rate risk on our outstanding term debts. Interest rate swaps and interest rate caps allow us to effectively convert floating-rate payments into fixed-rate payments. Interest expenses on term debts are partially offset by the corresponding losses and gains on the related hedging instruments. The effective interest rate for USD denominated variable rate borrowings would change to        % from        % for the year ended December 31, 2024, after consideration of the related hedging instruments.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mission is to make healthcare run better by delivering improved clinical, financial, and operational outcomes.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the largest med-surg products and supply chain solutions company serving healthcare providers across the continuum of care.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ranging from surgical kits and sterile procedure trays to intravenous kits, wound care supplies, and consumable lab and diagnostics products. We hold the leading position across several of our end markets and many of our key product families. We distribute these products through our expansive network of 68 global distribution facilities spanning over 28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148590</wp:posOffset>
            </wp:positionV>
            <wp:extent cx="5194935" cy="27432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9493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Note: Amounts were calculated in accordance with the historical accounting standards applicable to the Company in the relevant period.</w:t>
      </w:r>
    </w:p>
    <w:p>
      <w:pPr>
        <w:spacing w:after="0" w:line="21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vertically integrated med-surg manufacturer and distributor globally serving healthcare providers across the continuum of care.</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combination of our expansive product portfolio and our differentiated supply chain creates a force multiplier for our business. Our Medline Brand segment offers approximately 190,000 products, including those manufactured in our 27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commercial team of more than 3,800 people. These capabilities and our compelling value proposition allow us to serve as a long-term strategic partner to our customers and expand the scope of our relationships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147955</wp:posOffset>
            </wp:positionV>
            <wp:extent cx="5194935" cy="24860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9493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 us to anticipate their needs and deliver industry-leading service levels. As these relationships mature, customers increasingly choose Medline Brand products for their superior value. Our Prime Vendor model is reinforced by the flywheel effect within our business where we drive guaranteed cost savings for customers, which, in turn, supports incremental purchasing of our Medline Brand products and increases our scale. This dynamic allows us to drive further efficiencies that enable our ability to reinvest in customer value while increasing our profitability.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2023.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generated net sales of $        billion, net income of $        million, and Adjusted EBITDA of $        billion, representing an segment adjusted EBITDA Margin of        %. During that period,        % of total net sales and        %</w:t>
      </w:r>
    </w:p>
    <w:p>
      <w:pPr>
        <w:ind w:left="120"/>
        <w:spacing w:after="0" w:line="253" w:lineRule="auto"/>
        <w:rPr>
          <w:sz w:val="20"/>
          <w:szCs w:val="20"/>
          <w:color w:val="auto"/>
        </w:rPr>
      </w:pPr>
      <w:r>
        <w:rPr>
          <w:rFonts w:ascii="Times New Roman" w:cs="Times New Roman" w:eastAsia="Times New Roman" w:hAnsi="Times New Roman"/>
          <w:sz w:val="18"/>
          <w:szCs w:val="18"/>
          <w:color w:val="auto"/>
        </w:rPr>
        <w:t>of total segment adjusted EBITDA were generated from our Medline Brand segment, while        % of total net sales and        % of total Adjusted EBITDA were generated from our Supply Chain Solutions segment. For a reconciliation of Adjusted EBITDA and Adjusted EBITDA Margin to the most directly comparable financial measures that are presented in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117475</wp:posOffset>
            </wp:positionV>
            <wp:extent cx="4800600" cy="1671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0060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estimate our TAM to be approximately $        billion globally. Of this amount, we estimate that the United States represents an approximately $        billion opportunity, diversified across acute care and non-acute care (including surgery centers, physician’s offices, and post-acute care). Demand within this space is largely insulated from macroeconomic events and market cycles due to non-cyclical demand across most clinical settings.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55" w:right="5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        billion international market also represents an attractive opportunity as net sales outside of the United States represented only     % of our net sales for the year ended December 31, 2024.</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market opportunity is enhanced by the following dynamics:</w:t>
      </w:r>
    </w:p>
    <w:p>
      <w:pPr>
        <w:spacing w:after="0" w:line="129" w:lineRule="exact"/>
        <w:rPr>
          <w:sz w:val="20"/>
          <w:szCs w:val="20"/>
          <w:color w:val="auto"/>
        </w:rPr>
      </w:pPr>
    </w:p>
    <w:p>
      <w:pPr>
        <w:ind w:left="108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Pressure Across End Markets</w:t>
      </w:r>
      <w:r>
        <w:rPr>
          <w:rFonts w:ascii="Times New Roman" w:cs="Times New Roman" w:eastAsia="Times New Roman" w:hAnsi="Times New Roman"/>
          <w:sz w:val="18"/>
          <w:szCs w:val="18"/>
          <w:color w:val="auto"/>
        </w:rPr>
        <w:t>: Hospitals generally operate at a low margin; given these dynamics, health systems and providers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heavily focused on mitigating costs and increasing the quality of care.</w:t>
      </w:r>
    </w:p>
    <w:p>
      <w:pPr>
        <w:spacing w:after="0" w:line="63"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Shift in Volumes Outside of the Hospital</w:t>
      </w:r>
      <w:r>
        <w:rPr>
          <w:rFonts w:ascii="Times New Roman" w:cs="Times New Roman" w:eastAsia="Times New Roman" w:hAnsi="Times New Roman"/>
          <w:sz w:val="18"/>
          <w:szCs w:val="18"/>
          <w:color w:val="auto"/>
        </w:rPr>
        <w:t>: As overall healthcare utilization increases, higher acuity procedures continue to shift to lower-cost sites of care, such as surgery centers and physician offices.</w:t>
      </w:r>
    </w:p>
    <w:p>
      <w:pPr>
        <w:spacing w:after="0" w:line="63"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Healthcare Consolidation</w:t>
      </w:r>
      <w:r>
        <w:rPr>
          <w:rFonts w:ascii="Times New Roman" w:cs="Times New Roman" w:eastAsia="Times New Roman" w:hAnsi="Times New Roman"/>
          <w:sz w:val="18"/>
          <w:szCs w:val="18"/>
          <w:color w:val="auto"/>
        </w:rPr>
        <w:t>: Consolidation activity is expected to continue, as hospitals combine to drive scale and create integrated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serve the continuum of care.</w:t>
      </w:r>
    </w:p>
    <w:p>
      <w:pPr>
        <w:spacing w:after="0" w:line="63"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Chain Resiliency</w:t>
      </w:r>
      <w:r>
        <w:rPr>
          <w:rFonts w:ascii="Times New Roman" w:cs="Times New Roman" w:eastAsia="Times New Roman" w:hAnsi="Times New Roman"/>
          <w:sz w:val="18"/>
          <w:szCs w:val="18"/>
          <w:color w:val="auto"/>
        </w:rPr>
        <w:t>: Supply chain disruptions and shortages have revealed the industry’s need for in-stock products and short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timeframes.</w:t>
      </w:r>
    </w:p>
    <w:p>
      <w:pPr>
        <w:spacing w:after="0" w:line="1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Medline Brand. </w:t>
      </w:r>
      <w:r>
        <w:rPr>
          <w:rFonts w:ascii="Times New Roman" w:cs="Times New Roman" w:eastAsia="Times New Roman" w:hAnsi="Times New Roman"/>
          <w:sz w:val="18"/>
          <w:szCs w:val="18"/>
          <w:color w:val="auto"/>
        </w:rPr>
        <w:t>We offer our customers approximately 190,000 med-surg products through our Medline Brand segment. We have leading</w:t>
      </w:r>
    </w:p>
    <w:p>
      <w:pPr>
        <w:spacing w:after="0" w:line="31" w:lineRule="exact"/>
        <w:rPr>
          <w:sz w:val="20"/>
          <w:szCs w:val="20"/>
          <w:color w:val="auto"/>
        </w:rPr>
      </w:pPr>
    </w:p>
    <w:p>
      <w:pPr>
        <w:ind w:left="120"/>
        <w:spacing w:after="0"/>
        <w:tabs>
          <w:tab w:leader="none" w:pos="4580" w:val="left"/>
        </w:tabs>
        <w:rPr>
          <w:sz w:val="20"/>
          <w:szCs w:val="20"/>
          <w:color w:val="auto"/>
        </w:rPr>
      </w:pPr>
      <w:r>
        <w:rPr>
          <w:rFonts w:ascii="Times New Roman" w:cs="Times New Roman" w:eastAsia="Times New Roman" w:hAnsi="Times New Roman"/>
          <w:sz w:val="18"/>
          <w:szCs w:val="18"/>
          <w:color w:val="auto"/>
        </w:rPr>
        <w:t xml:space="preserve">positions across many product families within the $          </w:t>
      </w:r>
      <w:r>
        <w:rPr>
          <w:sz w:val="20"/>
          <w:szCs w:val="20"/>
          <w:color w:val="auto"/>
        </w:rPr>
        <w:tab/>
      </w:r>
      <w:r>
        <w:rPr>
          <w:rFonts w:ascii="Times New Roman" w:cs="Times New Roman" w:eastAsia="Times New Roman" w:hAnsi="Times New Roman"/>
          <w:sz w:val="17"/>
          <w:szCs w:val="17"/>
          <w:color w:val="auto"/>
        </w:rPr>
        <w:t>billion market. Our Medline Brand products are organized into three product categories: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Front Line Care, Surgical Solutions, and Laboratory and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160020</wp:posOffset>
            </wp:positionV>
            <wp:extent cx="5194935" cy="25292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9493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Select Medline Brand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172720</wp:posOffset>
            </wp:positionV>
            <wp:extent cx="5194935" cy="22631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9493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95885</wp:posOffset>
            </wp:positionV>
            <wp:extent cx="5194935" cy="13373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9493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produce approximately one-third of Medline Brand products, which are primarily Class I and II medical devices, through our 27 manufacturing facilities, of which 22 are in North America. We focus our manufacturing capabilities on products where we can leverage technology and automation to drive higher quality and lower costs to better serve our customers.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manufacturing capabilities enable many of our Medline Brand products to become category leaders. For example, Medline began manufacturing surgical procedure trays in 1985 and is the largest kitting manufacturer in the United States today. Our surgical kitting trays come complete with everything a surgeon needs in one convenient pack. This improves outcomes and standardizes packs for procedures, shortening the time it takes to perform a procedure and reducing waste. These trays benefit healthcare providers by not having to pick each individual item from their supply shelves. Our leading position is enabled by both the value our trays provide to physicians as well as the scale and efficiency of our facilities that manufacture these products, including our Laredo, Texas and Nuevo Laredo, Mexico facilities. Our kitting facilities employ more than 8,800 people, producing over 200 million trays on an annual basis.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the vast majority of the other two-thirds of Medline Brand products, we utilize a network of more than 500 global partners across a diversified set of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December 31, 2023. Taken together, our self-manufacturing capabilities and differentiated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187 new products over the last two years and will continue to innovate as a trusted thought partner of our customer base.</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7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Solutions. </w:t>
      </w:r>
      <w:r>
        <w:rPr>
          <w:rFonts w:ascii="Times New Roman" w:cs="Times New Roman" w:eastAsia="Times New Roman" w:hAnsi="Times New Roman"/>
          <w:sz w:val="18"/>
          <w:szCs w:val="18"/>
          <w:color w:val="auto"/>
        </w:rPr>
        <w:t>We offer approximately 145,000 med-surg products from over 1,250 third-party suppliers, including nearly all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8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Additionally, we continue to bolster our supply chain offerings to better serve our customers. For example, in October 2024 we announced a partnership with Microsoft to design an innovative healthcare supply chain resiliency solution leveraging AI-generated insights to provide integrated inventory management. This will combine customer and supplier data to develop better insights into customer purchasing patterns and optimize service levels, among other capabilities.</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Prime Vendor Model. </w:t>
      </w:r>
      <w:r>
        <w:rPr>
          <w:rFonts w:ascii="Times New Roman" w:cs="Times New Roman" w:eastAsia="Times New Roman" w:hAnsi="Times New Roman"/>
          <w:sz w:val="18"/>
          <w:szCs w:val="18"/>
          <w:color w:val="auto"/>
        </w:rPr>
        <w:t>In our Prime Vendor relationships, we enter into long-term agreements, typically structured with five-year terms, to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can reach over 50% Medline Brand over time. The opportunity is even greater in certain non-acute settings, where we sell a more focused product portfolio. Our Prime Vendor model is reinforced by the flywheel effect within our business where we drive guaranteed cost savings for customers, which, in turn, supports incremental purchasing of our Medline Brand products and increases our scale. This dynamic allows us to drive further efficiencies that enable our ability to reinvest in customer value while increasing our profitability. This compelling value proposition and supply chain relationship with our customers supports our greater than 98% average Prime Vendor retention rate over the past five years.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differentiated capabilities have enabled us to grow and scale our Prime Vendor model over time. Over just the past five years, we have signed new Prime Vendor agreements representing $7 billion of annual contract value and have over 1,200 Prime Vendor relationships as of December 31, 2023, representing $14.5 billion of net sales for the year ended December 31, 2023. Our Prime Vendor relationships, combined with our strong customer retention, supports a highly recurring business model. Today, our Prime Vendor agreements have a weighted average mix of 70% Supply Chain Solutions and 30% Medline Brand, presenting a significant opportunity to drive customer savings through further Medline Brand adoption in the years ahead. The addressable like-for-like product sales in existing Prime Vendor customers represents a conversion opportunity of approximately $      billion in net sales as of December 31, 2024 which could generate an incremental $      billion of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148590</wp:posOffset>
            </wp:positionV>
            <wp:extent cx="4920615" cy="2194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2061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Note: Data represents average Medline Brand net sales percentage mix across cohorts since 2014.</w:t>
      </w:r>
    </w:p>
    <w:p>
      <w:pPr>
        <w:spacing w:after="0" w:line="20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Distribution Network. </w:t>
      </w:r>
      <w:r>
        <w:rPr>
          <w:rFonts w:ascii="Times New Roman" w:cs="Times New Roman" w:eastAsia="Times New Roman" w:hAnsi="Times New Roman"/>
          <w:sz w:val="18"/>
          <w:szCs w:val="18"/>
          <w:color w:val="auto"/>
        </w:rPr>
        <w:t>We have a differentiated network of 68 global distribution centers, 46 of which are in the United States.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    billion of global inventory as of December 31, 2024, and our market-leading supply chain capabilities drive our ability to fulfill customer orders with service levels of 99% and support our high customer satisfaction levels. Over the last five years, we have invested $1.8 billion in total capital expenditures within our distribution network. We currently have over 30% in excess capacity across our platform to support our long-term growth.</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99695</wp:posOffset>
            </wp:positionV>
            <wp:extent cx="4800600" cy="3308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0060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Commercial Platform. </w:t>
      </w:r>
      <w:r>
        <w:rPr>
          <w:rFonts w:ascii="Times New Roman" w:cs="Times New Roman" w:eastAsia="Times New Roman" w:hAnsi="Times New Roman"/>
          <w:sz w:val="18"/>
          <w:szCs w:val="18"/>
          <w:color w:val="auto"/>
        </w:rPr>
        <w:t>Our deep connectivity to our customers is driven by the strength of our dedicated and tenured commercial team.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U.S. commercial team of more than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2023.</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60"/>
          </w:cols>
          <w:pgMar w:left="320" w:top="455" w:right="6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a track record of successfully bringing new products to market, with more than 2,100 granted patents and more than 400 FDA 510(k) clearances. Over the last two years, we have successfully launched 187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1808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9493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Three examples of our ability to innovate include:</w:t>
      </w:r>
    </w:p>
    <w:p>
      <w:pPr>
        <w:spacing w:after="0" w:line="127" w:lineRule="exact"/>
        <w:rPr>
          <w:sz w:val="20"/>
          <w:szCs w:val="20"/>
          <w:color w:val="auto"/>
        </w:rPr>
      </w:pPr>
    </w:p>
    <w:p>
      <w:pPr>
        <w:ind w:left="4020" w:right="100" w:hanging="269"/>
        <w:spacing w:after="0" w:line="25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ReadyPrep CHG</w:t>
      </w:r>
      <w:r>
        <w:rPr>
          <w:rFonts w:ascii="Times New Roman" w:cs="Times New Roman" w:eastAsia="Times New Roman" w:hAnsi="Times New Roman"/>
          <w:sz w:val="18"/>
          <w:szCs w:val="18"/>
          <w:color w:val="auto"/>
        </w:rPr>
        <w:t>: Medline announced the approval of the ReadyPrep CHG cloth in 2019, a new pre-op skin antiseptic cloth designed to help give clinicians another tool to fight surgical site infections. According to the Centers for Disease Control and Prevention, surgical site infections are the costliest healthcare-associated infection with an estimated annual cost of $3.3 billion. These pre-op skin antiseptic cloths quickly gained popularity with hospital groups across the nation because of their competitive cost, larger size, and two-year-long shelf life. ReadyPrep net sales were $121.4 million in the first two full calendar years post-launch.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-923925</wp:posOffset>
            </wp:positionV>
            <wp:extent cx="1088390" cy="1525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88390" cy="152590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-3175</wp:posOffset>
            </wp:positionV>
            <wp:extent cx="1191260" cy="1183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91260" cy="1183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hanging="26"/>
        <w:spacing w:after="0" w:line="256"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Bonded Sterilization Wrap</w:t>
      </w:r>
      <w:r>
        <w:rPr>
          <w:rFonts w:ascii="Times New Roman" w:cs="Times New Roman" w:eastAsia="Times New Roman" w:hAnsi="Times New Roman"/>
          <w:sz w:val="18"/>
          <w:szCs w:val="18"/>
          <w:color w:val="auto"/>
        </w:rPr>
        <w:t>: Medline launched the Bonded Sterilization Wrap in 2014, a next-generation sterilization wrap shown to have greater material strength than the competition to ensure the integrity of the sterilization process. In an independent, side-by-side strength test, Medline’s wrap, constructed with 100% polypropylene, was shown to have greater material strength to resist punctures and tears compared to the sterilization wrap of the next closest competitor. Bonded Sterilization Wrap net sales were $23.8 million in the first two full calendar years post-launch.</w:t>
      </w:r>
    </w:p>
    <w:p>
      <w:pPr>
        <w:spacing w:after="0" w:line="200" w:lineRule="exact"/>
        <w:rPr>
          <w:sz w:val="20"/>
          <w:szCs w:val="20"/>
          <w:color w:val="auto"/>
        </w:rPr>
      </w:pPr>
    </w:p>
    <w:p>
      <w:pPr>
        <w:sectPr>
          <w:pgSz w:w="11900" w:h="16838" w:orient="portrait"/>
          <w:cols w:equalWidth="0" w:num="2">
            <w:col w:w="3860" w:space="160"/>
            <w:col w:w="7080"/>
          </w:cols>
          <w:pgMar w:left="320" w:top="455" w:right="479" w:bottom="1440" w:gutter="0" w:footer="0" w:header="0"/>
          <w:type w:val="continuous"/>
        </w:sectPr>
      </w:pPr>
    </w:p>
    <w:p>
      <w:pPr>
        <w:spacing w:after="0" w:line="31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-3175</wp:posOffset>
            </wp:positionV>
            <wp:extent cx="1208405" cy="13455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8405"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hanging="26"/>
        <w:spacing w:after="0" w:line="25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FitRight CONNECT Wetness Sensing System</w:t>
      </w:r>
      <w:r>
        <w:rPr>
          <w:rFonts w:ascii="Times New Roman" w:cs="Times New Roman" w:eastAsia="Times New Roman" w:hAnsi="Times New Roman"/>
          <w:sz w:val="18"/>
          <w:szCs w:val="18"/>
          <w:color w:val="auto"/>
        </w:rPr>
        <w:t>: Medline announced the launch of a new user-friendly technology for incontinence management called FitRight CONNECT Wetness Sensing System in September 2024. The solution combines special briefs, a sensor pod and real-time alerts to provide data that takes the guesswork out of incontinence management and helps skilled nursing home residents stay dry longer.</w:t>
      </w:r>
    </w:p>
    <w:p>
      <w:pPr>
        <w:spacing w:after="0" w:line="200" w:lineRule="exact"/>
        <w:rPr>
          <w:sz w:val="20"/>
          <w:szCs w:val="20"/>
          <w:color w:val="auto"/>
        </w:rPr>
      </w:pPr>
    </w:p>
    <w:p>
      <w:pPr>
        <w:sectPr>
          <w:pgSz w:w="11900" w:h="16838" w:orient="portrait"/>
          <w:cols w:equalWidth="0" w:num="2">
            <w:col w:w="3860" w:space="160"/>
            <w:col w:w="7080"/>
          </w:cols>
          <w:pgMar w:left="320" w:top="45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100"/>
          </w:cols>
          <w:pgMar w:left="320" w:top="455" w:right="47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Medline also continues to invest in research and development infrastructure, as evidenced by our facility expansion in Mundelein, Illinois in 2024. This project approximately tripled the size of the product testing and development facility to 74,000 square feet and significantly bolsters its capacity to test a variety of products, ingredients, and solutions efficiently and comprehensively. The investment includes upgraded mechanical systems and environmental controls as well as increased lab space and capabilities—including design verification, chemistry, microbiology, expiration dating, calibration, and formulation. The lab has grown to more than 140 employees, including engineers, biologists, chemists, formulation scientists, and technicians.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Value Creation for Key Stakeholders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integrated business model helps us to address the needs of the market today and enables us to drive value for key constituents across the healthcare system.</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Healthcare providers:</w:t>
      </w:r>
    </w:p>
    <w:p>
      <w:pPr>
        <w:spacing w:after="0" w:line="133" w:lineRule="exact"/>
        <w:rPr>
          <w:sz w:val="20"/>
          <w:szCs w:val="20"/>
          <w:color w:val="auto"/>
        </w:rPr>
      </w:pPr>
    </w:p>
    <w:p>
      <w:pPr>
        <w:ind w:left="1080" w:right="3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high-quality, competitively priced Medline Brand products deliver material cost savings to providers, many of whom face margin pressures.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Prime Vendor model enables the cost-effective management of products, inventory, distribution, and delivery across sites of care.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133" w:lineRule="exact"/>
        <w:rPr>
          <w:sz w:val="20"/>
          <w:szCs w:val="20"/>
          <w:color w:val="auto"/>
        </w:rPr>
      </w:pPr>
    </w:p>
    <w:p>
      <w:pPr>
        <w:ind w:left="1080" w:right="340" w:hanging="424"/>
        <w:spacing w:after="0" w:line="312" w:lineRule="auto"/>
        <w:tabs>
          <w:tab w:leader="none" w:pos="10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45"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educational materials and at-home care kits help patients take an active role in their own care, which improves health outcomes and patient satisfaction.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thoughtfully designed products and services creates positive patient experiences.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direct-to-consumer channel increases access to our high-quality, cost-effective products.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Product suppliers:</w:t>
      </w:r>
    </w:p>
    <w:p>
      <w:pPr>
        <w:spacing w:after="0" w:line="133"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scaled platform provides third-party product suppliers with access to our commercial team and a large and diverse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 levels ensure that suppliers’ products are delivered reliably and on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across the healthcare continuum provides opportunities to serve every site of care.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ability to earn and retain customers is driven by a number of specific qualities that are critical to our success.</w:t>
      </w:r>
    </w:p>
    <w:p>
      <w:pPr>
        <w:spacing w:after="0" w:line="2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Customer-Focused Culture. </w:t>
      </w:r>
      <w:r>
        <w:rPr>
          <w:rFonts w:ascii="Times New Roman" w:cs="Times New Roman" w:eastAsia="Times New Roman" w:hAnsi="Times New Roman"/>
          <w:sz w:val="18"/>
          <w:szCs w:val="18"/>
          <w:color w:val="auto"/>
        </w:rPr>
        <w:t>Customers are at the heart of what we do. Our best-in-class business model, entrepreneurial spirit, and compelling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more than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a greater than 98% average Prime Vendor retention rate over the past five years, and consistently high customer and employee satisfaction levels.</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Medline Platform Advantage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the largest integrated med-surg manufacturer and distributor uniquely serving all sites across the continuum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care.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to serve across the entire continuum of care aligns us with the evolving needs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146685</wp:posOffset>
            </wp:positionV>
            <wp:extent cx="4817745" cy="23660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177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Brand Product Portfolio. </w:t>
      </w:r>
      <w:r>
        <w:rPr>
          <w:rFonts w:ascii="Times New Roman" w:cs="Times New Roman" w:eastAsia="Times New Roman" w:hAnsi="Times New Roman"/>
          <w:sz w:val="18"/>
          <w:szCs w:val="18"/>
          <w:color w:val="auto"/>
        </w:rPr>
        <w:t>We offer approximately 190,000 Medline Brand products across our product categories. We have a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of successfully bringing new products to market, with more than 2,100 granted patents and more than 400 FDA 510(k) clearances. Over the last two years, we have successfully launched 187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79"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Unrivaled Distribution Capabilities. </w:t>
      </w:r>
      <w:r>
        <w:rPr>
          <w:rFonts w:ascii="Times New Roman" w:cs="Times New Roman" w:eastAsia="Times New Roman" w:hAnsi="Times New Roman"/>
          <w:sz w:val="18"/>
          <w:szCs w:val="18"/>
          <w:color w:val="auto"/>
        </w:rPr>
        <w:t>Medline’s breadth and footprint today is the result of decades of significant investments,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 billion in capital expenditures within our distribution network over the last</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five years. The network has been developed to serve healthcare facilities and providers across the continuum of care. We have a differentiated network of 68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      billion in global inventory that, combined with our distribution network and capabilities, enables us to have service levels of 99%.</w:t>
      </w:r>
    </w:p>
    <w:p>
      <w:pPr>
        <w:spacing w:after="0" w:line="18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Clinical Solutions. </w:t>
      </w:r>
      <w:r>
        <w:rPr>
          <w:rFonts w:ascii="Times New Roman" w:cs="Times New Roman" w:eastAsia="Times New Roman" w:hAnsi="Times New Roman"/>
          <w:sz w:val="18"/>
          <w:szCs w:val="18"/>
          <w:color w:val="auto"/>
        </w:rPr>
        <w:t>Medline’s clinical solutions empower frontline teams with best practice guidance, education and training, and a system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Returns to Scale. </w:t>
      </w:r>
      <w:r>
        <w:rPr>
          <w:rFonts w:ascii="Times New Roman" w:cs="Times New Roman" w:eastAsia="Times New Roman" w:hAnsi="Times New Roman"/>
          <w:sz w:val="18"/>
          <w:szCs w:val="18"/>
          <w:color w:val="auto"/>
        </w:rPr>
        <w:t>As we grow, Medline is uniquely positioned to benefit from our vertically integrated model and over 1,200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Net Sales Growth</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1080" w:right="16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with our Prime Vendor Customers</w:t>
      </w:r>
      <w:r>
        <w:rPr>
          <w:rFonts w:ascii="Times New Roman" w:cs="Times New Roman" w:eastAsia="Times New Roman" w:hAnsi="Times New Roman"/>
          <w:sz w:val="18"/>
          <w:szCs w:val="18"/>
          <w:color w:val="auto"/>
        </w:rPr>
        <w:t>: We have achieved a greater than 98% average Prime Vendor retention rate over the past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85" w:lineRule="exact"/>
        <w:rPr>
          <w:rFonts w:ascii="Times New Roman" w:cs="Times New Roman" w:eastAsia="Times New Roman" w:hAnsi="Times New Roman"/>
          <w:sz w:val="18"/>
          <w:szCs w:val="18"/>
          <w:color w:val="auto"/>
        </w:rPr>
      </w:pPr>
    </w:p>
    <w:p>
      <w:pPr>
        <w:ind w:left="1080" w:right="50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Winning New Prime Vendor Customers</w:t>
      </w:r>
      <w:r>
        <w:rPr>
          <w:rFonts w:ascii="Times New Roman" w:cs="Times New Roman" w:eastAsia="Times New Roman" w:hAnsi="Times New Roman"/>
          <w:sz w:val="18"/>
          <w:szCs w:val="18"/>
          <w:color w:val="auto"/>
        </w:rPr>
        <w:t>: We continue to earn new Prime Vendor customers, which has been a key driver of sustained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both Medline Brand and Supply Chain Solutions. Over the past five years, we have signed new Prime Vendor contracts, representing $7 billion of annual contract value. Additionally, we continue to expand the scope of our Prime Vendor relationships in non-acute sites of care.</w:t>
      </w:r>
    </w:p>
    <w:p>
      <w:pPr>
        <w:spacing w:after="0" w:line="85"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Medline Brand with Non-Prime Vendor Customers</w:t>
      </w:r>
      <w:r>
        <w:rPr>
          <w:rFonts w:ascii="Times New Roman" w:cs="Times New Roman" w:eastAsia="Times New Roman" w:hAnsi="Times New Roman"/>
          <w:sz w:val="18"/>
          <w:szCs w:val="18"/>
          <w:color w:val="auto"/>
        </w:rPr>
        <w:t>: An increasing number of non-Prime Vendor customers are choosing Medline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We will continue to provide high-quality, cost-effective products that meet their med-surg needs and accelerate our expansion within these customers.</w:t>
      </w:r>
    </w:p>
    <w:p>
      <w:pPr>
        <w:spacing w:after="0" w:line="78" w:lineRule="exact"/>
        <w:rPr>
          <w:rFonts w:ascii="Times New Roman" w:cs="Times New Roman" w:eastAsia="Times New Roman" w:hAnsi="Times New Roman"/>
          <w:sz w:val="18"/>
          <w:szCs w:val="18"/>
          <w:color w:val="auto"/>
        </w:rPr>
      </w:pPr>
    </w:p>
    <w:p>
      <w:pPr>
        <w:jc w:val="both"/>
        <w:ind w:left="1080" w:right="140" w:hanging="424"/>
        <w:spacing w:after="0" w:line="267"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Product Innovation</w:t>
      </w:r>
      <w:r>
        <w:rPr>
          <w:rFonts w:ascii="Times New Roman" w:cs="Times New Roman" w:eastAsia="Times New Roman" w:hAnsi="Times New Roman"/>
          <w:sz w:val="18"/>
          <w:szCs w:val="18"/>
          <w:color w:val="auto"/>
        </w:rPr>
        <w:t>: Innovation is embedded within our product teams, who leverage our salesforce, customer feedback,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quality and regulatory organizations to develop new Medline Brand products. Our culture of innovation and entrepreneurship and our highly scalable go-to-market model provide us with unique capabilities to bring products to market swiftly.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7" w:lineRule="exact"/>
        <w:rPr>
          <w:sz w:val="20"/>
          <w:szCs w:val="20"/>
          <w:color w:val="auto"/>
        </w:rPr>
      </w:pPr>
    </w:p>
    <w:p>
      <w:pPr>
        <w:ind w:left="1080" w:right="12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Channel Expansion</w:t>
      </w:r>
      <w:r>
        <w:rPr>
          <w:rFonts w:ascii="Times New Roman" w:cs="Times New Roman" w:eastAsia="Times New Roman" w:hAnsi="Times New Roman"/>
          <w:sz w:val="18"/>
          <w:szCs w:val="18"/>
          <w:color w:val="auto"/>
        </w:rPr>
        <w:t>: We will continue to evaluate new opportunities to expand our TAM and the markets we serve. We currently 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providers anywhere a patient, resident or consumer needs access to medical products. In 2016, we entered the acute care laboratory channel, which we believe is ripe for disruption. Most recently, we expanded into animal health in the United States and dental in Canada. We will continue to evaluate and selectively expand into new channels as opportunities arise.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Our value proposition can help customers across markets internationally, and we expect to tap into the</w:t>
      </w:r>
    </w:p>
    <w:p>
      <w:pPr>
        <w:spacing w:after="0" w:line="29" w:lineRule="exact"/>
        <w:rPr>
          <w:sz w:val="20"/>
          <w:szCs w:val="20"/>
          <w:color w:val="auto"/>
        </w:rPr>
      </w:pPr>
    </w:p>
    <w:p>
      <w:pPr>
        <w:jc w:val="both"/>
        <w:ind w:left="1080" w:right="20"/>
        <w:spacing w:after="0" w:line="255" w:lineRule="auto"/>
        <w:rPr>
          <w:sz w:val="20"/>
          <w:szCs w:val="20"/>
          <w:color w:val="auto"/>
        </w:rPr>
      </w:pPr>
      <w:r>
        <w:rPr>
          <w:rFonts w:ascii="Times New Roman" w:cs="Times New Roman" w:eastAsia="Times New Roman" w:hAnsi="Times New Roman"/>
          <w:sz w:val="18"/>
          <w:szCs w:val="18"/>
          <w:color w:val="auto"/>
        </w:rPr>
        <w:t>$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 of our net sales for the year ended December 31, 2024.</w:t>
      </w:r>
    </w:p>
    <w:p>
      <w:pPr>
        <w:spacing w:after="0" w:line="89" w:lineRule="exact"/>
        <w:rPr>
          <w:sz w:val="20"/>
          <w:szCs w:val="20"/>
          <w:color w:val="auto"/>
        </w:rPr>
      </w:pPr>
    </w:p>
    <w:p>
      <w:pPr>
        <w:ind w:left="1080" w:hanging="424"/>
        <w:spacing w:after="0" w:line="257"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M&amp;A Execution</w:t>
      </w:r>
      <w:r>
        <w:rPr>
          <w:rFonts w:ascii="Times New Roman" w:cs="Times New Roman" w:eastAsia="Times New Roman" w:hAnsi="Times New Roman"/>
          <w:sz w:val="18"/>
          <w:szCs w:val="18"/>
          <w:color w:val="auto"/>
        </w:rPr>
        <w:t>: Our disciplined, global M&amp;A strategy is focused on pursuing adjacent products and services as well as expanding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Microtek, which provides highly complementary products to our Surgical Solutions product category, as well as the acquisition of Sinclair Dental, further extending our distribution capabilities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77790" cy="942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7779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Earnings Growth</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080" w:right="160" w:hanging="424"/>
        <w:spacing w:after="0" w:line="277" w:lineRule="auto"/>
        <w:tabs>
          <w:tab w:leader="none" w:pos="10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Medline Brand Conversion Opportunity</w:t>
      </w:r>
      <w:r>
        <w:rPr>
          <w:rFonts w:ascii="Times New Roman" w:cs="Times New Roman" w:eastAsia="Times New Roman" w:hAnsi="Times New Roman"/>
          <w:sz w:val="17"/>
          <w:szCs w:val="17"/>
          <w:color w:val="auto"/>
        </w:rPr>
        <w:t>: To help our customers achieve cost savings, we provide them with Medline Brand products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 superior or similar quality to third-party products at a more cost-effective price. Medline earns a higher gross margin on sales of</w:t>
      </w:r>
    </w:p>
    <w:p>
      <w:pPr>
        <w:spacing w:after="0" w:line="1" w:lineRule="exact"/>
        <w:rPr>
          <w:sz w:val="20"/>
          <w:szCs w:val="20"/>
          <w:color w:val="auto"/>
        </w:rPr>
      </w:pPr>
    </w:p>
    <w:p>
      <w:pPr>
        <w:ind w:left="1080" w:right="260"/>
        <w:spacing w:after="0" w:line="255" w:lineRule="auto"/>
        <w:rPr>
          <w:sz w:val="20"/>
          <w:szCs w:val="20"/>
          <w:color w:val="auto"/>
        </w:rPr>
      </w:pPr>
      <w:r>
        <w:rPr>
          <w:rFonts w:ascii="Times New Roman" w:cs="Times New Roman" w:eastAsia="Times New Roman" w:hAnsi="Times New Roman"/>
          <w:sz w:val="18"/>
          <w:szCs w:val="18"/>
          <w:color w:val="auto"/>
        </w:rPr>
        <w:t>Medline Brand products compared to sales of comparable third-party products. The addressable like-for-like product sales in existing Prime Vendor customers represents a conversion opportunity of approximately $        billion in net sales as of December 31, 2024, which could generate an incremental $        billion of gross profit.</w:t>
      </w:r>
    </w:p>
    <w:p>
      <w:pPr>
        <w:spacing w:after="0" w:line="89" w:lineRule="exact"/>
        <w:rPr>
          <w:sz w:val="20"/>
          <w:szCs w:val="20"/>
          <w:color w:val="auto"/>
        </w:rPr>
      </w:pPr>
    </w:p>
    <w:p>
      <w:pPr>
        <w:jc w:val="both"/>
        <w:ind w:left="1080" w:right="420" w:hanging="424"/>
        <w:spacing w:after="0" w:line="261"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Execution</w:t>
      </w:r>
      <w:r>
        <w:rPr>
          <w:rFonts w:ascii="Times New Roman" w:cs="Times New Roman" w:eastAsia="Times New Roman" w:hAnsi="Times New Roman"/>
          <w:sz w:val="18"/>
          <w:szCs w:val="18"/>
          <w:color w:val="auto"/>
        </w:rPr>
        <w:t>: To strengthen our cost advantage on Medline Brand products, we continuously improve our procurement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38,000 people and operate across more than 100 countries. The work we do enables healthcare providers to deliver the best quality care, in the most financially sustainable way, across the entire continuum of healthcare.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culture is guided by our six core values:</w:t>
      </w:r>
    </w:p>
    <w:p>
      <w:pPr>
        <w:spacing w:after="0" w:line="131"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relentlessly focus on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 agility and flexibility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solve problems with grit and determination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drive to succeed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practice purposeful candor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know relationships matter</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team of driven and passionate people brings these values to life. Employees are empowered to make meaningful contributions and work with determination to understand our customers’ needs and deliver exceptional service.</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Working at Medline means being part of a winning team, at the forefront of our industry, with the scale to improve healthcare delivery and the agility to act quickly. It is a place where employees are empowered to make meaningful contributions and it is a place that has consistently been recognized as a top employer by multiple national publications, including the following in 2024:</w:t>
      </w:r>
    </w:p>
    <w:p>
      <w:pPr>
        <w:spacing w:after="0" w:line="8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Tribune: Best Places to Work (14th year recognized)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Healthcare: Best in Business (supply chain category)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Becker’s Healthcare: Top 150 Places to Work in Healthcare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Forbes: America’s Best Large Employers, America’s Best Employers for Women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Newsweek: America’s Greatest Workplaces for Women, America’s Greatest Workplaces for Diversity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value proposition is derived from our integrated business model, the breadth of our Medline Brand portfolio, our differentiated supply chain, and the overall quality and cost of our products. As a result of our integrated business model, our competitors include both other leading med-surg product manufacturers and distributors.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Similar to us, other leading med-surg product manufacturers produce a wide range of med-surg supplies. However, unlike us, many of these competitors are reliant upon third-party distributors to deliver their products to customers. By nature of being a distributor, Medline has direct access to and manages the end customer relationships. This enables us to offer a complete solution as a manufacturer and a distributor, offering our customers what we believe to be best-in-class supply chain logistics, and driving value through our brand.</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other distributors of med-surg products similarly connect the fragmented supplier and provider bases and aggregate inventory from suppliers to deliver products to customers. These distribution companies compete with us for Prime Vendor agreements. However, we believe that many of these competitors do not benefit from the scale and scope of our vertical integration or commercial excellence, and thus are not able to provide the same magnitude of cost savings, value and holistic solutions that we deliver for our customers.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Production and Raw Materials</w:t>
      </w:r>
    </w:p>
    <w:p>
      <w:pPr>
        <w:spacing w:after="0" w:line="121"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We manufacture approximately one-third of our Medline Brand products through our 27 manufacturing facilities and purchase many of the components and raw materials used in manufacturing our products from numerous suppliers. For the vast majority of the other two-thirds of our Medline Brand products, we work</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5" w:right="4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closely with our network of more than 500 global partners, including approximately 300 exclusive partnerships, across 40 countries. The breadth of our global sourcing partnerships provides diversification and strengthens our resiliency, with no single sourcing partner accounting for more than 4% of total spend. We also have plans and measures in place to help ensure continuity of supply while maintaining high quality and reliability. Generally, we have been able to obtain adequate supplies of such raw materials and components. However, due to the FDA’s manufacturing requirements and those of other regulatory authorities, we may not be able to quickly establish additional or replacement sources for certain components, materials or processes if we experience a sudden or unexpected reduction or interruption in supply or services and are unable to develop alternative 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At Medline, our relentless focus on the customer drives our human capital strategy, which revolves around attracting and retaining the best employees to provide the best products and services for our customers. We employ over 38,000 employees worldwide, with over 23,000 located in the United States, as of December 31, 2023. The largest non-U.S. employee populations are in Mexico, India, Canada, France, Japan, China, Australia, Slovakia, and Germany. None of our employees in the United States are unionized, though some of our employees in Mexico belong to unions. In Germany and the Netherlands, employees are represented through Works Councils; in France and Spain, employees are represented through both Works Councils and industry-wide collective bargaining agreements; and in Belgium and Italy, employees are also represented through industry-wide collective bargaining agreements. We believe that our positive employee relations and total employee experience drive the continual growth of our workforce.</w:t>
      </w:r>
    </w:p>
    <w:p>
      <w:pPr>
        <w:spacing w:after="0" w:line="17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developed a strong foundation that drives our recruitment, retention and development efforts. The following defined Medline Success Factors are at the core of all of our human capital strategies:</w:t>
      </w:r>
    </w:p>
    <w:p>
      <w:pPr>
        <w:spacing w:after="0" w:line="67"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the customer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Sense of urgency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 judgment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work ethic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effective relationships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are committed to supporting the personal and professional development of our employees, as well as providing competitive benefits and a safe, inclusive workplace. We believe that these measures help us to attract new and retain existing employees. Our commitments include:</w:t>
      </w:r>
    </w:p>
    <w:p>
      <w:pPr>
        <w:spacing w:after="0" w:line="63" w:lineRule="exact"/>
        <w:rPr>
          <w:sz w:val="20"/>
          <w:szCs w:val="20"/>
          <w:color w:val="auto"/>
        </w:rPr>
      </w:pPr>
    </w:p>
    <w:p>
      <w:pPr>
        <w:ind w:left="1080" w:right="60" w:hanging="424"/>
        <w:spacing w:after="0" w:line="254"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Developing a strong, collaborative workplace community. </w:t>
      </w:r>
      <w:r>
        <w:rPr>
          <w:rFonts w:ascii="Times New Roman" w:cs="Times New Roman" w:eastAsia="Times New Roman" w:hAnsi="Times New Roman"/>
          <w:sz w:val="18"/>
          <w:szCs w:val="18"/>
          <w:color w:val="auto"/>
        </w:rPr>
        <w:t>We believe our employees’ ability to communicate and cooperate effectively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functional and departmental teams positively impacts our performance. We engage in various listening strategies, including our engagement survey, focus groups, anonymous employee feedback platform, increased attention to onboarding and offboarding feedback, pulse surveys on remote work needs, as well as our recent inclusion and diversity listening sessions in the United States and subsequent launch of various diversity employee resource groups. On a global level, we conduct employee engagement surveys to analyze the progress we have made as a company and to identify areas of growth. The results from our employee surveys are used to implement programs and processes designed to further enhance our culture. Over 29,000 employees globally participated in our latest employee survey, conducted in 2024. Highlights include (i) 82% of respondents indicated that they would recommend Medline as a good place to work and (ii) 88% of respondents indicated that they believe Medline is committed to exceeding its customers’ expectations.</w:t>
      </w:r>
    </w:p>
    <w:p>
      <w:pPr>
        <w:spacing w:after="0" w:line="93" w:lineRule="exact"/>
        <w:rPr>
          <w:rFonts w:ascii="Times New Roman" w:cs="Times New Roman" w:eastAsia="Times New Roman" w:hAnsi="Times New Roman"/>
          <w:sz w:val="18"/>
          <w:szCs w:val="18"/>
          <w:color w:val="auto"/>
        </w:rPr>
      </w:pPr>
    </w:p>
    <w:p>
      <w:pPr>
        <w:ind w:left="1080" w:right="240" w:hanging="424"/>
        <w:spacing w:after="0" w:line="28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Attracting top talent. </w:t>
      </w:r>
      <w:r>
        <w:rPr>
          <w:rFonts w:ascii="Times New Roman" w:cs="Times New Roman" w:eastAsia="Times New Roman" w:hAnsi="Times New Roman"/>
          <w:sz w:val="18"/>
          <w:szCs w:val="18"/>
          <w:color w:val="auto"/>
        </w:rPr>
        <w:t>Our dedicated talent acquisition team strives to efficiently hire employees with capabilities that meet the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needs of our divisions. Through continuous improvement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100" w:right="220"/>
        <w:spacing w:after="0" w:line="261" w:lineRule="auto"/>
        <w:rPr>
          <w:sz w:val="20"/>
          <w:szCs w:val="20"/>
          <w:color w:val="auto"/>
        </w:rPr>
      </w:pPr>
      <w:r>
        <w:rPr>
          <w:rFonts w:ascii="Times New Roman" w:cs="Times New Roman" w:eastAsia="Times New Roman" w:hAnsi="Times New Roman"/>
          <w:sz w:val="18"/>
          <w:szCs w:val="18"/>
          <w:color w:val="auto"/>
        </w:rPr>
        <w:t>internal processes, an awareness of market and candidate driven trends, and in partnership with vendors and other outside organizations, our talent acquisition team identifies and attracts candidates that have the skills, experience, and motivation to help us achieve business results. Our leadership continues to partner with our Talent Acquisition team to build a diverse employee base to drive representation throughout all our divisions.</w:t>
      </w:r>
    </w:p>
    <w:p>
      <w:pPr>
        <w:spacing w:after="0" w:line="81" w:lineRule="exact"/>
        <w:rPr>
          <w:sz w:val="20"/>
          <w:szCs w:val="20"/>
          <w:color w:val="auto"/>
        </w:rPr>
      </w:pPr>
    </w:p>
    <w:p>
      <w:pPr>
        <w:ind w:left="1080" w:right="40" w:hanging="424"/>
        <w:spacing w:after="0" w:line="254"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Developing our employees and providing earlier advancement opportunities. </w:t>
      </w:r>
      <w:r>
        <w:rPr>
          <w:rFonts w:ascii="Times New Roman" w:cs="Times New Roman" w:eastAsia="Times New Roman" w:hAnsi="Times New Roman"/>
          <w:sz w:val="18"/>
          <w:szCs w:val="18"/>
          <w:color w:val="auto"/>
        </w:rPr>
        <w:t>Medline seeks to identify talent early in peoples’ careers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 those people quickly. We provide our employees with early opportunities to take on additional responsibilities to demonstrate their competencies and drive to succeed, enabling them to grow quickly. These on-the-job opportunities are augmented by formal training and development to refine technical and leadership skills. Our new sales representatives participate in a comprehensive sales training program, receiving, on average, more than six weeks of training and education per year, resulting in a deep understanding of selling strategy, customer expectations, product and clinical knowledge. Product manager development offerings are designed to train and retain product managers through all stages of their careers, and range from mandatory onboarding offerings to advanced classes that provide the necessary skills with increasing levels of responsibility. Additionally, we believe in the value of diversity and inclusion in our workforce. Our Employee Resource Groups have played a critical role in building awareness around inclusion and diversity topics. We have trained over 1,500 people leaders to avoid bias in their key talent decisions (hires, development, promotions) as part of our efforts to build a supportive and inclusive environment.</w:t>
      </w:r>
    </w:p>
    <w:p>
      <w:pPr>
        <w:spacing w:after="0" w:line="87" w:lineRule="exact"/>
        <w:rPr>
          <w:rFonts w:ascii="Times New Roman" w:cs="Times New Roman" w:eastAsia="Times New Roman" w:hAnsi="Times New Roman"/>
          <w:sz w:val="18"/>
          <w:szCs w:val="18"/>
          <w:color w:val="auto"/>
        </w:rPr>
      </w:pPr>
    </w:p>
    <w:p>
      <w:pPr>
        <w:ind w:left="1080" w:right="80" w:hanging="424"/>
        <w:spacing w:after="0" w:line="263"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Promoting employee and community well-being. </w:t>
      </w:r>
      <w:r>
        <w:rPr>
          <w:rFonts w:ascii="Times New Roman" w:cs="Times New Roman" w:eastAsia="Times New Roman" w:hAnsi="Times New Roman"/>
          <w:sz w:val="18"/>
          <w:szCs w:val="18"/>
          <w:color w:val="auto"/>
        </w:rPr>
        <w:t>We encourage physical, emotional and financial fitness and offer programs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to help employees lead healthier lives overall. Among other programs, Medline provides access to an employee assistance plan in</w:t>
      </w:r>
    </w:p>
    <w:p>
      <w:pPr>
        <w:spacing w:after="0" w:line="1" w:lineRule="exact"/>
        <w:rPr>
          <w:sz w:val="20"/>
          <w:szCs w:val="20"/>
          <w:color w:val="auto"/>
        </w:rPr>
      </w:pPr>
    </w:p>
    <w:p>
      <w:pPr>
        <w:ind w:left="1080" w:right="60"/>
        <w:spacing w:after="0" w:line="253" w:lineRule="auto"/>
        <w:rPr>
          <w:sz w:val="20"/>
          <w:szCs w:val="20"/>
          <w:color w:val="auto"/>
        </w:rPr>
      </w:pPr>
      <w:r>
        <w:rPr>
          <w:rFonts w:ascii="Times New Roman" w:cs="Times New Roman" w:eastAsia="Times New Roman" w:hAnsi="Times New Roman"/>
          <w:sz w:val="18"/>
          <w:szCs w:val="18"/>
          <w:color w:val="auto"/>
        </w:rPr>
        <w:t>Europe and provides mental health awareness training for HR and people leaders in the United States. We also promote corporate social responsibility and provide our employees opportunities to give back to their communities. Our charitable giving efforts include financial giving and in-kind giving such as product donations. This includes $        in charitable donations in the United States alone during the year ended December 31, 2024.</w:t>
      </w:r>
    </w:p>
    <w:p>
      <w:pPr>
        <w:spacing w:after="0" w:line="90" w:lineRule="exact"/>
        <w:rPr>
          <w:sz w:val="20"/>
          <w:szCs w:val="20"/>
          <w:color w:val="auto"/>
        </w:rPr>
      </w:pPr>
    </w:p>
    <w:p>
      <w:pPr>
        <w:ind w:left="1080" w:right="40" w:hanging="424"/>
        <w:spacing w:after="0" w:line="28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Supporting employee health and safety. </w:t>
      </w:r>
      <w:r>
        <w:rPr>
          <w:rFonts w:ascii="Times New Roman" w:cs="Times New Roman" w:eastAsia="Times New Roman" w:hAnsi="Times New Roman"/>
          <w:sz w:val="18"/>
          <w:szCs w:val="18"/>
          <w:color w:val="auto"/>
        </w:rPr>
        <w:t>In addition to offering competitive health and well-being programs and other benefits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we are committed to providing a safe and secure work environment for all employees.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rely upon patents, trademarks, copyrights, trade secrets and other intellectual property rights to maintain and improve our competitive position. We have a large portfolio of intellectual property, including trademark registrations protecting our notable brands, including Medline, Curad, Microtek, Hudson, and Proxima.</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consider the trademarks and know-how that we own to be material to our business. However, other than the Medline mark, we do not consider our business to be materially dependent upon any individual trademark registration or trade secret.</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believe that we have taken all necessary steps to protect our intellectual property rights, but no assurance can be given that we will be able to successfully enforce or protect our rights in the event that they are infringed upon or challenged by a third party. See “Risk Factors—Risks Related to Regulation and Legal Proceedings—Any failure to obtain, maintain, protect and enforce our intellectual property rights, or the failure of the strength or scope of our intellectual property rights, could harm our business, financial condition, and results of operations” and “Risk Factors—Risks Related to Regulation and Legal Proceedings—We may become subject to litigation brought by third parties claiming infringement, misappropriation, or other violation by us of their intellectual property rights.”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Our operations and products are subject to extensive regulation by numerous governmental regulatory authorities, including U.S. and other international regulatory authorities, and other government agencies inside and outside the United States. To varying degrees, each of these agencies requires us to comply with laws and regulations governing the development, design, materials, testing, safety, efficacy, manufacturing, processing, storage, registration, authorization, licensing, permitting, labeling, advertising, marketing, distribution, offer for sale, sale, import, export, and post-marketing surveillance of our products and the claims that we make about our products. The United States and other countries where we sell healthcare and other regulated products, including drugs, human cell and tissue products, dietary supplements, cosmetics, certain foods, and consumer products subject such products to their own clearance, authorization, approval, registration, listing, labeling, manufacturing, recordkeeping, reporting, and other regulatory requirements regarding the performance, safety, and quality of such products. We are also subject to healthcare and other regulations and enforcement by the federal government and the states and foreign governments and authorities in the locations in which we conduct our business. The governmental and regulatory authorities that enforce such laws and rules, and that issue guidance on compliance with such laws and rules include, without limitation, the FDA, CMS, other divisions of the HHS, the HHS Office of Inspector General, EPA, FTC, Consumer Product Safety Commission (“CPSC”), the DOJ and individual U.S. Attorney offices within the DOJ, as well as state and local governments. Our business is also affected by patient and data privacy and security laws, government payer cost containment initiatives, government reimbursement laws and regulations, environmental, health, and safety laws and regulations, as well as laws and regulations with respect to the sale, transportation, storage, handling, and disposal of hazardous or potentially hazardous substances, and safe working conditions. Our business also maintains contracts with governmental agencies and is subject to certain regulatory requirements specific to government contractors.</w:t>
      </w:r>
    </w:p>
    <w:p>
      <w:pPr>
        <w:spacing w:after="0" w:line="19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If our business expands in certain ways, we may be subject to new and additional regulatory requirements. The foreign, federal, state, and local regulatory authorities have broad inspection and enforcement powers, including the ability to suspend or limit the distribution of products, suspend, revoke, or terminate our product and facility licenses, permits, and authorizations, seize or order the recall of our products, and impose significant criminal, civil, and administrative sanctions for violations of laws and regulations. Any adverse regulatory action may impact our business practices and operations, including by limiting our ability to effectively market and sell our products, affecting the production and distribution of products by our manufacturing facilities, and limiting our ability to obtain future authorizations.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Medical Devices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medical devices are subject to regulation by numerous government agencies, including the FDA and comparable state and foreign agencies. Regulations of the FDA and other regulatory agencies in and outside the United States impose extensive compliance and monitoring obligations on portions of our business. The FDA and other U.S. and foreign governmental agencies regulate, among other things, with respect to medical devices: design, development, and manufacturing; testing, registration, listing, labeling, content, and language of instructions for use and storage; clinical trials; product safety; marketing, sales, and distribution; licensing and permit requirements; premarket clearance, approval and authorization;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 The regulations to which we are subject are complex and have tended to become more stringent over time. If our business expands in certain ways, we may be subject to new and additional regulatory requirements. The FDA and state regulatory authorities have broad inspection and enforcement powers, including the ability to suspend or limit the distribution of products by our distribution centers; seize or order the recall of products; terminate, suspend, or revoke licenses and permits; and impose significant criminal, civil, and administrative sanctions for violations of these laws and regulations. Foreign regulations subject us to similar foreign enforcement powers. In addition, the FDA and other governmental 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regulatory authorities, both in and outside the United States (including the FTC, the HHS Office of the Inspector General, the DOJ, and various state Attorneys General), monitor the promotion and advertising of our products. Any adverse regulatory action, depending on its magnitude, may limit our ability to effectively market and sell our products, limit our ability to obtain future premarket authorizations, or result in a substantial modification to our business practices and operations.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Each medical device we wish to distribute commercially in the United States requires marketing authorization from the FDA prior to distribution, unless the device is exempt from premarket notification requirements. The type of marketing authorization necessary is generally linked to the classification of the device. The FDA classifies medical devices into one of three classes—Class I, II, or III—based on the degree of risk associated with a device and the level of regulatory control deemed necessary to ensure its safety and effectiveness. Class I devices that pose the least risk are subject only to General Controls applicable to all devices, such as requirements for device labeling, premarket notification, and adherence to current good manufacturing practices for devices as set forth in the Quality System Regulation (“QSR”). Class II devices that pose a moderate risk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and Special Controls, including devices that support or sustain human life, are of substantial importance in preventing impairment of human health, or which present a potential unreasonable risk of illness or injury.</w:t>
      </w:r>
    </w:p>
    <w:p>
      <w:pPr>
        <w:spacing w:after="0" w:line="194"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Most Class I devices and some Class II devices are exempted by regulation from the 510(k) clearance requirement and can be marketed without prior authorization from the FDA. Class I and II devices that are not exempted are eligible for marketing through the 510(k) clearance pathway. By contrast, devices placed in Class III generally require premarket approval (“PMA”) or de novo clearance prior to commercial marketing. The PMA approval process is more stringent, time-consuming and expensive than the 510(k) clearance process; however, the 510(k) clearance process has also become increasingly stringent and expensive. None of our products are currently approved under a PMA, and we have no plans for any indication or system improvement or extension that we believe would require a PMA. If, in the future, we were to file a PMA, we may be subject to additional regulatory requirements.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510(k) Clearance Process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To obtain 510(k) clearance, we must submit a premarket notification to the FDA demonstrating the proposed device to be substantially equivalent to a predicate device. A device is substantially equivalent if, with respect to the predicate device, it has the same intended use and it has either the same technological characteristics, or it has different technological characteristics, but the information provided in the 510(k) submission demonstrates that the device does not raise new questions of safety or effectiveness. The standard review process for 510(k)s is between six to nine months, dependent upon the type of 510(k) filing submitted. Although many 510(k) premarket notifications are cleared without clinical data, in some cases, the FDA may require clinical data to support substantial equivalence. In reviewing a premarket notification, the FDA may request additional information, including clinical data, which may significantly prolong the review process and clearance is never assured. Clinical trials generally require the submission of an investigational device exemption (“IDE”) to the FDA for a specified number of patients and study sites, unless the product is deemed a non-significant risk device eligible for more abbreviated IDE requirements. Clinical trials are subject to numerous requirements and institutional review board approval, oversight, and monitoring. Even if a trial is conducted, the results of clinical testing may not adequately demonstrate the safety and effectiveness of the device or be sufficient to obtain FDA clearance or approval for marketing.</w:t>
      </w:r>
    </w:p>
    <w:p>
      <w:pPr>
        <w:spacing w:after="0" w:line="19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After a device receives 510(k) clearance, any subsequent modification of the device that could significantly affect its safety or effectiveness, or that would constitute a major change in its intended use, requires a new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510(k) clearance or could require submission and approval of a de novo 510(k) or a PMA application in cases where new indications are sought for which there is no predicate. Non-significant changes are handled via internal documentation by the Company. Each manufacturer must judge the significance of modifications based on FDA 510(k) regulatory requirements and guidance documents. The FDA may review any such decision and may disagree with a manufacturer’s determination. If the FDA disagrees with a manufacturer’s determination, the FDA may require the manufacturer to cease marketing and distribution and/or recall the modified device until 510(k) clearance or PMA approval is obtained. In the future, we may make modifications to our products after they have received FDA clearance and, in appropriate circumstances, determine that new clearance is unnecessary. However, the FDA may disagree with our determination, and, if the FDA requires us to seek 510(k) clearance or submit new PMA applications for any modifications to a previously cleared product, we may be required to cease marketing or distributing or recall the modified device until we obtain the required clearance or approval. We may also market or acquire products that are marketed without a 510(k) clearance, appropriate labeling, or that otherwise are marketed in violation of FDA requirements, since medical devices can be marketed only for the indications for which they are cleared or approved. Under these circumstances, we may also be subject to warning letters, significant regulatory fines, or other penalties, and we may no longer be able to market particular products for which a 510(k) clearance is required.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Post-Marketing Requirements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Numerous FDA regulatory requirements apply to devices we manufacture and distribute, including: compliance with the QSR, which require manufacturers and their suppliers to follow the applicable design, testing, processes, control, documentation, labeling, and other quality assurance procedures during the manufacturing process; establishment registration, which requires establishments involved in the production and distribution of medical devices intended for commercial distribution in the United States to register with the FDA; medical device listing, which requires manufacturers to list the devices they have in commercial distribution with the FDA; labeling regulations, which prohibit “misbranded” devices from entering the market, as well as prohibit the promotion of products for unapproved or off-label uses and impose other restrictions on labeling; post-market surveillance, including medical device reporting requirements which requires manufacturers to report to the FDA if their device may have caused or contributed to a death or serious injury, or malfunctioned in a way that would likely cause or contribute to a death or serious injury if it were to recur; and corrections and removal reporting regulations, which require that manufacturers report to the FDA field corrections and product recalls or removals if undertaken to reduce a risk to health posed by the device or to remedy a violation of the Federal Food, Drug, and Cosmetic Act that may present a risk to health. The FDA and other governmental and regulatory authorities actively enforce the laws and regulations prohibiting the promotion of off-label uses, and a company that is found to have improperly promoted off-label uses may be subject to significant liability.</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FDA enforces these requirements by inspection and market surveillance. Domestic facility records and manufacturing processes are subject to periodic unscheduled inspections by the FDA. The FDA may also inspect foreign facilities that export products to the United States. Failure to comply with applicable regulatory requirements may result in enforcement action by the FDA, which may include one or more of the following sanctions: untitled letters or warning letters; fines, injunctions, and civil penalties; mandatory recall or seizure of our products; customer notifications and repairs or replacements; administrative detention or banning of our products; consent decrees; operating restrictions, partial suspension or total shutdown of production; refusing our request for 510(k) clearances for new product versions or modifications to existing product versions; revocation of 510(k) clearances previously granted; refusal to grant export approval for our products; and criminal prosecution and penalties. If any of these events were to occur, they could have a material adverse effect on our business, financial condition, and results of operations.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International Regulation of Medical Devices</w:t>
      </w:r>
    </w:p>
    <w:p>
      <w:pPr>
        <w:spacing w:after="0" w:line="11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Sales of medical devices outside the United States are subject to foreign government regulations, which vary substantially from country to country. In order to market our products in other countries, we must comply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applicable regulatory requirements and authorizations and approvals and safety and quality regulations in each country in which the product is marketed. The time required to obtain authorization, approval, or certification by a foreign country may be longer or shorter than that required for FDA clearance, and the requirements may differ significantly.</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EU Regulation of Medical Devices</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the EU until May 25, 2021, medical devices were regulated by the Council Directive 93/42/EEC, which has been repealed and replaced by the EU MDR. Unlike directives, regulations are directly applicable in all EU member states without the need for member states to implement into national law. The EU extended the EU MDR transitional periods for certain medical devices until December 31, 2027 or December 31, 2028, depending on a device’s risk class and subject to certain conditions to ensure continued access to medical devices for patients and to allow medical devices already placed on the market in accordance with the current legal framework to remain on the market, provided that the requirements of the transitional provisions are fulfilled.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the EU, there is currently no premarket government review of medical devices. However, all medical devices placed on the EU market must meet general safety and performance requirements, and compliance with the general safety and performance requirements is a prerequisite for European conformity marking without which medical devices cannot be marketed or sold in the EU. EU MDR requirements regarding the distribution, marketing, and sale, including quality systems and post-market surveillance, have to be observed by manufacturers, importers, and distributors as of the application date (i.e., since May 26, 2021), including registration of economic operators and of devices (once the relevant modules of Eudamed are functional), surveillance, and vigilance requirements. The aforementioned EU rules are generally applicable in the European Economic Area which consists of the 27 EU member states plus Norway, Liechtenstein, and Iceland.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NDA Approval Process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any new drug products regulated under the Federal Food, Drug, and Cosmetic Act such as our ReadyPrep CHG cloth, a sponsor must submit a New Drug Application (“NDA”), to the FDA for review and approval. The NDA review and approval process may take multiple years and involves steps including the following:</w:t>
      </w:r>
    </w:p>
    <w:p>
      <w:pPr>
        <w:spacing w:after="0" w:line="81"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analytical and stability testing in accordance with applicable regulations;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(“IND”) application, which must become effective before clinical trials may begin and must be updated annually and amended when certain changes are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or IEC, at each clinical trial site before each trial may be initiated;</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including informed consent, financial disclosure by investigators, and other clinical trial-related regulations, to establish the safety and efficacy of the investigational product for each proposed indication and other condition of use;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inspection of select clinical trial sites involved in conducting pivotal studies that generated the data in support of the NDA;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right="4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of the proposed prescribing information and, where applicable, consideration of the views of any FDA advisory committee, prior to any commercial marketing or sale of the drug in the United States.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approvals that we may ultimately receive could be withdrawn if required post-marketing trials or analyses do not meet the FDA requirements, which could materially harm the commercial prospects for our products.</w:t>
      </w:r>
    </w:p>
    <w:p>
      <w:pPr>
        <w:spacing w:after="0" w:line="162"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candidate products, or obtaining approval but for significantly limited use, would harm our business. In addition, we cannot predict what adverse governmental regulations may arise from future U.S. or foreign governmental action.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 Regulations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movement of products, services, and investment across borders subjects us to extensive trade regulations. A variety of laws and regulations in the countries in which we transact business apply to the sale, shipment, and provision of goods, services, and technology across borders. These laws and regulations govern, among other things, our import, export, and other business activities. We are also subject to the risk that these laws and regulations could change in a way that would expose us to additional costs, penalties, or liabilities. Some governments also impose economic sanctions against certain countries, governments, persons, and entities, both for unlawful or malign conduct and to discourage or prevent entities from abiding by other countries’ laws.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 sales of our products or services or result in restrictions on our distribution and sales of products or services that may materially impact our business.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Anti-Boycott 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U.S. laws and regulations, U.S. companies and their subsidiaries and affiliates are prohibited from participating or agreeing to participate in unsanctioned foreign boycotts in connection with certain business activities, including the sale, purchase, transfer, shipping, or financing of goods or services within the United States or between the United States and countries outside of the United States. If we, or certain third parties through which we sell or provide goods or services, violate U.S. anti-boycott laws and regulations, we may be subject to civil or criminal enforcement action and varying degrees of liability.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 and Regulations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business includes the Processing of Personal Data of our applicants, employees, and other workforce members (current and former), customers’ and vendors’ employees and other workforce members, and other third parties, as well as PHI, where we continue to meet the definition of a Covered Entity and as a Business Associate on behalf of our customers for certain parts of our business. We are directly or indirectly subject to numerous and evolving federal, state, and foreign laws and regulations relating to the processing of Personal Data and PHI, such as HIPAA, the TCPA, the Payment Card Industry Data Security Standard, Section 5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FTCA, and the GDPR, the CCPA, and similar data privacy legislation enacted or under consideration by various other U.S. states, and U.S. state data breach notification laws.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HIPAA establishes privacy and security standards that limit our use and disclosure of PHI and requires us to implement administrative, physical, and technical safeguards to ensure the confidentiality, integrity, and availability of PHI, as well as to notify affected individuals, the HHS Office for Civil Rights (“OCR”), and, in breaches involving 500 individuals or more in a state / jurisdiction, the media, of breaches of unsecured PHI when we are acting as a Covered Entity. If we are acting as a Business Associate, we must notify our Covered Entity clients of breaches of unsecured PHI and security incidents. HIPAA contains substantial restrictions and requirements with respect to the use and disclosure of certain PHI.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In addition, OCR performs compliance audits in order to proactively enforce the HIPAA privacy and security standards. OCR has the discretion to impose penalties and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HIPAA, we must adhere to U.S. state patient privacy laws that are not pre-empted by HIPAA, including those that are more stringent than HIPAA requirements. Numerous other U.S. state, federal, and foreign laws, including consumer protection laws and regulations, govern the collection, dissemination, use, access to, confidentiality, and security of patient health information. In addition, Congress and some U.S. states are considering new laws and regulations that further protect the privacy and security of medical records or medical information. With the recent increase in publicity regarding data breaches resulting in improper dissemination of consumer information, all states have passed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in addition to actions related to the HBNR.</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Times New Roman" w:cs="Times New Roman" w:eastAsia="Times New Roman" w:hAnsi="Times New Roman"/>
          <w:sz w:val="17"/>
          <w:szCs w:val="17"/>
          <w:color w:val="auto"/>
        </w:rPr>
        <w:t>In the United States, the FTC is increasingly active in regulating health-related privacy and security, including by holding companies accountable for statements or promises made about the privacy or security of health information through Section 5 of the FTCA, which prohibits unfair or deceptive acts or practices. In addition,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Individually identifiable health information is considered sensitive data that merits stronger safeguards. For information that is not subject to HIPAA and deemed to be “personal health records,” the FTC may also impose penalties for violations of the HBNR to the extent we are considered a “personal health record-related entity” or “third party service provider.” As a result, we may be subject to scrutiny by federal and state regulators, partners, and consumers of our collection, use, and disclosure of consumer Personal Data, including consumer health data. Additionally, federal and state consumer protection laws are increasingly being applied by FTC and states’ Attorneys General to regulate the collection, use, storage, and disclosure of Personal Data, through websites or otherwise, and to regulate the presentation of website content.</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At the state level in the United States, the CCPA, which increased the privacy protections afforded California residents with respect to Personal Data that is not subject to and handled in compliance with HIPAA and limits how we may Process Personal Data of California residents by, among other things, establishing data privacy rights for California residents and a regulatory agency dedicated to enforcing compliance. The CPRA came into effect on January 1, 2023, applying to information collected by businesses on or after January 1, 2022. Various other U.S. states have enacted similar comprehensive consumer data privacy legislation, and several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other U.S. states and countries are considering expanding or passing privacy laws in the near term. Further, states such as Washington, Connecticut, and Nevada have recently enacted broadly applicable laws to protect the privacy of personal health information, which generally require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 It remains possible that the U.S. Congress will ultimately (despite many failed attempts over the past several years) enact a comprehensive federal privacy law that would preempt or partially preempt U.S. state comprehensive privacy laws, but it also remains a possibility that a federal U.S. comprehensive privacy law would not preempt state law but instead layer on additional compliance complexity.</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Similarly, many foreign laws and regulations, including in countries in which we currently operate, govern the Processing of Personal Data. For example, the GDPR imposes strict requirements for controllers and processors in any country with respect to the Personal Data of EU and UK residents. Guidance on implementation and compliance practices is often updated or otherwise revised. Ensuring compliance with the GDPR is an ongoing commitment that involves substantial costs, and despite our efforts, data protection authorities or others (including individual consumers) may assert that our business practices fail to comply with its requirements. If our operations are found to violate GDPR requirements, we may incur substantial fines and other penalties, required changes to our business practices and reputational harm, any of which could have an adverse effect on our business. Such penalties are in addition to any civil litigation claims by data controllers and data subjects. Laws and regulations relating to privacy and data protection are continually evolving and subject to potentially differing interpretations by various courts and regulators. The effects of the new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94"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product offerings, we also provide electronic medical devices and other digital tools which can connect to each other and to other technology. Many of the laws referenced above also contain requirements to have appropriate technical and organizational security controls and measures in place for such technologies and technical infrastructure. We must manage the information security as well as privacy risks of these connected systems to ensure secure and effective exchange and use of exchanged information. Perceived or actual security vulnerabilities in our products or services, or the perceived or actual failure by us or our customers who use our products or services to comply with applicable legal or contractual data privacy and security requirements, may not only cause us significant reputational harm, but may also lead to claims against us by our customers and/or governmental and regulatory authorities and involve substantial fines, penalties and other liabilities and expenses, and costs for remediation.</w:t>
      </w:r>
    </w:p>
    <w:p>
      <w:pPr>
        <w:spacing w:after="0" w:line="19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privacy or security incident or claim that we or a third party with which we do business has violated applicable privacy or security laws and regulations, we may be subject to regulatory or legal action. If legislation or regulations are changed or expanded, or if governing jurisdictions interpret or implement legislation or regulations in new ways, it could require changes in our business practices and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 and Regulations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Certain of our businesses involve the marketing and sale of, and third-party payment for, med-surg products that are subject to extensive state, federal, and foreign governmental laws and regulations. U.S. laws and regulations are imposed primarily in connection with government healthcare programs, such as the Medicare, Medicaid, and TRICARE programs, as well as the government’s interest in regulating the quality and cost of healthcare. U.S. federal healthcare laws apply when we or our customers submit claims for items or services that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are reimbursed under government healthcare programs, including laws related to kickbacks, false claims, self-referrals and healthcare fraud. We are currently and may in the future be subject to CMS audits of our performance to determine our historical compliance with CMS contracts and regulations. Other governments also impose laws and regulations in connection with their healthcare reimbursement programs and the delivery of healthcare items and services.</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med-surg products are purchased principally by hospitals and physicians that typically bill various third-party payers, including government healthcare programs, private insurance plans and managed care plans, for the healthcare services provided to their patients. We also directly submit claims to government healthcare programs as a Medicare-enrolled DMEPOS supplier. As a result, we have been and from time to time are subject to audits by government healthcare programs and third-party payers related to such claims, which may require actions including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Key federal fraud and abuse laws include the federal AKS, the Stark Law, FCA, and Civil Monetary Penalties Law (“CMP Law”). The AKS prohibits, among other things, any person or entity from knowingly and willfully offering, paying, soliciting, or receiving any remuneration (including any kickback, bribe, or rebate), directly or indirectly, overtly or covertly, to induce, reward, or in return for the referral of an individual for, or the purchasing, leasing, ordering, or arranging for or recommending the purchase, lease, or order of any good, facility, item, or service reimbursable, in whole or in part, by Medicare, Medicaid, or other federal healthcare programs. The term “remuneration” has been broadly interpreted to include anything of value, including cash, improper discounts, and free or reduced price items and services. Among other things, the AKS has been interpreted to apply to arrangements between pharmaceutical, biotechnology, and medical device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program-covered business, the AKS has been violated. In addition, a person or entity does not need to have actual knowledge of the statute or specific intent to violate it in order to have committed a violation. Violations are subject to civil monetary penalties of up to $124,732 (which is adjusted annually for inflation) for each violation, plus up to three times the remuneration involved, and may result in criminal fines and imprisonment of up to ten years, and/or exclusion from Medicare, Medicaid, or other governmental programs.</w:t>
      </w:r>
    </w:p>
    <w:p>
      <w:pPr>
        <w:spacing w:after="0" w:line="19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Federal law also includes a provision commonly known as the Stark Law, which prohibits a physician from referring Medicare or Medicaid patients to an entity providing “designated health services,” which includes DME, if the physician or immediate family member of the physician has an ownership or investment interest or compensation arrangement with such entity that does not comply with the requirements of a Stark exception. Violation of the Stark Law could result in denial of payment, disgorgement of reimbursements received under a non-compliant arrangement, civil penalties, and exclusion from Medicare, Medicaid, or other governmental programs.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federal false claims and civil monetary penalties laws, including the civil False Claims Act, prohibit, among other things, any person or entity from knowingly presenting, or causing to be presented, a false or fraudulent claim for payment to or approval by the federal government or knowingly making, using, or causing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be made or used a false record or statement material to a false or fraudulent claim to the federal government. A claim includes “any request or demand” for money or property presented to the U.S. government. Further, a claim including items or services resulting from a violation of the federal AKS or Stark Law also constitutes a false or fraudulent claim for purposes of the federal civil False Claims Act. Actions under the False Claims Act may be brought by the Attorney General or as a qui tam action by a private individual in the name of the U.S. government. Violations of the False Claims Act can result in very significant monetary penalties and treble damages. The federal government is using the False Claims Act and the accompanying threat of significant liability in its investigation and prosecution of pharmaceutical, biotechnology, and medical device companies throughout the country. Manufacturers can be held liable under these laws if they are deemed to “cause” the submission of false or fraudulent claims, for example, in connection with the promotion of products for unapproved or off-label uses and other sales and marketing practices. The government has obtained multi-million and multi-billion dollar settlements under the False Claims Act in addition to individual criminal convictions under applicable criminal statutes. When an entity is determined to have violated the federal civil False Claims Act, the government may impose civil fines and penalties ranging from $13,946 to $27,894 (which are adjusted annually for inflation) for each false claim, plus treble damages, and exclude the entity from participation in Medicare, Medicaid, TRICARE, and other federal healthcare programs. In addition, companies found liable under the False Claims Act have been forced to implement extensive corrective action plans and have often become subject to consent decrees or corporate integrity agreements, severely restricting the manner in which they conduct their business and imposing ongoing reporting and disclosure obligations.</w:t>
      </w:r>
    </w:p>
    <w:p>
      <w:pPr>
        <w:spacing w:after="0" w:line="19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federal CMP Law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fraud and abuse laws and regulations have been subject to heightened enforcement activity over the past few years, and significant enforcement activity has been the result of qui tam “relators” who serve as whistleblowers by filing complaints in the name of the United States (and, if applicable, particular states) under applicable false claims laws, and who may receive up to 30% of total government recoveries. Penalties under fraud and abuse laws may be severe and could result in significant civil and criminal penalties and costs, including the loss of licenses and the ability to participate in federal and state healthcare programs. Such penalties could have a material adverse effect on our business, results of operations and financial condition. Also, these measures may be interpreted or applied by a prosecutorial, regulatory, or judicial authority in a manner that could require us to make changes in our operations or incur substantial defense and settlement expenses. Given the significant size of actual and potential settlements, it is expected that governmental authorities will continue to devote substantial resources to investigating healthcare providers’ and manufacturers’ compliance with applicable fraud and abuse laws. Even unsuccessful challenges by regulatory authorities or private relators could result in reputational harm and the incurring of substantial costs.</w:t>
      </w:r>
    </w:p>
    <w:p>
      <w:pPr>
        <w:spacing w:after="0" w:line="194"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addition, as a manufacturer of FDA-cleared devices reimbursable by federal healthcare programs, we are subject to the Physician Payments Sunshine Act (the “Sunshine Act”), which requires us to annually report certain payments and other transfers of value we make to U.S.-licensed physicians, as defined by statute, certain other healthcare professionals and U.S. teaching hospitals, as well as ownership and investment interests held by physicians and their immediate family members. The Sunshine Act pre-empts similar state reporting laws, although we or our subsidiaries may be required to report under certain state transparency laws that address circumstances not covered by the Sunshine Act, and some of these state laws, as well as the federal law, can be ambiguous.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Most states have adopted similar laws related to transparency, kickbacks, false claims, and self-referrals that apply to products or services covered by state Medicaid and other healthcare programs and private third-party payers, some of which apply to manufacturers and suppliers of items reimbursed by any payor, including commercial payors. In addition, these state laws have their own penalties, which may be in addition to federal penalties.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are also subject to foreign regulations requiring transparency of certain interactions between suppliers and their customers. Many member states in the EU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In addition, many EU member states have adopted such national “Sunshine Acts” which impose reporting and transparency requirements (often on an annual basis), similar to the requirements in the United States, on medical device manufacturers. Certain countries also mandate implementation of commercial compliance programs. Any failure to comply with these laws and regulations could subject us or our officers and employees to criminal and civil financial penalties.</w:t>
      </w:r>
    </w:p>
    <w:p>
      <w:pPr>
        <w:spacing w:after="0" w:line="18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While we believe that we are substantially compliant with applicable fraud and abuse laws and regulations, and have implemented compliance programs and controls in place designed to ensure substantial compliance, we cannot predict whether changes in applicable law, or interpretation of laws, or changes in our services or marketing practices in response to changes in applicable law or interpretation of laws, or failure to comply with applicable law, could have a material adverse effect on our business, results of operations and financial condition.</w:t>
      </w:r>
    </w:p>
    <w:p>
      <w:pPr>
        <w:spacing w:after="0" w:line="18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Implementation of legislative or regulatory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 Requirements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various environmental, health and safety (“EHS”) requirements both inside and outside the United States. Like other companies in our industry, our manufacturing and other operations involve air emissions, wastewater and stormwater discharges, and the storage, use, and management of hazardous and other sensitive materials, and the disposal of hazardous waste. We are also subject to requirements relating to safe working conditions and laboratory practices. Our operations involve the use of substances regulated under EHS requirements, primarily in our manufacturing and sterilization processes. We believe we have implemented policies, practices and procedures that enable us to comply with applicable EHS requirements. However, EHS requirements may be detailed and complex, and we sometimes have been cited for violations of such requirements and may be cited for violations in the future. In addition, many such requirements are becoming increasingly stringent, and we are sometimes required to make changes to our operations for continued compliance, which can require substantial capital investments as well as increases in operating costs. See “Risk Factors—Risks Related to Regulation and Legal Proceedings—We are subject to extensive environmental, health and safety requirements, and our operations involve hazardous and other environmentally sensitive substances.”</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example, we, as well as others in our industry, rely on EtO to sterilize certain medical products that we manufacture. In light of evolving science regarding risks related to EtO exposure, regulatory actions have been taken by some jurisdictions to reduce EtO emissions, and we have made substantial improvements to our two primary EtO sterilization facilities to meet such requirements and otherwise manage EtO emissions. There also has been a significant increase in regulations regarding PFAS in both the United States and Europe, including new and evolving regulations that prohibit the use (or require disclosure of the presence) of certain forms of PFAS in products. PFAS are ubiquitous in manufacturing, and not all forms of PFAS have been found to be hazardous to human health. We are actively developing and implementing protocols to comply with evolving regulations.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Security and Licensure Standards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certain operational, security, and licensure requirements, including the federal Drug Supply Chain Security Act (“DSCSA”) in the United States, which mandates an industry-wide, national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serialization system for pharmaceutical packaging with a ten-year phase-in process. By November 2018, all manufacturers and re-packagers were required to mark each prescription drug package with a unique serialized code. The DSCSA also establishes certain requirements for the licensing and operation of prescription drug wholesalers and third-party logistics providers and includes the eventual creation of national wholesaler and third-party logistics provider licenses in cases where states do not license such entities. In addition, with respect to our DME business, we are subject to certain state licensure laws (including state pharmacy laws), and also certain accreditation standards, including to qualify for reimbursement from Medicare and other third-party payers.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are also subject to the FDA’s unique device identification system requirements, which require “labelers” to include unique device identifiers (“UDIs”), with a content and format prescribed by the FDA and issued under a system operated by an FDA-accredited issuing agency, on the labels and packages of medical devices and to directly mark certain devices with UDIs. The UDI regulations also require labelers to submit certain information concerning UDI-labeled devices to the FDA.</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Certain of our businesses are also required to register for permits and/or licenses with various state boards of pharmacy, state health departments and/or comparable state agencies as well as comparable foreign agencies, and certain accrediting bodies, depending on the type of operations and location of product distribution, manufacturing or sale. These businesses include those that distribute, manufacture, and/or repackage medical products, or own pharmacy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Antitrust and Consumer Protection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federal government of the United States, most U.S. states, and many foreign countries have antitrust laws that prohibit certain types of conduct deemed to be anti-competitive, as well as consumer protection laws that seek to protect consumers from improper business practices. At the U.S. federal level, the FTC, CPSC and DOJ oversee enforcement of these types of laws, and states have similar government agencies. Violations of antitrust or consumer protection laws may result in various sanctions, including criminal and civil penalties. Private plaintiffs may also bring civil lawsuits against us in the United States for alleged antitrust law violations, including claims for treble damages. EU law also regulates competition and provides for detailed rules protecting consumers.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Transactions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U.S. and foreign import and export laws and regulations require us to abide by certain standards relating to the importation and exportation of products, including but not limited to the absence of forced labor in our supply chain. We also are subject to certain laws and regulations concerning the conduct of our foreign operations, including the FCPA, U.S. export control laws, the UK Bribery Act, German anti-corruption laws, and other anti-bribery laws and laws pertaining to the accuracy of our internal books and records, as well as other types of foreign requirements similar to those imposed in the United States.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we believe that we are substantially compliant with the foregoing laws and regulations promulgated thereunder and possess all material permits and licenses required for the conduct of our business, and while we have policies against and seek to avoid the import of goods that are manufactured in whole or in part by forced labor or other exploitative labor practices, there can be no assurance that regulations that impact our business or customers’ practices will not have a material adverse effect on our business, results of operations and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corporate headquarters are located in Northfield, Illinois, where we own approximately 735,000 square feet of space.</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also own or lease 114 real estate sites in the United States, including 17 manufacturing facilities used for our Medline Brand segment and 46 warehouse distribution facilities used for our Medline Brand and Supply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Chain Solutions segments, and 69 real estate sites internationally, including 10 manufacturing facilities used for our Medline Brand segment and 22 warehouse distribution facilities used for our Medline Brand and Supply Chain Solutions segments.</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sufficient for our current needs and that, should they be needed, additional facilities will be available to accommodate the expansion of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in the future be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recently entered into contingent settlement agreements regarding tort lawsuits related to emissions of EtO from our facility in Waukegan, Illinois, as described above in “Risk Factors—Risks Related to Regulation and Legal Proceedings—We are involved in legal proceedings and disputes, which could adversely impact our business, results of operations and financial condition.”</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 list of the names, ages (as of December 18, 2024) and positions of all directors and executive officers of Medline Inc. at the time of this offering.</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30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M. Liberman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P. Shryock</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Amanda H. Laabs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Abrams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Executive Vice President, Distribution</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 Abrams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P. Baratta</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D. Best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Mills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N. Mills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 Schmidt</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Anushka M. Sunder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W. Sweet</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Allen R. Thorpe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H. Wise</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 Boyle </w:t>
      </w:r>
      <w:r>
        <w:rPr>
          <w:rFonts w:ascii="Times New Roman" w:cs="Times New Roman" w:eastAsia="Times New Roman" w:hAnsi="Times New Roman"/>
          <w:sz w:val="18"/>
          <w:szCs w:val="18"/>
          <w:color w:val="auto"/>
        </w:rPr>
        <w:t>has served as our Chief Executive Officer since 2023 and as a member of our board of directors since December 2023.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 current role, Mr. Boyle was an Executive Vice President from 2018 to 2023, managing Medline’s customer base of healthcare providers across the continuum of care. In that role, Mr. Boyle was responsible for the strategic direction and execution of all commercial functions across all healthcare sales divisions, as well as the operations and logistics organization. In addition, he oversaw Medline’s distributed products business and the customer support infrastructure to meet the unique challenges of Medline’s customers and their patient communities. Mr. Boyle joined Medline in 1996 as a sales representative in San Antonio, Texas. Since joining, he has held roles as a Sales Trainer, Senior Account Manager, Division Vice President, and Senior Vice President. Mr. Boyle received his B.S. in Industrial Distribution from Texas A&amp;M University.</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 Pigott </w:t>
      </w:r>
      <w:r>
        <w:rPr>
          <w:rFonts w:ascii="Times New Roman" w:cs="Times New Roman" w:eastAsia="Times New Roman" w:hAnsi="Times New Roman"/>
          <w:sz w:val="18"/>
          <w:szCs w:val="18"/>
          <w:color w:val="auto"/>
        </w:rPr>
        <w:t>has served as our President and Chief Operating Officer since 2023. Effective January 1, 2025, he will step down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but retain his role as President until his retirement at the end of 2025. He joined Medline in 1992 as a sales representative. During his career at the Company, he has held various roles, including most recently as Executive Vice President from 2011 to 2023. Prior to serving as Executive Vice President, Mr. Pigott held various leadership roles, including Product Manager, Division President, and Group President. He has since held various management positions including Division President, President of Medline Asia, Divisional Group President, and Executive Vice President. Mr. Pigott received his B.A. from the University of Michigan.</w:t>
      </w:r>
    </w:p>
    <w:p>
      <w:pPr>
        <w:spacing w:after="0" w:line="182" w:lineRule="exact"/>
        <w:rPr>
          <w:sz w:val="20"/>
          <w:szCs w:val="20"/>
          <w:color w:val="auto"/>
        </w:rPr>
      </w:pPr>
    </w:p>
    <w:p>
      <w:pPr>
        <w:ind w:left="120" w:right="3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B. Drazin </w:t>
      </w:r>
      <w:r>
        <w:rPr>
          <w:rFonts w:ascii="Times New Roman" w:cs="Times New Roman" w:eastAsia="Times New Roman" w:hAnsi="Times New Roman"/>
          <w:sz w:val="18"/>
          <w:szCs w:val="18"/>
          <w:color w:val="auto"/>
        </w:rPr>
        <w:t>joined Medline in 2018 as Chief Financial Officer. Prior to joining Medline, Mr. Drazin served as Vice President,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FP&amp;A and Investor Relations at Illinois Tool Works Inc. from 2016 to 2018. From 2014 to 2018, he served as Vice President, Global Financial Planning &amp; Analysis at Illinois Tool Works Inc. From 2008 to 2014, he served as Group Controller at Illinois Tool Works Inc. Prior to Illinois Tool Works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60"/>
          </w:cols>
          <w:pgMar w:left="320" w:top="455" w:right="5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Inc., he served as Group Controller at Click Commerce, Inc., Chief Financial Officer at Presutti Laboratories, Controller at CloudShield Technologies, Inc., Chief Financial Officer at Silicon Valley Internet Capital, and Senior Auditor at Arthur Anderson LLP. Mr. Drazin received his B.S. from Gies College of Business at the University of Illinois at Urbana-Champaign and his M.B.A. from the Kellogg School of Management at Northwestern University.</w:t>
      </w:r>
    </w:p>
    <w:p>
      <w:pPr>
        <w:spacing w:after="0" w:line="176" w:lineRule="exact"/>
        <w:rPr>
          <w:sz w:val="20"/>
          <w:szCs w:val="20"/>
          <w:color w:val="auto"/>
        </w:rPr>
      </w:pPr>
    </w:p>
    <w:p>
      <w:pPr>
        <w:jc w:val="both"/>
        <w:ind w:left="120" w:right="6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Stephen L. Miller </w:t>
      </w:r>
      <w:r>
        <w:rPr>
          <w:rFonts w:ascii="Times New Roman" w:cs="Times New Roman" w:eastAsia="Times New Roman" w:hAnsi="Times New Roman"/>
          <w:sz w:val="17"/>
          <w:szCs w:val="17"/>
          <w:color w:val="auto"/>
        </w:rPr>
        <w:t>has been appointed as our Chief Operating Officer effective January 1, 2025. Mr. Miller joined Medline in 2022 as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Vice President, Supply Chain, a role he will hold until January 1, 2025. Prior to joining Medline, Mr. Miller served as Walmart’s Senior Vice President, Fulfillment Operations from 2020 to 2022 and Vice President, People (U.S. Supply Chain) from 2018 to 2020. Prior to that, he served in various supply chain and manufacturing operations, corporate strategy and human resources roles at The Goodyear Tire &amp; Rubber Company, where he worked for four years, and Kimberly-Clark, where he worked for 19 years. Mr. Miller received his B.S. in Business Logistics from Penn State University.</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 M. Liberman </w:t>
      </w:r>
      <w:r>
        <w:rPr>
          <w:rFonts w:ascii="Times New Roman" w:cs="Times New Roman" w:eastAsia="Times New Roman" w:hAnsi="Times New Roman"/>
          <w:sz w:val="18"/>
          <w:szCs w:val="18"/>
          <w:color w:val="auto"/>
        </w:rPr>
        <w:t>joined Medline in 1999 as General Counsel and was retitled Chief Legal Officer in 2023. In this role, he oversees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responsible for counseling, dispute resolution, compliance, governance, risk, and regulatory. Mr. Liberman additionally held the title of Assistant Secretary from 1999 to 2023 and assumed the role of Secretary as of 2023, responsible for enterprise risk management at both the board and operational levels. He built several functions within Medline’s corporate office, including legal, compliance, privacy, ESG, legal operations, and global secretarial— all of which he oversees—and also was instrumental in developing other corporate functions, including medical affairs and information governance. Prior to joining Medline, Mr. Liberman worked as a partner at Hedund Hanley &amp; John from 1997 to 1998, where he was previously a Senior Associate from 1992 to 1996. Before Hedund Hanley &amp; John, he was an associate at Sidley Austin. Mr. Liberman received his B.A. in English from the University of Iowa and his J.D. from the University of Michigan.</w:t>
      </w:r>
    </w:p>
    <w:p>
      <w:pPr>
        <w:spacing w:after="0" w:line="18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P. Golwas </w:t>
      </w:r>
      <w:r>
        <w:rPr>
          <w:rFonts w:ascii="Times New Roman" w:cs="Times New Roman" w:eastAsia="Times New Roman" w:hAnsi="Times New Roman"/>
          <w:sz w:val="18"/>
          <w:szCs w:val="18"/>
          <w:color w:val="auto"/>
        </w:rPr>
        <w:t>has served as our Chief Commercial Officer since 2023. Mr. Golwas joined Medline in 2008 as a Vice President; during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career at the Company, he has held various roles, including most recently as Executive Vice President, Acute Care from 2019 to 2023. Prior to joining Medline, he served as Vice President of Sales and Marketing at Carrington Laboratories. Prior to that, he served as Vice President of Sales and Marketing at Berkshire Corporation. Mr. Golwas received his B.S. from Texas Tech University and his M.B.A. from The University of Dallas.</w:t>
      </w:r>
    </w:p>
    <w:p>
      <w:pPr>
        <w:spacing w:after="0" w:line="176" w:lineRule="exact"/>
        <w:rPr>
          <w:sz w:val="20"/>
          <w:szCs w:val="20"/>
          <w:color w:val="auto"/>
        </w:rPr>
      </w:pPr>
    </w:p>
    <w:p>
      <w:pPr>
        <w:jc w:val="both"/>
        <w:ind w:left="120" w:right="18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Christopher P. Shryock </w:t>
      </w:r>
      <w:r>
        <w:rPr>
          <w:rFonts w:ascii="Times New Roman" w:cs="Times New Roman" w:eastAsia="Times New Roman" w:hAnsi="Times New Roman"/>
          <w:sz w:val="17"/>
          <w:szCs w:val="17"/>
          <w:color w:val="auto"/>
        </w:rPr>
        <w:t>has served as our Chief Human Resources Officer since joining Medline in 2024. Prior to joining Medline, Mr. Shryock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Senior Vice President and Chief People Officer at Sam’s Club from 2020 to 2024. Prior to that, Mr. Shryock worked at PepsiCo for 14 years where he served in various roles, including most recently as Senior Vice President, Human Resources, PepsiCo Foods North America (PFNA)</w:t>
      </w:r>
    </w:p>
    <w:p>
      <w:pPr>
        <w:spacing w:after="0" w:line="1"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Commercial. Before PepsiCo, Mr. Shryock served as Manager, Talent Development at Cendant Corporation from 2005 to 2007. Mr. Shryock received his B.S. in Psychology from Xavier University and his M.A. in Industrial/Organizational Psychology from Hofstra University.</w:t>
      </w:r>
    </w:p>
    <w:p>
      <w:pPr>
        <w:spacing w:after="0" w:line="17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Amanda H. Laabs </w:t>
      </w:r>
      <w:r>
        <w:rPr>
          <w:rFonts w:ascii="Times New Roman" w:cs="Times New Roman" w:eastAsia="Times New Roman" w:hAnsi="Times New Roman"/>
          <w:sz w:val="18"/>
          <w:szCs w:val="18"/>
          <w:color w:val="auto"/>
        </w:rPr>
        <w:t>has been appointed as our Chief Product Officer effective January 1, 2025. Ms. Laabs joined Medline in 2006 as part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textiles division and has held a series of escalating product management leadership roles during her time at Medline, including most recently as our Executive Vice President, Medline Brand from 2023 until January 1, 2025. In 2013, Ms. Laabs served in a general manager role leading Medline’s surgical drapes and gowns division, as well as the personal protection division. From 2017 to 2020, she led the Dynacor kitting division, which involved integrating the newly acquired Centurion Medical Products company. In 2020, with that integration successfully completed, Ms. Laabs added the larger surgical kitting business to her portfolio. Prior to joining Medline, Ms. Laabs worked at DuPont, where she worked with leading healthcare companies in a medical-device sales role. Ms. Laabs received dual B.S. degrees in marketing and management science from Virginia Tech and her M.B.A. from the University of Notre Dame.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J. Abrams </w:t>
      </w:r>
      <w:r>
        <w:rPr>
          <w:rFonts w:ascii="Times New Roman" w:cs="Times New Roman" w:eastAsia="Times New Roman" w:hAnsi="Times New Roman"/>
          <w:sz w:val="18"/>
          <w:szCs w:val="18"/>
          <w:color w:val="auto"/>
        </w:rPr>
        <w:t>has served as our Executive Vice President, Distribution since 2023. Mr. Abrams joined Medline in 2009 as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Healthcare and Vice President of Real Estate and was promoted to his current role the following year. While working at Medline, Mr. Abrams also served as President of Suture Express from 2019 to 2021. Prior to joining Medline, Mr. Abrams served as Founding Principal at Hazel Ravine Partners, LLC from 2004 to 2008, and as Chief Executive Officer at InfoPlus Corporation from 2001 to 2003. Mr. Abrams received his B.S.E. in Finance and Real Estate from the Wharton School at the University of Pennsylvania and his M.M. in Finance from the Kellogg School of Management at Northwestern University.</w:t>
      </w:r>
    </w:p>
    <w:p>
      <w:pPr>
        <w:spacing w:after="0" w:line="182" w:lineRule="exact"/>
        <w:rPr>
          <w:sz w:val="20"/>
          <w:szCs w:val="20"/>
          <w:color w:val="auto"/>
        </w:rPr>
      </w:pPr>
    </w:p>
    <w:p>
      <w:pPr>
        <w:ind w:left="120" w:right="1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D. Abrams </w:t>
      </w:r>
      <w:r>
        <w:rPr>
          <w:rFonts w:ascii="Times New Roman" w:cs="Times New Roman" w:eastAsia="Times New Roman" w:hAnsi="Times New Roman"/>
          <w:sz w:val="18"/>
          <w:szCs w:val="18"/>
          <w:color w:val="auto"/>
        </w:rPr>
        <w:t>has served as a member of our board of directors since 2010 and served as our Chief Operating Officer from 1997 to 2023.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Medline in 1992 as a sales representative and has since held various management positions within the company. Prior to joining Medline,</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Mr. Abrams worked for the law firm Kirkland &amp; Ellis LLP. Mr. Abrams is currently on the Board of Directors of Northwestern Memorial Healthcare and the Executive Committee of Ravinia Festival. Mr. Abrams received his B.A. from the University of Michigan and his J.D. from the University of Chicago.</w:t>
      </w:r>
    </w:p>
    <w:p>
      <w:pPr>
        <w:spacing w:after="0" w:line="18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P. Baratta </w:t>
      </w:r>
      <w:r>
        <w:rPr>
          <w:rFonts w:ascii="Times New Roman" w:cs="Times New Roman" w:eastAsia="Times New Roman" w:hAnsi="Times New Roman"/>
          <w:sz w:val="18"/>
          <w:szCs w:val="18"/>
          <w:color w:val="auto"/>
        </w:rPr>
        <w:t>has served as a member of our board of directors since 2021. Mr. Baratta is the Global Head of Private Equity and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Blackstone’s Board of Directors. He is also a member of the firm’s Management Committee and serves on many of the firm’s investment committees. Mr. Baratta joined Blackstone in 1998 and in 2001 he moved to London to help establish Blackstone’s corporate private equity business in Europe. Since 2012, Mr. Baratta has served as the firm’s Global Head of Private Equity and is located in New York. Mr. Baratta has served on the boards of many past Blackstone portfolio companies and currently serves as a member or observer on the boards of Ancestry, Candle Media, First Eagle Investment Management, Merlin Entertainments Group, and Copeland. He is also a former member of the Board of Trustees of Georgetown University; is a trustee of the Tate Foundation; and serves on the board of Year Up, an organization focused on youth employment. Before joining Blackstone, Mr. Baratta was with Tinicum Incorporated and McCown De Leeuw &amp; Company. Mr. Baratta also worked at Morgan Stanley in its mergers and acquisitions department. Mr. Baratta graduated magna cum laude from Georgetown University.</w:t>
      </w:r>
    </w:p>
    <w:p>
      <w:pPr>
        <w:spacing w:after="0" w:line="188"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Jacob D. Best </w:t>
      </w:r>
      <w:r>
        <w:rPr>
          <w:rFonts w:ascii="Times New Roman" w:cs="Times New Roman" w:eastAsia="Times New Roman" w:hAnsi="Times New Roman"/>
          <w:sz w:val="18"/>
          <w:szCs w:val="18"/>
          <w:color w:val="auto"/>
        </w:rPr>
        <w:t>has served as a member of our board of directors since 2021. Mr. Best is a Partner at H&amp;F. Mr. Best joined H&amp;F in 2009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re-joined the firm in 2016. He is active in H&amp;F’s investments in PointClickCare and athenahealth. Mr. Best was formerly a Director of Associated Materials, Goodman Global, Snap One, and Ellucian, and was active in the firm’s investments in Verisure. Prior to re-joining H&amp;F, Mr. Best worked as the Chief of Staff at Change Healthcare (formerly Emdeon) and the Head of Medical Networks at Grand Rounds. Prior to H&amp;F, Mr. Best worked at Bain &amp; Company in New York. Mr. Best received his B.A. from the University of Virginia and his M.B.A. from the Stanford University Graduate School of Business, where he was an Arjay Miller Scholar.</w:t>
      </w:r>
    </w:p>
    <w:p>
      <w:pPr>
        <w:spacing w:after="0" w:line="182" w:lineRule="exact"/>
        <w:rPr>
          <w:sz w:val="20"/>
          <w:szCs w:val="20"/>
          <w:color w:val="auto"/>
        </w:rPr>
      </w:pPr>
    </w:p>
    <w:p>
      <w:pPr>
        <w:ind w:left="120" w:right="3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J. Mills </w:t>
      </w:r>
      <w:r>
        <w:rPr>
          <w:rFonts w:ascii="Times New Roman" w:cs="Times New Roman" w:eastAsia="Times New Roman" w:hAnsi="Times New Roman"/>
          <w:sz w:val="17"/>
          <w:szCs w:val="17"/>
          <w:color w:val="auto"/>
        </w:rPr>
        <w:t>has served as a member of our board of directors since 1985 and served as our President from 1997 to 2023. Mr. Mills is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Executive Officer and General Partner of Council Ring Capital, LLC, a position he has held since 2021. He joined Medline as a sales representative in 1986. He then worked in Medline’s OR product division from 1989 to 1992 and went on to manage the Company’s marketing department from 1993 to 1996. He assumed the position of President in 1997 and served in that capacity until his retirement at the end of September 2023. Mr. Mills holds 22 granted patents and has three pending. Before joining Medline, he worked in brand management for Procter &amp; Gamble.</w:t>
      </w:r>
    </w:p>
    <w:p>
      <w:pPr>
        <w:spacing w:after="0" w:line="3" w:lineRule="exact"/>
        <w:rPr>
          <w:sz w:val="20"/>
          <w:szCs w:val="20"/>
          <w:color w:val="auto"/>
        </w:rPr>
      </w:pPr>
    </w:p>
    <w:p>
      <w:pPr>
        <w:jc w:val="both"/>
        <w:ind w:left="120" w:right="160"/>
        <w:spacing w:after="0" w:line="255" w:lineRule="auto"/>
        <w:rPr>
          <w:sz w:val="20"/>
          <w:szCs w:val="20"/>
          <w:color w:val="auto"/>
        </w:rPr>
      </w:pPr>
      <w:r>
        <w:rPr>
          <w:rFonts w:ascii="Times New Roman" w:cs="Times New Roman" w:eastAsia="Times New Roman" w:hAnsi="Times New Roman"/>
          <w:sz w:val="18"/>
          <w:szCs w:val="18"/>
          <w:color w:val="auto"/>
        </w:rPr>
        <w:t>Mr. Mills received his B.S. from Tulane University and his M.B.A. from the Kellogg School of Management at Northwestern University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He currently serves as a trustee of the Vivo Foundation and the Rush University Medical Center board and was recognized by Modern Healthcare in 2020 and 2021 as one of the 100 most influential people in healthcare.</w:t>
      </w:r>
    </w:p>
    <w:p>
      <w:pPr>
        <w:spacing w:after="0" w:line="18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N. Mills </w:t>
      </w:r>
      <w:r>
        <w:rPr>
          <w:rFonts w:ascii="Times New Roman" w:cs="Times New Roman" w:eastAsia="Times New Roman" w:hAnsi="Times New Roman"/>
          <w:sz w:val="18"/>
          <w:szCs w:val="18"/>
          <w:color w:val="auto"/>
        </w:rPr>
        <w:t>has served as a member of our board of directors since 1985 and served as our Chief Executive Officer from 1997 to 2023.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Medline in 1986 as a sales representative and has since held various positions within the company, including sales management, Vice President of Marketing, and Vice President of Manufacturing. Prior to joining Medline, Mr. Mills was a sales representative with IBM. Mr. Mills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received both his B.S. in Mechanical Engineering and his M.B.A. from Cornell University. He also serves as a Director of Northwestern Memorial Hospital and was recognized by Modern Healthcare in 2021 as one of the 100 most influential people in healthcare.</w:t>
      </w:r>
    </w:p>
    <w:p>
      <w:pPr>
        <w:spacing w:after="0" w:line="15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R. Schmidt </w:t>
      </w:r>
      <w:r>
        <w:rPr>
          <w:rFonts w:ascii="Times New Roman" w:cs="Times New Roman" w:eastAsia="Times New Roman" w:hAnsi="Times New Roman"/>
          <w:sz w:val="18"/>
          <w:szCs w:val="18"/>
          <w:color w:val="auto"/>
        </w:rPr>
        <w:t>has served as a member of our board of directors since 2021. Mr. Schmidt is a Partner and Global Co-Head of Healthcare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Carlyle. He joined Carlyle in 2011 and has been involved in a number of the firm’s investments globally. He is currently a member of the Board of Directors of Included Health, MedRisk, Resonetics, and Unchained Labs, and he previously served as a member of the Board of Directors of One Medical and QuidelOrtho. Prior to joining Carlyle, Mr. Schmidt worked at Welsh, Carson, Anderson &amp; Stowe, a private equity firm focused on healthcare and technology investments, and Merrill Lynch Global Private Equity, focused on buyouts in North America. Mr. Schmidt received his B.S. in economics from The Wharton School at the University of Pennsylvania and his M.B.A. from Harvard Business School. He currently serves as a member of the University of Pennsylvania’s External Advisory Board at the Leonard Davis Institute of Health Economics.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Anushka M. Sunder </w:t>
      </w:r>
      <w:r>
        <w:rPr>
          <w:rFonts w:ascii="Times New Roman" w:cs="Times New Roman" w:eastAsia="Times New Roman" w:hAnsi="Times New Roman"/>
          <w:sz w:val="18"/>
          <w:szCs w:val="18"/>
          <w:color w:val="auto"/>
        </w:rPr>
        <w:t>has served as a member of our board of directors since 2021. Ms. Sunder is a Senior Managing Director at Blackstone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Healthcare Private Equity North America. Ms. Sunder joined Blackstone in 2013 and is a Director of Advarra, HealthEdge, and Precision Medicine Group, amongst other current and past Blackstone portfolio companies. She was previously involved in several other investments including Blue Yonder, Signature Aviation, Optiv, and NCR. She is Executive Sponsor of Blackstone’s Women’s Initiative and on the Blackstone Charitable Foundation Leadership Council. Before joining Blackstone, Ms. Sunder was at TPG Capital and at Goldman Sachs in the Financial Institutions Group. Ms. Sunder received her A.B. from Harvard College, where she graduated magna cum laude and Phi Beta Kappa, and her M.B.A. from Harvard Business School.</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W. Sweet </w:t>
      </w:r>
      <w:r>
        <w:rPr>
          <w:rFonts w:ascii="Times New Roman" w:cs="Times New Roman" w:eastAsia="Times New Roman" w:hAnsi="Times New Roman"/>
          <w:sz w:val="18"/>
          <w:szCs w:val="18"/>
          <w:color w:val="auto"/>
        </w:rPr>
        <w:t>has served as a member of our board of directors since 2024. Mr. Sweet was Chief Financial Officer of Dell Technologies,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information technology company, from 2014 to August 2023, overseeing all aspects of the company’s finance function, including Dell Financial Services and Dell Technologies Capital, as well as global business operations and corporate strategy. He joined Dell in 1997 and held leadership positions in finance, sales, and in various corporate business units before being named CFO in 2014. Prior to joining Dell, Mr. Sweet was vice president of accounting and finance for Telos Corporation, a cyber, cloud, and enterprise security company, and before that he spent 13 years with Pricewaterhouse providing audit and accounting services to the technology industry. He currently serves on the Board of Directors of 3M and Trimble Inc., as well as the Salvation Army Central Texas Advisory Board and the Chancellor’s Council Executive Committee for the University of Texas System. Mr. Sweet received his B.B.A. in Accounting from Western Michigan University and is a CPA.</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Allen R. Thorpe </w:t>
      </w:r>
      <w:r>
        <w:rPr>
          <w:rFonts w:ascii="Times New Roman" w:cs="Times New Roman" w:eastAsia="Times New Roman" w:hAnsi="Times New Roman"/>
          <w:sz w:val="18"/>
          <w:szCs w:val="18"/>
          <w:color w:val="auto"/>
        </w:rPr>
        <w:t>has served as a member of our board of directors since 2021. Mr. Thorpe is a Partner at H&amp;F. Mr. Thorpe joined H&amp;F in 1999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a member of the Investment Committee. He leads the firm’s New York office and leads its investing activities in the Healthcare and Financial Services sectors. In Healthcare, Mr. Thorpe is a Director of athenahealth and MultiPlan, and was previously the Chairman of Sheridan Healthcare and a Director of PPD, Cordis, Change Healthcare, and Mitchell International. In Financial Services, Mr. Thorpe is a Director of Edelman Financial Engines. He was previously the Lead Director of LPL Financial, on the Advisory Board of GCM Grosvenor, and a Director of investment management firms Artisan Partners, Mondrian Investment Partners, and Gartmore Investment Management. In Consumer and Retail, Mr. Thorpe is a Director of Caliber Collision. Prior to H&amp;F, Mr. Thorpe was a Vice President with Pacific Equity Partners and a Manager at Bain &amp; Company. Additionally, Mr. Thorpe serves on the Board of Overseers for the NYU Langone Medical Center, the Advisory Council of the Stanford Center on Longevity, the Advisory Council of The Hamilton Project and the Leadership Council of Robin Hood. Previously he was a Lecturer at Stanford University. Mr. Thorpe received his B.A. from Stanford University and his M.B.A. from Harvard Business School, where he was a Baker Scholar.</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60"/>
          </w:cols>
          <w:pgMar w:left="320" w:top="455" w:right="5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H. Wise </w:t>
      </w:r>
      <w:r>
        <w:rPr>
          <w:rFonts w:ascii="Times New Roman" w:cs="Times New Roman" w:eastAsia="Times New Roman" w:hAnsi="Times New Roman"/>
          <w:sz w:val="18"/>
          <w:szCs w:val="18"/>
          <w:color w:val="auto"/>
        </w:rPr>
        <w:t>has served as a member of our board of directors since 2021. Mr. Wise is a Partner and Co-Head of Americas Corporate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at Carlyle. Previously, he was the Global Head of Healthcare at Carlyle. He joined Carlyle in 2006 and has led or been a key contributor to several investments including CorroHealth, Curia, Grupo Qualicorp, HCR Manorcare, Healthscope, Medline, MedRisk, Millicent Pharma, MultiPlan, OneMedical, PPD, QuidelOrtho, Rede D’Or São Luiz, Resonetics, Sedgwick, TriNetX, Unchained Labs, and WellDyneRx. He has also led Carlyle’s broader life sciences efforts, including the acquisition of Abingworth in 2022. Mr. Wise currently serves as a Director on the boards of Launch Therapeutics, Resonetics, and Sedgwick. He also serves on the advisory board for the Massachusetts General Hospital Center for Global Health. Prior to joining Carlyle, Mr. Wise worked with JLL Partners, a New York-based private equity firm, where he focused on healthcare-related investments. Previously, he worked with J.W. Childs Associates, a Boston-based private equity firm, and prior to that, in the leveraged finance group of Credit Suisse. Mr. Wise earned a B.A. in economics and finance from Bucknell University and received his M.B.A. from Harvard Business School.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 After this Offering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In addition, we intend to enter into separate director nomination agreements with the Designating Stockholders in connection with this offering. These agreements will grant the Designating Stockholders the right to designate nominees to our board of directors subject to the maintenance of certain ownership requirements in us. See “Certain Relationships and Related Person Transactions—Director Nomination Agreements.”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affirmatively determined that each of         ,         , and         qualify as independent directors under Nasdaq listing standards.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Experience of Directors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89" w:lineRule="exact"/>
        <w:rPr>
          <w:sz w:val="20"/>
          <w:szCs w:val="20"/>
          <w:color w:val="auto"/>
        </w:rPr>
      </w:pPr>
    </w:p>
    <w:p>
      <w:pPr>
        <w:ind w:left="1080" w:right="1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Boyle—our board of directors considered Mr. Boyle’s perspective, experience, and thorough knowledge of our industry as our Chief Executive Officer.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Abrams—our board of directors considered Mr. Abrams’ significant industry knowledge, management expertise, and business experience, particularly from his former role as Medline’s Chief Operating Officer.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Baratta—our board of directors considered Mr. Baratta’s extensive financial, management, and investment experience from his involvement at Blackstone, including as the Global Head of Private Equity, and his service on the boards of various companies across multiple sectors.</w:t>
      </w:r>
    </w:p>
    <w:p>
      <w:pPr>
        <w:spacing w:after="0" w:line="81"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Best—our board of directors considered Mr. Best’s significant financial, management, and investment experience from his involvement at H&amp;F, including as a Partner, as well as his thorough knowledge of our industry.</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 Mills—our board of directors considered Mr. A. Mills’ extensive industry knowledge, management expertise, and business experience, particularly from his former role as President of Medline.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right="6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 Mills—our board of directors considered Mr. C. Mills’ extensive industry knowledge, management expertise, and business experience, particularly from his former role as Medline’s Chief Executive Officer.</w:t>
      </w:r>
    </w:p>
    <w:p>
      <w:pPr>
        <w:spacing w:after="0" w:line="67"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Schmidt—our board of directors considered Mr. Schmidt’s significant financial, management, and investment experience from his involvement at Carlyle, including as Partner and Global Co-Head of Healthcare, as well as his thorough knowledge of our industry.</w:t>
      </w:r>
    </w:p>
    <w:p>
      <w:pPr>
        <w:spacing w:after="0" w:line="45" w:lineRule="exact"/>
        <w:rPr>
          <w:rFonts w:ascii="Times New Roman" w:cs="Times New Roman" w:eastAsia="Times New Roman" w:hAnsi="Times New Roman"/>
          <w:sz w:val="17"/>
          <w:szCs w:val="17"/>
          <w:color w:val="auto"/>
        </w:rPr>
      </w:pPr>
    </w:p>
    <w:p>
      <w:pPr>
        <w:ind w:left="1080" w:right="16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Sunder—our board of directors considered Ms. Sunder’s extensive financial, management, and investment expertise from her involvement as Blackstone, including as Senior Managing Director and Head of Healthcare Private Equity North America, as well as her thorough knowledge of our industry.</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Sweet—our board of directors considered Mr. Sweet’s significant financial and audit experience, including his time as Chief Financial Officer at Dell and his service on the boards of a diverse group of companies.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Thorpe—our board of directors considered Mr. Thorpe’s significant financial, management, and investment experience from his involvement at H&amp;F, including as a Partner, as well as his thorough knowledge of our industry.</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Wise—our board of directors considered Mr. Wise’s significant financial, management, and investment experience from his involvement at Carlyle, including as Partner and Co-Head of Americas Corporate Private Equity, as well as his thorough knowledge of our industry.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prior to the completion of this offering, our board of directors will establish the following committees: an audit committee; a compensation committee; a nominating and corporate governance committee; and a risk and compliance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we expect our audit committee will consist of         ,         and         , with        serving as chair. Our audit committee will be responsible for, among other things:</w:t>
      </w:r>
    </w:p>
    <w:p>
      <w:pPr>
        <w:spacing w:after="0" w:line="67"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auditors, and approving the audit and non-audit services to be performed by our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evaluating the qualifications, performance, and independence of our independent auditors;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quality and integrity of our financial statements and our accounting and financial reporting;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our compliance with legal and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over financial reporting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performance of our internal audit function;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our annual and quarterly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per SEC rules and regulations to be included in our annual proxy statement.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 rules and Nasdaq rules require us to have one independent audit committee member upon the listing of our Class A common stock on Nasdaq, a majority of independent directors within 90 days of the effective date of the registration statement, and all independent audit committee members within one year of the effective date of the registration statement.         and        qualify as independent directors under Nasdaq listing standards and the independence standards of Rule 10A-3 of the Exchange Act. In addition, our board of directors has determined that        is an audit committee financial expert within the meaning of Item 407(d) of Regulation S-K under the Securities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560"/>
        <w:spacing w:after="0"/>
        <w:tabs>
          <w:tab w:leader="none" w:pos="8540" w:val="left"/>
        </w:tabs>
        <w:rPr>
          <w:sz w:val="20"/>
          <w:szCs w:val="20"/>
          <w:color w:val="auto"/>
        </w:rPr>
      </w:pPr>
      <w:r>
        <w:rPr>
          <w:rFonts w:ascii="Times New Roman" w:cs="Times New Roman" w:eastAsia="Times New Roman" w:hAnsi="Times New Roman"/>
          <w:sz w:val="18"/>
          <w:szCs w:val="18"/>
          <w:color w:val="auto"/>
        </w:rPr>
        <w:t xml:space="preserve">Upon completion of this offering, we expect our compensation committee will consist of             ,           </w:t>
        <w:tab/>
        <w:t xml:space="preserve">and             , with          </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serving as chair. Our compensation committee will be responsible for, among other things:</w:t>
      </w:r>
    </w:p>
    <w:p>
      <w:pPr>
        <w:spacing w:after="0" w:line="112" w:lineRule="exact"/>
        <w:rPr>
          <w:sz w:val="20"/>
          <w:szCs w:val="20"/>
          <w:color w:val="auto"/>
        </w:rPr>
      </w:pPr>
    </w:p>
    <w:p>
      <w:pPr>
        <w:ind w:left="1080" w:right="10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compensation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required by SEC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the SEC to be included in our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with respect to our equity compensation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Upon completion of this offering, we expect our nominating and corporate governance committee will consist of             ,          </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 with            serving as chair. The nominating and corporate governance committee is responsible for, among other things:</w:t>
      </w:r>
    </w:p>
    <w:p>
      <w:pPr>
        <w:spacing w:after="0" w:line="112"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identifying prospective director nominees and recommending nominees to the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 and management;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 and developing and recommending a set of corporate governance guidelines;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committee of our board of directors.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and Compliance Committee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we expect our risk and compliance committee will consist of         ,         and         , with        serving as chair. The risk and compliance committee is responsible for, among other things:</w:t>
      </w:r>
    </w:p>
    <w:p>
      <w:pPr>
        <w:spacing w:after="0" w:line="67" w:lineRule="exact"/>
        <w:rPr>
          <w:sz w:val="20"/>
          <w:szCs w:val="20"/>
          <w:color w:val="auto"/>
        </w:rPr>
      </w:pPr>
    </w:p>
    <w:p>
      <w:pPr>
        <w:ind w:left="1080" w:right="40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risk management framework and compliance program as well as infrastructure designed to identify, assess, manage, and monitor the Company’s risks;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risk management and compliance program policies, guidelines and practices implemented by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allocation of risk oversight responsibilities to the board of directors and its committees;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exercise of its responsibility to manage legal and regulatory compliance and material government and other investigations.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Other than Mr. Abrams, Mr. Boyle, Mr. A. Mills, and Mr. C. Mills,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and Other Pre-IPO Investors described in “Certain Relationships and Related Person Transactions.”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adopt a new Code of Business Conduct and Ethics that applies to all of our officers, directors, and employees, including our principal executive officer, principal financial officer, principal accounting officer, and controller, or persons performing similar functions, which will be posted on our website. Our Code of Business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This Compensation Discussion and Analysis provides an overview of our executive compensation philosophy, the overall objectives of our executive compensation program, and each material element of compensation for the fiscal year ended December 31, 2024 that we provided to the following executive officers (whom we refer to as our “Named Executive Officers”), who served in the following principal capacities during fiscal 2024:</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5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President and Chief Operating Officer</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 Shryock</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5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EVP Supply Chain</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Commercial Officer</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7715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8" w:lineRule="exact"/>
        <w:rPr>
          <w:sz w:val="20"/>
          <w:szCs w:val="20"/>
          <w:color w:val="auto"/>
        </w:rPr>
      </w:pPr>
    </w:p>
    <w:p>
      <w:pPr>
        <w:ind w:left="540" w:right="220" w:hanging="424"/>
        <w:spacing w:after="0" w:line="261"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Mr. Miller will assume the role of Chief Operating Officer. Mr. Pigott will continue to serve as our President through December 31, 2025.</w:t>
      </w: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voluntarily elected to name Mr. Golwas as an additional Named Executive Officer in this prospectus.</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of our board of directors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our other members of our senior leadership team, is fair, reasonable, and competitive. Generally, the types of compensation and benefits provided to our Named Executive Officers are similar to those provided to other senior members of our management team.</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Objectives and Philosophy</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goal of our executive compensation program is to create long-term value for our investors while at the same time rewarding our executives for superior financial and operating performance and support retention in a competitive market environment. We believe the most effective way to achieve this objective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p>
    <w:p>
      <w:pPr>
        <w:spacing w:after="0" w:line="93" w:lineRule="exact"/>
        <w:rPr>
          <w:sz w:val="20"/>
          <w:szCs w:val="20"/>
          <w:color w:val="auto"/>
        </w:rPr>
      </w:pPr>
    </w:p>
    <w:p>
      <w:pPr>
        <w:jc w:val="both"/>
        <w:ind w:left="1080" w:right="480" w:hanging="424"/>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Competitive</w:t>
      </w:r>
      <w:r>
        <w:rPr>
          <w:rFonts w:ascii="Times New Roman" w:cs="Times New Roman" w:eastAsia="Times New Roman" w:hAnsi="Times New Roman"/>
          <w:sz w:val="18"/>
          <w:szCs w:val="18"/>
          <w:color w:val="auto"/>
        </w:rPr>
        <w:t>: Compensation levels and programs for members of our senior leadership team, including the Named Executive Officers, should be competitive relative to the marketplace in which we operate. It is important to leverage an understanding of what constitutes competitive pay in our markets and build strategies to attract, incentivize, reward, and retain top talent;</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w:t>
      </w:r>
      <w:r>
        <w:rPr>
          <w:rFonts w:ascii="Times New Roman" w:cs="Times New Roman" w:eastAsia="Times New Roman" w:hAnsi="Times New Roman"/>
          <w:sz w:val="18"/>
          <w:szCs w:val="18"/>
          <w:color w:val="auto"/>
        </w:rPr>
        <w:t>: A significant portion of executive compensation should be performance-based pay that is “at risk,” based on short-term and long-term goals, which reward both organizational and individual performance;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Aligned</w:t>
      </w:r>
      <w:r>
        <w:rPr>
          <w:rFonts w:ascii="Times New Roman" w:cs="Times New Roman" w:eastAsia="Times New Roman" w:hAnsi="Times New Roman"/>
          <w:sz w:val="18"/>
          <w:szCs w:val="18"/>
          <w:color w:val="auto"/>
        </w:rPr>
        <w:t>: Incentives should be structured to create a strong alignment between executives and investors on both a short-term and a long-term basis.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By incorporating these design elements, we believe our executive compensation program is responsive to our investors’ objectives and effective in attracting, motivating, and retaining the level of talent necessary to grow and manage our business successfully.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Process for Determining 2024 Compensation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Chief Executive Officer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determining the compensation of each of our Named Executive Officers (other than the Chief Executive Officer), the compensation committee seeks the input of the Chief Executive Officer. The Chief Executive Officer provides recommendations at least annually to the compensation committee regarding the compensation of the other Named Executive Officers. The performance of our Named Executive Officers is reviewed at least annually by the compensation committee, with assessments provided by the Chief Executive Officer on all of our Named Executive Officers (other than the Chief Executive Officer), and the compensation committee determines each Named Executive Officer’s compensation at least annually.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that compensation should be competitive with compensation for executive officers in similar positions and with similar responsibilities in our marketplace. In determining compensation levels for our Named Executive Officers, the compensation committee relies upon the judgment and experience of its members, including their knowledge of competitive compensation levels in our industry. The compensation committee considers each Named Executive Officer’s performance, scope of responsibilities, depth and breadth of overall leadership experience, and the importance of the officer’s position to achieving our strategies. For 2024, the compensation committee also reviewed and considered survey and benchmarking data of a comparator group of companies prepared by management’s compensation consultant, Aon. To inform our compensation decision, we use a peer group of companies that are similar to us in terms of assets and revenues and with which we compete for executive talent. The compensation committee does not set compensation levels for our executive officers within a fixed range of benchmarks of our peer companies; however, the compensation committee reviews such peer company information and market data to better assess the range of compensation needed to attract, retain, and motivate executive talent in our highly competitive industry. In selecting the peer group, the aim was to select the most appropriate companies against which our compensation-related performance should be measured. The peer group for 2024 consisted of twenty-one publicly traded companies with revenues between approximately 0.5 to 2.5 times those of Medline.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Applying these criteria, the compensation committee approved the companies listed below as the peer group for 2024 compensation decisions:</w:t>
      </w: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 3M Company</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 Ecolab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 Medtronic plc</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 Abbott Laboratories</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 General Mills,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 Mondelēz International, Inc.</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 AbbVie Inc.</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 HCA Healthcare,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 Owens &amp; Minor, Inc.</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 Baxter International Inc.</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 Henry Schein,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 Parker-Hannifin Corporation</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 Becton, Dickinson and Company</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 Illinois Tool Works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 STERIS plc</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 Colgate-Palmolive Company</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 Kellanova</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 Teleflex Incorporated</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 Danaher Corporation</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 Kimberly-Clark Corporation</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 W.W. Grainger, Inc.</w:t>
            </w:r>
          </w:p>
        </w:tc>
      </w:tr>
    </w:tbl>
    <w:p>
      <w:pPr>
        <w:spacing w:after="0" w:line="19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alignment with the considerations described above, the compensation committee determined the total amount of compensation for our Named Executive Officers, and the allocation of total compensation among each of our three main components of compensation described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In 2024, Medline retained Korn Ferry as its compensation consultant. Korn Ferry has provided benchmarking data for 2025 compensation planning and has worked with management and the compensation committee on the overall compensation structure for our senior leadership team in anticipation of this offering. As part of its work, Korn Ferry recommended, and the compensation committee approved, changes to the peer group to place greater weight on the peer group’s size and performance profile and to rebalance the peer group by focusing on revenue, revenue growth and market performance. For 2025, the peer group consists of the following companies:</w:t>
      </w:r>
    </w:p>
    <w:p>
      <w:pPr>
        <w:spacing w:after="0" w:line="210"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 3M Company</w:t>
            </w:r>
          </w:p>
        </w:tc>
        <w:tc>
          <w:tcPr>
            <w:tcW w:w="162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79"/>
              </w:rPr>
              <w:t>• </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 Honeywell International Inc.</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 Abbott Laboratories</w:t>
            </w:r>
          </w:p>
        </w:tc>
        <w:tc>
          <w:tcPr>
            <w:tcW w:w="162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79"/>
              </w:rPr>
              <w:t>• </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 Illinois Tool Works, Inc.</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 Baxter International Inc.</w:t>
            </w:r>
          </w:p>
        </w:tc>
        <w:tc>
          <w:tcPr>
            <w:tcW w:w="162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79"/>
              </w:rPr>
              <w:t>• </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 Kimberly-Clark Corporation</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 Becton, Dickinson and Company</w:t>
            </w:r>
          </w:p>
        </w:tc>
        <w:tc>
          <w:tcPr>
            <w:tcW w:w="162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79"/>
              </w:rPr>
              <w:t>• </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 Medtronic plc</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 Colgate-Palmolive Company</w:t>
            </w:r>
          </w:p>
        </w:tc>
        <w:tc>
          <w:tcPr>
            <w:tcW w:w="162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79"/>
              </w:rPr>
              <w:t>• </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 Owens &amp; Minor, Inc.</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 Danaher Corporation</w:t>
            </w:r>
          </w:p>
        </w:tc>
        <w:tc>
          <w:tcPr>
            <w:tcW w:w="162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79"/>
              </w:rPr>
              <w:t>• </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 Stryker Corporation</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 GE HealthCare Technologies Inc.</w:t>
            </w:r>
          </w:p>
        </w:tc>
        <w:tc>
          <w:tcPr>
            <w:tcW w:w="162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79"/>
              </w:rPr>
              <w:t>• </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 Thermo Fisher Scientific Inc.</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 Henry Schein, Inc.</w:t>
            </w:r>
          </w:p>
        </w:tc>
        <w:tc>
          <w:tcPr>
            <w:tcW w:w="162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79"/>
              </w:rPr>
              <w:t>• </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 W.W. Grainger, Inc.</w:t>
            </w:r>
          </w:p>
        </w:tc>
      </w:tr>
    </w:tbl>
    <w:p>
      <w:pPr>
        <w:spacing w:after="0" w:line="19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Following this offering, the compensation committee intends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Relationship of Compensation Practices to Risk Management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compensation plans and practices are designed to mitigate the possibility of encouraging excessive risk-taking behavior and the potential impacts thereof. For example, the following features of our executive compensation program mitigate risk:</w:t>
      </w:r>
    </w:p>
    <w:p>
      <w:pPr>
        <w:spacing w:after="0" w:line="67"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but attainable goals that are well-defined and communicated;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variable compensation tied to a mix of financial and operational objectives;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Multi-year, overlapping vesting terms for equity awards, and for the Chief Executive Officer, President and Chief Operating Officer, and EVP, Supply Chain, financial objectives for a portion of outstanding equity awards. Our equity awards only have value to the extent the long-term value of our company appreciates; and</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controls in the administration of our plans to ensure performance against established company performance metrics is objectively and independently determined.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Considerations in Setting 2024 Compensation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2024 compensation of our Named Executive Officers was based on the Company’s performance against enterprise priorities and specific performance metrics and on each Named Executive Officer’s individual performance against their annual strategic objectives. The Compensation Committee believes the total 2024 compensation of our Named Executive Officers was competitive while at the same time being responsible to our stockholders because a significant percentage of total compensation in 2024 was allocated to variable compensation. This variable compensation is paid only upon achievement of Company performance objectives and individual Named Executive Officer goals that contribute to the creation of stockholder value.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key considerations that affected the development of 2024 compensation decisions for our Named Executive Officers, and which the compensation committee believes will continue to affect its compensation decisions in future fiscal years:</w:t>
      </w:r>
    </w:p>
    <w:p>
      <w:pPr>
        <w:spacing w:after="0" w:line="16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We establish target compensation levels that are consistent with market practice and internal equity considerations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Emphasis on Performance</w:t>
      </w:r>
      <w:r>
        <w:rPr>
          <w:rFonts w:ascii="Times New Roman" w:cs="Times New Roman" w:eastAsia="Times New Roman" w:hAnsi="Times New Roman"/>
          <w:sz w:val="18"/>
          <w:szCs w:val="18"/>
          <w:color w:val="auto"/>
        </w:rPr>
        <w:t>. Our compensation program provides increased pay opportunities upon achievement of goals correlated with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over the long term. When evaluating base salary, individual performance is the primary driver that determines each Named Executive Officer’s annual increase, if any. Historically, we have used annual cash bonus and appreciation-based equity awards (profits interests) to reward corporate and individual performance.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Importance of Company Results</w:t>
      </w:r>
      <w:r>
        <w:rPr>
          <w:rFonts w:ascii="Times New Roman" w:cs="Times New Roman" w:eastAsia="Times New Roman" w:hAnsi="Times New Roman"/>
          <w:sz w:val="18"/>
          <w:szCs w:val="18"/>
          <w:color w:val="auto"/>
        </w:rPr>
        <w:t>. In determining the amount of cash bonus for each Named Executive Officer, we consider,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with respect to our success in implementing our business strategies that yield long-term benefits and align our Named Executive Officers’ interests with those of our investors. The compensation committee believes it is important to hold our Named Executive Officers accountable for overall Company results. For a discussion of the individual and Company performance measures considered by the Committee (as defined below) in connection with 2024 bonus payments, see “—Compensation Elements—Annual Incentive Compensation” below.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key components of our executive compensation program for our senior leadership team, including our Named Executive Officers:</w:t>
      </w:r>
    </w:p>
    <w:p>
      <w:pPr>
        <w:spacing w:after="0" w:line="131"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bonus; and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compensation in the form of Class B Units, which are intended to be profits interests for U.S. income tax purposes.</w:t>
      </w:r>
    </w:p>
    <w:p>
      <w:pPr>
        <w:spacing w:after="0" w:line="162"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these key compensation elements, the Named Executive Officers are provided certain other compensation. See “—Other Compensation.”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The compensation committee believes that base salaries are an important component of our executive compensation program and are critical in attracting and retaining executive talent. The compensation committee reviews base salaries of our Named Executive Officers in the fourth quarter of each year, with any changes effective on the first day of the following fiscal year. In setting annual base salaries, the compensation committee takes into consideration our overall financial and operating performance in the prior year, our company-wide target for base salary increases for all employees, its members’ knowledge of market and competitive salary information, inflation, changes in the scope of an executive officer’s job responsibilities, other components of compensation, and other relevant factors. The compensation committee also reviews each Named Executive Officer’s individual performance and the performance of the divisions, business units, or departments for which that person is responsible. For Named Executive Officers other than the Chief Executive Officer, the compensation committee receives an evaluation from the Chief Executive Officer on that person’s performance and a recommendation for a salary adjustment. No formulaic base salary increases are provided to the Named Executive Officers.</w:t>
      </w:r>
    </w:p>
    <w:p>
      <w:pPr>
        <w:spacing w:after="0" w:line="173"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Based on its review of peer data and each Named Executive Officer’s individual performance, the compensation committee approved the following increases to the base salaries of our Named Executive Officers for fiscal 2024: Mr. Drazin’s base salary was increased from $775,000 to $810,000 and Mr. Miller’s base salary was increased from $624,000 to $724,000. No changes were made to the base salaries of our other Named Executive Officers for fiscal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base salary for each of our Named Executive Officers during the fiscal year ended December 31, 2024 was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3320" w:type="dxa"/>
            <w:vAlign w:val="bottom"/>
            <w:gridSpan w:val="2"/>
          </w:tcPr>
          <w:p>
            <w:pPr>
              <w:jc w:val="center"/>
              <w:ind w:left="219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4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24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r>
        <w:trPr>
          <w:trHeight w:val="216"/>
        </w:trPr>
        <w:tc>
          <w:tcPr>
            <w:tcW w:w="4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Christopher P. Shryock</w:t>
            </w:r>
            <w:r>
              <w:rPr>
                <w:rFonts w:ascii="Times New Roman" w:cs="Times New Roman" w:eastAsia="Times New Roman" w:hAnsi="Times New Roman"/>
                <w:sz w:val="25"/>
                <w:szCs w:val="25"/>
                <w:color w:val="auto"/>
                <w:vertAlign w:val="superscript"/>
              </w:rPr>
              <w:t>(1)</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724,000</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300" w:hanging="424"/>
        <w:spacing w:after="0" w:line="28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Shryock joined the Company as Chief Human Resources Officer on July 1, 2024. Salary paid to Mr. Shryock for fiscal 2024 was pro-rated based on his start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maintain an annual cash-based incentive plan, the Medline Industries, LP Annual Incentive Plan (the “AIP”), which is internally referred to as “Formula,”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 determination of performance against objective goals through each calendar quarter. Annual bonus payments, based on actual performance, are reconciled at year-end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Under our AIP, each Named Executive Officer has threshold, target and maximum bonus opportunities expressed as a percentage of the Named Executive Officer’s base salary. As described further below, the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AIP payout opportunities for each of Messrs. Drazin, Shryock, Miller and Golwas included an “upside modifier,” which permitted each executive to earn up to an additional 25% of their maximum bonus opportunity depending on Company or functional area performance for certain financial performance goals. In addition, the 2024 AIP payout opportunity for Mr. Golwas included an “expense modifier,” which provided that Mr. Golwas’s AIP bonus payout would be lowered or raised $3,000 for each 10 basis point increase or decrease in total selling expense growth above or below 70% of sales growth, respectively, subject to a cap of $25,000, although the modifier cannot result in Mr. Golwas’s actual AIP payout being less than threshold nor greater than maximum. The 2024 AIP payout opportunities for Messrs. Boyle and Pigott included no such modifiers. For fiscal year 2024, our Named Executive Officers had target and maximum bonus opportunities under the AIP as follows:</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380" w:type="dxa"/>
            <w:vAlign w:val="bottom"/>
          </w:tcPr>
          <w:p>
            <w:pPr>
              <w:spacing w:after="0"/>
              <w:rPr>
                <w:sz w:val="13"/>
                <w:szCs w:val="13"/>
                <w:color w:val="auto"/>
              </w:rPr>
            </w:pP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3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AIP</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Unmodified</w:t>
            </w:r>
          </w:p>
        </w:tc>
        <w:tc>
          <w:tcPr>
            <w:tcW w:w="3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Modified</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38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3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3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Bonus as a</w:t>
            </w:r>
          </w:p>
        </w:tc>
        <w:tc>
          <w:tcPr>
            <w:tcW w:w="3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Bonus as a</w:t>
            </w:r>
          </w:p>
        </w:tc>
        <w:tc>
          <w:tcPr>
            <w:tcW w:w="3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Bonus as a</w:t>
            </w:r>
          </w:p>
        </w:tc>
        <w:tc>
          <w:tcPr>
            <w:tcW w:w="0" w:type="dxa"/>
            <w:vAlign w:val="bottom"/>
          </w:tcPr>
          <w:p>
            <w:pPr>
              <w:spacing w:after="0"/>
              <w:rPr>
                <w:sz w:val="1"/>
                <w:szCs w:val="1"/>
                <w:color w:val="auto"/>
              </w:rPr>
            </w:pPr>
          </w:p>
        </w:tc>
      </w:tr>
      <w:tr>
        <w:trPr>
          <w:trHeight w:val="148"/>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60" w:type="dxa"/>
            <w:vAlign w:val="bottom"/>
            <w:gridSpan w:val="3"/>
          </w:tcPr>
          <w:p>
            <w:pPr>
              <w:jc w:val="center"/>
              <w:ind w:left="153"/>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7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20" w:type="dxa"/>
            <w:vAlign w:val="bottom"/>
            <w:gridSpan w:val="3"/>
          </w:tcPr>
          <w:p>
            <w:pPr>
              <w:jc w:val="center"/>
              <w:ind w:left="73"/>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39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5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5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8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2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85%</w:t>
            </w: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2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150%</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Christopher P. Shryock</w:t>
            </w:r>
            <w:r>
              <w:rPr>
                <w:rFonts w:ascii="Times New Roman" w:cs="Times New Roman" w:eastAsia="Times New Roman" w:hAnsi="Times New Roman"/>
                <w:sz w:val="25"/>
                <w:szCs w:val="25"/>
                <w:color w:val="auto"/>
                <w:vertAlign w:val="superscript"/>
              </w:rPr>
              <w:t>(1)</w:t>
            </w:r>
          </w:p>
        </w:tc>
        <w:tc>
          <w:tcPr>
            <w:tcW w:w="2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76.5%</w:t>
            </w: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90%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2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w:t>
            </w:r>
          </w:p>
        </w:tc>
        <w:tc>
          <w:tcPr>
            <w:tcW w:w="17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2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106.25%</w:t>
            </w: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125%</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Shryock joined the Company as Chief Human Resources Officer on July 1, 2024. Mr. Shyrock’s AIP will be pro-rated based on his start date.</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each performance objective, there is a threshold achievement level at or below which the Named Executive Officer will receive no payout in respect of that performance objective.</w:t>
      </w:r>
    </w:p>
    <w:p>
      <w:pPr>
        <w:spacing w:after="0" w:line="162"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The actual 2024 AIP bonus amounts are calculated formulaically based on actual achievement against certain individual performance considerations and financial or operational performance goals, as follows:</w:t>
      </w:r>
    </w:p>
    <w:p>
      <w:pPr>
        <w:spacing w:after="0" w:line="160"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the weight applied to each specific objective is multiplied by the Named Executive Officer’s AIP unmodified maximum annual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the resulting percentage from the first step is multiplied by the Named Executive Officer’s base salary to determine the maximum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in respect of each performance metric;</w:t>
      </w:r>
    </w:p>
    <w:p>
      <w:pPr>
        <w:spacing w:after="0" w:line="158" w:lineRule="exact"/>
        <w:rPr>
          <w:sz w:val="20"/>
          <w:szCs w:val="20"/>
          <w:color w:val="auto"/>
        </w:rPr>
      </w:pPr>
    </w:p>
    <w:p>
      <w:pPr>
        <w:ind w:left="120"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the dollar amount from the second step is multiplied by the actual attainment percentage of each applicable performance objective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against a pre-established scale to determine the unmodified amount payable;</w:t>
      </w:r>
    </w:p>
    <w:p>
      <w:pPr>
        <w:spacing w:after="0" w:line="158"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the sum of the amounts calculated in the third step for each performance objective is the Named Executive Officer’s unmodified AIP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and</w:t>
      </w:r>
    </w:p>
    <w:p>
      <w:pPr>
        <w:spacing w:after="0" w:line="158"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to the extent any modifier is achieved, the modifier percentage is multiplied by an amount, expressed as a dollar figure, equal to the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Named Executive Officer’s base salary and the Named Executive Officer’s unmodified annual bonus percentage, and such resulting dollar amount is added to the unmodified AIP bonus determined in the fourth step to arrive at the Named Executive Officer’s final AIP bonus.</w:t>
      </w:r>
    </w:p>
    <w:p>
      <w:pPr>
        <w:spacing w:after="0" w:line="175"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For fiscal year 2024, the annual bonus payouts for each of our Named Executive Officers was tied to the achievement of various metrics, as reflected in the tables below. The following tables illustrate the calculation of the annual incentive compensation payable to each of our Named Executive Officers under our AIP for fiscal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year 2024, before application of any upside modifiers described further below. In the event actual achievement of a performance objective is between levels, the achievement percentage is calculated using linear interpolation. For purposes of the AIP, Adjusted EBITDA is generally calculated as set forth in the section titled “Management’s Discussion and Analysis of Financial Condition and Results of Operations—Non-GAAP Financial Information —Adjusted EBITDA and Adjusted EBITDA Margin,” with certain acquisition-related adjustments as set forth below.</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Mr. Boyle</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8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color w:val="auto"/>
              </w:rPr>
              <w:t>Performance Period: January 1, 2024—December 31, 2024</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96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520" w:type="dxa"/>
            <w:vAlign w:val="bottom"/>
            <w:vMerge w:val="restart"/>
          </w:tcPr>
          <w:p>
            <w:pPr>
              <w:spacing w:after="0"/>
              <w:rPr>
                <w:sz w:val="12"/>
                <w:szCs w:val="1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520" w:type="dxa"/>
            <w:vAlign w:val="bottom"/>
            <w:vMerge w:val="restart"/>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520" w:type="dxa"/>
            <w:vAlign w:val="bottom"/>
            <w:vMerge w:val="restart"/>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7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Attainment</w:t>
            </w:r>
          </w:p>
        </w:tc>
        <w:tc>
          <w:tcPr>
            <w:tcW w:w="5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2024 Total Medline Adjusted EBITDA Growth</w:t>
            </w:r>
            <w:r>
              <w:rPr>
                <w:rFonts w:ascii="Times New Roman" w:cs="Times New Roman" w:eastAsia="Times New Roman" w:hAnsi="Times New Roman"/>
                <w:sz w:val="25"/>
                <w:szCs w:val="25"/>
                <w:color w:val="auto"/>
                <w:vertAlign w:val="superscript"/>
              </w:rPr>
              <w:t>(1)</w:t>
            </w:r>
          </w:p>
        </w:tc>
        <w:tc>
          <w:tcPr>
            <w:tcW w:w="1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0.00%</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5.20%</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12.00%</w:t>
            </w:r>
          </w:p>
        </w:tc>
        <w:tc>
          <w:tcPr>
            <w:tcW w:w="460" w:type="dxa"/>
            <w:vAlign w:val="bottom"/>
          </w:tcPr>
          <w:p>
            <w:pPr>
              <w:jc w:val="center"/>
              <w:ind w:left="228"/>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Pr>
          <w:p>
            <w:pPr>
              <w:jc w:val="center"/>
              <w:ind w:left="227"/>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2024 Total Medline Net Sales Growth</w:t>
            </w:r>
            <w:r>
              <w:rPr>
                <w:rFonts w:ascii="Times New Roman" w:cs="Times New Roman" w:eastAsia="Times New Roman" w:hAnsi="Times New Roman"/>
                <w:sz w:val="25"/>
                <w:szCs w:val="25"/>
                <w:color w:val="auto"/>
                <w:vertAlign w:val="superscript"/>
              </w:rPr>
              <w:t>(2)</w:t>
            </w:r>
          </w:p>
        </w:tc>
        <w:tc>
          <w:tcPr>
            <w:tcW w:w="1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2.00%</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5.40%</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9.00%</w:t>
            </w:r>
          </w:p>
        </w:tc>
        <w:tc>
          <w:tcPr>
            <w:tcW w:w="460" w:type="dxa"/>
            <w:vAlign w:val="bottom"/>
          </w:tcPr>
          <w:p>
            <w:pPr>
              <w:jc w:val="center"/>
              <w:ind w:left="228"/>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Pr>
          <w:p>
            <w:pPr>
              <w:jc w:val="center"/>
              <w:ind w:left="227"/>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Strategic Objectives</w:t>
            </w:r>
            <w:r>
              <w:rPr>
                <w:rFonts w:ascii="Times New Roman" w:cs="Times New Roman" w:eastAsia="Times New Roman" w:hAnsi="Times New Roman"/>
                <w:sz w:val="25"/>
                <w:szCs w:val="25"/>
                <w:color w:val="auto"/>
                <w:vertAlign w:val="superscript"/>
              </w:rPr>
              <w:t>(3)</w:t>
            </w:r>
          </w:p>
        </w:tc>
        <w:tc>
          <w:tcPr>
            <w:tcW w:w="1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228"/>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shd w:val="clear" w:color="auto" w:fill="CCEEFF"/>
          </w:tcPr>
          <w:p>
            <w:pPr>
              <w:jc w:val="center"/>
              <w:ind w:left="227"/>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Attainment Percentage Performance Period</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jc w:val="center"/>
              <w:ind w:left="227"/>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420" w:hanging="424"/>
        <w:spacing w:after="0" w:line="261"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Boyle, 2024 Total Medline Adjusted EBITDA Growth is based on Adjusted EBITDA and includes acquisitions at 85% of deal thesis (Target).</w:t>
      </w: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Boyle, 2024 Total Medline Net Sales Growth is based on net sales and includes acquisitions at 85% of deal thesis (Target).</w:t>
      </w:r>
    </w:p>
    <w:p>
      <w:pPr>
        <w:spacing w:after="0" w:line="9" w:lineRule="exact"/>
        <w:rPr>
          <w:rFonts w:ascii="Times New Roman" w:cs="Times New Roman" w:eastAsia="Times New Roman" w:hAnsi="Times New Roman"/>
          <w:sz w:val="18"/>
          <w:szCs w:val="18"/>
          <w:color w:val="auto"/>
        </w:rPr>
      </w:pPr>
    </w:p>
    <w:p>
      <w:pPr>
        <w:ind w:left="540" w:right="220" w:hanging="424"/>
        <w:spacing w:after="0" w:line="260"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Boyle, strategic objectives for 2024 included net Prime Vendor adds, identify/resource organic growth drivers in 2025 and 2026, SG&amp;A leverage in the 2025 budget and IPO readiness.</w:t>
      </w: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Mr. Drazin</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920" w:type="dxa"/>
            <w:vAlign w:val="bottom"/>
            <w:gridSpan w:val="11"/>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Performance Period: January 1, 2024—December 31, 2024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7"/>
        </w:trPr>
        <w:tc>
          <w:tcPr>
            <w:tcW w:w="1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3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180" w:type="dxa"/>
            <w:vAlign w:val="bottom"/>
          </w:tcPr>
          <w:p>
            <w:pPr>
              <w:spacing w:after="0"/>
              <w:rPr>
                <w:sz w:val="12"/>
                <w:szCs w:val="12"/>
                <w:color w:val="auto"/>
              </w:rPr>
            </w:pP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0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3"/>
          </w:tcPr>
          <w:p>
            <w:pPr>
              <w:jc w:val="center"/>
              <w:ind w:left="33"/>
              <w:spacing w:after="0" w:line="14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Attainment</w:t>
            </w:r>
          </w:p>
        </w:tc>
        <w:tc>
          <w:tcPr>
            <w:tcW w:w="20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2024 Total Medline Adjusted EBITDA Target</w:t>
            </w:r>
            <w:r>
              <w:rPr>
                <w:rFonts w:ascii="Times New Roman" w:cs="Times New Roman" w:eastAsia="Times New Roman" w:hAnsi="Times New Roman"/>
                <w:sz w:val="25"/>
                <w:szCs w:val="25"/>
                <w:color w:val="auto"/>
                <w:vertAlign w:val="superscript"/>
              </w:rPr>
              <w:t>(1)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2,830</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$3,009</w:t>
            </w:r>
          </w:p>
        </w:tc>
        <w:tc>
          <w:tcPr>
            <w:tcW w:w="22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3,076</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Strategic Objectives</w:t>
            </w:r>
            <w:r>
              <w:rPr>
                <w:rFonts w:ascii="Times New Roman" w:cs="Times New Roman" w:eastAsia="Times New Roman" w:hAnsi="Times New Roman"/>
                <w:sz w:val="25"/>
                <w:szCs w:val="25"/>
                <w:color w:val="auto"/>
                <w:vertAlign w:val="superscript"/>
              </w:rPr>
              <w:t>(2)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U.S. Finance Expense as a Percentage of Net Sales Target</w:t>
            </w:r>
            <w:r>
              <w:rPr>
                <w:rFonts w:ascii="Times New Roman" w:cs="Times New Roman" w:eastAsia="Times New Roman" w:hAnsi="Times New Roman"/>
                <w:sz w:val="25"/>
                <w:szCs w:val="25"/>
                <w:color w:val="auto"/>
                <w:vertAlign w:val="superscript"/>
              </w:rPr>
              <w:t>(3)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0.37%</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Percentage of Accounts Receivable over 30 days past due</w:t>
            </w:r>
            <w:r>
              <w:rPr>
                <w:rFonts w:ascii="Times New Roman" w:cs="Times New Roman" w:eastAsia="Times New Roman" w:hAnsi="Times New Roman"/>
                <w:sz w:val="25"/>
                <w:szCs w:val="25"/>
                <w:color w:val="auto"/>
                <w:vertAlign w:val="superscript"/>
              </w:rPr>
              <w:t>(4)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Operational Objectives</w:t>
            </w:r>
            <w:r>
              <w:rPr>
                <w:rFonts w:ascii="Times New Roman" w:cs="Times New Roman" w:eastAsia="Times New Roman" w:hAnsi="Times New Roman"/>
                <w:sz w:val="25"/>
                <w:szCs w:val="25"/>
                <w:color w:val="auto"/>
                <w:vertAlign w:val="superscript"/>
              </w:rPr>
              <w:t>(5)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Attainment Percentage Performance Period</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280" w:hanging="424"/>
        <w:spacing w:after="0" w:line="261"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Drazin, 2024 Total Medline Adjusted EBITDA includes acquisitions at 85% of deal thesis (Target) and was updated mid-year based on the acquisition of Microtek.</w:t>
      </w:r>
    </w:p>
    <w:p>
      <w:pPr>
        <w:ind w:left="540" w:hanging="424"/>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Drazin, Strategic Objectives for 2024 included forecasting and IPO readiness.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Drazin, U.S. Finance Expense as a Percent of Net Sales Target which measures the performance of controllable U.S. finance expenses.</w:t>
      </w:r>
    </w:p>
    <w:p>
      <w:pPr>
        <w:spacing w:after="0" w:line="27"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Drazin, Percentage of Accounts Receivable over 30 days past due measures the amount of invoices dollars that are outstanding for more than 30 days from their due date.</w:t>
      </w: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Drazin, Operational Objectives for 2024 included accounts payable, payroll and rebate simplification.</w:t>
      </w:r>
    </w:p>
    <w:p>
      <w:pPr>
        <w:spacing w:after="0" w:line="207" w:lineRule="exact"/>
        <w:rPr>
          <w:sz w:val="20"/>
          <w:szCs w:val="20"/>
          <w:color w:val="auto"/>
        </w:rPr>
      </w:pPr>
    </w:p>
    <w:p>
      <w:pPr>
        <w:ind w:left="120" w:right="260" w:firstLine="440"/>
        <w:spacing w:after="0" w:line="272" w:lineRule="auto"/>
        <w:rPr>
          <w:sz w:val="20"/>
          <w:szCs w:val="20"/>
          <w:color w:val="auto"/>
        </w:rPr>
      </w:pPr>
      <w:r>
        <w:rPr>
          <w:rFonts w:ascii="Times New Roman" w:cs="Times New Roman" w:eastAsia="Times New Roman" w:hAnsi="Times New Roman"/>
          <w:sz w:val="17"/>
          <w:szCs w:val="17"/>
          <w:color w:val="auto"/>
        </w:rPr>
        <w:t>Mr. Drazin’s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The Company’s 2024 Total Adjusted EBITDA was $ </w:t>
            </w:r>
          </w:p>
        </w:tc>
        <w:tc>
          <w:tcPr>
            <w:tcW w:w="328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w w:val="97"/>
              </w:rPr>
              <w:t>         , resulting in an upside modifier of  </w:t>
            </w:r>
          </w:p>
        </w:tc>
        <w:tc>
          <w:tcPr>
            <w:tcW w:w="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Mr. Pigott</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color w:val="auto"/>
              </w:rPr>
              <w:t>Performance Period: January 1, 2024—December 31, 2024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2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Attainment</w:t>
            </w:r>
          </w:p>
        </w:tc>
        <w:tc>
          <w:tcPr>
            <w:tcW w:w="14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2024 Total Medline Adjusted EBITDA Growth</w:t>
            </w:r>
            <w:r>
              <w:rPr>
                <w:rFonts w:ascii="Times New Roman" w:cs="Times New Roman" w:eastAsia="Times New Roman" w:hAnsi="Times New Roman"/>
                <w:sz w:val="25"/>
                <w:szCs w:val="25"/>
                <w:color w:val="auto"/>
                <w:vertAlign w:val="superscript"/>
              </w:rPr>
              <w:t>(1)</w:t>
            </w:r>
          </w:p>
        </w:tc>
        <w:tc>
          <w:tcPr>
            <w:tcW w:w="23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5.20%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2024 Total Medline Net Sales Growth</w:t>
            </w:r>
            <w:r>
              <w:rPr>
                <w:rFonts w:ascii="Times New Roman" w:cs="Times New Roman" w:eastAsia="Times New Roman" w:hAnsi="Times New Roman"/>
                <w:sz w:val="25"/>
                <w:szCs w:val="25"/>
                <w:color w:val="auto"/>
                <w:vertAlign w:val="superscript"/>
              </w:rPr>
              <w:t>(2)</w:t>
            </w:r>
          </w:p>
        </w:tc>
        <w:tc>
          <w:tcPr>
            <w:tcW w:w="23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Strategic Objectives</w:t>
            </w:r>
            <w:r>
              <w:rPr>
                <w:rFonts w:ascii="Times New Roman" w:cs="Times New Roman" w:eastAsia="Times New Roman" w:hAnsi="Times New Roman"/>
                <w:sz w:val="25"/>
                <w:szCs w:val="25"/>
                <w:color w:val="auto"/>
                <w:vertAlign w:val="superscript"/>
              </w:rPr>
              <w:t>(3)</w:t>
            </w:r>
          </w:p>
        </w:tc>
        <w:tc>
          <w:tcPr>
            <w:tcW w:w="23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Actual Attainment Percentage Performance Period</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420" w:hanging="424"/>
        <w:spacing w:after="0" w:line="261"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Pigott, 2024 Total Medline Adjusted EBITDA Growth is based on Adjusted EBITDA and includes acquisitions at 85% of deal thesis (Target).</w:t>
      </w: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Pigott, 2024 Total Medline Net Sales Growth is based on net sales and includes acquisitions at 85% of deal thesis (Target).</w:t>
      </w:r>
    </w:p>
    <w:p>
      <w:pPr>
        <w:spacing w:after="0" w:line="9" w:lineRule="exact"/>
        <w:rPr>
          <w:rFonts w:ascii="Times New Roman" w:cs="Times New Roman" w:eastAsia="Times New Roman" w:hAnsi="Times New Roman"/>
          <w:sz w:val="18"/>
          <w:szCs w:val="18"/>
          <w:color w:val="auto"/>
        </w:rPr>
      </w:pPr>
    </w:p>
    <w:p>
      <w:pPr>
        <w:ind w:left="540" w:right="500" w:hanging="424"/>
        <w:spacing w:after="0" w:line="26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Pigott, Strategic Objectives for 2024 included international strategy and growth, identify and resource future growth drivers, SG&amp;A leverage in the 2025 budget and IPO readiness.</w:t>
      </w: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Mr. Shryock</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 xml:space="preserve">Performance Period: July 1, 2024—December 31, 2024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gridSpan w:val="3"/>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980" w:type="dxa"/>
            <w:vAlign w:val="bottom"/>
          </w:tcPr>
          <w:p>
            <w:pPr>
              <w:spacing w:after="0"/>
              <w:rPr>
                <w:sz w:val="12"/>
                <w:szCs w:val="12"/>
                <w:color w:val="auto"/>
              </w:rPr>
            </w:pPr>
          </w:p>
        </w:tc>
        <w:tc>
          <w:tcPr>
            <w:tcW w:w="11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56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5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3"/>
        </w:trPr>
        <w:tc>
          <w:tcPr>
            <w:tcW w:w="346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Attainment</w:t>
            </w:r>
          </w:p>
        </w:tc>
        <w:tc>
          <w:tcPr>
            <w:tcW w:w="58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Strategic Objectives</w:t>
            </w:r>
            <w:r>
              <w:rPr>
                <w:rFonts w:ascii="Times New Roman" w:cs="Times New Roman" w:eastAsia="Times New Roman" w:hAnsi="Times New Roman"/>
                <w:sz w:val="25"/>
                <w:szCs w:val="25"/>
                <w:color w:val="auto"/>
                <w:vertAlign w:val="superscript"/>
              </w:rPr>
              <w:t>(1)</w:t>
            </w:r>
          </w:p>
        </w:tc>
        <w:tc>
          <w:tcPr>
            <w:tcW w:w="21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60" w:type="dxa"/>
            <w:vAlign w:val="bottom"/>
            <w:gridSpan w:val="3"/>
          </w:tcPr>
          <w:p>
            <w:pPr>
              <w:spacing w:after="0" w:line="217" w:lineRule="exact"/>
              <w:rPr>
                <w:sz w:val="20"/>
                <w:szCs w:val="20"/>
                <w:color w:val="auto"/>
              </w:rPr>
            </w:pPr>
            <w:r>
              <w:rPr>
                <w:rFonts w:ascii="Times New Roman" w:cs="Times New Roman" w:eastAsia="Times New Roman" w:hAnsi="Times New Roman"/>
                <w:sz w:val="17"/>
                <w:szCs w:val="17"/>
                <w:color w:val="auto"/>
              </w:rPr>
              <w:t>Operational Objectives</w:t>
            </w:r>
            <w:r>
              <w:rPr>
                <w:rFonts w:ascii="Times New Roman" w:cs="Times New Roman" w:eastAsia="Times New Roman" w:hAnsi="Times New Roman"/>
                <w:sz w:val="25"/>
                <w:szCs w:val="25"/>
                <w:color w:val="auto"/>
                <w:vertAlign w:val="superscript"/>
              </w:rPr>
              <w:t>(2)</w:t>
            </w:r>
          </w:p>
        </w:tc>
        <w:tc>
          <w:tcPr>
            <w:tcW w:w="21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40%</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Actual Attainment Percentage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7715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8" w:lineRule="exact"/>
        <w:rPr>
          <w:sz w:val="20"/>
          <w:szCs w:val="20"/>
          <w:color w:val="auto"/>
        </w:rPr>
      </w:pPr>
    </w:p>
    <w:p>
      <w:pPr>
        <w:ind w:left="540" w:right="600" w:hanging="424"/>
        <w:spacing w:after="0" w:line="282"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Shryock, Strategic Objectives are based on successful onboarding which includes getting up to speed with Medline, understanding Medline business and culture, develop relationships and potential improvements.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540" w:right="520" w:hanging="424"/>
        <w:spacing w:after="0" w:line="282"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Shryock, Operational Objectives include an organizational assessment which includes a review of the current organization structure design and team’s strengths and weaknesses.</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Mr. Shryock’s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        , resulting in an upside modifier of   %.</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Mr. Miller</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780" w:type="dxa"/>
            <w:vAlign w:val="bottom"/>
            <w:gridSpan w:val="10"/>
          </w:tcPr>
          <w:p>
            <w:pPr>
              <w:jc w:val="right"/>
              <w:ind w:right="460"/>
              <w:spacing w:after="0"/>
              <w:rPr>
                <w:sz w:val="20"/>
                <w:szCs w:val="20"/>
                <w:color w:val="auto"/>
              </w:rPr>
            </w:pPr>
            <w:r>
              <w:rPr>
                <w:rFonts w:ascii="Times New Roman" w:cs="Times New Roman" w:eastAsia="Times New Roman" w:hAnsi="Times New Roman"/>
                <w:sz w:val="14"/>
                <w:szCs w:val="14"/>
                <w:color w:val="auto"/>
              </w:rPr>
              <w:t xml:space="preserve">Performance Period: January 1, 2024—December 31, 2024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0" w:type="dxa"/>
            <w:vAlign w:val="bottom"/>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960" w:type="dxa"/>
            <w:vAlign w:val="bottom"/>
            <w:gridSpan w:val="2"/>
            <w:vMerge w:val="continue"/>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350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Attainment</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11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2024 Total Medline Adjusted EBITDA Target</w:t>
            </w:r>
            <w:r>
              <w:rPr>
                <w:rFonts w:ascii="Times New Roman" w:cs="Times New Roman" w:eastAsia="Times New Roman" w:hAnsi="Times New Roman"/>
                <w:sz w:val="25"/>
                <w:szCs w:val="25"/>
                <w:color w:val="auto"/>
                <w:vertAlign w:val="superscript"/>
              </w:rPr>
              <w:t>(1)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2,830</w:t>
            </w:r>
          </w:p>
        </w:tc>
        <w:tc>
          <w:tcPr>
            <w:tcW w:w="8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$3,009</w:t>
            </w: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3,076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Operations Total Recordable Incident Rate (U.S.)</w:t>
            </w:r>
            <w:r>
              <w:rPr>
                <w:rFonts w:ascii="Times New Roman" w:cs="Times New Roman" w:eastAsia="Times New Roman" w:hAnsi="Times New Roman"/>
                <w:sz w:val="25"/>
                <w:szCs w:val="25"/>
                <w:color w:val="auto"/>
                <w:vertAlign w:val="superscript"/>
              </w:rPr>
              <w:t>(2)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4.97</w:t>
            </w:r>
          </w:p>
        </w:tc>
        <w:tc>
          <w:tcPr>
            <w:tcW w:w="8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4.71</w:t>
            </w: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4.60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Operational Errors per Thousand Lines (U.S.)</w:t>
            </w:r>
            <w:r>
              <w:rPr>
                <w:rFonts w:ascii="Times New Roman" w:cs="Times New Roman" w:eastAsia="Times New Roman" w:hAnsi="Times New Roman"/>
                <w:sz w:val="25"/>
                <w:szCs w:val="25"/>
                <w:color w:val="auto"/>
                <w:vertAlign w:val="superscript"/>
              </w:rPr>
              <w:t>(3)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8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2.75</w:t>
            </w: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2.56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Operational On Time Delivery (All U.S. Carriers)</w:t>
            </w:r>
            <w:r>
              <w:rPr>
                <w:rFonts w:ascii="Times New Roman" w:cs="Times New Roman" w:eastAsia="Times New Roman" w:hAnsi="Times New Roman"/>
                <w:sz w:val="25"/>
                <w:szCs w:val="25"/>
                <w:color w:val="auto"/>
                <w:vertAlign w:val="superscript"/>
              </w:rPr>
              <w:t>(4)</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81.80%</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85.60%</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87.20%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Operations Turnover</w:t>
            </w:r>
            <w:r>
              <w:rPr>
                <w:rFonts w:ascii="Times New Roman" w:cs="Times New Roman" w:eastAsia="Times New Roman" w:hAnsi="Times New Roman"/>
                <w:sz w:val="25"/>
                <w:szCs w:val="25"/>
                <w:color w:val="auto"/>
                <w:vertAlign w:val="superscript"/>
              </w:rPr>
              <w:t>(5)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55.20%</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52.50%</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51.30%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Operations Gross Expense (U.S.) as a Percentage of Net Sales Target</w:t>
            </w:r>
            <w:r>
              <w:rPr>
                <w:rFonts w:ascii="Times New Roman" w:cs="Times New Roman" w:eastAsia="Times New Roman" w:hAnsi="Times New Roman"/>
                <w:sz w:val="25"/>
                <w:szCs w:val="25"/>
                <w:color w:val="auto"/>
                <w:vertAlign w:val="superscript"/>
              </w:rPr>
              <w:t>(6)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6.80%</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Actual Attainment Percentage Performance Period</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0" w:hanging="424"/>
        <w:spacing w:after="0" w:line="261"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Miller, 2024 Total Medline Adjusted EBITDA Target includes acquisitions at 85% of deal thesis (Target) and was updated mid-year based on the acquisition of Microtek.</w:t>
      </w:r>
    </w:p>
    <w:p>
      <w:pPr>
        <w:ind w:left="540" w:right="26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Miller, Operations Total Recordable Incident Rate (U.S.) is a workplace safety metric that measures the number of recordable incidents per 100 full-time employees over a year.</w:t>
      </w:r>
    </w:p>
    <w:p>
      <w:pPr>
        <w:ind w:left="540" w:right="14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Miller, Operational Errors per Thousand Lines (U.S.) tracks the number of documented warehouse and carriers’ errors that occur per one thousand sales lines.</w:t>
      </w:r>
    </w:p>
    <w:p>
      <w:pPr>
        <w:ind w:left="540" w:right="32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Miller, Operational On Time Delivery (All U.S. Carriers) measures the number of orders that are delivered to the customers within the assigned delivery windows across all our U.S. carriers.</w:t>
      </w:r>
    </w:p>
    <w:p>
      <w:pPr>
        <w:ind w:left="540" w:right="70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Miller, Operations Turnover tracks the number of employees who have left Medline over a set period of time, both voluntary and involuntary.</w:t>
      </w:r>
    </w:p>
    <w:p>
      <w:pPr>
        <w:ind w:left="540" w:right="440" w:hanging="424"/>
        <w:spacing w:after="0" w:line="26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Miller, Operations Gross Expense (U.S.) as a Percentage of Net Sales Target which measures the controllable cost of our distribution network.</w:t>
      </w:r>
    </w:p>
    <w:p>
      <w:pPr>
        <w:spacing w:after="0" w:line="18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Mr. Miller’s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        , resulting in an upside modifier of   %.</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Mr. Golwas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140" w:type="dxa"/>
            <w:vAlign w:val="bottom"/>
            <w:gridSpan w:val="11"/>
          </w:tcPr>
          <w:p>
            <w:pPr>
              <w:jc w:val="right"/>
              <w:ind w:right="480"/>
              <w:spacing w:after="0"/>
              <w:rPr>
                <w:sz w:val="20"/>
                <w:szCs w:val="20"/>
                <w:color w:val="auto"/>
              </w:rPr>
            </w:pPr>
            <w:r>
              <w:rPr>
                <w:rFonts w:ascii="Times New Roman" w:cs="Times New Roman" w:eastAsia="Times New Roman" w:hAnsi="Times New Roman"/>
                <w:sz w:val="14"/>
                <w:szCs w:val="14"/>
                <w:color w:val="auto"/>
              </w:rPr>
              <w:t xml:space="preserve">Performance Period: January 1, 2024—December 31, 2024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2040" w:type="dxa"/>
            <w:vAlign w:val="bottom"/>
            <w:gridSpan w:val="2"/>
            <w:vMerge w:val="restart"/>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60" w:type="dxa"/>
            <w:vAlign w:val="bottom"/>
          </w:tcPr>
          <w:p>
            <w:pPr>
              <w:spacing w:after="0"/>
              <w:rPr>
                <w:sz w:val="12"/>
                <w:szCs w:val="12"/>
                <w:color w:val="auto"/>
              </w:rPr>
            </w:pPr>
          </w:p>
        </w:tc>
        <w:tc>
          <w:tcPr>
            <w:tcW w:w="9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1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020" w:type="dxa"/>
            <w:vAlign w:val="bottom"/>
            <w:gridSpan w:val="2"/>
            <w:vMerge w:val="continue"/>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attainment</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106.25%</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U.S. Sales Office Contribution Margin excl. Retail Growth</w:t>
            </w:r>
            <w:r>
              <w:rPr>
                <w:rFonts w:ascii="Times New Roman" w:cs="Times New Roman" w:eastAsia="Times New Roman" w:hAnsi="Times New Roman"/>
                <w:sz w:val="25"/>
                <w:szCs w:val="25"/>
                <w:color w:val="auto"/>
                <w:vertAlign w:val="superscript"/>
              </w:rPr>
              <w:t>(1)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4.75%</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7.75%</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106.25%</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2024 Total Medline Adjusted EBITDA</w:t>
            </w:r>
            <w:r>
              <w:rPr>
                <w:rFonts w:ascii="Times New Roman" w:cs="Times New Roman" w:eastAsia="Times New Roman" w:hAnsi="Times New Roman"/>
                <w:sz w:val="25"/>
                <w:szCs w:val="25"/>
                <w:color w:val="auto"/>
                <w:vertAlign w:val="superscript"/>
              </w:rPr>
              <w:t>(2)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2,830</w:t>
            </w:r>
          </w:p>
        </w:tc>
        <w:tc>
          <w:tcPr>
            <w:tcW w:w="12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$ 3,009</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3,076</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Actual Attainment Percentage Performance Period</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Golwas, U.S. Sales Office Contribution Margin excl. Retail Growth which measures inventoriable costs and controllable expenses.</w:t>
      </w:r>
    </w:p>
    <w:p>
      <w:pPr>
        <w:spacing w:after="0" w:line="27" w:lineRule="exact"/>
        <w:rPr>
          <w:rFonts w:ascii="Times New Roman" w:cs="Times New Roman" w:eastAsia="Times New Roman" w:hAnsi="Times New Roman"/>
          <w:sz w:val="18"/>
          <w:szCs w:val="18"/>
          <w:color w:val="auto"/>
        </w:rPr>
      </w:pPr>
    </w:p>
    <w:p>
      <w:pPr>
        <w:ind w:left="540" w:right="400" w:hanging="424"/>
        <w:spacing w:after="0" w:line="26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Golwas, 2024 Total Medline Adjusted EBITDA Target includes acquisitions at 85% of deal thesis (Target) and was updated mid-year based on the acquisition of Microtek.</w:t>
      </w:r>
    </w:p>
    <w:p>
      <w:pPr>
        <w:spacing w:after="0" w:line="18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Mr. Golwas’s 2024 AIP opportunity included an “upside modifier,” which permitted him to earn up to an additional 25% of his unmodified maximum bonus opportunity to the extent U.S. Sales Office Contribution Margin excl. Retail Growth exceeded 7.75%. The modifier percentage was determined based on the U.S. Sales Office Contribution Margin excl. Retail Growth performance between 7.75% and 11.75%, interpolated on a straight-line basis. The U.S. Sales Office Contribution Margin excl. Retail Growth was   %, resulting in an upside modifier of   %. In addition, Mr. Golwas’s AIP opportunity also included an “expense modifier,” which provided that Mr. Golwas’s AIP bonus payout would be lowered or raised $3,000 for each 10 basis point increase or decrease in total selling expense growth above or below 70% of Sales Growth, respectively, subject to a cap of $25,000. However, the modifier cannot cause Mr. Golwas’s AIP bonus payout to exceed his maximum payout opportunity, which is set at 125% of his base salary. Total selling expense growth for 2024 was   %, resulting in an expense modifier of $        .</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Actual amounts paid under the AIP were calculated by multiplying each named executive officer’s base salary earned and paid in fiscal 2024 by</w:t>
      </w:r>
    </w:p>
    <w:p>
      <w:pPr>
        <w:spacing w:after="0" w:line="27" w:lineRule="exact"/>
        <w:rPr>
          <w:sz w:val="20"/>
          <w:szCs w:val="20"/>
          <w:color w:val="auto"/>
        </w:rPr>
      </w:pPr>
    </w:p>
    <w:p>
      <w:pPr>
        <w:jc w:val="both"/>
        <w:ind w:left="120" w:right="80" w:hanging="4"/>
        <w:spacing w:after="0" w:line="255" w:lineRule="auto"/>
        <w:tabs>
          <w:tab w:leader="none" w:pos="3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AIP target annual cash incentive opportunity (which is reflected as a percentage of eligible base salary), (ii) the executive’s AIP attainment percentage, and (iii) the executive’s upside modifier, if applicable. The following table illustrates the calculations of the AIP awards under the 2024 AIP based on 2024 performance.</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Target AIP</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Eligible Base</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 (%</w:t>
            </w:r>
          </w:p>
        </w:tc>
        <w:tc>
          <w:tcPr>
            <w:tcW w:w="140" w:type="dxa"/>
            <w:vAlign w:val="bottom"/>
          </w:tcPr>
          <w:p>
            <w:pPr>
              <w:spacing w:after="0"/>
              <w:rPr>
                <w:sz w:val="12"/>
                <w:szCs w:val="12"/>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Target AIP</w:t>
            </w: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Upside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vMerge w:val="restart"/>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Base</w:t>
            </w: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2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2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Modifier</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1,250,000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1,250,000</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810,000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688,500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1,100,000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1,100,000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 Shryock</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325,000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248,625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724,000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615,400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743,750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Compensation</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In 2021, following our acquisition by our Sponsors, certain key executives, including the Named Executive Officers, were granted long-term equity incentive awards designed to promote our interests and incentivize them to remain in our service. These long-term equity incentive awards were granted in the form of Class B Units in Mozart Management Aggregator LLC (the “Aggregator”). The Class B Units are “profits interests” under U.S.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federal income tax law having economic characteristics similar to stock appreciation rights (i.e., representing the right to share in any increase in the equity value of the Aggregator that exceeds a specified threshold). Unvested Class B Units are not entitled to distributions from the Aggregator other than tax distributions.</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specific sizes of awards under our Management Incentive Plan (“MIP”) and Class B Unit grants made to our Named Executive Officers are determined in consideration of our Sponsors’ practices with respect to management equity programs at other private companies in their respective portfolios, the executive officer’s position and level of responsibilities with us, and market data.</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2024 Management Incentive Plan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our 2024 MIP, each of our Named Executive Officers was eligible to earn a number of Class B Units based on fiscal 2024 performance. Awards under the MIP are initially expressed as “dollars at work” as of the award date (or “service inception date”) which are subsequently converted to a number of time-vesting Class B Units (the “Time-Vested Units”) on the grant date for the award to occur in the following fiscal year, at the price per unit on the grant date. The number of Time-Vested Units to be granted to our Named Executive Officers will depend on Company and individual performance relative to the 2024 MIP performance measures reflected in the tables below. Time-Vested Units vest 20% per year on each of the first five anniversaries of the grant date, subject to the Named Executive Officer’s continued employment with us through each applicable vesting date (except with respect to certain employment termination scenarios for Mr. Boyle and Mr. Pigott, as described below). In the event actual achievement of a performance objective is between levels, the earned “dollars at work” is calculated using linear interpolation. The number of Time-Vested Units to be delivered in 2025 will be determined by dividing the earned “dollars at work” by the threshold value, which is equal to the value of a Class A Unit on the grant date.</w:t>
      </w:r>
    </w:p>
    <w:p>
      <w:pPr>
        <w:spacing w:after="0" w:line="194"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2024 MIP performance measures and the corresponding threshold, target and maximum dollars at work opportunities for our Named Executive Officers are summarized in the tables below. For each of our Named Executive Officers, award under our 2024 MIP (the “2024 MIP Award”) is not earned, and no Class B Units will be delivered, unless threshold performance is achieved for the applicable performance objective. In no event may the earned dollars at work exceed the maximum amounts shown in the tables below, even if results are achieved above maximum performance.</w:t>
      </w:r>
    </w:p>
    <w:p>
      <w:pPr>
        <w:spacing w:after="0" w:line="164"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2024 MIP for each of Mr. Boyle and Mr. Pigott included a target dollars at work value of $3,450,000. The performance measures applicable to their 2024 MIP Awards were Adjusted EBITDA Year-Over-Year Growth and Sales Year-Over-Year growth. The threshold, target and maximum dollars at work amounts upon which the number of Class B Units actually delivered in 2025 will be determined are shown in the table below.</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2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320" w:type="dxa"/>
            <w:vAlign w:val="bottom"/>
          </w:tcPr>
          <w:p>
            <w:pPr>
              <w:spacing w:after="0"/>
              <w:rPr>
                <w:sz w:val="12"/>
                <w:szCs w:val="12"/>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at</w:t>
            </w:r>
          </w:p>
        </w:tc>
        <w:tc>
          <w:tcPr>
            <w:tcW w:w="172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Dollars at</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3240" w:type="dxa"/>
            <w:vAlign w:val="bottom"/>
            <w:gridSpan w:val="3"/>
          </w:tcPr>
          <w:p>
            <w:pPr>
              <w:jc w:val="center"/>
              <w:ind w:left="1295"/>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Year-Over-Year</w:t>
            </w:r>
          </w:p>
        </w:tc>
        <w:tc>
          <w:tcPr>
            <w:tcW w:w="3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Year-Over-Year</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8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Growth</w:t>
            </w:r>
          </w:p>
        </w:tc>
        <w:tc>
          <w:tcPr>
            <w:tcW w:w="4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Work</w:t>
            </w:r>
          </w:p>
        </w:tc>
        <w:tc>
          <w:tcPr>
            <w:tcW w:w="7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7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Work</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18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$1,423,125</w:t>
            </w:r>
          </w:p>
        </w:tc>
        <w:tc>
          <w:tcPr>
            <w:tcW w:w="7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3.70%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$301,875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3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5.20%</w:t>
            </w:r>
          </w:p>
        </w:tc>
        <w:tc>
          <w:tcPr>
            <w:tcW w:w="18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$2,846,250</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5.40%</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$603,750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3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w:t>
            </w:r>
          </w:p>
        </w:tc>
        <w:tc>
          <w:tcPr>
            <w:tcW w:w="18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$4,269,375</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9.00%</w:t>
            </w: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$906,625</w:t>
            </w:r>
          </w:p>
        </w:tc>
        <w:tc>
          <w:tcPr>
            <w:tcW w:w="0" w:type="dxa"/>
            <w:vAlign w:val="bottom"/>
          </w:tcPr>
          <w:p>
            <w:pPr>
              <w:spacing w:after="0"/>
              <w:rPr>
                <w:sz w:val="1"/>
                <w:szCs w:val="1"/>
                <w:color w:val="auto"/>
              </w:rPr>
            </w:pPr>
          </w:p>
        </w:tc>
      </w:tr>
      <w:tr>
        <w:trPr>
          <w:trHeight w:val="365"/>
        </w:trPr>
        <w:tc>
          <w:tcPr>
            <w:tcW w:w="2580" w:type="dxa"/>
            <w:vAlign w:val="bottom"/>
          </w:tcPr>
          <w:p>
            <w:pPr>
              <w:spacing w:after="0"/>
              <w:rPr>
                <w:sz w:val="24"/>
                <w:szCs w:val="24"/>
                <w:color w:val="auto"/>
              </w:rPr>
            </w:pPr>
          </w:p>
        </w:tc>
        <w:tc>
          <w:tcPr>
            <w:tcW w:w="280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153</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2024 MIP Awards for Messrs. Drazin, Shryock and Miller included target dollars at work value of $2,900,000 for Mr. Drazin, $750,000 for Mr. Shryock (which is a pro-rated amount based on his start date) and $2,700,000 for Mr. Miller. The performance measures applicable to each of their 2024 MIP Awards were formula attainment (i.e., the actual level of achievement of the performance criteria applicable to each Named Executive Officer’s annual bonus under the AIP) and Adjusted EBITDA. The threshold and maximum dollars at work amounts for formula attainment and the threshold, target and maximum Adjusted EBITDA measures upon which the number of Class B Units actually delivered in 2025 will be determined are shown in the table below.</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8"/>
              </w:rPr>
              <w:t>Threshold</w:t>
            </w:r>
          </w:p>
        </w:tc>
        <w:tc>
          <w:tcPr>
            <w:tcW w:w="320" w:type="dxa"/>
            <w:vAlign w:val="bottom"/>
            <w:gridSpan w:val="2"/>
            <w:vMerge w:val="restart"/>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8"/>
              </w:rPr>
              <w:t>Dollars at</w:t>
            </w:r>
          </w:p>
        </w:tc>
        <w:tc>
          <w:tcPr>
            <w:tcW w:w="12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Formula Attainment</w:t>
            </w:r>
          </w:p>
        </w:tc>
        <w:tc>
          <w:tcPr>
            <w:tcW w:w="74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Work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Maximum</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Drazin</w:t>
            </w: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2,175,000</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Threshold</w:t>
            </w:r>
          </w:p>
        </w:tc>
        <w:tc>
          <w:tcPr>
            <w:tcW w:w="3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Maximum</w:t>
            </w:r>
          </w:p>
        </w:tc>
        <w:tc>
          <w:tcPr>
            <w:tcW w:w="14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Shryock</w:t>
            </w: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562,500</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Threshold</w:t>
            </w:r>
          </w:p>
        </w:tc>
        <w:tc>
          <w:tcPr>
            <w:tcW w:w="3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Maximum</w:t>
            </w:r>
          </w:p>
        </w:tc>
        <w:tc>
          <w:tcPr>
            <w:tcW w:w="14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Miller</w:t>
            </w: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2,025,000</w:t>
            </w:r>
          </w:p>
        </w:tc>
        <w:tc>
          <w:tcPr>
            <w:tcW w:w="0" w:type="dxa"/>
            <w:vAlign w:val="bottom"/>
          </w:tcPr>
          <w:p>
            <w:pPr>
              <w:spacing w:after="0"/>
              <w:rPr>
                <w:sz w:val="1"/>
                <w:szCs w:val="1"/>
                <w:color w:val="auto"/>
              </w:rPr>
            </w:pPr>
          </w:p>
        </w:tc>
      </w:tr>
      <w:tr>
        <w:trPr>
          <w:trHeight w:val="392"/>
        </w:trPr>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Threshold</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Dollars at Work</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w w:val="71"/>
              </w:rPr>
              <w:t>Target</w:t>
            </w:r>
          </w:p>
        </w:tc>
        <w:tc>
          <w:tcPr>
            <w:tcW w:w="11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84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at Work</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color w:val="auto"/>
              </w:rPr>
              <w:t>Maximum</w:t>
            </w:r>
          </w:p>
        </w:tc>
        <w:tc>
          <w:tcPr>
            <w:tcW w:w="112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w w:val="72"/>
              </w:rPr>
              <w:t>Dollars</w:t>
            </w:r>
          </w:p>
        </w:tc>
        <w:tc>
          <w:tcPr>
            <w:tcW w:w="8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Drazin</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2,783,000,000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3,234,000,000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2,175,000</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Threshold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Dollars at Work</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Target</w:t>
            </w:r>
          </w:p>
        </w:tc>
        <w:tc>
          <w:tcPr>
            <w:tcW w:w="140" w:type="dxa"/>
            <w:vAlign w:val="bottom"/>
          </w:tcPr>
          <w:p>
            <w:pPr>
              <w:spacing w:after="0"/>
              <w:rPr>
                <w:sz w:val="22"/>
                <w:szCs w:val="22"/>
                <w:color w:val="auto"/>
              </w:rPr>
            </w:pPr>
          </w:p>
        </w:tc>
        <w:tc>
          <w:tcPr>
            <w:tcW w:w="12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Maximum</w:t>
            </w:r>
          </w:p>
        </w:tc>
        <w:tc>
          <w:tcPr>
            <w:tcW w:w="11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209"/>
        </w:trPr>
        <w:tc>
          <w:tcPr>
            <w:tcW w:w="1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Shryock</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2,783,000,000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3,234,000,000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562,500</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Threshold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Dollars at Work</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Target</w:t>
            </w:r>
          </w:p>
        </w:tc>
        <w:tc>
          <w:tcPr>
            <w:tcW w:w="140" w:type="dxa"/>
            <w:vAlign w:val="bottom"/>
          </w:tcPr>
          <w:p>
            <w:pPr>
              <w:spacing w:after="0"/>
              <w:rPr>
                <w:sz w:val="22"/>
                <w:szCs w:val="22"/>
                <w:color w:val="auto"/>
              </w:rPr>
            </w:pPr>
          </w:p>
        </w:tc>
        <w:tc>
          <w:tcPr>
            <w:tcW w:w="12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Maximum</w:t>
            </w:r>
          </w:p>
        </w:tc>
        <w:tc>
          <w:tcPr>
            <w:tcW w:w="11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209"/>
        </w:trPr>
        <w:tc>
          <w:tcPr>
            <w:tcW w:w="1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Miller</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2,783,000,000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3,234,000,000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2024 MIP Award for Mr. Golwas included a target dollars at work value of $2,750,000. The performance measures applicable to</w:t>
      </w:r>
    </w:p>
    <w:p>
      <w:pPr>
        <w:spacing w:after="0" w:line="27" w:lineRule="exact"/>
        <w:rPr>
          <w:sz w:val="20"/>
          <w:szCs w:val="20"/>
          <w:color w:val="auto"/>
        </w:rPr>
      </w:pPr>
    </w:p>
    <w:p>
      <w:pPr>
        <w:jc w:val="both"/>
        <w:ind w:left="120" w:right="80"/>
        <w:spacing w:after="0" w:line="290" w:lineRule="auto"/>
        <w:rPr>
          <w:sz w:val="20"/>
          <w:szCs w:val="20"/>
          <w:color w:val="auto"/>
        </w:rPr>
      </w:pPr>
      <w:r>
        <w:rPr>
          <w:rFonts w:ascii="Times New Roman" w:cs="Times New Roman" w:eastAsia="Times New Roman" w:hAnsi="Times New Roman"/>
          <w:sz w:val="17"/>
          <w:szCs w:val="17"/>
          <w:color w:val="auto"/>
        </w:rPr>
        <w:t>Mr. Golwas’s 2024 MIP Awards were U.S. Sales Office Contribution Margin excl. Retail Growth and Adjusted EBITDA. The threshold, target and maximum dollars at work amounts upon which the number of Class B Units actually delivered in 2025 will be determined are shown in the table below.</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60" w:type="dxa"/>
            <w:vAlign w:val="bottom"/>
            <w:gridSpan w:val="14"/>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U.S. Sales Office Contribution Margin excl. Retail Growth</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color w:val="auto"/>
              </w:rPr>
              <w:t>Threshold</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4"/>
              </w:rPr>
              <w:t>Dollars at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Work</w:t>
            </w:r>
          </w:p>
        </w:tc>
        <w:tc>
          <w:tcPr>
            <w:tcW w:w="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ind w:left="400"/>
              <w:spacing w:after="0" w:line="142" w:lineRule="exact"/>
              <w:rPr>
                <w:sz w:val="20"/>
                <w:szCs w:val="20"/>
                <w:color w:val="auto"/>
              </w:rPr>
            </w:pPr>
            <w:r>
              <w:rPr>
                <w:rFonts w:ascii="Times New Roman" w:cs="Times New Roman" w:eastAsia="Times New Roman" w:hAnsi="Times New Roman"/>
                <w:sz w:val="14"/>
                <w:szCs w:val="14"/>
                <w:color w:val="auto"/>
              </w:rPr>
              <w:t>Target</w:t>
            </w:r>
          </w:p>
        </w:tc>
        <w:tc>
          <w:tcPr>
            <w:tcW w:w="4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75"/>
              </w:rPr>
              <w:t>Maximum</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at Work</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Golwas</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4"/>
                <w:szCs w:val="24"/>
                <w:color w:val="auto"/>
              </w:rPr>
            </w:pPr>
          </w:p>
        </w:tc>
        <w:tc>
          <w:tcPr>
            <w:tcW w:w="14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Threshold</w:t>
            </w:r>
          </w:p>
        </w:tc>
        <w:tc>
          <w:tcPr>
            <w:tcW w:w="140" w:type="dxa"/>
            <w:vAlign w:val="bottom"/>
          </w:tcPr>
          <w:p>
            <w:pPr>
              <w:spacing w:after="0"/>
              <w:rPr>
                <w:sz w:val="24"/>
                <w:szCs w:val="24"/>
                <w:color w:val="auto"/>
              </w:rPr>
            </w:pP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Pr>
          <w:p>
            <w:pPr>
              <w:spacing w:after="0"/>
              <w:rPr>
                <w:sz w:val="24"/>
                <w:szCs w:val="24"/>
                <w:color w:val="auto"/>
              </w:rPr>
            </w:pP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81"/>
              </w:rPr>
              <w:t>Target</w:t>
            </w: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7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Maximum</w:t>
            </w:r>
          </w:p>
        </w:tc>
        <w:tc>
          <w:tcPr>
            <w:tcW w:w="140" w:type="dxa"/>
            <w:vAlign w:val="bottom"/>
          </w:tcPr>
          <w:p>
            <w:pPr>
              <w:spacing w:after="0"/>
              <w:rPr>
                <w:sz w:val="24"/>
                <w:szCs w:val="2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Golwas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$ 2,783,000,000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$ 3,009,000,000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$ 3,234,000,000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2024 Equity Awards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July 1, 2024, in addition to his 2024 MIP Award, Mr. Shryock received a grant of 6,976,744 Time-Vested Units with a grant date fair value of $3,976,744, in connection with his commencement of employment with us.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March 29, 2024, Mr. Miller received a key talent grant (“Key Talent Grant”) after the compensation committee reviewed his role and his relative equity interests in Medline and decided to further align his interests with the interests of our Sponsors. The Key Talent Grant consists of 3,703,704 Time-Vested Units with a grant date fair value of $1,740,741 and 1,851,852 performance-vesting Class B Units with a grant date fair value of $0 (the “Performance-Vested Units”), which vest based on achievement of performance metrics tied to multiples of our Sponsors’ invested capital in Medline Holdings (“MOIC”). Achievement of the performance conditions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applicable to Mr. Miller’s Performance-Vested Units was deemed not probable on the grant date, resulting in a grant date fair value of $0. 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30-day volume weighted average closing price of Class A Units of Medline Holdings (and/or equity securities held by the Sponsors that were received in respect of Class A Units of Medline Holdings in connection with this offering, as determined by the board of directors.</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further discussion of the vesting and other terms of the Class B Units, see “Narrative Disclosure to Summary Compensation Table and Grants of Plan-Based Awards Table.”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Sign-on, Retention and Discretionary Bonuses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Mr. Shryock received a sign-on bonus in the amount of $130,000 in connection with his commencement of employment with us on July 1, 2024. Mr. Shryock is obligated to repay all or a portion of the sign-on bonus if his employment terminates prior to the second anniversary of his start date, as follows: (i) 100% if terminated within 12 months of his start date, (ii) 75% if terminated within 13 to 16 months of his start date, (iii) 50% if terminated within 17 to 20 months of his start date, and (iv) 25% if terminated within 21 to 24 months of his start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our Named Executive Officers, other than Mr. Shryock, received discretionary bonuses in FY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available to all of our salaried U.S.-based employees.</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maintain a defined contribution plan that is tax-qualified under Section 401(k) of the U.S. Internal Revenue Code of 1986, as amended (the “Code”) and that we refer to as the “Medline Industries, LP Retirement Plan” or the “401(k) Plan.” The 401(k) Plan is offered on a nondiscriminatory basis to our full-time regular employees, including our Named Executive Officers, and our eligible part-time employees. Subject to certain limitations imposed by the Code, the 401(k) Plan permits eligible employees to defer receipt of up to 75% of their eligible compensation on a pre-tax basis (or on a post-tax basis, with respect to elective Roth deferrals).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60"/>
          </w:cols>
          <w:pgMar w:left="320" w:top="455" w:right="5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provide matching contributions to the 401(k) Plan in an amount equal to 50% of each participant’s first 8% of deferrals (but not to exceed $7,000 per participant), subject to certain other limits. Participants are 100% vested in both their individual contributions and the matching contributions. Mr. Shryock was not eligible for employer matching contributions during 2024.</w:t>
      </w:r>
    </w:p>
    <w:p>
      <w:pPr>
        <w:spacing w:after="0" w:line="176" w:lineRule="exact"/>
        <w:rPr>
          <w:sz w:val="20"/>
          <w:szCs w:val="20"/>
          <w:color w:val="auto"/>
        </w:rPr>
      </w:pPr>
    </w:p>
    <w:p>
      <w:pPr>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w:t>
      </w:r>
    </w:p>
    <w:p>
      <w:pPr>
        <w:spacing w:after="0" w:line="12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We believe that reasonable and appropriate severance benefits are necessary in order to be competitive in Medline’s executive attraction and retention efforts. As discussed below, the agreements with Messrs. Boyle and Pigott provide for certain payments, rights and benefits upon certain qualifying terminations from Medline. See “—Potential Payments Upon Termination or Change in Control” below for a description of these benefits.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Effective upon the completion of this offering, we have adopted a compensation recovery policy as required by Rule 10D-1 under the Exchange Act and the corresponding listing standard adopted by Nasdaq. The policy generally provides that if we are required to prepare an accounting 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all Class B Unit awards obligate the recipient to repay any after-tax proceeds received in respect of Class B Units if the recipient is terminated for cause (or we discover within one year following termination that grounds to terminate the recipient’s employment for cause existed at the time of termination) or violates restrictive covenants.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Compensation—Stock Compensation (“ASC Topic 718”).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Named Executive Officers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October 2023, we entered into employment agreements with Messrs. Boyle and Pigott in connection with their promotion to the roles of Chief Executive Officer and President and Chief Operating Officer, respectively, which provide for certain payments, rights and benefits upon certain qualifying terminations from Medline. In addition, in October 2024, we entered into a transition and separation agreement with Mr. Pigott that sets forth the payments and benefits Mr. Pigott will receive in connection with his departure. The material terms of Mr. Boyle’s employment agreement and</w:t>
      </w:r>
    </w:p>
    <w:p>
      <w:pPr>
        <w:spacing w:after="0" w:line="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Mr. Pigott’s transition and separation agreement are described below under “Narrative Disclosure to Summary Compensation Table and Grants of Plan-Based Awards Table—Agreements with Named Executive Officers.”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Actions Taken in Connection with This Offering</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are working with Korn Ferry, our compensation consultant, to formalize our post-offering compensation programs and implement compensation arrangements that reflect our compensation philosophy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earned by our Named Executive Officers for services rendered for the fiscal year ended December 31, 2024.</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Change in</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Pension Value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10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Non-Qualified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Salary</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Bonus</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3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55"/>
        </w:trPr>
        <w:tc>
          <w:tcPr>
            <w:tcW w:w="3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80" w:type="dxa"/>
            <w:vAlign w:val="bottom"/>
          </w:tcPr>
          <w:p>
            <w:pPr>
              <w:jc w:val="center"/>
              <w:ind w:right="160"/>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240" w:type="dxa"/>
            <w:vAlign w:val="bottom"/>
          </w:tcPr>
          <w:p>
            <w:pPr>
              <w:spacing w:after="0"/>
              <w:rPr>
                <w:sz w:val="13"/>
                <w:szCs w:val="13"/>
                <w:color w:val="auto"/>
              </w:rPr>
            </w:pPr>
          </w:p>
        </w:tc>
        <w:tc>
          <w:tcPr>
            <w:tcW w:w="64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 xml:space="preserve"> (2)</w:t>
            </w:r>
          </w:p>
        </w:tc>
        <w:tc>
          <w:tcPr>
            <w:tcW w:w="24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(3)</w:t>
            </w:r>
          </w:p>
        </w:tc>
        <w:tc>
          <w:tcPr>
            <w:tcW w:w="22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(4)</w:t>
            </w:r>
          </w:p>
        </w:tc>
        <w:tc>
          <w:tcPr>
            <w:tcW w:w="2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Earnings ($)</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(5)</w:t>
            </w:r>
          </w:p>
        </w:tc>
        <w:tc>
          <w:tcPr>
            <w:tcW w:w="240" w:type="dxa"/>
            <w:vAlign w:val="bottom"/>
          </w:tcPr>
          <w:p>
            <w:pPr>
              <w:spacing w:after="0"/>
              <w:rPr>
                <w:sz w:val="13"/>
                <w:szCs w:val="13"/>
                <w:color w:val="auto"/>
              </w:rPr>
            </w:pP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1,201,111</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70"/>
              </w:rPr>
              <w:t>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Michael B. Drazin</w:t>
            </w:r>
          </w:p>
        </w:tc>
        <w:tc>
          <w:tcPr>
            <w:tcW w:w="820" w:type="dxa"/>
            <w:vAlign w:val="bottom"/>
            <w:gridSpan w:val="3"/>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02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810,000</w:t>
            </w:r>
          </w:p>
        </w:tc>
        <w:tc>
          <w:tcPr>
            <w:tcW w:w="8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1,009,630</w:t>
            </w:r>
          </w:p>
        </w:tc>
        <w:tc>
          <w:tcPr>
            <w:tcW w:w="660" w:type="dxa"/>
            <w:vAlign w:val="bottom"/>
            <w:gridSpan w:val="2"/>
          </w:tcPr>
          <w:p>
            <w:pPr>
              <w:ind w:left="34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7,000</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1,100,000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1,201,111</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Operating Officer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Christopher P. Shryock</w:t>
            </w:r>
          </w:p>
        </w:tc>
        <w:tc>
          <w:tcPr>
            <w:tcW w:w="820" w:type="dxa"/>
            <w:vAlign w:val="bottom"/>
            <w:gridSpan w:val="3"/>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02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325,000</w:t>
            </w:r>
          </w:p>
        </w:tc>
        <w:tc>
          <w:tcPr>
            <w:tcW w:w="8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130,000</w:t>
            </w:r>
          </w:p>
        </w:tc>
        <w:tc>
          <w:tcPr>
            <w:tcW w:w="10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4,237,855</w:t>
            </w:r>
          </w:p>
        </w:tc>
        <w:tc>
          <w:tcPr>
            <w:tcW w:w="660" w:type="dxa"/>
            <w:vAlign w:val="bottom"/>
            <w:gridSpan w:val="2"/>
          </w:tcPr>
          <w:p>
            <w:pPr>
              <w:ind w:left="34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284,043</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Human Resource Officer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724,000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2,680,741</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EVP, Supply Chain</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Douglas P. Golwas</w:t>
            </w:r>
          </w:p>
        </w:tc>
        <w:tc>
          <w:tcPr>
            <w:tcW w:w="820" w:type="dxa"/>
            <w:vAlign w:val="bottom"/>
            <w:gridSpan w:val="3"/>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02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700,000</w:t>
            </w:r>
          </w:p>
        </w:tc>
        <w:tc>
          <w:tcPr>
            <w:tcW w:w="8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957,407</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7,000</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Named Executive Officer’s base salary earned during the 2024 fiscal year.</w:t>
      </w:r>
    </w:p>
    <w:p>
      <w:pPr>
        <w:spacing w:after="0" w:line="27" w:lineRule="exact"/>
        <w:rPr>
          <w:rFonts w:ascii="Times New Roman" w:cs="Times New Roman" w:eastAsia="Times New Roman" w:hAnsi="Times New Roman"/>
          <w:sz w:val="18"/>
          <w:szCs w:val="18"/>
          <w:color w:val="auto"/>
        </w:rPr>
      </w:pPr>
    </w:p>
    <w:p>
      <w:pPr>
        <w:ind w:left="540" w:right="1380" w:hanging="424"/>
        <w:spacing w:after="0" w:line="250"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reflects the sign-on bonus paid to Mr. Shryock upon the commencement of his employment. See “—Other Compensation—Sign-on, Retention and Discretionary Bonuses” above for further information.</w:t>
      </w:r>
    </w:p>
    <w:p>
      <w:pPr>
        <w:ind w:left="540" w:right="120" w:hanging="424"/>
        <w:spacing w:after="0" w:line="251"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(i) the fair value of each Named Executive Officer’s 2024 MIP Awards at the service inception date for the award; (ii) the grant date fair value of Time-Vested Units granted to Mr. Shryock in connection with his hiring; and (iii) the grant date fair value of the Time-Vested Units and Performance-Vested Units awarded to Mr. Miller as part of his Key Talent Grant, in each case, computed in accordance with ASC Topic 718. The 2024 MIP Awards are initially expressed as “dollars at work,” which are earned based on Company and individual performance against the performance goals specified in the 2024 Management Incentive Plan and converted into a number of Time-Vested Units in the following fiscal year by dividing the earned dollars at work by the “threshold value” (equal to the value of a Class A Unit on the grant date). Due to the substantial uncertainty surrounding the number of Time-Vested Units that will ultimately be granted and the fact that a mutual understanding of the key terms of the awards will not be established until the earned “dollars at work” is settled and the applicable threshold value for the awards is approved, a grant date for accounting purposes will not be established until the Time-Vested Units are delivered, which is expected to occur on or around April 1, 2025. However, since the service inception date precedes the grant date, the Company will recognize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calculating the value of the 2024 MIP Awards reflected in the table, amounts were computed based on the probable outcome of the performance conditions applicable to each award on the service inception date. Assuming maximum achievement of the applicable performance conditions, the fair values of the 2024 MIP Awards granted to our Named Executive Officers in fiscal 2024 were as follows: Mr. Boyle: $1,801,667; Mr. Drazin: $1,514,444; Mr. Pigott: $1,801,667; Mr. Shryock: $391,667; Mr. Miller: $1,410,000; and Mr. Golwas $1,436,111. The 2.25x, 2.50x and 2.75x Performance-Vested Class B Units granted to Mr. Miller in 2024 are subject to market conditions and an implied performance condition as defined under applicable accounting standards, and the grant date fair value of such Performance-Vested Class B Units was computed based upon the probable outcome of the performance conditions as of the grant date in accordance with ASC Topic 718. Achievement of the performance conditions applicable to these awards was not deemed probable on the grant date and, accordingly, no value is included in the table for these awards. Assuming achievement of the performance conditions, the aggregate grant date fair values of these awards would have been $820,988. For information regarding the assumptions used in determining the fair value of these awards, please refer to Note 15, “Stock-Based Compensation” of our audited consolidated financial statements included elsewhere in this prospectus.</w:t>
      </w:r>
    </w:p>
    <w:p>
      <w:pPr>
        <w:spacing w:after="0" w:line="4" w:lineRule="exact"/>
        <w:rPr>
          <w:sz w:val="20"/>
          <w:szCs w:val="20"/>
          <w:color w:val="auto"/>
        </w:rPr>
      </w:pPr>
    </w:p>
    <w:p>
      <w:pPr>
        <w:ind w:left="540" w:right="60" w:hanging="424"/>
        <w:spacing w:after="0" w:line="250"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reflect the Named Executive Officer’s annual cash incentive awards earned by each Named Executive Officer pursuant to the AIP. The terms of the AIP described more fully above under “—Compensation Elements —Annual Incentive Compensation” above. The 2024 annual cash incentive awards under the AIP are not calculable as of the date of this prospectus and are expected to be determined in the first quarter of 2025.</w:t>
      </w:r>
    </w:p>
    <w:p>
      <w:pPr>
        <w:spacing w:after="0" w:line="1" w:lineRule="exact"/>
        <w:rPr>
          <w:rFonts w:ascii="Times New Roman" w:cs="Times New Roman" w:eastAsia="Times New Roman" w:hAnsi="Times New Roman"/>
          <w:sz w:val="18"/>
          <w:szCs w:val="18"/>
          <w:color w:val="auto"/>
        </w:rPr>
      </w:pPr>
    </w:p>
    <w:p>
      <w:pPr>
        <w:jc w:val="both"/>
        <w:ind w:left="540" w:right="80" w:hanging="424"/>
        <w:spacing w:after="0" w:line="255"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for Messrs. Boyle, Drazin, Pigott, Miller, and Golwas represent employer contributions to our 401(k) plan in the fiscal year ended December 31, 2024. Amounts reported in this column for Mr. Shryock represent the following: $226,842 for relocation benefits in connection with his transition to the Chicago area, and a related tax gross-up of $57,201 with respect to the relocation benefit.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Plan-Based Awards in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grants of plan-based awards to our Named Executive Officers during the 2024 fiscal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5"/>
            <w:vMerge w:val="restart"/>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6"/>
              </w:rPr>
              <w:t>Estimated Future</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0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66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6"/>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Payouts Under Non-Equity</w:t>
            </w:r>
          </w:p>
        </w:tc>
        <w:tc>
          <w:tcPr>
            <w:tcW w:w="2320" w:type="dxa"/>
            <w:vAlign w:val="bottom"/>
            <w:gridSpan w:val="8"/>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Payouts Under Equity Incentive</w:t>
            </w: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Borders>
              <w:bottom w:val="single" w:sz="8" w:color="auto"/>
            </w:tcBorders>
            <w:gridSpan w:val="5"/>
          </w:tcPr>
          <w:p>
            <w:pPr>
              <w:jc w:val="center"/>
              <w:spacing w:after="0" w:line="102" w:lineRule="exact"/>
              <w:rPr>
                <w:sz w:val="20"/>
                <w:szCs w:val="20"/>
                <w:color w:val="auto"/>
              </w:rPr>
            </w:pPr>
            <w:r>
              <w:rPr>
                <w:rFonts w:ascii="Times New Roman" w:cs="Times New Roman" w:eastAsia="Times New Roman" w:hAnsi="Times New Roman"/>
                <w:sz w:val="8"/>
                <w:szCs w:val="8"/>
                <w:b w:val="1"/>
                <w:bCs w:val="1"/>
                <w:color w:val="auto"/>
              </w:rPr>
              <w:t>Incentive Plan Awards</w:t>
            </w:r>
            <w:r>
              <w:rPr>
                <w:rFonts w:ascii="Times New Roman" w:cs="Times New Roman" w:eastAsia="Times New Roman" w:hAnsi="Times New Roman"/>
                <w:sz w:val="11"/>
                <w:szCs w:val="11"/>
                <w:b w:val="1"/>
                <w:bCs w:val="1"/>
                <w:color w:val="auto"/>
                <w:vertAlign w:val="superscript"/>
              </w:rPr>
              <w:t>(2)</w:t>
            </w:r>
          </w:p>
        </w:tc>
        <w:tc>
          <w:tcPr>
            <w:tcW w:w="1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ind w:right="60"/>
              <w:spacing w:after="0" w:line="102" w:lineRule="exact"/>
              <w:rPr>
                <w:sz w:val="20"/>
                <w:szCs w:val="20"/>
                <w:color w:val="auto"/>
              </w:rPr>
            </w:pPr>
            <w:r>
              <w:rPr>
                <w:rFonts w:ascii="Times New Roman" w:cs="Times New Roman" w:eastAsia="Times New Roman" w:hAnsi="Times New Roman"/>
                <w:sz w:val="10"/>
                <w:szCs w:val="10"/>
                <w:b w:val="1"/>
                <w:bCs w:val="1"/>
                <w:color w:val="auto"/>
              </w:rPr>
              <w:t>Plan Awards</w:t>
            </w: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6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0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6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3"/>
                <w:szCs w:val="13"/>
                <w:b w:val="1"/>
                <w:bCs w:val="1"/>
                <w:color w:val="auto"/>
                <w:w w:val="94"/>
              </w:rPr>
              <w:t>Stock and</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7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60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60" w:type="dxa"/>
            <w:vAlign w:val="bottom"/>
            <w:gridSpan w:val="2"/>
          </w:tcPr>
          <w:p>
            <w:pPr>
              <w:jc w:val="center"/>
              <w:ind w:right="40"/>
              <w:spacing w:after="0" w:line="136"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5"/>
        </w:trPr>
        <w:tc>
          <w:tcPr>
            <w:tcW w:w="2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1"/>
                <w:szCs w:val="11"/>
                <w:color w:val="auto"/>
              </w:rPr>
            </w:pPr>
          </w:p>
        </w:tc>
        <w:tc>
          <w:tcPr>
            <w:tcW w:w="80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5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100" w:type="dxa"/>
            <w:vAlign w:val="bottom"/>
          </w:tcPr>
          <w:p>
            <w:pPr>
              <w:spacing w:after="0"/>
              <w:rPr>
                <w:sz w:val="11"/>
                <w:szCs w:val="11"/>
                <w:color w:val="auto"/>
              </w:rPr>
            </w:pPr>
          </w:p>
        </w:tc>
        <w:tc>
          <w:tcPr>
            <w:tcW w:w="90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6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55"/>
        </w:trPr>
        <w:tc>
          <w:tcPr>
            <w:tcW w:w="26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7"/>
                <w:szCs w:val="17"/>
                <w:b w:val="1"/>
                <w:bCs w:val="1"/>
                <w:color w:val="auto"/>
                <w:vertAlign w:val="superscript"/>
              </w:rPr>
              <w:t>(1)</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1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James M. Boyle</w:t>
            </w:r>
          </w:p>
        </w:tc>
        <w:tc>
          <w:tcPr>
            <w:tcW w:w="8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1,250,000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1,875,000</w:t>
            </w:r>
          </w:p>
        </w:tc>
        <w:tc>
          <w:tcPr>
            <w:tcW w:w="1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223,611</w:t>
            </w:r>
          </w:p>
        </w:tc>
        <w:tc>
          <w:tcPr>
            <w:tcW w:w="98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2,555,556</w:t>
            </w:r>
          </w:p>
        </w:tc>
        <w:tc>
          <w:tcPr>
            <w:tcW w:w="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3,833,333</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1,201,111</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8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8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688,500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1,012,500</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537,037</w:t>
            </w: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2,148,148</w:t>
            </w:r>
          </w:p>
        </w:tc>
        <w:tc>
          <w:tcPr>
            <w:tcW w:w="20" w:type="dxa"/>
            <w:vAlign w:val="bottom"/>
          </w:tcPr>
          <w:p>
            <w:pPr>
              <w:spacing w:after="0"/>
              <w:rPr>
                <w:sz w:val="16"/>
                <w:szCs w:val="16"/>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3,222,222</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1,009,630</w:t>
            </w:r>
          </w:p>
        </w:tc>
        <w:tc>
          <w:tcPr>
            <w:tcW w:w="0" w:type="dxa"/>
            <w:vAlign w:val="bottom"/>
          </w:tcPr>
          <w:p>
            <w:pPr>
              <w:spacing w:after="0"/>
              <w:rPr>
                <w:sz w:val="1"/>
                <w:szCs w:val="1"/>
                <w:color w:val="auto"/>
              </w:rPr>
            </w:pPr>
          </w:p>
        </w:tc>
      </w:tr>
      <w:tr>
        <w:trPr>
          <w:trHeight w:val="109"/>
        </w:trPr>
        <w:tc>
          <w:tcPr>
            <w:tcW w:w="262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James M. Pigott</w:t>
            </w:r>
          </w:p>
        </w:tc>
        <w:tc>
          <w:tcPr>
            <w:tcW w:w="8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1,100,000</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1,650,000</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223,611</w:t>
            </w:r>
          </w:p>
        </w:tc>
        <w:tc>
          <w:tcPr>
            <w:tcW w:w="98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2,555,556</w:t>
            </w:r>
          </w:p>
        </w:tc>
        <w:tc>
          <w:tcPr>
            <w:tcW w:w="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3,833,333</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1,201,111</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8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Christopher P. Shryock</w:t>
            </w:r>
          </w:p>
        </w:tc>
        <w:tc>
          <w:tcPr>
            <w:tcW w:w="8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7/1/2024</w:t>
            </w:r>
            <w:r>
              <w:rPr>
                <w:rFonts w:ascii="Times New Roman" w:cs="Times New Roman" w:eastAsia="Times New Roman" w:hAnsi="Times New Roman"/>
                <w:sz w:val="10"/>
                <w:szCs w:val="10"/>
                <w:color w:val="auto"/>
              </w:rPr>
              <w:t>(3)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248,625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365,625</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138,889</w:t>
            </w: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555,556</w:t>
            </w:r>
          </w:p>
        </w:tc>
        <w:tc>
          <w:tcPr>
            <w:tcW w:w="20" w:type="dxa"/>
            <w:vAlign w:val="bottom"/>
          </w:tcPr>
          <w:p>
            <w:pPr>
              <w:spacing w:after="0"/>
              <w:rPr>
                <w:sz w:val="16"/>
                <w:szCs w:val="16"/>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833,333</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261,111</w:t>
            </w:r>
          </w:p>
        </w:tc>
        <w:tc>
          <w:tcPr>
            <w:tcW w:w="0" w:type="dxa"/>
            <w:vAlign w:val="bottom"/>
          </w:tcPr>
          <w:p>
            <w:pPr>
              <w:spacing w:after="0"/>
              <w:rPr>
                <w:sz w:val="1"/>
                <w:szCs w:val="1"/>
                <w:color w:val="auto"/>
              </w:rPr>
            </w:pPr>
          </w:p>
        </w:tc>
      </w:tr>
      <w:tr>
        <w:trPr>
          <w:trHeight w:val="86"/>
        </w:trPr>
        <w:tc>
          <w:tcPr>
            <w:tcW w:w="26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6,976,744</w:t>
            </w:r>
            <w:r>
              <w:rPr>
                <w:rFonts w:ascii="Times New Roman" w:cs="Times New Roman" w:eastAsia="Times New Roman" w:hAnsi="Times New Roman"/>
                <w:sz w:val="10"/>
                <w:szCs w:val="10"/>
                <w:color w:val="auto"/>
              </w:rPr>
              <w:t>(4)</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9/27/2024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3,976,444</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Stephen L. Miller</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615,400</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905,000</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500,000</w:t>
            </w:r>
          </w:p>
        </w:tc>
        <w:tc>
          <w:tcPr>
            <w:tcW w:w="98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2,000,000</w:t>
            </w:r>
          </w:p>
        </w:tc>
        <w:tc>
          <w:tcPr>
            <w:tcW w:w="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3,000,000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940,000</w:t>
            </w:r>
          </w:p>
        </w:tc>
        <w:tc>
          <w:tcPr>
            <w:tcW w:w="0" w:type="dxa"/>
            <w:vAlign w:val="bottom"/>
          </w:tcPr>
          <w:p>
            <w:pPr>
              <w:spacing w:after="0"/>
              <w:rPr>
                <w:sz w:val="1"/>
                <w:szCs w:val="1"/>
                <w:color w:val="auto"/>
              </w:rPr>
            </w:pPr>
          </w:p>
        </w:tc>
      </w:tr>
      <w:tr>
        <w:trPr>
          <w:trHeight w:val="126"/>
        </w:trPr>
        <w:tc>
          <w:tcPr>
            <w:tcW w:w="2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98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3,703,704</w:t>
            </w:r>
            <w:r>
              <w:rPr>
                <w:rFonts w:ascii="Times New Roman" w:cs="Times New Roman" w:eastAsia="Times New Roman" w:hAnsi="Times New Roman"/>
                <w:sz w:val="10"/>
                <w:szCs w:val="10"/>
                <w:color w:val="auto"/>
              </w:rPr>
              <w:t>(5)</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1,740,741</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(6)</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(7)</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3/29/2024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(8)</w:t>
            </w: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8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743,750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1,093,750</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305,556</w:t>
            </w: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2,037,037</w:t>
            </w:r>
          </w:p>
        </w:tc>
        <w:tc>
          <w:tcPr>
            <w:tcW w:w="20" w:type="dxa"/>
            <w:vAlign w:val="bottom"/>
          </w:tcPr>
          <w:p>
            <w:pPr>
              <w:spacing w:after="0"/>
              <w:rPr>
                <w:sz w:val="16"/>
                <w:szCs w:val="16"/>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3,055,556</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957,407</w:t>
            </w:r>
          </w:p>
        </w:tc>
        <w:tc>
          <w:tcPr>
            <w:tcW w:w="0" w:type="dxa"/>
            <w:vAlign w:val="bottom"/>
          </w:tcPr>
          <w:p>
            <w:pPr>
              <w:spacing w:after="0"/>
              <w:rPr>
                <w:sz w:val="1"/>
                <w:szCs w:val="1"/>
                <w:color w:val="auto"/>
              </w:rPr>
            </w:pPr>
          </w:p>
        </w:tc>
      </w:tr>
      <w:tr>
        <w:trPr>
          <w:trHeight w:val="126"/>
        </w:trPr>
        <w:tc>
          <w:tcPr>
            <w:tcW w:w="26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column, the grant date for the awards is the grant date or, if earlier, the service inception date determined under ASC Topic 718.</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540" w:hanging="424"/>
        <w:spacing w:after="0" w:line="233" w:lineRule="auto"/>
        <w:tabs>
          <w:tab w:leader="none" w:pos="5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reflect the cash incentive award opportunity range under our AIP, the terms of which are summarized under “—Compensation Elements—Annual Incentive Compensation” above.</w:t>
      </w:r>
    </w:p>
    <w:p>
      <w:pPr>
        <w:ind w:left="540" w:right="20" w:hanging="424"/>
        <w:spacing w:after="0" w:line="221" w:lineRule="auto"/>
        <w:tabs>
          <w:tab w:leader="none" w:pos="5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MIP Awards are initially expressed as “dollars at work,” which are delivered in Time-Vested Units in the following fiscal year depending on Company and individual performance relative to the 2024 MIP performance goals, as summarized under “—Compensation Elements—Long-Term Equity Incentive Compensation—2024 Management Incentive Plan” and in footnote 3 to the Summary Compensation Table. The number of Time-Vested Units reflected in the table above reflect the threshold, target and maximum “dollars at work” awarded to the Named Executive Officer as of the service inception date, divided by the threshold value (equal to the value of a Class A Unit) on such date.</w:t>
      </w:r>
    </w:p>
    <w:p>
      <w:pPr>
        <w:spacing w:after="0" w:line="1"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Time-Vested Units granted to Mr. Shryock in connection with the commencement of employment, that vest over 5 years, with 20% vesting on the 12-month anniversary of the vesting commencement date and an additional 20% vesting every year thereafter. The grant date fair value of these awards is calculated in accordance with ASC Topic 718. See footnote 3 to the Summary Compensation Table.</w:t>
      </w:r>
    </w:p>
    <w:p>
      <w:pPr>
        <w:ind w:left="540" w:right="20" w:hanging="424"/>
        <w:spacing w:after="0" w:line="221" w:lineRule="auto"/>
        <w:tabs>
          <w:tab w:leader="none" w:pos="5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Units granted to Mr. Miller as part of his Key Talent Award, that vest over 5 years, with 20% vesting on the 12-month anniversary of the vesting commencement date and an additional 20% vesting every year thereafter. The grant date fair value of these awards is calculated in accordance with ASC Topic 718. See footnote 3 to the Summary Compensation Table.</w:t>
      </w:r>
    </w:p>
    <w:p>
      <w:pPr>
        <w:ind w:left="540" w:right="220" w:hanging="424"/>
        <w:spacing w:after="0" w:line="221" w:lineRule="auto"/>
        <w:tabs>
          <w:tab w:leader="none" w:pos="5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granted to Mr. Miller as part of his Key Talent Award, that vest based on achievement of performance metrics tied to multiples of our Sponsors’ invested capital in Holdings (2.25x MOIC). The grant date fair value of the Performance-Vested Units is calculated in accordance with ASC Topic 718 and based on the probable outcome of the performance conditions on the date of grant. See footnote 3 to the Summary Compensation Table.</w:t>
      </w:r>
    </w:p>
    <w:p>
      <w:pPr>
        <w:ind w:left="540" w:right="220" w:hanging="424"/>
        <w:spacing w:after="0" w:line="221" w:lineRule="auto"/>
        <w:tabs>
          <w:tab w:leader="none" w:pos="5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granted to Mr. Miller as part of his Key Talent Award, that vest based on achievement of performance metrics tied to multiples of our Sponsors’ invested capital in Holdings (2.50x MOIC). The grant date fair value of the Performance-Vested Units is calculated in accordance with ASC Topic 718 and based on the probable outcome of the performance conditions on the date of grant. See footnote 3 to the Summary Compensation Table.</w:t>
      </w:r>
    </w:p>
    <w:p>
      <w:pPr>
        <w:ind w:left="540" w:right="220" w:hanging="424"/>
        <w:spacing w:after="0" w:line="233" w:lineRule="auto"/>
        <w:tabs>
          <w:tab w:leader="none" w:pos="5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granted to Mr. Miller as part of his Key Talent Award, that vest based on achievement of performance metrics tied to multiples of our Sponsors’ invested capital in Holdings (2.75x MOIC). The grant date fair value of the Performance-Vested Units is calculated in accordance with ASC Topic 718 and based on the probable outcome of the performance conditions on the date of grant. See footnote 3 to the Summary Compensation Table.</w:t>
      </w:r>
    </w:p>
    <w:p>
      <w:pPr>
        <w:spacing w:after="0" w:line="285" w:lineRule="exact"/>
        <w:rPr>
          <w:sz w:val="20"/>
          <w:szCs w:val="20"/>
          <w:color w:val="auto"/>
        </w:rPr>
      </w:pPr>
    </w:p>
    <w:p>
      <w:pPr>
        <w:ind w:left="120" w:right="36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Narrative Disclosure to Summary Compensation Table and Grants of Plan-Based Awards Table </w:t>
      </w:r>
      <w:r>
        <w:rPr>
          <w:rFonts w:ascii="Times New Roman" w:cs="Times New Roman" w:eastAsia="Times New Roman" w:hAnsi="Times New Roman"/>
          <w:sz w:val="18"/>
          <w:szCs w:val="18"/>
          <w:b w:val="1"/>
          <w:bCs w:val="1"/>
          <w:i w:val="1"/>
          <w:iCs w:val="1"/>
          <w:color w:val="auto"/>
        </w:rPr>
        <w:t>Agreements with Named Executive Officers</w:t>
      </w: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descriptions of the employment agreements and other agreements with certain Named Executive Officers are qualified in their entirety by the full terms and conditions thereof. Each employment and other agreement, including any amendments, is filed as an exhibit to the registration statement of which this prospectus forms a part and is incorporated herein by reference.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Agreement with Mr. Boyle</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James M. Boyle, effective as of October 1, 2023, which we refer to as the “Boyle employment agreement.” The Boyle employment agreement provides that Mr. Boyle will serve as our Chief Executive Officer. The Boyle employment agreement provides at-will employment and can be terminated by Mr. Boyle or us at any time. The Boyle employment agreement also provides for (i) an initial salary of $1,250,000, subject to periodic review for increase, (ii) eligibility to receive an annual bonus, with a target bonus equal to 100% of base salary, and (iii) for each service year during the employment term, eligibility to receive annual grant of Class B Units of the Aggregator with target value of approximately $3,450,000. Mr. Boyle is also entitled to participate in our employee benefit arrangements and to receive reimbursement for business expense in accordance with our business expense policy.</w:t>
      </w:r>
    </w:p>
    <w:p>
      <w:pPr>
        <w:spacing w:after="0" w:line="18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Boyle employment agreement, if Mr. Boyle’s employment is terminated (i) by us without “cause” (as defined in the Boyle employment agreement) or (ii) by Mr. Boyle for “good reason” (as defined in the Boyle employment agreement), Mr. Boyle will be entitled to receive the following severance payments and benefits, in addition to certain accrued obligations:</w:t>
      </w:r>
    </w:p>
    <w:p>
      <w:pPr>
        <w:spacing w:after="0" w:line="81" w:lineRule="exact"/>
        <w:rPr>
          <w:sz w:val="20"/>
          <w:szCs w:val="20"/>
          <w:color w:val="auto"/>
        </w:rPr>
      </w:pPr>
    </w:p>
    <w:p>
      <w:pPr>
        <w:ind w:left="1080" w:right="54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Mr. Boyle’s then-current base salary and target annual bonus for 18 months, payable in monthly installments in accordance with our standard payroll practices;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prior year annual bonus, which we refer to as the prior year bonus;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for the year of termination, which we refer to as the pro-rated bonus;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9" w:lineRule="auto"/>
        <w:tabs>
          <w:tab w:leader="none" w:pos="10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Boyle timely elects continued coverage under the Consolidated Omnibus Budget Reconciliation Act of 1985 (COBRA), continued coverage and participation under our medical and dental benefit plans, at active employee rates, for 18 months following termination of employment or, if earlier, until the date on which Mr. Boyle becomes eligible for medical and dental benefits from a subsequent employer.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a termination of Mr. Boyle’s employment due to his death or as a result of his disability, Mr. Boyle will be entitled to any prior year bonus.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are contingent upon Mr. Boyle’s (i) execution and non-revocation of a release of claims in favor of us and our affiliates and (ii) continued compliance with the restrictive covenants.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Boyle employment agreement contains restrictive covenants, including confidentiality of information, assignment of intellectual</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Boyle’s employment with us and until the 18-month anniversary of termination of employment for any reason.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Agreement and Transition and Separation Agreement with Mr. Pigott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Effective October 1, 2023, we entered into an employment agreement with James M. Pigott, which we refer to as the “Pigott employment agreement,” relating to Mr. Pigott’s employment as our President and Chief Operating Officer. The terms of the Pigott employment agreement are the same as the terms of the Boyle employment agreement, except that Mr. Pigott received an initial salary of $1,100,000. On October 14, 2024, we entered into a transition and separation agreement with Mr. Pigott, which we refer to as the “Pigott transition agreement,” relating to Mr. Pigott’s departure from Medline. The Pigott transition agreement provides that Mr. Pigott’s last day of employment with us will be December 31, 2025 or an earlier date determined by Medline. Through the termination date, Mr. Pigott will continue to perform his current duties and responsibilities as President of Medline. He will also continue to receive his base salary, be eligible to earn a bonus, participate in Medline health and welfare benefits, and vest in his outstanding Class B Units pursuant to the applicable award agreements.</w:t>
      </w:r>
    </w:p>
    <w:p>
      <w:pPr>
        <w:spacing w:after="0" w:line="19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Pigott transition agreement, upon the earlier of December 31, 2025 or Mr. Pigott’s termination by Medline without “cause” (as defined in the Pigott employment agreement), he will be entitled to receive the following severance payments and benefits, in addition to certain accrued obligations:</w:t>
      </w:r>
    </w:p>
    <w:p>
      <w:pPr>
        <w:spacing w:after="0" w:line="81" w:lineRule="exact"/>
        <w:rPr>
          <w:sz w:val="20"/>
          <w:szCs w:val="20"/>
          <w:color w:val="auto"/>
        </w:rPr>
      </w:pPr>
    </w:p>
    <w:p>
      <w:pPr>
        <w:ind w:left="1080" w:right="34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$4,125,000, representing 1.5 times the sum of Mr. Pigott’s base salary and estimated target annual bonus for 2025, payable in monthly installments in accordance with our standard payroll practices over a period of 18 months;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prior year annual bonus;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annual bonus for the calendar year in which the termination occurs without pro-rating if the termination occurs prior to December 31, 2025, payable at the same time we generally pay annual bonuses to active employees and using the same performance conditions we generally use to calculate annual bonuses for active employees;</w:t>
      </w:r>
    </w:p>
    <w:p>
      <w:pPr>
        <w:spacing w:after="0" w:line="81" w:lineRule="exact"/>
        <w:rPr>
          <w:rFonts w:ascii="Times New Roman" w:cs="Times New Roman" w:eastAsia="Times New Roman" w:hAnsi="Times New Roman"/>
          <w:sz w:val="18"/>
          <w:szCs w:val="18"/>
          <w:color w:val="auto"/>
        </w:rPr>
      </w:pPr>
    </w:p>
    <w:p>
      <w:pPr>
        <w:ind w:left="1080" w:right="54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and participation under our medical and dental benefit plans, at active employee rates, for 18 months following termination of employment or, if earlier, until the date on which Mr. Pigott becomes eligible for medical and dental benefits from a subsequent employer;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right="20" w:hanging="424"/>
        <w:spacing w:after="0" w:line="261"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on the termination date with respect to the following Class B Units held by Mr. Pigott: (i) 10% of the Time-Vested Units granted on October 21, 2021 (i.e., 3,483,349.9 Time-Vested Units), (ii) 15% of the Time-Vested Units granted on April 1, 2023 (i.e., 720,000 Time-Vested Units), (iii) 5% of the Time-Vested Units granted on October 1, 2023 (i.e., 346,153.85 Time-Vested Units), and (iv) 15% of the Time-Vested Units granted on March 29, 2024 (i.e., 533,333.4 Time-Vested Units).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terminate Mr. Pigott’s employment without cause prior to December 31, 2025, Mr. Pigott will also receive a lump sum payment equal to his base salary for the period from the termination date through December 31, 2025. In addition, if Mr. Pigott’s employment is terminated by us without cause prior to December 31, 2025, the actual number of Time-Vested Units that become vested upon such termination will be determined as set forth below under the heading “Potential Payments Upon Termination or Change in Control—Accelerated Vesting of Equity Awards,” except that an additional 5% of the Time-Vested Units granted to Mr. Pigott on October 21, 2021 will become vested.</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are contingent upon Mr. Pigott’s execution and non-revocation of a release of claims in favor of us and our affiliates and continued compliance with restrictive covenants.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Pigott’s employment with us and until the 18-month anniversary of his termination.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2021, in connection with our acquisition by our Sponsors, we adopted the Mozart Management Aggregator LLC Equity Incentive Plan, which we refer to as the MIP, pursuant to which we grant the Named Executive Officers and other employees awards of Class B Units of the Aggregator. In 2024, the Class B Units granted to our Named Executive Officers consisted of Time-Vested Units and, for Mr. Miller, Performance-Based Units. For each Class B Unit of the Aggregator issued, Medline Holdings issues a Class B Unit in Medline Holdings to Mozart Management Aggregator LLC on a one-for-one basis. The Time-Vested Units vest 20% per year on each of the first five anniversaries of the vesting commencement date, subject to the Named Executive Officer’s continued employment with us through each applicable vesting date.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Performance-Vested Units granted to Mr. Miller vest based on achievement of performance metrics tied to MOIC. 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30-day volume weighted average closing price of Class A Units of Medline Holdings (and/or equity securities held by our Sponsors that were received in respect of Class A Units of Holdings in connection with this offering).</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60"/>
          </w:cols>
          <w:pgMar w:left="320" w:top="455" w:right="5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Call Rights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each award agreement, the Aggregator has the right to repurchase vested Class B Units held by each Named Executive Officer in connection with any termination of employment (or, for Messrs. Boyle and Pigott, in connection with certain termination events) or breach of restrictive covenants applicable to the Named Executive Officer (the “Call Right”). For Messrs. Boyle and Pigott, the Call Right applies only in connection with a termination by us for cause, due to the executive’s death or disability, or the executive’s resignation without good reason. The repurchase price for repurchased Class B Units is equal to fair market value, except if the Call Right is exercised in connection with a termination for cause (or resignation when grounds for cause exist) or restrictive covenant violation, in which case the repurchase price is the lesser of fair market value and cost. In addition, if a Named Executive Officer engages in a competitive business following termination, the Call Right can be exercised for 12 months following the Named Executive Officer’s engagement in a competitive business at a repurchase price equal to fair market value for each repurchased Class B Unit. The aggregate repurchase value is converted into a number of Class A Units of the Aggregator, which are then repurchased.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Put Rights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the award agreements permit each Named Executive Officer to sell (the “Put Right”) up to 20% of the Named Executive Officer’s vested Class B Units on each interim liquidity date. The first interim liquidity date occurs on October 21, 2026, and subsequent interim liquidity dates occur every three years thereafter. The Named Executive Officer must be employed on the interim liquidity date to be eligible to exercise the Put Right, except the Named Executive Officer can exercise the Put Right upon an interim liquidity date that occurs within 12 months of a termination other than for cause (or resignation when grounds for cause exist). The Put Right lapses on an initial public offering.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Acceleration; Forfeiture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Except for accelerated vesting that may occur in connection with certain termination events for Messrs. Boyle and Pigott, all unvested Class B Units are forfeited upon a termination of employment. Upon the occurrence of a sale transaction (defined as described below), certain Time-Vested Units held by certain of our Named Executive Officer will become fully vested. For a description of the terms of potential acceleration of Class B Units for certain of our Named Executive Officers, see “—Potential Payments Upon Termination or Change in Control” below.</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outstanding equity awards held by our Named Executive Officers as of December 31, 2024.</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5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or Payout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46"/>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46"/>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46"/>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6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46"/>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5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Service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6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000" w:type="dxa"/>
            <w:vAlign w:val="bottom"/>
            <w:gridSpan w:val="2"/>
          </w:tcPr>
          <w:p>
            <w:pPr>
              <w:jc w:val="center"/>
              <w:ind w:right="2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6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88"/>
              </w:rPr>
              <w:t>Not</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88"/>
              </w:rPr>
              <w:t>Not</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0" w:type="dxa"/>
            <w:vAlign w:val="bottom"/>
          </w:tcPr>
          <w:p>
            <w:pPr>
              <w:spacing w:after="0"/>
              <w:rPr>
                <w:sz w:val="1"/>
                <w:szCs w:val="1"/>
                <w:color w:val="auto"/>
              </w:rPr>
            </w:pPr>
          </w:p>
        </w:tc>
      </w:tr>
      <w:tr>
        <w:trPr>
          <w:trHeight w:val="135"/>
        </w:trPr>
        <w:tc>
          <w:tcPr>
            <w:tcW w:w="2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1"/>
                <w:szCs w:val="11"/>
                <w:color w:val="auto"/>
              </w:rPr>
            </w:pPr>
          </w:p>
        </w:tc>
        <w:tc>
          <w:tcPr>
            <w:tcW w:w="7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Inception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2"/>
          </w:tcPr>
          <w:p>
            <w:pPr>
              <w:jc w:val="center"/>
              <w:ind w:left="245"/>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000" w:type="dxa"/>
            <w:vAlign w:val="bottom"/>
            <w:gridSpan w:val="2"/>
          </w:tcPr>
          <w:p>
            <w:pPr>
              <w:jc w:val="center"/>
              <w:ind w:right="246"/>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6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5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55"/>
        </w:trPr>
        <w:tc>
          <w:tcPr>
            <w:tcW w:w="2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3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2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James M. Boyle</w:t>
            </w: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10/21/2021</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10/21/2021</w:t>
            </w:r>
          </w:p>
        </w:tc>
        <w:tc>
          <w:tcPr>
            <w:tcW w:w="3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13,933,400</w:t>
            </w:r>
          </w:p>
        </w:tc>
        <w:tc>
          <w:tcPr>
            <w:tcW w:w="300" w:type="dxa"/>
            <w:vAlign w:val="bottom"/>
            <w:tcBorders>
              <w:top w:val="single" w:sz="8" w:color="CCEEFF"/>
            </w:tcBorders>
            <w:shd w:val="clear" w:color="auto" w:fill="CCEEFF"/>
          </w:tcPr>
          <w:p>
            <w:pPr>
              <w:jc w:val="right"/>
              <w:ind w:right="126"/>
              <w:spacing w:after="0" w:line="120" w:lineRule="exact"/>
              <w:rPr>
                <w:sz w:val="20"/>
                <w:szCs w:val="20"/>
                <w:color w:val="auto"/>
              </w:rPr>
            </w:pPr>
            <w:r>
              <w:rPr>
                <w:rFonts w:ascii="Times New Roman" w:cs="Times New Roman" w:eastAsia="Times New Roman" w:hAnsi="Times New Roman"/>
                <w:sz w:val="11"/>
                <w:szCs w:val="11"/>
                <w:color w:val="auto"/>
                <w:w w:val="77"/>
              </w:rPr>
              <w:t>(1)</w:t>
            </w: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3,840,000</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12,923,077</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5,384,615</w:t>
            </w:r>
            <w:r>
              <w:rPr>
                <w:rFonts w:ascii="Times New Roman" w:cs="Times New Roman" w:eastAsia="Times New Roman" w:hAnsi="Times New Roman"/>
                <w:sz w:val="10"/>
                <w:szCs w:val="10"/>
                <w:color w:val="auto"/>
              </w:rPr>
              <w:t>(3)</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5,384,615</w:t>
            </w:r>
            <w:r>
              <w:rPr>
                <w:rFonts w:ascii="Times New Roman" w:cs="Times New Roman" w:eastAsia="Times New Roman" w:hAnsi="Times New Roman"/>
                <w:sz w:val="10"/>
                <w:szCs w:val="10"/>
                <w:color w:val="auto"/>
              </w:rPr>
              <w:t>(4)</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5,384,615</w:t>
            </w:r>
            <w:r>
              <w:rPr>
                <w:rFonts w:ascii="Times New Roman" w:cs="Times New Roman" w:eastAsia="Times New Roman" w:hAnsi="Times New Roman"/>
                <w:sz w:val="10"/>
                <w:szCs w:val="10"/>
                <w:color w:val="auto"/>
              </w:rPr>
              <w:t>(5)</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3,555,556</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3,833,334</w:t>
            </w:r>
            <w:r>
              <w:rPr>
                <w:rFonts w:ascii="Times New Roman" w:cs="Times New Roman" w:eastAsia="Times New Roman" w:hAnsi="Times New Roman"/>
                <w:sz w:val="10"/>
                <w:szCs w:val="10"/>
                <w:color w:val="auto"/>
              </w:rPr>
              <w:t>(2)</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Michael B. Drazin</w:t>
            </w:r>
          </w:p>
        </w:tc>
        <w:tc>
          <w:tcPr>
            <w:tcW w:w="14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10/21/2021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10/21/2021</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right"/>
              <w:ind w:right="126"/>
              <w:spacing w:after="0" w:line="126" w:lineRule="exact"/>
              <w:rPr>
                <w:sz w:val="20"/>
                <w:szCs w:val="20"/>
                <w:color w:val="auto"/>
              </w:rPr>
            </w:pPr>
            <w:r>
              <w:rPr>
                <w:rFonts w:ascii="Times New Roman" w:cs="Times New Roman" w:eastAsia="Times New Roman" w:hAnsi="Times New Roman"/>
                <w:sz w:val="14"/>
                <w:szCs w:val="14"/>
                <w:color w:val="auto"/>
              </w:rPr>
              <w:t>12,540,060</w:t>
            </w:r>
            <w:r>
              <w:rPr>
                <w:rFonts w:ascii="Times New Roman" w:cs="Times New Roman" w:eastAsia="Times New Roman" w:hAnsi="Times New Roman"/>
                <w:sz w:val="10"/>
                <w:szCs w:val="10"/>
                <w:color w:val="auto"/>
              </w:rPr>
              <w:t>(1)</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3,088,429</w:t>
            </w:r>
            <w:r>
              <w:rPr>
                <w:rFonts w:ascii="Times New Roman" w:cs="Times New Roman" w:eastAsia="Times New Roman" w:hAnsi="Times New Roman"/>
                <w:sz w:val="10"/>
                <w:szCs w:val="10"/>
                <w:color w:val="auto"/>
              </w:rPr>
              <w:t>(1)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3/29/2023</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3,207,666</w:t>
            </w:r>
            <w:r>
              <w:rPr>
                <w:rFonts w:ascii="Times New Roman" w:cs="Times New Roman" w:eastAsia="Times New Roman" w:hAnsi="Times New Roman"/>
                <w:sz w:val="10"/>
                <w:szCs w:val="10"/>
                <w:color w:val="auto"/>
              </w:rPr>
              <w:t>(1)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3,222,222</w:t>
            </w:r>
            <w:r>
              <w:rPr>
                <w:rFonts w:ascii="Times New Roman" w:cs="Times New Roman" w:eastAsia="Times New Roman" w:hAnsi="Times New Roman"/>
                <w:sz w:val="10"/>
                <w:szCs w:val="10"/>
                <w:color w:val="auto"/>
              </w:rPr>
              <w:t>(2)</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2/13/2024</w:t>
            </w:r>
          </w:p>
        </w:tc>
        <w:tc>
          <w:tcPr>
            <w:tcW w:w="14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James M. Pigott</w:t>
            </w:r>
          </w:p>
        </w:tc>
        <w:tc>
          <w:tcPr>
            <w:tcW w:w="8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10/21/2021</w:t>
            </w:r>
          </w:p>
        </w:tc>
        <w:tc>
          <w:tcPr>
            <w:tcW w:w="84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10/21/2021</w:t>
            </w:r>
          </w:p>
        </w:tc>
        <w:tc>
          <w:tcPr>
            <w:tcW w:w="3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26"/>
              <w:spacing w:after="0" w:line="126" w:lineRule="exact"/>
              <w:rPr>
                <w:sz w:val="20"/>
                <w:szCs w:val="20"/>
                <w:color w:val="auto"/>
              </w:rPr>
            </w:pPr>
            <w:r>
              <w:rPr>
                <w:rFonts w:ascii="Times New Roman" w:cs="Times New Roman" w:eastAsia="Times New Roman" w:hAnsi="Times New Roman"/>
                <w:sz w:val="14"/>
                <w:szCs w:val="14"/>
                <w:color w:val="auto"/>
              </w:rPr>
              <w:t>13,933,400</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3,840,000</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5,538,462</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2,307,692</w:t>
            </w:r>
            <w:r>
              <w:rPr>
                <w:rFonts w:ascii="Times New Roman" w:cs="Times New Roman" w:eastAsia="Times New Roman" w:hAnsi="Times New Roman"/>
                <w:sz w:val="10"/>
                <w:szCs w:val="10"/>
                <w:color w:val="auto"/>
              </w:rPr>
              <w:t>(3)</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2,307,692</w:t>
            </w:r>
            <w:r>
              <w:rPr>
                <w:rFonts w:ascii="Times New Roman" w:cs="Times New Roman" w:eastAsia="Times New Roman" w:hAnsi="Times New Roman"/>
                <w:sz w:val="10"/>
                <w:szCs w:val="10"/>
                <w:color w:val="auto"/>
              </w:rPr>
              <w:t>(4)</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2,307,692</w:t>
            </w:r>
            <w:r>
              <w:rPr>
                <w:rFonts w:ascii="Times New Roman" w:cs="Times New Roman" w:eastAsia="Times New Roman" w:hAnsi="Times New Roman"/>
                <w:sz w:val="10"/>
                <w:szCs w:val="10"/>
                <w:color w:val="auto"/>
              </w:rPr>
              <w:t>(5)</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3,555,556</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3,833,334</w:t>
            </w:r>
            <w:r>
              <w:rPr>
                <w:rFonts w:ascii="Times New Roman" w:cs="Times New Roman" w:eastAsia="Times New Roman" w:hAnsi="Times New Roman"/>
                <w:sz w:val="10"/>
                <w:szCs w:val="10"/>
                <w:color w:val="auto"/>
              </w:rPr>
              <w:t>(2)</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Christopher P. Shryock</w:t>
            </w:r>
          </w:p>
        </w:tc>
        <w:tc>
          <w:tcPr>
            <w:tcW w:w="14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7/1/2024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29"/>
              <w:spacing w:after="0" w:line="126"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4"/>
                <w:szCs w:val="14"/>
                <w:color w:val="auto"/>
              </w:rPr>
              <w:t>6,976,744</w:t>
            </w:r>
            <w:r>
              <w:rPr>
                <w:rFonts w:ascii="Times New Roman" w:cs="Times New Roman" w:eastAsia="Times New Roman" w:hAnsi="Times New Roman"/>
                <w:sz w:val="10"/>
                <w:szCs w:val="10"/>
                <w:color w:val="auto"/>
              </w:rPr>
              <w:t>(6)</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833,334</w:t>
            </w:r>
            <w:r>
              <w:rPr>
                <w:rFonts w:ascii="Times New Roman" w:cs="Times New Roman" w:eastAsia="Times New Roman" w:hAnsi="Times New Roman"/>
                <w:sz w:val="10"/>
                <w:szCs w:val="10"/>
                <w:color w:val="auto"/>
              </w:rPr>
              <w:t>(2)</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9/27/2024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9/27/2024</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Stephen L. Miller</w:t>
            </w:r>
          </w:p>
        </w:tc>
        <w:tc>
          <w:tcPr>
            <w:tcW w:w="8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7/1/2022</w:t>
            </w:r>
          </w:p>
        </w:tc>
        <w:tc>
          <w:tcPr>
            <w:tcW w:w="84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7/1/2022</w:t>
            </w:r>
          </w:p>
        </w:tc>
        <w:tc>
          <w:tcPr>
            <w:tcW w:w="3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26"/>
              <w:spacing w:after="0" w:line="126" w:lineRule="exact"/>
              <w:rPr>
                <w:sz w:val="20"/>
                <w:szCs w:val="20"/>
                <w:color w:val="auto"/>
              </w:rPr>
            </w:pPr>
            <w:r>
              <w:rPr>
                <w:rFonts w:ascii="Times New Roman" w:cs="Times New Roman" w:eastAsia="Times New Roman" w:hAnsi="Times New Roman"/>
                <w:sz w:val="14"/>
                <w:szCs w:val="14"/>
                <w:color w:val="auto"/>
              </w:rPr>
              <w:t>6,000,000</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1,200,000</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3/29/2023</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3,000,000</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3,703,704</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(3)</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(4)</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(5)</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4/1/2025</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3,000,000</w:t>
            </w:r>
            <w:r>
              <w:rPr>
                <w:rFonts w:ascii="Times New Roman" w:cs="Times New Roman" w:eastAsia="Times New Roman" w:hAnsi="Times New Roman"/>
                <w:sz w:val="10"/>
                <w:szCs w:val="10"/>
                <w:color w:val="auto"/>
              </w:rPr>
              <w:t>(2)</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Douglas P. Golwas</w:t>
            </w:r>
          </w:p>
        </w:tc>
        <w:tc>
          <w:tcPr>
            <w:tcW w:w="14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10/21/2023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10/21/2021</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right"/>
              <w:ind w:right="126"/>
              <w:spacing w:after="0" w:line="126" w:lineRule="exact"/>
              <w:rPr>
                <w:sz w:val="20"/>
                <w:szCs w:val="20"/>
                <w:color w:val="auto"/>
              </w:rPr>
            </w:pPr>
            <w:r>
              <w:rPr>
                <w:rFonts w:ascii="Times New Roman" w:cs="Times New Roman" w:eastAsia="Times New Roman" w:hAnsi="Times New Roman"/>
                <w:sz w:val="14"/>
                <w:szCs w:val="14"/>
                <w:color w:val="auto"/>
              </w:rPr>
              <w:t>8,708,375</w:t>
            </w:r>
            <w:r>
              <w:rPr>
                <w:rFonts w:ascii="Times New Roman" w:cs="Times New Roman" w:eastAsia="Times New Roman" w:hAnsi="Times New Roman"/>
                <w:sz w:val="10"/>
                <w:szCs w:val="10"/>
                <w:color w:val="auto"/>
              </w:rPr>
              <w:t>(1)</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2,400,000</w:t>
            </w:r>
            <w:r>
              <w:rPr>
                <w:rFonts w:ascii="Times New Roman" w:cs="Times New Roman" w:eastAsia="Times New Roman" w:hAnsi="Times New Roman"/>
                <w:sz w:val="10"/>
                <w:szCs w:val="10"/>
                <w:color w:val="auto"/>
              </w:rPr>
              <w:t>(1)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3/29/2023</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3/29/2024</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2,222,222</w:t>
            </w:r>
            <w:r>
              <w:rPr>
                <w:rFonts w:ascii="Times New Roman" w:cs="Times New Roman" w:eastAsia="Times New Roman" w:hAnsi="Times New Roman"/>
                <w:sz w:val="10"/>
                <w:szCs w:val="10"/>
                <w:color w:val="auto"/>
              </w:rPr>
              <w:t>(1)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3,055,556</w:t>
            </w:r>
            <w:r>
              <w:rPr>
                <w:rFonts w:ascii="Times New Roman" w:cs="Times New Roman" w:eastAsia="Times New Roman" w:hAnsi="Times New Roman"/>
                <w:sz w:val="10"/>
                <w:szCs w:val="10"/>
                <w:color w:val="auto"/>
              </w:rPr>
              <w:t>(2)</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2/13/2024</w:t>
            </w:r>
          </w:p>
        </w:tc>
        <w:tc>
          <w:tcPr>
            <w:tcW w:w="14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540" w:right="20" w:hanging="424"/>
        <w:spacing w:after="0" w:line="229" w:lineRule="auto"/>
        <w:tabs>
          <w:tab w:leader="none" w:pos="5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Units that vest over 5 years, with 20% vesting on the 12-month anniversary of the vesting commencement date, which is the same as the grant date, and an additional 20% vesting every year thereafter. For Messrs. Boyle and Pigott, a portion of Time-Vested Units will accelerate upon a termination by us without Cause, by the executive for Good Reason, or due to disability. If such termination occurs prior to the first anniversary of the vesting commencement date, 20% of the Time-Vested Units will become vested. If such termination occurs after the first anniversary of the vesting commencement date, the number of Time-Vested Units that will become vested will be calculated by multiplying (x) 20% of the Time-Vested Units by (y) a fraction, the numerator of which is the number of full and partial three-calendar month periods elapsed from the immediately preceding vesting commencement date and the denominator of which is 4. Awards with a service inception date that precede the grant date represent Management Incentive Plan Awards, which awards are initially expressed as “dollars at work” and converted into a number of Time-Vested Units in the fiscal year following the service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540" w:right="20"/>
        <w:spacing w:after="0" w:line="233" w:lineRule="auto"/>
        <w:rPr>
          <w:sz w:val="20"/>
          <w:szCs w:val="20"/>
          <w:color w:val="auto"/>
        </w:rPr>
      </w:pPr>
      <w:r>
        <w:rPr>
          <w:rFonts w:ascii="Times New Roman" w:cs="Times New Roman" w:eastAsia="Times New Roman" w:hAnsi="Times New Roman"/>
          <w:sz w:val="14"/>
          <w:szCs w:val="14"/>
          <w:color w:val="auto"/>
        </w:rPr>
        <w:t>inception date based on Company and individual performance against the performance goals specified in the Management Incentive Plan. For additional details, see “—Compensation Elements—Long-Term Equity Incentive Compensation—2024 Management Incentive Plan” and footnote 3 to the Summary Compensation Table above.</w:t>
      </w:r>
    </w:p>
    <w:p>
      <w:pPr>
        <w:ind w:left="540" w:right="100" w:hanging="424"/>
        <w:spacing w:after="0" w:line="221" w:lineRule="auto"/>
        <w:tabs>
          <w:tab w:leader="none" w:pos="5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2024 MIP Awards assuming maximum performance. These awards will be paid out in a number of Time-Vested Units, with the total number of Time-Vested Units issued determined by dividing the “dollars at work” earned under the 2024 MIP Award by the threshold value on the grant date. The actual number of Time-Vested Units that will be distributed is not yet determinable. Due to the substantial uncertainty surrounding the number of Time-Vested Units that will ultimately be granted and the fact that a mutual understanding of the key terms of the awards will not be established until the earned “dollars at work” is settled and the applicable threshold value for the awards is approved, a grant date for accounting purposes will not be established until the Time-Vested Units are delivered, which is expected to occur on or around April 1, 2025. For additional details, see “— Compensation Elements—Long-Term Equity Incentive Compensation—2024 Management Incentive Plan” and footnote 3 to the Summary Compensation Table above.</w:t>
      </w:r>
    </w:p>
    <w:p>
      <w:pPr>
        <w:spacing w:after="0" w:line="1" w:lineRule="exact"/>
        <w:rPr>
          <w:rFonts w:ascii="Times New Roman" w:cs="Times New Roman" w:eastAsia="Times New Roman" w:hAnsi="Times New Roman"/>
          <w:sz w:val="14"/>
          <w:szCs w:val="14"/>
          <w:color w:val="auto"/>
        </w:rPr>
      </w:pPr>
    </w:p>
    <w:p>
      <w:pPr>
        <w:jc w:val="both"/>
        <w:ind w:left="540" w:hanging="424"/>
        <w:spacing w:after="0" w:line="221" w:lineRule="auto"/>
        <w:tabs>
          <w:tab w:leader="none" w:pos="5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that vest based on achievement of performance metrics tied to multiples of our Sponsors’ invested capital in Holdings (2.25x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jc w:val="both"/>
        <w:ind w:left="540" w:hanging="424"/>
        <w:spacing w:after="0" w:line="221" w:lineRule="auto"/>
        <w:tabs>
          <w:tab w:leader="none" w:pos="5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that vest based on achievement of performance metrics tied to multiples of our Sponsors’ invested capital in Holdings (2.50x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jc w:val="both"/>
        <w:ind w:left="540" w:hanging="424"/>
        <w:spacing w:after="0" w:line="221" w:lineRule="auto"/>
        <w:tabs>
          <w:tab w:leader="none" w:pos="5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that vest based on achievement of performance metrics tied to multiples of our Sponsors’ invested capital in Holdings (2.75x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ind w:left="540" w:right="480" w:hanging="424"/>
        <w:spacing w:after="0" w:line="239" w:lineRule="auto"/>
        <w:tabs>
          <w:tab w:leader="none" w:pos="5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Units that vest over 5 years, with 20% vesting on the 12-month anniversary of the vesting commencement date and an additional 20% vesting every year thereafter.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the Fiscal Year 2024</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amounts received by our Named Executive Officers upon exercise of options or similar instruments or the vesting of stock or similar instruments during the fiscal year ended December 31, 2024.</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4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20" w:type="dxa"/>
            <w:vAlign w:val="bottom"/>
            <w:gridSpan w:val="2"/>
          </w:tcPr>
          <w:p>
            <w:pPr>
              <w:jc w:val="center"/>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520" w:type="dxa"/>
            <w:vAlign w:val="bottom"/>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vMerge w:val="continue"/>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3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5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8"/>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5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73"/>
        </w:trPr>
        <w:tc>
          <w:tcPr>
            <w:tcW w:w="500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11,157,469</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7,052,147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7,042,137</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4,722,890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9,311,315</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6,036,762</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 Shryock</w:t>
            </w: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2,300,000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761,000</w:t>
            </w: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4,954,187</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3,297,015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Time-Vested Units that vested during fiscal 2024.</w:t>
      </w:r>
    </w:p>
    <w:p>
      <w:pPr>
        <w:spacing w:after="0" w:line="27"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are based upon the appreciation in the value of our business from and after the date of grant through the applicable vesting date based on the most recent valuation prior to the applicable vesting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 Upon Termination</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severance payments and benefits due to Mr. Boyle in connection with certain terminations of employment with Medline are set forth in his employment agreement. The severance payments and benefits payable to Mr. Pigott in connection with his forthcoming departure are set forth in his transition agreement and are summarized above under the heading “—Narrative Disclosure to Summary Compensation Table and Grants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of Plan-Based Awards Table—Agreements with Named Executive Officers—Employment Agreement and Transition and Separation Agreement with Mr. Pigott.” The rest of our Named Executive Officers do not have contractual entitlements to severance payments or benefits.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Boyle employment agreement, in the event of a termination of employment by Medline without “cause” (as defined in his employment agreement) or by Mr. Boyle for “good reason” (as defined in his employment agreement), in each case, subject to Mr. Boyle’s execution of a general release of claims in favor Medline and continued compliance with the restrictive covenants set forth in the employment agreement, Mr. Boyle will receive: (i) an amount equal to 1.5 times the sum of his then-current base salary and target annual bonus for 18 months, payable in monthly installments in accordance with our standard payroll practices, (ii) any earned but unpaid prior year annual bonus, (iii) a pro-rated annual bonus for the year of termination, and (iv) if he timely elects continued coverage under the Consolidated Omnibus Budget Reconciliation Act of 1985 (COBRA), continued coverage and participation under our medical and dental benefit plans, at active employee rates, for 18 months following termination of employment or, if earlier, until the date on which he becomes eligible for medical and dental benefits from a subsequent employer.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Accelerated Vesting of Equity Awards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Mr. Boyle’s termination by us without “cause,” by him for “good reason” or due to disability after October 1, 2023 (a “Qualifying Termination”), provided that Mr. Boyle executes and does not revoke a release of claims, a pro-rata portion of each award of Time-Vested Units granted to him that would vest on the next anniversary of the applicable vesting commencement date occurring after the Qualifying Termination will become vested upon such Qualifying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accordance with the Pigott transition agreement, in connection with Mr. Pigott’s termination by us without cause, provided Mr. Pigott executes and does not revoke a release of claims, a pro-rata portion of each award of Time-Vested Units granted to him that would vest on the next anniversary of the applicable vesting commencement date occurring after the termination date will become vested upon such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termination, and the denominator of which is 4. For the Time-Vested Units granted to Mr. Pigott in October 2021, in addition to the pro-rata portion of the Time-Based Units that vest, another 5% of the Time-Based Units will become vested upon termination.</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any other termination with respect to Messrs. Boyle and Pigott, all unvested Time-Vested Units and unvested Performance-Vested Units will, in each case, terminate and be forfeited immediately for no consideration. Upon any termination with respect to Messrs. Drazin, Shryock, and Golwas, all unvested Time-Vested Units (and, for Mr. Miller, all unvested Performance-Vested Units) will terminate and be forfeited immediately for no consideration.</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the event of a sale transaction (defined as described below), certain outstanding Time-Vested Unit awards held by certain of our Named Executive Officers will become fully vested. Specifically, all Class B Units granted to Messrs. Boyle, Drazin, Pigott, and Golwas in October 2021 will become fully vested upon a sale transaction occurring while the Named Executive Officer is employed. In addition, the Time-Vested Units granted to Messrs. Boyle and Pigott in October 2023 and the Time-Vested Units granted to Mr. Miller in connection with his Key Talent Award will become fully vested upon a sale transaction occurring while the Named Executive Officer is employed. For purposes of accelerated vesting of certain Time-Vested Units, a sale transaction generally means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 This offering does not constitute a sale transaction.</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Assuming a termination of employment effective as of December 31, 2024 (i) by us without cause, (ii) by the executive for good reason or</w:t>
      </w:r>
    </w:p>
    <w:p>
      <w:pPr>
        <w:spacing w:after="0" w:line="27" w:lineRule="exact"/>
        <w:rPr>
          <w:sz w:val="20"/>
          <w:szCs w:val="20"/>
          <w:color w:val="auto"/>
        </w:rPr>
      </w:pPr>
    </w:p>
    <w:p>
      <w:pPr>
        <w:ind w:left="120" w:right="80" w:hanging="4"/>
        <w:spacing w:after="0" w:line="255" w:lineRule="auto"/>
        <w:tabs>
          <w:tab w:leader="none" w:pos="43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executive’s death or disability, each of the specified Named Executive Officers would have received the severance payments and benefits set forth in the table below. In addition, assuming the occurrence of a sale transaction effective on December 31, 2024, each of the specified Named Executive Officers would have realized the value in respect of accelerated vesting of certain Time-Vested Units set forth in the table below.</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2"/>
          </w:tcPr>
          <w:p>
            <w:pPr>
              <w:jc w:val="center"/>
              <w:ind w:right="479"/>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Due to</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640" w:type="dxa"/>
            <w:vAlign w:val="bottom"/>
          </w:tcPr>
          <w:p>
            <w:pPr>
              <w:spacing w:after="0"/>
              <w:rPr>
                <w:sz w:val="12"/>
                <w:szCs w:val="12"/>
                <w:color w:val="auto"/>
              </w:rPr>
            </w:pPr>
          </w:p>
        </w:tc>
        <w:tc>
          <w:tcPr>
            <w:tcW w:w="1260" w:type="dxa"/>
            <w:vAlign w:val="bottom"/>
            <w:gridSpan w:val="2"/>
          </w:tcPr>
          <w:p>
            <w:pPr>
              <w:jc w:val="center"/>
              <w:ind w:right="479"/>
              <w:spacing w:after="0"/>
              <w:rPr>
                <w:sz w:val="20"/>
                <w:szCs w:val="20"/>
                <w:color w:val="auto"/>
              </w:rPr>
            </w:pPr>
            <w:r>
              <w:rPr>
                <w:rFonts w:ascii="Times New Roman" w:cs="Times New Roman" w:eastAsia="Times New Roman" w:hAnsi="Times New Roman"/>
                <w:sz w:val="13"/>
                <w:szCs w:val="13"/>
                <w:b w:val="1"/>
                <w:bCs w:val="1"/>
                <w:color w:val="auto"/>
              </w:rPr>
              <w:t>for Good</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Death or</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Sale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12"/>
                <w:szCs w:val="12"/>
                <w:color w:val="auto"/>
              </w:rPr>
            </w:pPr>
          </w:p>
        </w:tc>
        <w:tc>
          <w:tcPr>
            <w:tcW w:w="3120" w:type="dxa"/>
            <w:vAlign w:val="bottom"/>
            <w:vMerge w:val="restart"/>
          </w:tcPr>
          <w:p>
            <w:pPr>
              <w:ind w:left="1140"/>
              <w:spacing w:after="0"/>
              <w:rPr>
                <w:sz w:val="20"/>
                <w:szCs w:val="20"/>
                <w:color w:val="auto"/>
              </w:rPr>
            </w:pPr>
            <w:r>
              <w:rPr>
                <w:rFonts w:ascii="Times New Roman" w:cs="Times New Roman" w:eastAsia="Times New Roman" w:hAnsi="Times New Roman"/>
                <w:sz w:val="13"/>
                <w:szCs w:val="13"/>
                <w:b w:val="1"/>
                <w:bCs w:val="1"/>
                <w:color w:val="auto"/>
              </w:rPr>
              <w:t>Payment Type</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Without Cause</w:t>
            </w:r>
          </w:p>
        </w:tc>
        <w:tc>
          <w:tcPr>
            <w:tcW w:w="640" w:type="dxa"/>
            <w:vAlign w:val="bottom"/>
          </w:tcPr>
          <w:p>
            <w:pPr>
              <w:spacing w:after="0"/>
              <w:rPr>
                <w:sz w:val="12"/>
                <w:szCs w:val="12"/>
                <w:color w:val="auto"/>
              </w:rPr>
            </w:pPr>
          </w:p>
        </w:tc>
        <w:tc>
          <w:tcPr>
            <w:tcW w:w="1260" w:type="dxa"/>
            <w:vAlign w:val="bottom"/>
            <w:gridSpan w:val="2"/>
          </w:tcPr>
          <w:p>
            <w:pPr>
              <w:jc w:val="center"/>
              <w:ind w:right="499"/>
              <w:spacing w:after="0"/>
              <w:rPr>
                <w:sz w:val="20"/>
                <w:szCs w:val="20"/>
                <w:color w:val="auto"/>
              </w:rPr>
            </w:pPr>
            <w:r>
              <w:rPr>
                <w:rFonts w:ascii="Times New Roman" w:cs="Times New Roman" w:eastAsia="Times New Roman" w:hAnsi="Times New Roman"/>
                <w:sz w:val="13"/>
                <w:szCs w:val="13"/>
                <w:b w:val="1"/>
                <w:bCs w:val="1"/>
                <w:color w:val="auto"/>
              </w:rPr>
              <w:t>Reason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960" w:type="dxa"/>
            <w:vAlign w:val="bottom"/>
            <w:gridSpan w:val="2"/>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James M. Boyle</w:t>
            </w:r>
          </w:p>
        </w:tc>
        <w:tc>
          <w:tcPr>
            <w:tcW w:w="220" w:type="dxa"/>
            <w:vAlign w:val="bottom"/>
            <w:tcBorders>
              <w:top w:val="single" w:sz="8" w:color="CCEEFF"/>
            </w:tcBorders>
            <w:shd w:val="clear" w:color="auto" w:fill="CCEEFF"/>
          </w:tcPr>
          <w:p>
            <w:pPr>
              <w:spacing w:after="0"/>
              <w:rPr>
                <w:sz w:val="15"/>
                <w:szCs w:val="15"/>
                <w:color w:val="auto"/>
              </w:rPr>
            </w:pPr>
          </w:p>
        </w:tc>
        <w:tc>
          <w:tcPr>
            <w:tcW w:w="3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Cash severance</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3,750,000</w:t>
            </w:r>
          </w:p>
        </w:tc>
        <w:tc>
          <w:tcPr>
            <w:tcW w:w="640" w:type="dxa"/>
            <w:vAlign w:val="bottom"/>
            <w:tcBorders>
              <w:top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2"/>
                <w:szCs w:val="12"/>
                <w:color w:val="auto"/>
                <w:w w:val="85"/>
              </w:rPr>
              <w:t>(1)</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3,750,000</w:t>
            </w:r>
          </w:p>
        </w:tc>
        <w:tc>
          <w:tcPr>
            <w:tcW w:w="540" w:type="dxa"/>
            <w:vAlign w:val="bottom"/>
            <w:tcBorders>
              <w:top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2"/>
                <w:szCs w:val="12"/>
                <w:color w:val="auto"/>
                <w:w w:val="85"/>
              </w:rPr>
              <w:t>(1)</w:t>
            </w:r>
          </w:p>
        </w:tc>
        <w:tc>
          <w:tcPr>
            <w:tcW w:w="7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Year Bonus</w:t>
            </w:r>
          </w:p>
        </w:tc>
        <w:tc>
          <w:tcPr>
            <w:tcW w:w="1600" w:type="dxa"/>
            <w:vAlign w:val="bottom"/>
            <w:gridSpan w:val="3"/>
            <w:shd w:val="clear" w:color="auto" w:fill="CCEEFF"/>
          </w:tcPr>
          <w:p>
            <w:pPr>
              <w:jc w:val="right"/>
              <w:ind w:right="439"/>
              <w:spacing w:after="0" w:line="202" w:lineRule="exact"/>
              <w:rPr>
                <w:sz w:val="20"/>
                <w:szCs w:val="20"/>
                <w:color w:val="auto"/>
              </w:rPr>
            </w:pPr>
            <w:r>
              <w:rPr>
                <w:rFonts w:ascii="Times New Roman" w:cs="Times New Roman" w:eastAsia="Times New Roman" w:hAnsi="Times New Roman"/>
                <w:sz w:val="16"/>
                <w:szCs w:val="16"/>
                <w:color w:val="auto"/>
              </w:rPr>
              <w:t>1,250,000</w:t>
            </w:r>
            <w:r>
              <w:rPr>
                <w:rFonts w:ascii="Times New Roman" w:cs="Times New Roman" w:eastAsia="Times New Roman" w:hAnsi="Times New Roman"/>
                <w:sz w:val="23"/>
                <w:szCs w:val="23"/>
                <w:color w:val="auto"/>
                <w:vertAlign w:val="superscript"/>
              </w:rPr>
              <w:t>(2)</w:t>
            </w:r>
          </w:p>
        </w:tc>
        <w:tc>
          <w:tcPr>
            <w:tcW w:w="126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1,250,000</w:t>
            </w:r>
          </w:p>
        </w:tc>
        <w:tc>
          <w:tcPr>
            <w:tcW w:w="1260" w:type="dxa"/>
            <w:vAlign w:val="bottom"/>
            <w:gridSpan w:val="2"/>
            <w:shd w:val="clear" w:color="auto" w:fill="CCEEFF"/>
          </w:tcPr>
          <w:p>
            <w:pPr>
              <w:jc w:val="right"/>
              <w:ind w:right="339"/>
              <w:spacing w:after="0" w:line="202" w:lineRule="exact"/>
              <w:rPr>
                <w:sz w:val="20"/>
                <w:szCs w:val="20"/>
                <w:color w:val="auto"/>
              </w:rPr>
            </w:pPr>
            <w:r>
              <w:rPr>
                <w:rFonts w:ascii="Times New Roman" w:cs="Times New Roman" w:eastAsia="Times New Roman" w:hAnsi="Times New Roman"/>
                <w:sz w:val="16"/>
                <w:szCs w:val="16"/>
                <w:color w:val="auto"/>
              </w:rPr>
              <w:t>1,250,000</w:t>
            </w:r>
            <w:r>
              <w:rPr>
                <w:rFonts w:ascii="Times New Roman" w:cs="Times New Roman" w:eastAsia="Times New Roman" w:hAnsi="Times New Roman"/>
                <w:sz w:val="23"/>
                <w:szCs w:val="23"/>
                <w:color w:val="auto"/>
                <w:vertAlign w:val="superscript"/>
              </w:rPr>
              <w:t>(2)</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benefits</w:t>
            </w:r>
          </w:p>
        </w:tc>
        <w:tc>
          <w:tcPr>
            <w:tcW w:w="1600" w:type="dxa"/>
            <w:vAlign w:val="bottom"/>
            <w:gridSpan w:val="3"/>
            <w:shd w:val="clear" w:color="auto" w:fill="CCEEFF"/>
          </w:tcPr>
          <w:p>
            <w:pPr>
              <w:jc w:val="right"/>
              <w:ind w:right="439"/>
              <w:spacing w:after="0" w:line="202" w:lineRule="exact"/>
              <w:rPr>
                <w:sz w:val="20"/>
                <w:szCs w:val="20"/>
                <w:color w:val="auto"/>
              </w:rPr>
            </w:pPr>
            <w:r>
              <w:rPr>
                <w:rFonts w:ascii="Times New Roman" w:cs="Times New Roman" w:eastAsia="Times New Roman" w:hAnsi="Times New Roman"/>
                <w:sz w:val="16"/>
                <w:szCs w:val="16"/>
                <w:color w:val="auto"/>
              </w:rPr>
              <w:t>45,199</w:t>
            </w:r>
            <w:r>
              <w:rPr>
                <w:rFonts w:ascii="Times New Roman" w:cs="Times New Roman" w:eastAsia="Times New Roman" w:hAnsi="Times New Roman"/>
                <w:sz w:val="23"/>
                <w:szCs w:val="23"/>
                <w:color w:val="auto"/>
                <w:vertAlign w:val="superscript"/>
              </w:rPr>
              <w:t>(3)</w:t>
            </w:r>
          </w:p>
        </w:tc>
        <w:tc>
          <w:tcPr>
            <w:tcW w:w="1260" w:type="dxa"/>
            <w:vAlign w:val="bottom"/>
            <w:gridSpan w:val="2"/>
            <w:shd w:val="clear" w:color="auto" w:fill="CCEEFF"/>
          </w:tcPr>
          <w:p>
            <w:pPr>
              <w:jc w:val="right"/>
              <w:ind w:right="339"/>
              <w:spacing w:after="0" w:line="202" w:lineRule="exact"/>
              <w:rPr>
                <w:sz w:val="20"/>
                <w:szCs w:val="20"/>
                <w:color w:val="auto"/>
              </w:rPr>
            </w:pPr>
            <w:r>
              <w:rPr>
                <w:rFonts w:ascii="Times New Roman" w:cs="Times New Roman" w:eastAsia="Times New Roman" w:hAnsi="Times New Roman"/>
                <w:sz w:val="16"/>
                <w:szCs w:val="16"/>
                <w:color w:val="auto"/>
              </w:rPr>
              <w:t>45,199</w:t>
            </w:r>
            <w:r>
              <w:rPr>
                <w:rFonts w:ascii="Times New Roman" w:cs="Times New Roman" w:eastAsia="Times New Roman" w:hAnsi="Times New Roman"/>
                <w:sz w:val="23"/>
                <w:szCs w:val="23"/>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Unit Vesting</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2"/>
                <w:szCs w:val="12"/>
                <w:color w:val="auto"/>
                <w:w w:val="85"/>
              </w:rPr>
              <w:t>(4)</w:t>
            </w:r>
          </w:p>
        </w:tc>
        <w:tc>
          <w:tcPr>
            <w:tcW w:w="1260" w:type="dxa"/>
            <w:vAlign w:val="bottom"/>
            <w:gridSpan w:val="2"/>
            <w:shd w:val="clear" w:color="auto" w:fill="CCEEFF"/>
          </w:tcPr>
          <w:p>
            <w:pPr>
              <w:jc w:val="right"/>
              <w:ind w:right="339"/>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(4)</w:t>
            </w:r>
          </w:p>
        </w:tc>
        <w:tc>
          <w:tcPr>
            <w:tcW w:w="7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2"/>
                <w:szCs w:val="12"/>
                <w:color w:val="auto"/>
                <w:w w:val="85"/>
              </w:rPr>
              <w:t>(4)</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 </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2"/>
                <w:szCs w:val="12"/>
                <w:color w:val="auto"/>
                <w:w w:val="85"/>
              </w:rPr>
              <w:t>(5)</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Michael B. Drazin</w:t>
            </w:r>
          </w:p>
        </w:tc>
        <w:tc>
          <w:tcPr>
            <w:tcW w:w="2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Class B Unit Vesting</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87"/>
              </w:rPr>
              <w:t> </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2"/>
                <w:szCs w:val="12"/>
                <w:color w:val="auto"/>
                <w:w w:val="85"/>
              </w:rPr>
              <w:t>(5)</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Pigott</w:t>
            </w:r>
          </w:p>
        </w:tc>
        <w:tc>
          <w:tcPr>
            <w:tcW w:w="3340" w:type="dxa"/>
            <w:vAlign w:val="bottom"/>
            <w:gridSpan w:val="2"/>
            <w:shd w:val="clear" w:color="auto" w:fill="CCEEFF"/>
          </w:tcPr>
          <w:p>
            <w:pPr>
              <w:ind w:left="220"/>
              <w:spacing w:after="0" w:line="191"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22"/>
                <w:szCs w:val="22"/>
                <w:color w:val="auto"/>
                <w:vertAlign w:val="superscript"/>
              </w:rPr>
              <w:t>(1)</w:t>
            </w:r>
          </w:p>
        </w:tc>
        <w:tc>
          <w:tcPr>
            <w:tcW w:w="1600" w:type="dxa"/>
            <w:vAlign w:val="bottom"/>
            <w:gridSpan w:val="3"/>
            <w:shd w:val="clear" w:color="auto" w:fill="CCEEFF"/>
          </w:tcPr>
          <w:p>
            <w:pPr>
              <w:jc w:val="right"/>
              <w:ind w:right="439"/>
              <w:spacing w:after="0" w:line="191" w:lineRule="exact"/>
              <w:rPr>
                <w:sz w:val="20"/>
                <w:szCs w:val="20"/>
                <w:color w:val="auto"/>
              </w:rPr>
            </w:pPr>
            <w:r>
              <w:rPr>
                <w:rFonts w:ascii="Times New Roman" w:cs="Times New Roman" w:eastAsia="Times New Roman" w:hAnsi="Times New Roman"/>
                <w:sz w:val="15"/>
                <w:szCs w:val="15"/>
                <w:color w:val="auto"/>
              </w:rPr>
              <w:t>5,225,000</w:t>
            </w:r>
            <w:r>
              <w:rPr>
                <w:rFonts w:ascii="Times New Roman" w:cs="Times New Roman" w:eastAsia="Times New Roman" w:hAnsi="Times New Roman"/>
                <w:sz w:val="22"/>
                <w:szCs w:val="22"/>
                <w:color w:val="auto"/>
                <w:vertAlign w:val="superscript"/>
              </w:rPr>
              <w:t>(6)</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Year Bonus</w:t>
            </w:r>
          </w:p>
        </w:tc>
        <w:tc>
          <w:tcPr>
            <w:tcW w:w="1600" w:type="dxa"/>
            <w:vAlign w:val="bottom"/>
            <w:gridSpan w:val="3"/>
            <w:shd w:val="clear" w:color="auto" w:fill="CCEEFF"/>
          </w:tcPr>
          <w:p>
            <w:pPr>
              <w:jc w:val="right"/>
              <w:ind w:right="439"/>
              <w:spacing w:after="0" w:line="202" w:lineRule="exact"/>
              <w:rPr>
                <w:sz w:val="20"/>
                <w:szCs w:val="20"/>
                <w:color w:val="auto"/>
              </w:rPr>
            </w:pPr>
            <w:r>
              <w:rPr>
                <w:rFonts w:ascii="Times New Roman" w:cs="Times New Roman" w:eastAsia="Times New Roman" w:hAnsi="Times New Roman"/>
                <w:sz w:val="16"/>
                <w:szCs w:val="16"/>
                <w:color w:val="auto"/>
              </w:rPr>
              <w:t>1,100,000</w:t>
            </w:r>
            <w:r>
              <w:rPr>
                <w:rFonts w:ascii="Times New Roman" w:cs="Times New Roman" w:eastAsia="Times New Roman" w:hAnsi="Times New Roman"/>
                <w:sz w:val="23"/>
                <w:szCs w:val="23"/>
                <w:color w:val="auto"/>
                <w:vertAlign w:val="superscript"/>
              </w:rPr>
              <w:t>(2)</w:t>
            </w: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benefits</w:t>
            </w:r>
          </w:p>
        </w:tc>
        <w:tc>
          <w:tcPr>
            <w:tcW w:w="1600" w:type="dxa"/>
            <w:vAlign w:val="bottom"/>
            <w:gridSpan w:val="3"/>
            <w:shd w:val="clear" w:color="auto" w:fill="CCEEFF"/>
          </w:tcPr>
          <w:p>
            <w:pPr>
              <w:jc w:val="right"/>
              <w:ind w:right="439"/>
              <w:spacing w:after="0" w:line="202" w:lineRule="exact"/>
              <w:rPr>
                <w:sz w:val="20"/>
                <w:szCs w:val="20"/>
                <w:color w:val="auto"/>
              </w:rPr>
            </w:pPr>
            <w:r>
              <w:rPr>
                <w:rFonts w:ascii="Times New Roman" w:cs="Times New Roman" w:eastAsia="Times New Roman" w:hAnsi="Times New Roman"/>
                <w:sz w:val="16"/>
                <w:szCs w:val="16"/>
                <w:color w:val="auto"/>
              </w:rPr>
              <w:t>45,199</w:t>
            </w:r>
            <w:r>
              <w:rPr>
                <w:rFonts w:ascii="Times New Roman" w:cs="Times New Roman" w:eastAsia="Times New Roman" w:hAnsi="Times New Roman"/>
                <w:sz w:val="23"/>
                <w:szCs w:val="23"/>
                <w:color w:val="auto"/>
                <w:vertAlign w:val="superscript"/>
              </w:rPr>
              <w:t>(3)</w:t>
            </w: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Unit Vesting</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2"/>
                <w:szCs w:val="12"/>
                <w:color w:val="auto"/>
                <w:w w:val="85"/>
              </w:rPr>
              <w:t>(4)</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2"/>
                <w:szCs w:val="12"/>
                <w:color w:val="auto"/>
                <w:w w:val="85"/>
              </w:rPr>
              <w:t>(4)</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 </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2"/>
                <w:szCs w:val="12"/>
                <w:color w:val="auto"/>
                <w:w w:val="85"/>
              </w:rPr>
              <w:t>(5)</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Christopher P. Shryock</w:t>
            </w:r>
          </w:p>
        </w:tc>
        <w:tc>
          <w:tcPr>
            <w:tcW w:w="3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L. Miller</w:t>
            </w:r>
          </w:p>
        </w:tc>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Class B Unit Vesting</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 </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2"/>
                <w:szCs w:val="12"/>
                <w:color w:val="auto"/>
                <w:w w:val="85"/>
              </w:rPr>
              <w:t>(5)</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Class B Unit Vesting</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87"/>
              </w:rPr>
              <w:t> </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2"/>
                <w:szCs w:val="12"/>
                <w:color w:val="auto"/>
                <w:w w:val="85"/>
              </w:rPr>
              <w:t>(5)</w:t>
            </w:r>
          </w:p>
        </w:tc>
        <w:tc>
          <w:tcPr>
            <w:tcW w:w="0" w:type="dxa"/>
            <w:vAlign w:val="bottom"/>
          </w:tcPr>
          <w:p>
            <w:pPr>
              <w:spacing w:after="0"/>
              <w:rPr>
                <w:sz w:val="1"/>
                <w:szCs w:val="1"/>
                <w:color w:val="auto"/>
              </w:rPr>
            </w:pPr>
          </w:p>
        </w:tc>
      </w:tr>
      <w:tr>
        <w:trPr>
          <w:trHeight w:val="212"/>
        </w:trPr>
        <w:tc>
          <w:tcPr>
            <w:tcW w:w="2440" w:type="dxa"/>
            <w:vAlign w:val="bottom"/>
          </w:tcPr>
          <w:p>
            <w:pPr>
              <w:spacing w:after="0"/>
              <w:rPr>
                <w:sz w:val="18"/>
                <w:szCs w:val="18"/>
                <w:color w:val="auto"/>
              </w:rPr>
            </w:pPr>
          </w:p>
        </w:tc>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540" w:right="320" w:hanging="424"/>
        <w:spacing w:after="0" w:line="261"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a cash severance payment consisting of 1.5 times the sum of his annual base salary ($1,250,000) and target bonus for 2024 ($1,250,000), paid over 18 months.</w:t>
      </w: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each Named Executive Officer’s earned annual bonus earned for 2024, pro-rated for the period of service during 2024.</w:t>
      </w:r>
    </w:p>
    <w:p>
      <w:pPr>
        <w:spacing w:after="0" w:line="9"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cost of providing the named executive officer with continued medical, dental and vision insurance under COBRA for a period of 18 months assuming 2025 rates.</w:t>
      </w:r>
    </w:p>
    <w:p>
      <w:pPr>
        <w:jc w:val="both"/>
        <w:ind w:left="540" w:right="180" w:hanging="424"/>
        <w:spacing w:after="0" w:line="250"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Boyle, the amounts reported reflect partial accelerated vesting of the Time-Vested Units in the event of termination by us without cause, by Mr. Boyle for good reason, and disability. For Mr. Pigott, the amount reported reflects partial accelerated vesting of the Time-Vested Units in accordance with the Pigott transition agreement. The amounts reported for the Time-Vested Units are based upon the appreciation in the value of our business from and after the date of grant through the date of our most recent valuation prior to December 31, 2024.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the value of accelerated vesting of Time-Vested Units in the event of a sale transaction. The amounts reported for the</w:t>
      </w:r>
    </w:p>
    <w:p>
      <w:pPr>
        <w:spacing w:after="0" w:line="9"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Time-Vested Units are based upon the appreciation in the value of our business from and after the date of grant through the date of our most recent valuation prior to December 31, 2024. For Mr. Boyle, the value of accelerated vesting consists of $        for Time-Vested Units granted in October 2021 and $        for Time-Vested Units granted in October 2023. For Mr. Pigott, the value of accelerated vesting consists of $        for Time-Vested Units granted in October 2021 and $        for Time-Vested Units granted in October 2023.</w:t>
      </w:r>
    </w:p>
    <w:p>
      <w:pPr>
        <w:spacing w:after="0" w:line="1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540" w:right="40" w:hanging="424"/>
        <w:spacing w:after="0" w:line="266"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the cash severance payment due to Mr. Pigott pursuant to the Pigott transition agreement, consisting of 1.5 times the sum of his base salary ($1,100,000) and estimated target bonus for 2025 ($1,650,000), which is paid over 18 months, plus an additional $1,100,000 for base salary through December 31, 2025, which is paid in a lump sum.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includes Mr. Sweet, are currently entitled to compensation consisting of:</w:t>
      </w:r>
    </w:p>
    <w:p>
      <w:pPr>
        <w:spacing w:after="0" w:line="81"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retainer of $125,000 per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 cash retainers of $25,000 (Audit) and $20,000 (Compensation, Nominating and Governance, and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equity award of RSUs with a grant date fair value of $300,000, that cliff vest on the 30 month anniversary of grant;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award of RSUs with a grant date fair value of $200,000, vesting on the first anniversary of grant.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form and amount of compensation for our non-employee directors was established based on recommendations from management’s compensation consultant, Korn Ferry, based on benchmarking against the peer group used for 2025 Named Executive Officer compensation. We anticipate that we will review our director compensation program in connection with this offering and make such changes as we determine are necessary or appropriate for our status as a public company.</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During 2024, James Abrams (our former Chief Operating Officer), Charles Mills (our former Chief Executive Officer), and Andrew Mills (our former President) served as members of our board of directors. In connection with their service, each of Messrs. Abrams, Mills, and Mills received a quarterly cash retainer of $50,000. The board of directors believed the annual retainers for Messrs. Abrams, Mills, and Mills was appropriate in light of their familiarity with our business from their tenures as senior executives. They received no other compensation or benefits for their service, nor will they receive compensation for services following the completion of this offering.</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paid or accrued by us to or on behalf of Messrs. Abrams, Mills, Mills, and Sweet for services rendered to us as directors during the last fiscal year.</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2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260" w:type="dxa"/>
            <w:vAlign w:val="bottom"/>
            <w:gridSpan w:val="2"/>
            <w:vMerge w:val="continue"/>
          </w:tcPr>
          <w:p>
            <w:pPr>
              <w:spacing w:after="0"/>
              <w:rPr>
                <w:sz w:val="12"/>
                <w:szCs w:val="12"/>
                <w:color w:val="auto"/>
              </w:rPr>
            </w:pPr>
          </w:p>
        </w:tc>
        <w:tc>
          <w:tcPr>
            <w:tcW w:w="13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6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2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20" w:type="dxa"/>
            <w:vAlign w:val="bottom"/>
            <w:gridSpan w:val="2"/>
            <w:vMerge w:val="continue"/>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20" w:type="dxa"/>
            <w:vAlign w:val="bottom"/>
          </w:tcPr>
          <w:p>
            <w:pPr>
              <w:spacing w:after="0"/>
              <w:rPr>
                <w:sz w:val="15"/>
                <w:szCs w:val="15"/>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6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 Abrams</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N. Mills</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200,000</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Mills</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200,000</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355"/>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W. Sweet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38,733</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300,000</w:t>
            </w:r>
            <w:r>
              <w:rPr>
                <w:rFonts w:ascii="Times New Roman" w:cs="Times New Roman" w:eastAsia="Times New Roman" w:hAnsi="Times New Roman"/>
                <w:sz w:val="26"/>
                <w:szCs w:val="26"/>
                <w:color w:val="auto"/>
                <w:w w:val="99"/>
                <w:vertAlign w:val="superscript"/>
              </w:rPr>
              <w:t>(1)</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338,733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right="160" w:hanging="424"/>
        <w:spacing w:after="0" w:line="266"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aggregate grant date fair value of 174,419 restricted stock units granted to Mr. Sweet on September 27, 2024 in connection with his commencement of service as a member of the board of directors. The grant date fair value was calculated in accordance with ASC Topic 718. As of December 31, 2024, all of Mr. Sweet’s RSU awards remained outstanding.</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Plan</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our Board of Directors expects to adopt, and we expect our stockholders to approve, the 2025 Medline Inc. Omnibus Incentive Plan, which we refer to as the Omnibus Incentive Plan, prior to the completion of the offering. The term “Board of Directors” as used in this “Omnibus Incentive Plan” section refers to the board of directors of Medline.</w:t>
      </w:r>
    </w:p>
    <w:p>
      <w:pPr>
        <w:spacing w:after="0" w:line="17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our Omnibus Incentive Plan is to provide a means through which to attract and retain key personnel and to provide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whereby our directors, officers, employees, consultants, and advisors can acquire and maintain an equity interest in us, or be paid incentive compensation, including incentive compensation measured by reference to the value of our shares of Class A common stock, thereby strengthening their commitment to our welfare and aligning their interests with those of our stockholders.</w:t>
      </w:r>
    </w:p>
    <w:p>
      <w:pPr>
        <w:spacing w:after="0" w:line="180"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Eligible participants are any (i) individual employed by Medline or any of its subsidiaries, provided that no employee covered by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collective bargaining agreement will be eligible to receive awards under our Omnibus Incentive Plan unless and to the extent such eligibility is set forth in a collective bargaining agreement or in an agreement or instrument related thereto; (ii) director or officer of Medline or any of its subsidiaries; or</w:t>
      </w:r>
    </w:p>
    <w:p>
      <w:pPr>
        <w:spacing w:after="0" w:line="1" w:lineRule="exact"/>
        <w:rPr>
          <w:sz w:val="20"/>
          <w:szCs w:val="20"/>
          <w:color w:val="auto"/>
        </w:rPr>
      </w:pPr>
    </w:p>
    <w:p>
      <w:pPr>
        <w:ind w:left="120" w:right="20" w:hanging="4"/>
        <w:spacing w:after="0" w:line="253" w:lineRule="auto"/>
        <w:tabs>
          <w:tab w:leader="none" w:pos="4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consultant or advisor to Holdings or any of its subsidiaries, or any other person, in each case, who may be offered securities registrable pursuant to a registration statement on Form S-8 under the Securities Act who, in the case of each of clauses (i) through (iii) above, has entered into an award agreement or who has received written notification from the Committee (as defined herein) or its designee that they have been selected to participate in our Omnibus Incentive Plan.</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Omnibus Incentive Plan will be administered by the compensation committee of our Board of Directors, or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of our Board of Directors to which it has properly delegated power, or if no such committee or subcommittee exists, our Board of Directors (such administering body referred to herein, for purposes of this description of the Omnibus Incentive Plan, as the “Committee”).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Omnibus Incentive Plan. The Committee is authorized to: (i) designate participants; (ii) determine the type or types of awards to be granted to a participant; (iii) determine the number of shares of our Class A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our Class A common stock, or Units, as applicable, other securities, other awards, or other property, or canceled, forfeited, or suspended and the method or methods by which awards may be settled, exercised, canceled, forfeited, or suspended;</w:t>
      </w:r>
    </w:p>
    <w:p>
      <w:pPr>
        <w:spacing w:after="0" w:line="6" w:lineRule="exact"/>
        <w:rPr>
          <w:sz w:val="20"/>
          <w:szCs w:val="20"/>
          <w:color w:val="auto"/>
        </w:rPr>
      </w:pPr>
    </w:p>
    <w:p>
      <w:pPr>
        <w:ind w:left="120" w:right="40" w:hanging="4"/>
        <w:spacing w:after="0" w:line="265" w:lineRule="auto"/>
        <w:tabs>
          <w:tab w:leader="none" w:pos="425"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to what extent, and under what circumstances the delivery of cash, shares of our Class A common stock, other securities, other awards, or other property and other amounts payable with respect to an award will be deferred either automatically or at the election of the participant or of the Committee; (vii) interpret, administer, reconcile any inconsistency in, correct any defect in, and/or supply any omission in our Omnibus Incentive Plan and any instrument or agreement relating to, or award granted under, our Omnibus Incentive Plan; (viii) establish, amend, suspend, or waive any rules and regulations and appoint such agents as the Committee may deem appropriate for the proper administration of our Omnibus Incentive Plan;</w:t>
      </w:r>
    </w:p>
    <w:p>
      <w:pPr>
        <w:ind w:left="120" w:right="40" w:hanging="4"/>
        <w:spacing w:after="0" w:line="271" w:lineRule="auto"/>
        <w:tabs>
          <w:tab w:leader="none" w:pos="42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sub-plans; and (x) make any other determination and take any other action that the Committee deems necessary or desirable for the administration of our Omnibus Incentive Plan. Unless otherwise expressly provided in our Omnibus Incentive Plan, all designations, determinations, interpretations, and other decisions under or with respect to our Omnibus Incentive Plan or any award or any documents evidencing awards granted pursuant to our Omnibus Incentive Plan are within the sole discretion of the Committee, may be made at any time, and are final, conclusive, and binding upon all persons or entities, including, without limitation, us, any participant, any holder or beneficiary of any award, and any of our stockholders.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Awards Subject to our Omnibus Incentive Plan. </w:t>
      </w:r>
      <w:r>
        <w:rPr>
          <w:rFonts w:ascii="Times New Roman" w:cs="Times New Roman" w:eastAsia="Times New Roman" w:hAnsi="Times New Roman"/>
          <w:sz w:val="18"/>
          <w:szCs w:val="18"/>
          <w:color w:val="auto"/>
        </w:rPr>
        <w:t>Our Omnibus Incentive Plan provides that the total number of shares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Units (collectively, “Interests”) that may be issued under our Omnibus Incentive Plan is equal to no more than        shares of our Class A common stock (excluding shares of Class A common stock received by, or to be received by, participants in connection with the exchange for, conversion into, redemption of, or substitution for Units or for such other equity or equity-based awards issued by Medline Holdings (or a predecessor or affiliate thereof) and exchangeable for, convertible into or redeemable or substitutable for, shares of Class A common stock), or the “Absolute Share Limit”; provided, however, that the Absolute Share Limit shall be increased on the first day of each fiscal year beginning with the 2026 fiscal year in an amount equal to the least of (x)         Interests, (y)   % of the total number of Interests outstanding on the last day of the immediately preceding fiscal year, and (z) a lower number of Interests as determined by our Board of Directors. Of this amount, the maximum number of Interests for which incentive stock options may be granted is        ; and during a single fiscal year, each non-employee director shall be granted a number of Interests subject to awards, taken together with any cash fees paid to such non-employee director during the fiscal year, equal to a total value of $1,000,000 or such lower amount as determined by our Board of Directors. Unless otherwise determined by the Committee, shares of our Class A common stock delivered by us or our affiliates upon exchange of Units or other equity securities of any of our subsidiaries that have been issued under our Omnibus Incentive Plan shall be issued under our Omnibus Incentive Plan. Except for “Substitute Awards” (as described below), to the extent that an award expires or is canceled, forfeited, terminated, settled in cash, or otherwise is settled without issuance to the participant of the full number of Interests to which the award related, the unissued shares will again be available for grant under our Omnibus Incentive Plan. Shares of our Class A common stock withheld in payment of the exercise price, or taxes relating to an award, and shares equal to the number of shares surrendered in payment of any exercise price, or taxes relating to an award, shall be deemed to constitute shares not issued; provided, however, that such shares shall not become available for issuance if either: (i) the applicable shares are withheld or surrendered following the termination of our Omnibus Incentive Plan or (ii) at the time the applicable shares are withheld or surrendered, it would constitute a material revision of our Omnibus Incentive Plan subject to stockholder approval under any then-applicable rules of the national securities exchange on which our Class A common stock is listed. No award may be granted under our Omnibus Incentive Plan after the tenth anniversary of the Effective Date (as defined in our Omnibus Incentive Plan), but awards granted before then may extend beyond that date. Awards may, in the sole discretion of the Committee, be granted in assumption of, or in substitution for, outstanding awards previously granted by an entity directly or indirectly acquired by us or with which we combine, or Substitute Awards, and such Substitute Awards will not be counted against the Absolute Share Limit, except that Substitute Awards intended to qualify as incentive stock options will count against the limit on incentive stock options described above.</w:t>
      </w:r>
    </w:p>
    <w:p>
      <w:pPr>
        <w:spacing w:after="0" w:line="204"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i w:val="1"/>
          <w:iCs w:val="1"/>
          <w:color w:val="auto"/>
        </w:rPr>
        <w:t>Grants</w:t>
      </w:r>
      <w:r>
        <w:rPr>
          <w:rFonts w:ascii="Times New Roman" w:cs="Times New Roman" w:eastAsia="Times New Roman" w:hAnsi="Times New Roman"/>
          <w:sz w:val="17"/>
          <w:szCs w:val="17"/>
          <w:color w:val="auto"/>
        </w:rPr>
        <w:t>. All awards granted under our Omnibus Incentive Plan will vest and become exercisable in such manner and on such date or dates or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event or events as determined by the Committee, including, without limitation, attainment of Performance Conditions. As used herein, “Performance Conditions” means specific levels of performance of Medline (and/or one or more members of its subsidiaries, divisions, or operational and/or business units, product lines, brands, business segments, administrative departments, or any combination of the foregoing), which may be determined in accordance with GAAP or on a non-GAAP basis 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w:t>
      </w:r>
    </w:p>
    <w:p>
      <w:pPr>
        <w:spacing w:after="0" w:line="6" w:lineRule="exact"/>
        <w:rPr>
          <w:sz w:val="20"/>
          <w:szCs w:val="20"/>
          <w:color w:val="auto"/>
        </w:rPr>
      </w:pPr>
    </w:p>
    <w:p>
      <w:pPr>
        <w:jc w:val="both"/>
        <w:ind w:left="120" w:right="620" w:hanging="4"/>
        <w:spacing w:after="0" w:line="265" w:lineRule="auto"/>
        <w:tabs>
          <w:tab w:leader="none" w:pos="37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productivity ratios; (xi) share price (including, but not limited to, growth measures and total stockholder return); (xii) expense targets or cost reduction goals, general and administrative expense savings; (xiii) operating efficiency; (xiv) objective measures of customer/client satisfaction;</w:t>
      </w:r>
    </w:p>
    <w:p>
      <w:pPr>
        <w:ind w:left="460" w:hanging="344"/>
        <w:spacing w:after="0"/>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targets; (xvi) measures of economic value added or other ‘value creation’ metrics; (xvii) enterprise value; (xviii) sales;</w:t>
      </w:r>
    </w:p>
    <w:p>
      <w:pPr>
        <w:spacing w:after="0" w:line="9" w:lineRule="exact"/>
        <w:rPr>
          <w:rFonts w:ascii="Times New Roman" w:cs="Times New Roman" w:eastAsia="Times New Roman" w:hAnsi="Times New Roman"/>
          <w:sz w:val="18"/>
          <w:szCs w:val="18"/>
          <w:color w:val="auto"/>
        </w:rPr>
      </w:pPr>
    </w:p>
    <w:p>
      <w:pPr>
        <w:ind w:left="520" w:hanging="404"/>
        <w:spacing w:after="0"/>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return; (xx) customer/client retention;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60" w:hanging="4"/>
        <w:spacing w:after="0" w:line="253" w:lineRule="auto"/>
        <w:tabs>
          <w:tab w:leader="none" w:pos="5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aforementioned performance criteria may be stated as a percentage of another performance criteria, or used on an absolute or relative basis to measure the performance of one or more of Medline or its subsidiaries as a whole or any divisions or operational and/or business units, product lines, brands, business segments, or administrative departments of Medline and/or one or more of its subsidiaries,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Under our Omnibus Incentive Plan, the Committee may grant non-qualified stock options and incentive stock options with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determined by the Committee that are not inconsistent with our Omnibus Incentive Plan; provided, that all stock options granted under our Omnibus Incentive Plan are required to have a per share exercise price that is not less than 100% of the fair market value of our shares of Class A common stock underlying such stock options on the date such stock options are granted (other than in the case 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our shares of Class A common stock is prohibited by our insider trading policy (or “blackout period” imposed by us), the term will automatically be extended to the 30th day following the end of such period. The purchase price for the shares of our Class A common stock as to which a stock option is exercised may be paid to us, to the extent permitted by law (i) in cash, check, cash equivalent, and/or shares of our Class A common stock valued at the fair market value at the time the option is exercised; provided, that such shares of our Class A common stock are not subject to any pledge or other security interest and have been held by the participant for at least six months (or such other period as established from time to time by the Committee in order to avoid adverse accounting treatment applying GAAP) or</w:t>
      </w:r>
    </w:p>
    <w:p>
      <w:pPr>
        <w:spacing w:after="0" w:line="2" w:lineRule="exact"/>
        <w:rPr>
          <w:sz w:val="20"/>
          <w:szCs w:val="20"/>
          <w:color w:val="auto"/>
        </w:rPr>
      </w:pPr>
    </w:p>
    <w:p>
      <w:pPr>
        <w:ind w:left="120" w:right="60" w:hanging="4"/>
        <w:spacing w:after="0" w:line="252" w:lineRule="auto"/>
        <w:tabs>
          <w:tab w:leader="none" w:pos="3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other method as the Committee may permit in its sole discretion, including, without limitation: (a) in other property having a fair market value on the date of exercise equal to the exercise price, (b) if there is a public market for the shares of our Class A common stock at such time, by means of a broker-assisted “cashless exercise” pursuant to which we are delivered (including telephonically to the extent permitted by the Committee) a copy of irrevocable instructions to a stockbroker to sell the shares of our Class A common stock otherwise issuable upon the exercise of the option and to deliver promptly to us an amount equal to the exercise price or (c) a “net exercise” procedure effected by withholding the minimum number of shares of our Class A common stock otherwise issuable in respect of an option that is needed to pay the exercise price. Any fractional shares of our Class A common stock shall be settled in cash.</w:t>
      </w:r>
    </w:p>
    <w:p>
      <w:pPr>
        <w:spacing w:after="0" w:line="18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Committee may grant stock appreciation rights (“SARs”) under our Omnibus Incentive Plan, with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determined by the Committee that are not inconsistent with our Omnibus Incentive Plan. The Committee may also award SARs independent of any option. Generally, each SAR will entitle the participant upon exercise to an amount (in cash, shares of our Class A common stock, or a combination of cash and shares, as determined by the Committee) equal to the product of (i) the excess of (a) the fair market value on the exercise date of one share of our Class A common stock over (b) the strike price per share of our Class A common stock covered by the SAR, times (ii) the number of shares of our Class A common stock covered by the SAR, less any taxes required to be withheld. The strike price per share of our Class A common stock covered by a SAR will be determined by the Committee at the time of grant but in no event may</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such amount be less than 100% of the fair market value of a share of our Class A common stock on the date the SAR is granted (other than in the case of SARs granted in substitution of previously granted awards).</w:t>
      </w:r>
    </w:p>
    <w:p>
      <w:pPr>
        <w:spacing w:after="0" w:line="160" w:lineRule="exact"/>
        <w:rPr>
          <w:sz w:val="20"/>
          <w:szCs w:val="20"/>
          <w:color w:val="auto"/>
        </w:rPr>
      </w:pPr>
    </w:p>
    <w:p>
      <w:pPr>
        <w:ind w:left="120" w:right="3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and Restricted Stock Units. </w:t>
      </w:r>
      <w:r>
        <w:rPr>
          <w:rFonts w:ascii="Times New Roman" w:cs="Times New Roman" w:eastAsia="Times New Roman" w:hAnsi="Times New Roman"/>
          <w:sz w:val="18"/>
          <w:szCs w:val="18"/>
          <w:color w:val="auto"/>
        </w:rPr>
        <w:t>The Committee may grant restricted shares of Class A common stock or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RSUs represent the right to receive, upon vesting and the expiration of any applicable restricted period, one share of our Class A common stock for each RSU, or, in the sole discretion of the Committee, the cash value thereof (or any combination thereof). As to restricted shares of our Class A common stock, subject to the other provisions of our Omnibus Incentive Plan, the holder will generally have the rights and privileges of a stockholder as to such restricted shares of our Class A common stock, including, without limitation, the right to vote such restricted shares of our Class A common stock.</w:t>
      </w:r>
    </w:p>
    <w:p>
      <w:pPr>
        <w:spacing w:after="0" w:line="18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The Committee may issue awards in the form of Units or other classes of limited partnership units in Medline Holdings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Medline Holdings’ limited partnership agreement. Common Unit awards will be valued by reference to, or otherwise determined by reference to or based on, our shares of Class A common stock. Common Unit awards may be (i) convertible, exchangeable, or redeemable for other limited partnership interests in Medline Holdings or our shares of Class A common stock or (ii) valued by reference to the book value, fair value, or performance of Medline Holdings. For purposes of calculating the number of our shares of Class A common stock underlying Common Unit awards relative to the total number of our shares of Class A common stock available for issuance under our Omnibus Incentive Plan, the Committee will establish, in good faith, the maximum number of our shares of Class A common stock to which a participant receiving a Common Unit award may be entitled upon fulfillment of all applicable conditions set forth in the relevant award documentation, including vesting conditions, capital account allocations, value accretion factors, conversion ratios, exchange ratios, and other similar criteria. If and when any such conditions are no longer capable of being met, in whole or in part, the number of our shares of Class A common stock underlying such Common Unit award will be reduced accordingly by the Committee, and the number of our shares Class A common stock available under our Omnibus Incentive Plan will be increased by one share for each share so reduced. The Committee will determine all other terms of Common Unit awards.</w:t>
      </w:r>
    </w:p>
    <w:p>
      <w:pPr>
        <w:spacing w:after="0" w:line="190"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Equity-Based Awards and Other Cash-Based Awards. </w:t>
      </w:r>
      <w:r>
        <w:rPr>
          <w:rFonts w:ascii="Times New Roman" w:cs="Times New Roman" w:eastAsia="Times New Roman" w:hAnsi="Times New Roman"/>
          <w:sz w:val="18"/>
          <w:szCs w:val="18"/>
          <w:color w:val="auto"/>
        </w:rPr>
        <w:t>The Committee may grant other equity-based or other cash-based awards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Omnibus Incentive Plan, with terms and conditions determined by the Committee that are not inconsistent with our Omnibus Incentive Plan.</w:t>
      </w:r>
    </w:p>
    <w:p>
      <w:pPr>
        <w:spacing w:after="0" w:line="15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Effect of Certain Events on Our Omnibus Incentive Plan and Awards. </w:t>
      </w:r>
      <w:r>
        <w:rPr>
          <w:rFonts w:ascii="Times New Roman" w:cs="Times New Roman" w:eastAsia="Times New Roman" w:hAnsi="Times New Roman"/>
          <w:sz w:val="18"/>
          <w:szCs w:val="18"/>
          <w:color w:val="auto"/>
        </w:rPr>
        <w:t>In the event of (i) any dividend (other than regular cash dividends)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(whether in the form of cash, shares of our Class A common stock, other securities, or other property), recapitalization, stock split, reverse stock split, reorganization, merger, consolidation, split-up, split-off, spin-off, combination, repurchase, or exchange of shares of our Class A common stock, Units or other securities, issuance of warrants or other rights to acquire shares of our Class A common stock or other securities, or other similar corporate transaction or event that affects the shares of our Class A common stock (including a “Change in Control,” as defined in our Omnibus Incentive Plan); or (ii) unusual or nonrecurring events affecting us,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“Adjustment Event”), the Committee will, in respect of any such Adjustment Event, make such proportionate substitution or adjustment, if any, as it deems equitable, to any or all of (a) the Absolute Share Limit, or any other limit applicable under our Omnibus Incentive Plan with respect to the number of awards which may be granted thereunder; (b) the number of our Interests or other securities (or number and kind of other securities or other property) which may be issued in respect of awards or with respect to which awards may be granted under our Omnibus Incentive Plan or any sub-plan; and (c) the terms of any outstanding award, including, without limitation, (x) the number of Interests or other securities (or number and kind of other securities or other property) subject to outstanding awards or to which outstanding awards relate; (y) the exercise price or strike price with respect to any award; or (z) any applicable performance measures; provided, that in the case of any “equity restructuring,” (within the meaning of the FASB ASC Topic 718 (or any successor pronouncement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thereto)) the Committee will make an equitable or proportionate adjustment to outstanding awards to reflect such equity restructuring. In connection with any Adjustment Event, the Committee may, in its sole discretion, provide for any one or more of the following: (i) substitution or assumption of awards, acceleration of the exercisability of, lapse of restrictions on, or termination of, awards or a period of time for participants to exercise outstanding awards prior to the occurrence of such event (and any such award not so exercised will terminate upon the occurrence of such event); and (ii) subject to any limitations or reductions as may be necessary to comply with Section 409A of the Code,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the value of such awards, if any, as determined by the Committee (which value, if applicable, may be based upon the price per share of our Class A common stock received or to be received by other holders of our shares of Class A common stock in such event), including, without limitation, in the case of stock options and SARs, a cash payment equal to the excess, if any, of the fair market value of the shares of our Class A common stock subject to the option or SAR over the aggregate exercise price or strike price thereof, or, in the case of restricted stock, RSUs, or other equity-based awards that are not vested as of such cancellation, a cash payment or equity subject to deferred vesting and delivery consistent with the vesting restrictions applicable to such award prior to cancellation of the underlying shares in respect thereof.</w:t>
      </w:r>
    </w:p>
    <w:p>
      <w:pPr>
        <w:spacing w:after="0" w:line="18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Non-transferability of Awards. </w:t>
      </w:r>
      <w:r>
        <w:rPr>
          <w:rFonts w:ascii="Times New Roman" w:cs="Times New Roman" w:eastAsia="Times New Roman" w:hAnsi="Times New Roman"/>
          <w:sz w:val="18"/>
          <w:szCs w:val="18"/>
          <w:color w:val="auto"/>
        </w:rPr>
        <w:t>No award will be permitted to be assigned, alienated, pledged, attached, sold, or otherwise transferred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encumbered by a participant other than by will or by the laws 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Our Board of Directors may amend, alter, suspend, discontinue or terminate our Omnibus Incentive Plan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thereof at any time; provided, that no such amendment, alteration, suspension, discontinuance, or termination may be made without stockholder approval if (i) such approval is necessary to comply with any regulatory requirement applicable to our Omnibus Incentive Plan or for changes in GAAP to new accounting standards; (ii) it would materially increase the number of securities which may be issued under our Omnibus Incentive Plan (except for adjustments in connection with certain corporate events); or (iii) it would materially modify the requirements for participation in our Omnibus Incentive Plan; provided, further, that any such amendment, alteration, suspension, discontinuance, or termination that would materially adversely affect the rights of any participant or any holder or beneficiary of any award will not to that extent be effective without such individual’s consent.</w:t>
      </w:r>
    </w:p>
    <w:p>
      <w:pPr>
        <w:spacing w:after="0" w:line="18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termination of employment or service); provided, that, except as otherwise permitted in our Omnibus Incentive Plan, any such waiver, amendment, alteration, suspension, discontinuance, cancellation, or termination that would materially adversely affect the rights of any participant with respect to such award will not to that extent be effective without such individual’s consent; provided, further, that without stockholder approval, except as otherwise permitted in our Omnibus Incentive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value of the cancelled option or SAR; and (iii) the Committee may not take any other action which is considered a “repricing” for purposes of the stockholder approval rules of any securities exchange or inter-dealer quotation system on which our securities are listed or quoted.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and Dividend Equivalents. </w:t>
      </w:r>
      <w:r>
        <w:rPr>
          <w:rFonts w:ascii="Times New Roman" w:cs="Times New Roman" w:eastAsia="Times New Roman" w:hAnsi="Times New Roman"/>
          <w:sz w:val="18"/>
          <w:szCs w:val="18"/>
          <w:color w:val="auto"/>
        </w:rPr>
        <w:t>The Committee in its sole discretion may provide as part of an award dividends or dividend equivalents,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terms and conditions as may be determined by the Committee in its sole discretion. Any dividends payable in respect of restricted stock awards that remain subject to vesting conditions shall be retained by the Company and delivered to the participant within 15 days following the date on which such restrictions on such restricted stock awards lapse and, if such restricted stock is forfeited, the participant shall have no right to such dividends. Dividends attributable to RSUs shall be distributed to the participant in cash or, in the sole discretion of the Committee, in shares of our Class A common stock having a fair market value equal to the amount of such dividends, upon the settlement of the RSUs and, if such RSUs are forfeited, the participant shall have no right to such dividends.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Clawback/Repayment. </w:t>
      </w:r>
      <w:r>
        <w:rPr>
          <w:rFonts w:ascii="Times New Roman" w:cs="Times New Roman" w:eastAsia="Times New Roman" w:hAnsi="Times New Roman"/>
          <w:sz w:val="18"/>
          <w:szCs w:val="18"/>
          <w:color w:val="auto"/>
        </w:rPr>
        <w:t>All awards are subject to reduction, cancellation, forfeiture, or recoupment to the extent necessary to comply with (i)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forfeiture,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us any such excess amount.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Detrimental Activity. </w:t>
      </w:r>
      <w:r>
        <w:rPr>
          <w:rFonts w:ascii="Times New Roman" w:cs="Times New Roman" w:eastAsia="Times New Roman" w:hAnsi="Times New Roman"/>
          <w:sz w:val="18"/>
          <w:szCs w:val="18"/>
          <w:color w:val="auto"/>
        </w:rPr>
        <w:t>If a participant has engaged in any detrimental activity, as defined in our Omnibus Incentive Plan,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Committee may, in its sole discretion, provide for one or more of the following: (i) cancellation of any or all of such participant’s outstanding awards or (ii) forfeiture and repayment to us on any gain realized on the vesting, exercise, or settlement of any awards previously granted to such participant.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7"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Agreements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intend to enter into separate director nomination agreements with each Designating Stockholder. These agreements will require us to, among other things, nominate an agreed number of individuals designated by each such holder (such directors, the “Designated Directors” and each, a “Designated Director”) for election as our directors at any meeting of our stockholders, for so long as such holder continues to beneficially own at least 5% of the outstanding shares of Class A common stock, assuming exchange of all Units.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Each of our Designating Stockholders will agree,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so long as the director nomination agreements remain in effect, Designated Directors may be removed only with the consent of the Designating Stockholder that designated such Designated Director. In the case of a vacancy on our board created by the removal or resignation of a Designated Director, the director nomination agreements will require us to nominate an individual designated by the Designating Stockholder that designated such Designating Director for election to fill the vacancy. Additionally, as long as a Designating Stockholder continues to beneficially own at least 5% of the outstanding shares of Class A common stock, assuming exchange of all Units, such Designating Stockholder must consent to any increase or decrease in the total number of directors on our board of directors.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the director nomination agreements will permit our Designating Stockholders and their affiliates to assign their rights and obligations under the agreements, in whole or in part, without our prior written consent.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Units held by our Designating Stockholders, including to banks or financial institutions as collateral or security for loans, advances or extensions of credit. Moreover, our Designating Stockholders have certain customary information rights pursuant to the director nomination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Transactions, we will enter into an exchange agreement (the “Exchange Agreement”) with the holders of outstanding Units pursuant to which each holder of Units (and certain permitted transferees thereof) may (subject to the terms of the exchange agreement) exchange their Units for shares of our Class A common stock on a one-for-one basis, subject to customary conversion rate adjustments for stock splits, stock dividends, and reclassifications, whereupon an equivalent number of shares of Class B common stock held by each such Pre-IPO Unitholder will be automatically transferred to us and cancelled and retired upon any such exchange. Class A common stock received upon such exchanges during the applicable restricted periods described in “Shares Eligible for Future Sale—Lock-Up Agreements,” would be subject to the restrictions described in such section. The exchange agreement will also provide that a holder of Units will not have the right to exchange Units if Medline Inc. determines that such exchange would be prohibited by law or regulation or would violate other agreements with Medline Inc. to which the holder of Units may be subject. Medline Inc. may impose additional restrictions on exchange that it determines to be necessary or advisable so that Medline Holdings is not treated as a “publicly traded partnership” for U.S. federal income tax purposes. As a holder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exchanges Units for shares of Class A common stock, the number of Units held by Medline Inc. is correspondingly increased as it acquires the exchanged Units. Holders of outstanding Units do not have the right to require a redemption of the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Transactions, we will enter into a registration rights agreement with our Principal Stockholders and our Other Pre-IPO Investors, which will provide for customary “demand” registrations and “piggyback” registration rights. The registration rights agreement also will provide that we will pay certain expenses relating to such registrations and indemnify the registration rights holders against (or make contributions in respect of) certain liabilities which may arise under the Securities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In connection with the Offering Transactions, Medline Inc. will enter into a tax receivable agreement with certain of our pre-IPO owners that provides for the payment by Medline Inc. to such pre-IPO owners of 90% of the benefits, if any, that Medline Inc. actually realizes, or is deemed to realize (calculated using certain assumptions), as a result of (i) Medline Inc.’s allocable share of existing tax basis acquired in this offering, (ii) increases in Medline Inc.’s allocable share of existing tax basis and tax basis adjustments to the tangible and intangible assets of Medline Holdings as a result of sales or exchanges of Units in connection with or after this offering, (iii) Medline Inc.’s utilization of certain tax attributes (including any existing tax basis) of the Blocker Companies, and (iv) certain other tax benefits related to entering into the tax receivable agreement, including tax benefits attributable to payments under the tax receivable agreement. Sales or exchanges of Units by Pre-IPO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 share of existing tax basis acquired in this offering and the increase in Medline Inc.’s allocable share of existing tax basis and the anticipated tax basis adjustments upon purchases or exchanges of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The term of the tax receivable agreement will continue until all such tax benefits have been utilized or expired. Additionally, in the event of certain changes of control, any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Units for shares of Class A common stock, as well as the amount and timing of any payments under the tax receivable agreement, will vary depending upon a number of factors, including:</w:t>
      </w:r>
    </w:p>
    <w:p>
      <w:pPr>
        <w:spacing w:after="0" w:line="107" w:lineRule="exact"/>
        <w:rPr>
          <w:sz w:val="20"/>
          <w:szCs w:val="20"/>
          <w:color w:val="auto"/>
        </w:rPr>
      </w:pPr>
    </w:p>
    <w:p>
      <w:pPr>
        <w:ind w:left="1080" w:right="40" w:hanging="424"/>
        <w:spacing w:after="0" w:line="284"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of purchases or exchanges</w:t>
      </w:r>
      <w:r>
        <w:rPr>
          <w:rFonts w:ascii="Times New Roman" w:cs="Times New Roman" w:eastAsia="Times New Roman" w:hAnsi="Times New Roman"/>
          <w:sz w:val="18"/>
          <w:szCs w:val="18"/>
          <w:color w:val="auto"/>
        </w:rPr>
        <w:t>—for instance, the increase in any tax deductions will vary depending on the fair market value,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fluctuate over time, of the depreciable or amortizable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1100" w:right="60"/>
        <w:spacing w:after="0" w:line="266" w:lineRule="auto"/>
        <w:rPr>
          <w:sz w:val="20"/>
          <w:szCs w:val="20"/>
          <w:color w:val="auto"/>
        </w:rPr>
      </w:pPr>
      <w:r>
        <w:rPr>
          <w:rFonts w:ascii="Times New Roman" w:cs="Times New Roman" w:eastAsia="Times New Roman" w:hAnsi="Times New Roman"/>
          <w:sz w:val="18"/>
          <w:szCs w:val="18"/>
          <w:color w:val="auto"/>
        </w:rPr>
        <w:t>assets of Medline Holdings at the time of each purchase or exchange. In addition, the increase in Medline Inc.’s allocable share of existing tax basis acquired upon the future exchange of Units for shares of Class A common stock will vary depending on the amount of remaining existing tax basis at the time of such purchase or exchange;</w:t>
      </w:r>
    </w:p>
    <w:p>
      <w:pPr>
        <w:spacing w:after="0" w:line="79" w:lineRule="exact"/>
        <w:rPr>
          <w:sz w:val="20"/>
          <w:szCs w:val="20"/>
          <w:color w:val="auto"/>
        </w:rPr>
      </w:pPr>
    </w:p>
    <w:p>
      <w:pPr>
        <w:ind w:left="1080" w:right="40" w:hanging="424"/>
        <w:spacing w:after="0" w:line="267"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price of shares of Class A common stock at the time of the purchase or exchange</w:t>
      </w:r>
      <w:r>
        <w:rPr>
          <w:rFonts w:ascii="Times New Roman" w:cs="Times New Roman" w:eastAsia="Times New Roman" w:hAnsi="Times New Roman"/>
          <w:sz w:val="18"/>
          <w:szCs w:val="18"/>
          <w:color w:val="auto"/>
        </w:rPr>
        <w:t>—the increase in any tax deductions, as well as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increase in other assets, of Medline Holdings, is directly proportional to the price of shares of Class A common stock at the time of the purchase or exchange;</w:t>
      </w:r>
    </w:p>
    <w:p>
      <w:pPr>
        <w:spacing w:after="0" w:line="78" w:lineRule="exact"/>
        <w:rPr>
          <w:rFonts w:ascii="Times New Roman" w:cs="Times New Roman" w:eastAsia="Times New Roman" w:hAnsi="Times New Roman"/>
          <w:sz w:val="18"/>
          <w:szCs w:val="18"/>
          <w:color w:val="auto"/>
        </w:rPr>
      </w:pPr>
    </w:p>
    <w:p>
      <w:pPr>
        <w:ind w:left="1080" w:right="300" w:hanging="424"/>
        <w:spacing w:after="0" w:line="284"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extent to which such purchases or exchanges do not result in a basis adjustment</w:t>
      </w:r>
      <w:r>
        <w:rPr>
          <w:rFonts w:ascii="Times New Roman" w:cs="Times New Roman" w:eastAsia="Times New Roman" w:hAnsi="Times New Roman"/>
          <w:sz w:val="18"/>
          <w:szCs w:val="18"/>
          <w:color w:val="auto"/>
        </w:rPr>
        <w:t>—if a purchase or an exchange does not result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to existing basis, increased deductions will not be available;</w:t>
      </w:r>
    </w:p>
    <w:p>
      <w:pPr>
        <w:spacing w:after="0" w:line="63"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of tax attributes</w:t>
      </w:r>
      <w:r>
        <w:rPr>
          <w:rFonts w:ascii="Times New Roman" w:cs="Times New Roman" w:eastAsia="Times New Roman" w:hAnsi="Times New Roman"/>
          <w:sz w:val="18"/>
          <w:szCs w:val="18"/>
          <w:color w:val="auto"/>
        </w:rPr>
        <w:t>—the amount of applicable tax attributes of the Blocker Companies at the time of the Blocker Transfers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the amount and timing of payments under the tax receivable agreement;</w:t>
      </w:r>
    </w:p>
    <w:p>
      <w:pPr>
        <w:spacing w:after="0" w:line="63"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rates</w:t>
      </w:r>
      <w:r>
        <w:rPr>
          <w:rFonts w:ascii="Times New Roman" w:cs="Times New Roman" w:eastAsia="Times New Roman" w:hAnsi="Times New Roman"/>
          <w:sz w:val="18"/>
          <w:szCs w:val="18"/>
          <w:color w:val="auto"/>
        </w:rPr>
        <w:t>—payments under the tax receivable agreement will be calculated using the actual U.S. federal income tax 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for the applicable period and an assumed blended state and local income tax rate of 6% (as adjusted to take into account the U.S. federal tax benefit of such taxes), so changes in the U.S. federal income tax rate will impact the magnitude of cash tax benefits covered by the tax receivable agreement and the amount of payments under the tax receivable agreement; and</w:t>
      </w:r>
    </w:p>
    <w:p>
      <w:pPr>
        <w:spacing w:after="0" w:line="85"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and timing of our income</w:t>
      </w:r>
      <w:r>
        <w:rPr>
          <w:rFonts w:ascii="Times New Roman" w:cs="Times New Roman" w:eastAsia="Times New Roman" w:hAnsi="Times New Roman"/>
          <w:sz w:val="18"/>
          <w:szCs w:val="18"/>
          <w:color w:val="auto"/>
        </w:rPr>
        <w:t>—Medline Inc. is obligated to pay 90% of the cash tax benefits under the tax receivable agreement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when realized. If Medline Inc. does not have taxable income, Medline Inc. is generally not required (absent the event of certain changes of control)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8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Units in connection with or after this offering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basis points. The payments under the tax receivable agreement are not conditioned upon continued ownership of us by the pre-IPO owners.</w:t>
      </w:r>
    </w:p>
    <w:p>
      <w:pPr>
        <w:spacing w:after="0" w:line="189"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In the event of certain changes of control, any future payments made under the tax receivable agreement will utilize certain valuation assumptions, including that (i) any Units that have not been exchanged are deemed exchanged for the market value of the shares of Class A common stock at the time of the change of control, (ii) Medline Inc. will have sufficient taxable income in each future taxable year to fully realize all potential tax benefits,</w:t>
      </w:r>
    </w:p>
    <w:p>
      <w:pPr>
        <w:spacing w:after="0" w:line="2" w:lineRule="exact"/>
        <w:rPr>
          <w:sz w:val="20"/>
          <w:szCs w:val="20"/>
          <w:color w:val="auto"/>
        </w:rPr>
      </w:pPr>
    </w:p>
    <w:p>
      <w:pPr>
        <w:ind w:left="120" w:right="160" w:hanging="4"/>
        <w:spacing w:after="0" w:line="265" w:lineRule="auto"/>
        <w:tabs>
          <w:tab w:leader="none" w:pos="43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Medline Inc. will have sufficient taxable income to fully utilize any remaining net operating losses subject to the tax receivable agreement on a straight line basis over the shorter of the statutory expiration period for such net operating losses or the five-year period after the change in control and</w:t>
      </w:r>
    </w:p>
    <w:p>
      <w:pPr>
        <w:ind w:left="420" w:hanging="304"/>
        <w:spacing w:after="0"/>
        <w:tabs>
          <w:tab w:leader="none" w:pos="4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rates for future years will be those specified in the law as in effect at the time of the change of control.</w:t>
      </w:r>
    </w:p>
    <w:p>
      <w:pPr>
        <w:spacing w:after="0" w:line="20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a result, Medline Inc. could be required to make payments under the tax receivable agreement that are greater than the specified percentage of the actual cash tax benefits that Medline Inc. realizes in respect of the tax</w:t>
      </w: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attributes subject to the tax receivable agreement or that are prior to the actual realization, if any, of such future tax benefits. In these situations, our obligations under the tax receivable agreement could have a substantial</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negative impact on our liquidity. Changes in law or changes in tax rates following certain changes of control may also result in payments being made in excess of the future tax benefits, if any.</w:t>
      </w:r>
    </w:p>
    <w:p>
      <w:pPr>
        <w:spacing w:after="0" w:line="162"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Decisions made by our pre-IPO owners in the course of running our business may influence the timing and amount of payments that are received by an exchanging or selling existing owner under the tax receivable agreement. For example, the earlier disposition of assets following an exchange or acquisition transaction generally will accelerate payments under the tax receivable agreement and increase the present value of such payments, and the disposition of assets before an exchange or acquisition transaction will increase an existing owner’s tax liability without giving rise to any rights of an existing owner to receive payments under the tax receivable agreement.</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this offering and increase upon the purchase or exchange of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Medline Inc.’s cash tax benefits.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Medline Holdings Amended and Restated Limited Partnership Agreement</w:t>
      </w:r>
    </w:p>
    <w:p>
      <w:pPr>
        <w:spacing w:after="0" w:line="121"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Offering Transactions, Medline Inc. will directly or indirectly hold Units in Medline Holdings and will be the sole general partner of Medline Holdings. Accordingly, Medline Inc. will operate and control all of the business and affairs of Medline Holdings, and, through Medline Holdings and its operating entity subsidiaries, conduct our business.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limited partnership agreement of Medline Holdings as it will be in effect at the time of this offering, Medline Inc. has the right to determine when distributions will be made to holders of Units and the amount of any such distributions. If a distribution is authorized, such distribution will be made to the holders of Units pro rata, in accordance with the percentages of their respective Units held.</w:t>
      </w:r>
    </w:p>
    <w:p>
      <w:pPr>
        <w:spacing w:after="0" w:line="176"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holders of Units,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their respective Units held, except as otherwise required by law. The amended and restated limited partnership agreement of Medline Holdings will provide for cash distributions, which we refer to as “tax distributions,” to the holders of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amended and restated limited partnership agreement of Medline Holdings will also provide that substantially all expenses incurred by or attributable to Medline Inc. (such as expenses incurred in connection with this offering), but not including obligations incurred under the tax receivable agreement by Medline Inc., income tax expenses of Medline Inc. and payments on indebtedness incurred by Medline Inc., will be borne by Medline Holdings.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Services Agreements</w:t>
      </w:r>
    </w:p>
    <w:p>
      <w:pPr>
        <w:spacing w:after="0" w:line="121" w:lineRule="exact"/>
        <w:rPr>
          <w:sz w:val="20"/>
          <w:szCs w:val="20"/>
          <w:color w:val="auto"/>
        </w:rPr>
      </w:pPr>
    </w:p>
    <w:p>
      <w:pPr>
        <w:ind w:left="120" w:right="6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Sponsor Acquisition, Medline Holdings entered into services agreements (the “Services Agreements”) with each of Blackstone Management Partners L.L.C. and Blackstone Capital Partners</w:t>
      </w:r>
    </w:p>
    <w:p>
      <w:pPr>
        <w:ind w:left="120"/>
        <w:spacing w:after="0"/>
        <w:rPr>
          <w:sz w:val="20"/>
          <w:szCs w:val="20"/>
          <w:color w:val="auto"/>
        </w:rPr>
      </w:pPr>
      <w:r>
        <w:rPr>
          <w:rFonts w:ascii="Times New Roman" w:cs="Times New Roman" w:eastAsia="Times New Roman" w:hAnsi="Times New Roman"/>
          <w:sz w:val="18"/>
          <w:szCs w:val="18"/>
          <w:color w:val="auto"/>
        </w:rPr>
        <w:t>VIII L.P. (collectively, “BX Management”), Carlyle Investment Management L.L.C. (“Carlyle Management”),</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made payments pursuant to the Services Agreements to BX Management totaling $270 thousand, $360 thousand and $        in the years ended December 31, 2022, 2023 and 2024, respectively. We made payments pursuant to the Services Agreements to Carlyle Management totaling $244 thousand and $        in the years ended December 31, 2023 and 2024, respectively. We made payments pursuant to the Services Agreements to H&amp;F Management totaling $        in the year ended December 31, 2024. We have not made any payments to Mills Family Holdco pursuant to the Services Agreements. The Services Agreements will continue in effect following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intend to use any proceeds from the issuance of shares pursuant to any exercise by the underwriters of their option to purchase additional shares of Class A common stock to purchase or redeem outstanding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See “Principal Stockholders” for additional information regarding the proceeds from this offering that may be paid to certain of our pre-IPO owners.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In February 2023, Andrew Mills received an allocation of term loans under our Senior Secured Credit Facilities (as defined herein), of which $        principal remained outstanding as of December 31, 2024. Borrowings under the Senior Secured Credit Facilities bear interest at a floating rate as further described in “Description of Certain Indebtedness—Senior Secured Credit Facilities—Interest rate and fees.” For the years ended December 31, 2024 and 2023, the Company paid Mr. Mills $        and $201,005 in principal and $        and $1,584,950 in interest, respectively, under the Senior Secured Credit Facilities. For additional details on the terms of the Senior Secured Credit Facilities, see “Description of Certain Indebtedness—Senior Secured Credit Facilities.”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will adopt a written statement of policy regarding transactions with related persons, which we refer to as our “related person policy.” Our related person policy will require that a “related person” (as defined in paragraph (a) of Item 404 of Regulation S-K) must promptly disclose to our Chief Legal Officer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Chief Legal Officer will then promptly communicate that information to our audit committee. No related person transaction entered into following the completion of this offering will be executed without the approval or ratification of our audit committee. It is our policy that directors interested in a related person transaction will recuse themselves from any vote on a related person transaction in which they have an interest.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entered, or will enter, into an indemnification agreement with each of our directors and executive officers. The indemnification agreements, together with our amended and restated bylaws, will provide that we will indemnify our directors and officers to the fullest extent permitted by the DGCL, subject to limited exceptions. The indemnification agreements, together with our amended and restated bylaws, will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and Other Relationships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Charles Mills, a member of our board of directors, served as our Chief Executive Officer from 1997 to October 2023 and is the cousin of Andrew Mills. During fiscal 2022 and fiscal 2023, Mr. Mills received total compensation of $1,424,568 and $1,137,984, respectively, including salary, bonus, and 401(k) contributions.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Andrew Mills, a member of our board of directors, served as our President from 1997 to October 2023 and is the cousin of Charles Mills and the brother-in-law of James Abrams. During fiscal 2022 and fiscal 2023, Mr. Mills received total compensation of $1,236,135 and $394,036, respectively, including salary, bonus, and 401(k) contributions.</w:t>
      </w:r>
    </w:p>
    <w:p>
      <w:pPr>
        <w:spacing w:after="0" w:line="176"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James Abrams, a member of our board of directors, served as our Chief Operating Officer from 1997 to October 2023 and is the brother of William J. Abrams, son of Robert Abrams and the brother-in-law of Andrew Mills. During fiscal 2022 and fiscal 2023, Mr. Abrams received total compensation of $1,212,199 and $487,717, respectively, including salary, bonus, and 401(k) contributions.</w:t>
      </w:r>
    </w:p>
    <w:p>
      <w:pPr>
        <w:spacing w:after="0" w:line="176" w:lineRule="exact"/>
        <w:rPr>
          <w:sz w:val="20"/>
          <w:szCs w:val="20"/>
          <w:color w:val="auto"/>
        </w:rPr>
      </w:pPr>
    </w:p>
    <w:p>
      <w:pPr>
        <w:ind w:left="120" w:right="460" w:firstLine="440"/>
        <w:spacing w:after="0" w:line="276" w:lineRule="auto"/>
        <w:rPr>
          <w:sz w:val="20"/>
          <w:szCs w:val="20"/>
          <w:color w:val="auto"/>
        </w:rPr>
      </w:pPr>
      <w:r>
        <w:rPr>
          <w:rFonts w:ascii="Times New Roman" w:cs="Times New Roman" w:eastAsia="Times New Roman" w:hAnsi="Times New Roman"/>
          <w:sz w:val="17"/>
          <w:szCs w:val="17"/>
          <w:color w:val="auto"/>
        </w:rPr>
        <w:t>William J. Abrams is the brother of James Abrams. Mr. Abrams joined Medline in 2009 and has served as our Executive Vice President, Distribution since 2023. During fiscal 2022, fiscal 2023, and fiscal 2024, Mr. Abrams received total compensation of $1,791,278, $1,370,619, and</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 respectively, including salary, bonus, equity awards, long term incentives, and 401(k) contributions. Mr. Abrams previously held units in the Company’s Managing Partner Program (the “MPU Program”). The MPU Program was a cash-based incentive plan designed to replicate the economics of owning Company common stock. The Managing Partner Units (“MPUs”) issued pursuant to the MPU Program entitled the MPU Unit holders the opportunity to earn both (i) a share of the Company’s “Adjusted Earnings before Taxes” (the Company’s audited consolidated earnings before taxes as determined in accordance with GAAP, as adjusted for certain items) (“Profit Sharing Distributions”) and (ii) special payments tied to certain liquidity events. In addition to regular Profit Sharing Distributions, executives who held MPUs and remained employed until a liquidity event were eligible to receive the “Liquidity Event MPU Amount”, which is an amount per MPU equal to the price per share of Company common stock paid to holders thereof in connection with the liquidity event, less the book value per share of the Company at the time of the liquidity event. The Sponsor Acquisition qualified as a liquidity event under the MPU Program and entitled MPU Unit holders, including Mr. Abrams, to the Liquidity Event MPU Amount to be paid in equal one-third installments, with the first installment paid on the date of the Sponsor Acquisition and the remaining installments on the first and second anniversary of the Sponsor Acquisition, subject to the executive’s compliance with certain restrictive covenants and, with respect to 50% of such distributions, the executive’s continued employment on the distribution dates. The Company’s obligations under the MPU Program were satisfied as of October 21, 2023, and no further grants or distributions under the MPU Program will be made in the future. In each of fiscal 2022 and fiscal 2023, Mr. Abrams received distributions on his MPU Units of $11,938,474.</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Justin Mills is the son of Andrew Mills. Mr. Mills is currently employed by the Company as a sales representative in Acute Care. During fiscal 2024, Mr. Mills received total compensation of $        , including        .</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Robert Abrams is the father of James Abrams and William J. Abrams and is currently employed as the Company’s Corporate Purchasing Director. During fiscal 2022, fiscal 2023 and fiscal 2024, Mr. Abrams received total compensation of $133,173, $137,981 and $        , respectively, comprised of his base salary.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MPU Rollover Investments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connection with the Sponsor Acquisition, MPU Unit holders were entitled to receive the Liquidity Event MPU Amount with respect to such holder’s MPU Units. MPU Unit holders were permitted to elect to reinvest a portion of the Liquidity Event MPU Amount (the “Reinvestment Amount”) into (a) Units and/or (b) catch-up profits interests (“CUPIs”) in Medline Holdings (the “Reinvestment Program”), in each case, to be held indirectly by the MPU Unit holder through the Aggregator. A portion of the Reinvestment Amount was permitted to be funded through a loan from Medline Holdings, secured by a pledge of the purchased units.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terms of the Reinvestment Program, on October 21, 2021: (i) James Boyle reinvested $8,181,419 of his Liquidity Event MPU</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Amount into Units, of which $5,454,279 was funded by a loan from Medline Holdings; (ii) Michael Drazin reinvested $7,215,170 of his Liquidity Event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MPU Amount into CUPIs; (iii) James Pigott reinvested $18,306,416 of his Liquidity Event MPU Amount into Units, of which $12,204,277 was funded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a loan from Medline Holdings; (iv) William J. Abrams reinvested $7,521,238 of his Liquidity Event MPU Amount into Units, of which $5,014,159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funded by a loan from Medline Holdings; (v) Amanda Laabs reinvested $3,809,629 of her Liquidity Event MPU Amount into Units, of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$2,539,753 was funded by a loan from Medline Holdings; (vi) Alex Liberman reinvested $6,996,528 of his Liquidity Event MPU Amount into Units,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$4,664,352 was funded by a loan from Medline Holdings; and (vii) Doug Golwas reinvested $7,068,825 of his Liquidity Event MPU Amount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into Units, of which $4,712,550 was funded by a loan from Medline Holdings. Loans from Medline Holdings under the Reinvestment Program bore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at an annual interest rate of 0.25%, compounded annually. Aggregate interest payments paid during the life of the loans by Messrs. Boyle,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Pigott, Abrams, Liberman and Golwas and Ms. Laabs totaled $20,454, $45,766, $18,803, $17,491, $17,672, and $9,524, respectively. All loans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Reinvestment Program were fully repaid as of October 20, 2023.</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set forth information regarding the beneficial ownership of shares of our Class A common stock and our Class B common stock by (1) each person known to us to beneficially own more than 5% of any class of the outstanding voting securities of Medline Inc., (2) each of our directors and named executive officers and (3) all of our directors and executive officers as a group.</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percentage of beneficial ownership of shares of our Class A common stock and our Class B common stock outstanding before the offering set forth below is based on the number of shares of our Class A common stock and our Class B common stock to be issued and outstanding immediately prior to the consummation of this offering. The percentage of beneficial ownership of our Class A common stock and our Class B common stock after the offering set forth below is based on shares of our Class A common stock and our Class B common stock to be issued and outstanding immediately after the offering. Beneficial ownership is determined in accordance with the rules of the SEC.</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will issue to each Pre-IPO Unitholder one share of Class B common stock for each Unit such Pre-IPO Unitholder beneficially owns immediately prior to the consummation of this offering. Upon an exchange by any such Pre-IPO Unitholder of Units for shares of our Class A common stock pursuant to the Exchange Agreement, an equivalent number of shares of Class B common stock held by each such Pre-IPO Unitholder will be automatically transferred to us and cancelled and retired. See “Certain Relationships and Related Person Transactions— Exchange Agreement.” As a result, the number of shares of our Class B common stock listed in the table below correlates to the number of Units each Pre-IPO Unitholder beneficially owns. The Pre-IPO Unitholders will hold all of the issued and outstanding shares of our Class B common stock. The shares of Class B common stock will have no economic rights but will entitle each holder to one vote for each share held of record on all matters to be voted on by stockholders generally, with the number of shares of Class B common stock held by each Pre-IPO Unitholder being equivalent to the number of Units held by each such Pre-IPO Unitholder.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5"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364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Class A Common Stock Beneficially Owned</w:t>
            </w:r>
            <w:r>
              <w:rPr>
                <w:rFonts w:ascii="Times New Roman" w:cs="Times New Roman" w:eastAsia="Times New Roman" w:hAnsi="Times New Roman"/>
                <w:sz w:val="18"/>
                <w:szCs w:val="18"/>
                <w:b w:val="1"/>
                <w:bCs w:val="1"/>
                <w:color w:val="auto"/>
                <w:w w:val="95"/>
                <w:vertAlign w:val="superscript"/>
              </w:rPr>
              <w:t>(1)</w:t>
            </w:r>
          </w:p>
        </w:tc>
        <w:tc>
          <w:tcPr>
            <w:tcW w:w="364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Class B Common Stock Beneficially Owned</w:t>
            </w:r>
            <w:r>
              <w:rPr>
                <w:rFonts w:ascii="Times New Roman" w:cs="Times New Roman" w:eastAsia="Times New Roman" w:hAnsi="Times New Roman"/>
                <w:sz w:val="18"/>
                <w:szCs w:val="18"/>
                <w:b w:val="1"/>
                <w:bCs w:val="1"/>
                <w:color w:val="auto"/>
                <w:w w:val="95"/>
                <w:vertAlign w:val="superscript"/>
              </w:rPr>
              <w:t>(1)</w:t>
            </w: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Combined Voting Power</w:t>
            </w:r>
            <w:r>
              <w:rPr>
                <w:rFonts w:ascii="Times New Roman" w:cs="Times New Roman" w:eastAsia="Times New Roman" w:hAnsi="Times New Roman"/>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8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After the</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After the</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7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After the</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Transactions</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Transactions</w:t>
            </w:r>
          </w:p>
        </w:tc>
        <w:tc>
          <w:tcPr>
            <w:tcW w:w="7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Transactions</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Transactions</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Assuming</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Transactions</w:t>
            </w:r>
          </w:p>
        </w:tc>
        <w:tc>
          <w:tcPr>
            <w:tcW w:w="12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Assuming</w:t>
            </w:r>
          </w:p>
        </w:tc>
        <w:tc>
          <w:tcPr>
            <w:tcW w:w="7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Transactions</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Assuming</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Assuming</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Underwriters’</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Assuming</w:t>
            </w:r>
          </w:p>
        </w:tc>
        <w:tc>
          <w:tcPr>
            <w:tcW w:w="12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Underwriters’</w:t>
            </w:r>
          </w:p>
        </w:tc>
        <w:tc>
          <w:tcPr>
            <w:tcW w:w="7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Assuming</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Underwriters’</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Prior to the</w:t>
            </w:r>
          </w:p>
        </w:tc>
        <w:tc>
          <w:tcPr>
            <w:tcW w:w="12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Underwriters’</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Option is</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Prior to the</w:t>
            </w: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Underwriters’</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Option is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Prior to the</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Underwriters’</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Option is</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Option is Not</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Exercised in</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Option is Not</w:t>
            </w:r>
          </w:p>
        </w:tc>
        <w:tc>
          <w:tcPr>
            <w:tcW w:w="12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Exercised in</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Option is Not</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Exercised in</w:t>
            </w:r>
          </w:p>
        </w:tc>
        <w:tc>
          <w:tcPr>
            <w:tcW w:w="0" w:type="dxa"/>
            <w:vAlign w:val="bottom"/>
          </w:tcPr>
          <w:p>
            <w:pPr>
              <w:spacing w:after="0"/>
              <w:rPr>
                <w:sz w:val="1"/>
                <w:szCs w:val="1"/>
                <w:color w:val="auto"/>
              </w:rPr>
            </w:pPr>
          </w:p>
        </w:tc>
      </w:tr>
      <w:tr>
        <w:trPr>
          <w:trHeight w:val="155"/>
        </w:trPr>
        <w:tc>
          <w:tcPr>
            <w:tcW w:w="1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u w:val="single" w:color="auto"/>
                <w:color w:val="auto"/>
                <w:w w:val="98"/>
              </w:rPr>
              <w:t>Name of Beneficial Owner</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Transactions</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Exercised</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Full</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Transactions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Exercised</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Full</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Transactions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Exercised</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Full</w:t>
            </w:r>
          </w:p>
        </w:tc>
        <w:tc>
          <w:tcPr>
            <w:tcW w:w="0" w:type="dxa"/>
            <w:vAlign w:val="bottom"/>
          </w:tcPr>
          <w:p>
            <w:pPr>
              <w:spacing w:after="0"/>
              <w:rPr>
                <w:sz w:val="1"/>
                <w:szCs w:val="1"/>
                <w:color w:val="auto"/>
              </w:rPr>
            </w:pPr>
          </w:p>
        </w:tc>
      </w:tr>
      <w:tr>
        <w:trPr>
          <w:trHeight w:val="122"/>
        </w:trPr>
        <w:tc>
          <w:tcPr>
            <w:tcW w:w="1460" w:type="dxa"/>
            <w:vAlign w:val="bottom"/>
            <w:vMerge w:val="continue"/>
          </w:tcPr>
          <w:p>
            <w:pPr>
              <w:spacing w:after="0"/>
              <w:rPr>
                <w:sz w:val="10"/>
                <w:szCs w:val="10"/>
                <w:color w:val="auto"/>
              </w:rPr>
            </w:pPr>
          </w:p>
        </w:tc>
        <w:tc>
          <w:tcPr>
            <w:tcW w:w="11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u w:val="single" w:color="auto"/>
                <w:color w:val="auto"/>
              </w:rPr>
              <w:t>Number Percentage</w:t>
            </w:r>
          </w:p>
        </w:tc>
        <w:tc>
          <w:tcPr>
            <w:tcW w:w="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u w:val="single" w:color="auto"/>
                <w:color w:val="auto"/>
              </w:rPr>
              <w:t>Number Percentage</w:t>
            </w:r>
          </w:p>
        </w:tc>
        <w:tc>
          <w:tcPr>
            <w:tcW w:w="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u w:val="single" w:color="auto"/>
                <w:color w:val="auto"/>
              </w:rPr>
              <w:t>Number Percentage</w:t>
            </w:r>
          </w:p>
        </w:tc>
        <w:tc>
          <w:tcPr>
            <w:tcW w:w="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u w:val="single" w:color="auto"/>
                <w:color w:val="auto"/>
              </w:rPr>
              <w:t>Number Percentage</w:t>
            </w:r>
          </w:p>
        </w:tc>
        <w:tc>
          <w:tcPr>
            <w:tcW w:w="8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u w:val="single" w:color="auto"/>
                <w:color w:val="auto"/>
              </w:rPr>
              <w:t>Number Percentage</w:t>
            </w:r>
          </w:p>
        </w:tc>
        <w:tc>
          <w:tcPr>
            <w:tcW w:w="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u w:val="single" w:color="auto"/>
                <w:color w:val="auto"/>
              </w:rPr>
              <w:t>Number Percentage</w:t>
            </w: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4"/>
          <w:szCs w:val="14"/>
          <w:color w:val="auto"/>
        </w:rPr>
        <w:t>Blackstone</w:t>
      </w: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106285" cy="1028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06285" cy="102870"/>
                    </a:xfrm>
                    <a:prstGeom prst="rect">
                      <a:avLst/>
                    </a:prstGeom>
                    <a:noFill/>
                  </pic:spPr>
                </pic:pic>
              </a:graphicData>
            </a:graphic>
          </wp:anchor>
        </w:drawing>
      </w:r>
    </w:p>
    <w:p>
      <w:pPr>
        <w:ind w:left="120"/>
        <w:spacing w:after="0" w:line="222" w:lineRule="auto"/>
        <w:rPr>
          <w:sz w:val="20"/>
          <w:szCs w:val="20"/>
          <w:color w:val="auto"/>
        </w:rPr>
      </w:pPr>
      <w:r>
        <w:rPr>
          <w:rFonts w:ascii="Times New Roman" w:cs="Times New Roman" w:eastAsia="Times New Roman" w:hAnsi="Times New Roman"/>
          <w:sz w:val="14"/>
          <w:szCs w:val="14"/>
          <w:color w:val="auto"/>
        </w:rPr>
        <w:t>Carlyle</w:t>
      </w:r>
      <w:r>
        <w:rPr>
          <w:rFonts w:ascii="Times New Roman" w:cs="Times New Roman" w:eastAsia="Times New Roman" w:hAnsi="Times New Roman"/>
          <w:sz w:val="10"/>
          <w:szCs w:val="10"/>
          <w:color w:val="auto"/>
        </w:rPr>
        <w:t>(4)</w:t>
      </w:r>
    </w:p>
    <w:p>
      <w:pPr>
        <w:ind w:left="120"/>
        <w:spacing w:after="0" w:line="222" w:lineRule="auto"/>
        <w:rPr>
          <w:sz w:val="20"/>
          <w:szCs w:val="20"/>
          <w:color w:val="auto"/>
        </w:rPr>
      </w:pPr>
      <w:r>
        <w:rPr>
          <w:rFonts w:ascii="Times New Roman" w:cs="Times New Roman" w:eastAsia="Times New Roman" w:hAnsi="Times New Roman"/>
          <w:sz w:val="14"/>
          <w:szCs w:val="14"/>
          <w:color w:val="auto"/>
        </w:rPr>
        <w:t>H&amp;F</w:t>
      </w: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106285" cy="939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06285" cy="93980"/>
                    </a:xfrm>
                    <a:prstGeom prst="rect">
                      <a:avLst/>
                    </a:prstGeom>
                    <a:noFill/>
                  </pic:spPr>
                </pic:pic>
              </a:graphicData>
            </a:graphic>
          </wp:anchor>
        </w:drawing>
      </w:r>
    </w:p>
    <w:p>
      <w:pPr>
        <w:ind w:left="120"/>
        <w:spacing w:after="0" w:line="221" w:lineRule="auto"/>
        <w:rPr>
          <w:sz w:val="20"/>
          <w:szCs w:val="20"/>
          <w:color w:val="auto"/>
        </w:rPr>
      </w:pPr>
      <w:r>
        <w:rPr>
          <w:rFonts w:ascii="Times New Roman" w:cs="Times New Roman" w:eastAsia="Times New Roman" w:hAnsi="Times New Roman"/>
          <w:sz w:val="14"/>
          <w:szCs w:val="14"/>
          <w:color w:val="auto"/>
        </w:rPr>
        <w:t>Mozart HoldCo, Inc.</w:t>
      </w:r>
      <w:r>
        <w:rPr>
          <w:rFonts w:ascii="Times New Roman" w:cs="Times New Roman" w:eastAsia="Times New Roman" w:hAnsi="Times New Roman"/>
          <w:sz w:val="10"/>
          <w:szCs w:val="10"/>
          <w:color w:val="auto"/>
        </w:rPr>
        <w:t>(6)</w:t>
      </w:r>
    </w:p>
    <w:p>
      <w:pPr>
        <w:ind w:left="120"/>
        <w:spacing w:after="0" w:line="222" w:lineRule="auto"/>
        <w:rPr>
          <w:sz w:val="20"/>
          <w:szCs w:val="20"/>
          <w:color w:val="auto"/>
        </w:rPr>
      </w:pPr>
      <w:r>
        <w:rPr>
          <w:rFonts w:ascii="Times New Roman" w:cs="Times New Roman" w:eastAsia="Times New Roman" w:hAnsi="Times New Roman"/>
          <w:sz w:val="14"/>
          <w:szCs w:val="14"/>
          <w:color w:val="auto"/>
        </w:rPr>
        <w:t>Hux Investment Pte.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106285" cy="1885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ind w:left="260"/>
        <w:spacing w:after="0" w:line="221" w:lineRule="auto"/>
        <w:rPr>
          <w:sz w:val="20"/>
          <w:szCs w:val="20"/>
          <w:color w:val="auto"/>
        </w:rPr>
      </w:pPr>
      <w:r>
        <w:rPr>
          <w:rFonts w:ascii="Times New Roman" w:cs="Times New Roman" w:eastAsia="Times New Roman" w:hAnsi="Times New Roman"/>
          <w:sz w:val="14"/>
          <w:szCs w:val="14"/>
          <w:color w:val="auto"/>
        </w:rPr>
        <w:t>Ltd.</w:t>
      </w:r>
      <w:r>
        <w:rPr>
          <w:rFonts w:ascii="Times New Roman" w:cs="Times New Roman" w:eastAsia="Times New Roman" w:hAnsi="Times New Roman"/>
          <w:sz w:val="10"/>
          <w:szCs w:val="10"/>
          <w:color w:val="auto"/>
        </w:rPr>
        <w:t>(7)</w:t>
      </w:r>
    </w:p>
    <w:p>
      <w:pPr>
        <w:ind w:left="120"/>
        <w:spacing w:after="0" w:line="221" w:lineRule="auto"/>
        <w:rPr>
          <w:sz w:val="20"/>
          <w:szCs w:val="20"/>
          <w:color w:val="auto"/>
        </w:rPr>
      </w:pPr>
      <w:r>
        <w:rPr>
          <w:rFonts w:ascii="Times New Roman" w:cs="Times New Roman" w:eastAsia="Times New Roman" w:hAnsi="Times New Roman"/>
          <w:sz w:val="14"/>
          <w:szCs w:val="14"/>
          <w:color w:val="auto"/>
        </w:rPr>
        <w:t>Platinum Falcon B 2018</w:t>
      </w:r>
    </w:p>
    <w:p>
      <w:pPr>
        <w:ind w:left="260"/>
        <w:spacing w:after="0" w:line="222" w:lineRule="auto"/>
        <w:rPr>
          <w:sz w:val="20"/>
          <w:szCs w:val="20"/>
          <w:color w:val="auto"/>
        </w:rPr>
      </w:pPr>
      <w:r>
        <w:rPr>
          <w:rFonts w:ascii="Times New Roman" w:cs="Times New Roman" w:eastAsia="Times New Roman" w:hAnsi="Times New Roman"/>
          <w:sz w:val="14"/>
          <w:szCs w:val="14"/>
          <w:color w:val="auto"/>
        </w:rPr>
        <w:t>RSB Limited</w:t>
      </w:r>
      <w:r>
        <w:rPr>
          <w:rFonts w:ascii="Times New Roman" w:cs="Times New Roman" w:eastAsia="Times New Roman" w:hAnsi="Times New Roman"/>
          <w:sz w:val="10"/>
          <w:szCs w:val="10"/>
          <w:color w:val="auto"/>
        </w:rPr>
        <w:t>(8)</w:t>
      </w:r>
    </w:p>
    <w:p>
      <w:pPr>
        <w:ind w:left="120"/>
        <w:spacing w:after="0" w:line="221" w:lineRule="auto"/>
        <w:rPr>
          <w:sz w:val="20"/>
          <w:szCs w:val="20"/>
          <w:color w:val="auto"/>
        </w:rPr>
      </w:pPr>
      <w:r>
        <w:rPr>
          <w:rFonts w:ascii="Times New Roman" w:cs="Times New Roman" w:eastAsia="Times New Roman" w:hAnsi="Times New Roman"/>
          <w:sz w:val="14"/>
          <w:szCs w:val="14"/>
          <w:color w:val="auto"/>
        </w:rPr>
        <w:t>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106285" cy="946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06285" cy="94615"/>
                    </a:xfrm>
                    <a:prstGeom prst="rect">
                      <a:avLst/>
                    </a:prstGeom>
                    <a:noFill/>
                  </pic:spPr>
                </pic:pic>
              </a:graphicData>
            </a:graphic>
          </wp:anchor>
        </w:drawing>
      </w:r>
    </w:p>
    <w:p>
      <w:pPr>
        <w:ind w:left="120"/>
        <w:spacing w:after="0" w:line="221" w:lineRule="auto"/>
        <w:rPr>
          <w:sz w:val="20"/>
          <w:szCs w:val="20"/>
          <w:color w:val="auto"/>
        </w:rPr>
      </w:pPr>
      <w:r>
        <w:rPr>
          <w:rFonts w:ascii="Times New Roman" w:cs="Times New Roman" w:eastAsia="Times New Roman" w:hAnsi="Times New Roman"/>
          <w:sz w:val="14"/>
          <w:szCs w:val="14"/>
          <w:color w:val="auto"/>
        </w:rPr>
        <w:t>James M. Pigott</w:t>
      </w:r>
    </w:p>
    <w:p>
      <w:pPr>
        <w:ind w:left="120"/>
        <w:spacing w:after="0" w:line="222" w:lineRule="auto"/>
        <w:rPr>
          <w:sz w:val="20"/>
          <w:szCs w:val="20"/>
          <w:color w:val="auto"/>
        </w:rPr>
      </w:pPr>
      <w:r>
        <w:rPr>
          <w:rFonts w:ascii="Times New Roman" w:cs="Times New Roman" w:eastAsia="Times New Roman" w:hAnsi="Times New Roman"/>
          <w:sz w:val="14"/>
          <w:szCs w:val="14"/>
          <w:color w:val="auto"/>
        </w:rPr>
        <w:t>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106285" cy="939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06285" cy="93980"/>
                    </a:xfrm>
                    <a:prstGeom prst="rect">
                      <a:avLst/>
                    </a:prstGeom>
                    <a:noFill/>
                  </pic:spPr>
                </pic:pic>
              </a:graphicData>
            </a:graphic>
          </wp:anchor>
        </w:drawing>
      </w:r>
    </w:p>
    <w:p>
      <w:pPr>
        <w:ind w:left="120"/>
        <w:spacing w:after="0" w:line="221" w:lineRule="auto"/>
        <w:rPr>
          <w:sz w:val="20"/>
          <w:szCs w:val="20"/>
          <w:color w:val="auto"/>
        </w:rPr>
      </w:pPr>
      <w:r>
        <w:rPr>
          <w:rFonts w:ascii="Times New Roman" w:cs="Times New Roman" w:eastAsia="Times New Roman" w:hAnsi="Times New Roman"/>
          <w:sz w:val="14"/>
          <w:szCs w:val="14"/>
          <w:color w:val="auto"/>
        </w:rPr>
        <w:t>Stephen L. Miller</w:t>
      </w:r>
    </w:p>
    <w:p>
      <w:pPr>
        <w:ind w:left="120"/>
        <w:spacing w:after="0" w:line="222" w:lineRule="auto"/>
        <w:rPr>
          <w:sz w:val="20"/>
          <w:szCs w:val="20"/>
          <w:color w:val="auto"/>
        </w:rPr>
      </w:pPr>
      <w:r>
        <w:rPr>
          <w:rFonts w:ascii="Times New Roman" w:cs="Times New Roman" w:eastAsia="Times New Roman" w:hAnsi="Times New Roman"/>
          <w:sz w:val="14"/>
          <w:szCs w:val="14"/>
          <w:color w:val="auto"/>
        </w:rPr>
        <w:t>Christopher P. Shryock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106285" cy="939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06285" cy="93980"/>
                    </a:xfrm>
                    <a:prstGeom prst="rect">
                      <a:avLst/>
                    </a:prstGeom>
                    <a:noFill/>
                  </pic:spPr>
                </pic:pic>
              </a:graphicData>
            </a:graphic>
          </wp:anchor>
        </w:drawing>
      </w:r>
    </w:p>
    <w:p>
      <w:pPr>
        <w:ind w:left="120"/>
        <w:spacing w:after="0" w:line="221" w:lineRule="auto"/>
        <w:rPr>
          <w:sz w:val="20"/>
          <w:szCs w:val="20"/>
          <w:color w:val="auto"/>
        </w:rPr>
      </w:pPr>
      <w:r>
        <w:rPr>
          <w:rFonts w:ascii="Times New Roman" w:cs="Times New Roman" w:eastAsia="Times New Roman" w:hAnsi="Times New Roman"/>
          <w:sz w:val="14"/>
          <w:szCs w:val="14"/>
          <w:color w:val="auto"/>
        </w:rPr>
        <w:t>James D. Abrams</w:t>
      </w:r>
    </w:p>
    <w:p>
      <w:pPr>
        <w:ind w:left="120"/>
        <w:spacing w:after="0" w:line="221" w:lineRule="auto"/>
        <w:rPr>
          <w:sz w:val="20"/>
          <w:szCs w:val="20"/>
          <w:color w:val="auto"/>
        </w:rPr>
      </w:pPr>
      <w:r>
        <w:rPr>
          <w:rFonts w:ascii="Times New Roman" w:cs="Times New Roman" w:eastAsia="Times New Roman" w:hAnsi="Times New Roman"/>
          <w:sz w:val="14"/>
          <w:szCs w:val="14"/>
          <w:color w:val="auto"/>
        </w:rPr>
        <w:t>Joseph P. Baratta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106285" cy="939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06285" cy="93980"/>
                    </a:xfrm>
                    <a:prstGeom prst="rect">
                      <a:avLst/>
                    </a:prstGeom>
                    <a:noFill/>
                  </pic:spPr>
                </pic:pic>
              </a:graphicData>
            </a:graphic>
          </wp:anchor>
        </w:drawing>
      </w:r>
    </w:p>
    <w:p>
      <w:pPr>
        <w:ind w:left="120"/>
        <w:spacing w:after="0" w:line="222" w:lineRule="auto"/>
        <w:rPr>
          <w:sz w:val="20"/>
          <w:szCs w:val="20"/>
          <w:color w:val="auto"/>
        </w:rPr>
      </w:pPr>
      <w:r>
        <w:rPr>
          <w:rFonts w:ascii="Times New Roman" w:cs="Times New Roman" w:eastAsia="Times New Roman" w:hAnsi="Times New Roman"/>
          <w:sz w:val="14"/>
          <w:szCs w:val="14"/>
          <w:color w:val="auto"/>
        </w:rPr>
        <w:t>Jacob D. Best</w:t>
      </w:r>
    </w:p>
    <w:p>
      <w:pPr>
        <w:ind w:left="120"/>
        <w:spacing w:after="0" w:line="221" w:lineRule="auto"/>
        <w:rPr>
          <w:sz w:val="20"/>
          <w:szCs w:val="20"/>
          <w:color w:val="auto"/>
        </w:rPr>
      </w:pPr>
      <w:r>
        <w:rPr>
          <w:rFonts w:ascii="Times New Roman" w:cs="Times New Roman" w:eastAsia="Times New Roman" w:hAnsi="Times New Roman"/>
          <w:sz w:val="14"/>
          <w:szCs w:val="14"/>
          <w:color w:val="auto"/>
        </w:rPr>
        <w:t>Andrew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106285" cy="939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06285" cy="93980"/>
                    </a:xfrm>
                    <a:prstGeom prst="rect">
                      <a:avLst/>
                    </a:prstGeom>
                    <a:noFill/>
                  </pic:spPr>
                </pic:pic>
              </a:graphicData>
            </a:graphic>
          </wp:anchor>
        </w:drawing>
      </w:r>
    </w:p>
    <w:p>
      <w:pPr>
        <w:ind w:left="120"/>
        <w:spacing w:after="0" w:line="222" w:lineRule="auto"/>
        <w:rPr>
          <w:sz w:val="20"/>
          <w:szCs w:val="20"/>
          <w:color w:val="auto"/>
        </w:rPr>
      </w:pPr>
      <w:r>
        <w:rPr>
          <w:rFonts w:ascii="Times New Roman" w:cs="Times New Roman" w:eastAsia="Times New Roman" w:hAnsi="Times New Roman"/>
          <w:sz w:val="14"/>
          <w:szCs w:val="14"/>
          <w:color w:val="auto"/>
        </w:rPr>
        <w:t>Charles N. Mills</w:t>
      </w:r>
    </w:p>
    <w:p>
      <w:pPr>
        <w:ind w:left="120"/>
        <w:spacing w:after="0" w:line="221" w:lineRule="auto"/>
        <w:rPr>
          <w:sz w:val="20"/>
          <w:szCs w:val="20"/>
          <w:color w:val="auto"/>
        </w:rPr>
      </w:pPr>
      <w:r>
        <w:rPr>
          <w:rFonts w:ascii="Times New Roman" w:cs="Times New Roman" w:eastAsia="Times New Roman" w:hAnsi="Times New Roman"/>
          <w:sz w:val="14"/>
          <w:szCs w:val="14"/>
          <w:color w:val="auto"/>
        </w:rPr>
        <w:t>Robert R.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106285" cy="939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06285" cy="93980"/>
                    </a:xfrm>
                    <a:prstGeom prst="rect">
                      <a:avLst/>
                    </a:prstGeom>
                    <a:noFill/>
                  </pic:spPr>
                </pic:pic>
              </a:graphicData>
            </a:graphic>
          </wp:anchor>
        </w:drawing>
      </w:r>
    </w:p>
    <w:p>
      <w:pPr>
        <w:ind w:left="120"/>
        <w:spacing w:after="0" w:line="221" w:lineRule="auto"/>
        <w:rPr>
          <w:sz w:val="20"/>
          <w:szCs w:val="20"/>
          <w:color w:val="auto"/>
        </w:rPr>
      </w:pPr>
      <w:r>
        <w:rPr>
          <w:rFonts w:ascii="Times New Roman" w:cs="Times New Roman" w:eastAsia="Times New Roman" w:hAnsi="Times New Roman"/>
          <w:sz w:val="14"/>
          <w:szCs w:val="14"/>
          <w:color w:val="auto"/>
        </w:rPr>
        <w:t>Anushka M. Sunder</w:t>
      </w:r>
    </w:p>
    <w:p>
      <w:pPr>
        <w:ind w:left="120"/>
        <w:spacing w:after="0" w:line="222" w:lineRule="auto"/>
        <w:rPr>
          <w:sz w:val="20"/>
          <w:szCs w:val="20"/>
          <w:color w:val="auto"/>
        </w:rPr>
      </w:pPr>
      <w:r>
        <w:rPr>
          <w:rFonts w:ascii="Times New Roman" w:cs="Times New Roman" w:eastAsia="Times New Roman" w:hAnsi="Times New Roman"/>
          <w:sz w:val="14"/>
          <w:szCs w:val="14"/>
          <w:color w:val="auto"/>
        </w:rPr>
        <w:t>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106285" cy="939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06285" cy="93980"/>
                    </a:xfrm>
                    <a:prstGeom prst="rect">
                      <a:avLst/>
                    </a:prstGeom>
                    <a:noFill/>
                  </pic:spPr>
                </pic:pic>
              </a:graphicData>
            </a:graphic>
          </wp:anchor>
        </w:drawing>
      </w:r>
    </w:p>
    <w:p>
      <w:pPr>
        <w:ind w:left="120"/>
        <w:spacing w:after="0" w:line="221" w:lineRule="auto"/>
        <w:rPr>
          <w:sz w:val="20"/>
          <w:szCs w:val="20"/>
          <w:color w:val="auto"/>
        </w:rPr>
      </w:pPr>
      <w:r>
        <w:rPr>
          <w:rFonts w:ascii="Times New Roman" w:cs="Times New Roman" w:eastAsia="Times New Roman" w:hAnsi="Times New Roman"/>
          <w:sz w:val="14"/>
          <w:szCs w:val="14"/>
          <w:color w:val="auto"/>
        </w:rPr>
        <w:t>Allen R. Thorpe</w:t>
      </w:r>
    </w:p>
    <w:p>
      <w:pPr>
        <w:ind w:left="120"/>
        <w:spacing w:after="0" w:line="222" w:lineRule="auto"/>
        <w:rPr>
          <w:sz w:val="20"/>
          <w:szCs w:val="20"/>
          <w:color w:val="auto"/>
        </w:rPr>
      </w:pPr>
      <w:r>
        <w:rPr>
          <w:rFonts w:ascii="Times New Roman" w:cs="Times New Roman" w:eastAsia="Times New Roman" w:hAnsi="Times New Roman"/>
          <w:sz w:val="14"/>
          <w:szCs w:val="14"/>
          <w:color w:val="auto"/>
        </w:rPr>
        <w:t>Stephen H.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106285" cy="939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06285" cy="93980"/>
                    </a:xfrm>
                    <a:prstGeom prst="rect">
                      <a:avLst/>
                    </a:prstGeom>
                    <a:noFill/>
                  </pic:spPr>
                </pic:pic>
              </a:graphicData>
            </a:graphic>
          </wp:anchor>
        </w:drawing>
      </w:r>
    </w:p>
    <w:p>
      <w:pPr>
        <w:ind w:left="120"/>
        <w:spacing w:after="0" w:line="221" w:lineRule="auto"/>
        <w:rPr>
          <w:sz w:val="20"/>
          <w:szCs w:val="20"/>
          <w:color w:val="auto"/>
        </w:rPr>
      </w:pPr>
      <w:r>
        <w:rPr>
          <w:rFonts w:ascii="Times New Roman" w:cs="Times New Roman" w:eastAsia="Times New Roman" w:hAnsi="Times New Roman"/>
          <w:sz w:val="14"/>
          <w:szCs w:val="14"/>
          <w:color w:val="auto"/>
        </w:rPr>
        <w:t>Directors and executive</w:t>
      </w:r>
    </w:p>
    <w:p>
      <w:pPr>
        <w:ind w:left="260"/>
        <w:spacing w:after="0" w:line="221" w:lineRule="auto"/>
        <w:rPr>
          <w:sz w:val="20"/>
          <w:szCs w:val="20"/>
          <w:color w:val="auto"/>
        </w:rPr>
      </w:pPr>
      <w:r>
        <w:rPr>
          <w:rFonts w:ascii="Times New Roman" w:cs="Times New Roman" w:eastAsia="Times New Roman" w:hAnsi="Times New Roman"/>
          <w:sz w:val="14"/>
          <w:szCs w:val="14"/>
          <w:color w:val="auto"/>
        </w:rPr>
        <w:t>officers</w:t>
      </w:r>
    </w:p>
    <w:p>
      <w:pPr>
        <w:ind w:left="260"/>
        <w:spacing w:after="0" w:line="222" w:lineRule="auto"/>
        <w:rPr>
          <w:sz w:val="20"/>
          <w:szCs w:val="20"/>
          <w:color w:val="auto"/>
        </w:rPr>
      </w:pPr>
      <w:r>
        <w:rPr>
          <w:rFonts w:ascii="Times New Roman" w:cs="Times New Roman" w:eastAsia="Times New Roman" w:hAnsi="Times New Roman"/>
          <w:sz w:val="14"/>
          <w:szCs w:val="14"/>
          <w:color w:val="auto"/>
        </w:rPr>
        <w:t>as a group</w:t>
      </w:r>
    </w:p>
    <w:p>
      <w:pPr>
        <w:ind w:left="260"/>
        <w:spacing w:after="0"/>
        <w:rPr>
          <w:sz w:val="20"/>
          <w:szCs w:val="20"/>
          <w:color w:val="auto"/>
        </w:rPr>
      </w:pPr>
      <w:r>
        <w:rPr>
          <w:rFonts w:ascii="Times New Roman" w:cs="Times New Roman" w:eastAsia="Times New Roman" w:hAnsi="Times New Roman"/>
          <w:sz w:val="14"/>
          <w:szCs w:val="14"/>
          <w:color w:val="auto"/>
        </w:rPr>
        <w:t>(19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715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4" w:lineRule="exact"/>
        <w:rPr>
          <w:sz w:val="20"/>
          <w:szCs w:val="20"/>
          <w:color w:val="auto"/>
        </w:rPr>
      </w:pPr>
    </w:p>
    <w:p>
      <w:pPr>
        <w:ind w:left="540" w:right="16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the exchange agreement, Units are exchangeable for shares of our Class A common stock on a one-for-one basis after the completion of this offering, subject to customary conversion rate adjustments for stock splits, stock dividends, and reclassifications, whereupon an equivalent number of shares of Class B common stock held by each such Pre-IPO Unitholder will be automatically transferred to us and cancelled and retired upon any such exchange. See “Certain Relationships and Related Person Transactions—Exchange Agreement.” The Pre-IPO Unitholders will hold all of the issued and outstanding shares of our Class B common stock, and the number of shares of our Class B common stock listed in the table above correlates to the number of Units each Pre-IPO Unitholder beneficially owns. Beneficial ownership of shares of our Class B common stock reflected in this table has not been also reflected as beneficial ownership of shares of our Class A common stock for which Units may be exchanged.</w:t>
      </w:r>
    </w:p>
    <w:p>
      <w:pPr>
        <w:spacing w:after="0" w:line="1" w:lineRule="exact"/>
        <w:rPr>
          <w:rFonts w:ascii="Times New Roman" w:cs="Times New Roman" w:eastAsia="Times New Roman" w:hAnsi="Times New Roman"/>
          <w:sz w:val="14"/>
          <w:szCs w:val="14"/>
          <w:color w:val="auto"/>
        </w:rPr>
      </w:pPr>
    </w:p>
    <w:p>
      <w:pPr>
        <w:ind w:left="540" w:right="30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shares eligible to vote in the election of directors of Medline Inc. voting together as a single class. See “Description of Capital Stock— Common Stock.”</w:t>
      </w:r>
    </w:p>
    <w:p>
      <w:pPr>
        <w:ind w:left="5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of Class A common stock directly held by Blackstone Mozart Co-Invest II L.P.,             shares of Class A common stock directly held by Blackstone</w:t>
      </w:r>
    </w:p>
    <w:p>
      <w:pPr>
        <w:jc w:val="both"/>
        <w:ind w:left="540" w:right="160"/>
        <w:spacing w:after="0" w:line="233" w:lineRule="auto"/>
        <w:rPr>
          <w:sz w:val="20"/>
          <w:szCs w:val="20"/>
          <w:color w:val="auto"/>
        </w:rPr>
      </w:pPr>
      <w:r>
        <w:rPr>
          <w:rFonts w:ascii="Times New Roman" w:cs="Times New Roman" w:eastAsia="Times New Roman" w:hAnsi="Times New Roman"/>
          <w:sz w:val="14"/>
          <w:szCs w:val="14"/>
          <w:color w:val="auto"/>
        </w:rPr>
        <w:t>Supplemental Account—C (Mozart) L.P.,         shares of Class A common stock directly held by Blackstone Supplemental Account—H (Mozart) L.P.,         shares of Class A common stock directly held by Blackstone Supplemental Account—P L.P.,         shares of Class A common stock directly held by BCP VIII Supplemental Account—PS L.P. and         shares of Class B common stock directly held by BCP Mozart Aggregator L.P. (together, the “Blackstone Funds”).</w:t>
      </w:r>
    </w:p>
    <w:p>
      <w:pPr>
        <w:spacing w:after="0" w:line="69" w:lineRule="exact"/>
        <w:rPr>
          <w:sz w:val="20"/>
          <w:szCs w:val="20"/>
          <w:color w:val="auto"/>
        </w:rPr>
      </w:pPr>
    </w:p>
    <w:p>
      <w:pPr>
        <w:ind w:left="560" w:right="300"/>
        <w:spacing w:after="0" w:line="241" w:lineRule="auto"/>
        <w:rPr>
          <w:sz w:val="20"/>
          <w:szCs w:val="20"/>
          <w:color w:val="auto"/>
        </w:rPr>
      </w:pPr>
      <w:r>
        <w:rPr>
          <w:rFonts w:ascii="Times New Roman" w:cs="Times New Roman" w:eastAsia="Times New Roman" w:hAnsi="Times New Roman"/>
          <w:sz w:val="14"/>
          <w:szCs w:val="14"/>
          <w:color w:val="auto"/>
        </w:rPr>
        <w:t>Blackstone Management Associates VIII L.P. is the general partner of each of Blackstone Mozart Co-Invest II L.P., Blackstone Supplemental Account—C (Mozart) L.P., Blackstone Supplemental Account—H (Mozart) L.P., Blackstone Supplemental Account – P L.P. and BCP VIII Supplemental Account—PS L.P. BMA VIII L.L.C. is the general partner of Blackstone Management Associates VIII L.P.</w:t>
      </w:r>
    </w:p>
    <w:p>
      <w:pPr>
        <w:spacing w:after="0" w:line="6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BCP 8 Holdings Mozart Manager L.L.C. is the general partner of BCP Mozart Aggregator L.P. BMA VIII L.L.C. is the managing member of BCP 8 Holdings Mozart Manager L.L.C.</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60"/>
          </w:cols>
          <w:pgMar w:left="320" w:top="455" w:right="3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Blackstone Holdings II L.P. is the managing member of BMA VIII L.L.C. Blackstone Holdings I/II GP L.L.C. is the general partner of Blackstone Holdings II L.P.</w:t>
      </w:r>
    </w:p>
    <w:p>
      <w:pPr>
        <w:spacing w:after="0" w:line="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Blackstone Inc. is the sole member of Blackstone Holdings I/II GP L.L.C. The sole holder of the Series II preferred stock of Blackstone Inc. is Blackstone Group Management L.L.C.</w:t>
      </w:r>
    </w:p>
    <w:p>
      <w:pPr>
        <w:spacing w:after="0" w:line="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Blackstone Group Management L.L.C. is wholly-owned by Blackstone’s senior managing directors and controlled by its founder, Stephen A. Schwarzman.</w:t>
      </w:r>
    </w:p>
    <w:p>
      <w:pPr>
        <w:spacing w:after="0" w:line="80" w:lineRule="exact"/>
        <w:rPr>
          <w:sz w:val="20"/>
          <w:szCs w:val="20"/>
          <w:color w:val="auto"/>
        </w:rPr>
      </w:pPr>
    </w:p>
    <w:p>
      <w:pPr>
        <w:jc w:val="both"/>
        <w:ind w:left="560" w:right="420"/>
        <w:spacing w:after="0" w:line="241" w:lineRule="auto"/>
        <w:rPr>
          <w:sz w:val="20"/>
          <w:szCs w:val="20"/>
          <w:color w:val="auto"/>
        </w:rPr>
      </w:pPr>
      <w:r>
        <w:rPr>
          <w:rFonts w:ascii="Times New Roman" w:cs="Times New Roman" w:eastAsia="Times New Roman" w:hAnsi="Times New Roman"/>
          <w:sz w:val="14"/>
          <w:szCs w:val="14"/>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ind w:left="540" w:hanging="424"/>
        <w:spacing w:after="0" w:line="186" w:lineRule="auto"/>
        <w:tabs>
          <w:tab w:leader="none" w:pos="540" w:val="left"/>
        </w:tabs>
        <w:numPr>
          <w:ilvl w:val="0"/>
          <w:numId w:val="1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shares of Class A common stock directly held by Carlyle Mozart Coinvestment Holdings, L.P.,             shares of Class A common stock directly held by CP VII</w:t>
      </w:r>
    </w:p>
    <w:p>
      <w:pPr>
        <w:spacing w:after="0" w:line="133" w:lineRule="exact"/>
        <w:rPr>
          <w:sz w:val="20"/>
          <w:szCs w:val="20"/>
          <w:color w:val="auto"/>
        </w:rPr>
      </w:pPr>
    </w:p>
    <w:p>
      <w:pPr>
        <w:ind w:left="540" w:right="60"/>
        <w:spacing w:after="0" w:line="233" w:lineRule="auto"/>
        <w:rPr>
          <w:sz w:val="20"/>
          <w:szCs w:val="20"/>
          <w:color w:val="auto"/>
        </w:rPr>
      </w:pPr>
      <w:r>
        <w:rPr>
          <w:rFonts w:ascii="Times New Roman" w:cs="Times New Roman" w:eastAsia="Times New Roman" w:hAnsi="Times New Roman"/>
          <w:sz w:val="14"/>
          <w:szCs w:val="14"/>
          <w:color w:val="auto"/>
        </w:rPr>
        <w:t>Circle AIF Holdings, S.C.Sp.,         shares of Class A common stock directly held by CP VII Circle Holdings, L.P.,         shares of Class A common stock directly held by CP VII Circle Holdings – A, L.P.,         shares of Class A common stock directly held by CP VIII Circle AIF Holdings, S.C.Sp.,         shares of Class A common stock directly</w:t>
      </w:r>
    </w:p>
    <w:p>
      <w:pPr>
        <w:ind w:left="540"/>
        <w:spacing w:after="0" w:line="233" w:lineRule="auto"/>
        <w:rPr>
          <w:sz w:val="20"/>
          <w:szCs w:val="20"/>
          <w:color w:val="auto"/>
        </w:rPr>
      </w:pPr>
      <w:r>
        <w:rPr>
          <w:rFonts w:ascii="Times New Roman" w:cs="Times New Roman" w:eastAsia="Times New Roman" w:hAnsi="Times New Roman"/>
          <w:sz w:val="14"/>
          <w:szCs w:val="14"/>
          <w:color w:val="auto"/>
        </w:rPr>
        <w:t>held by CP VIII Circle Holdings, L.P. and         shares of Class B common stock directly held by CP Circle Holdings, L.P. (Carlyle Mozart Coinvestment Holdings, L.P., CP VII Circle AIF Holdings, S.C.Sp., CP VII Circle Holdings, L.P., CP VII Circle Holdings – A, L.P. and CP Circle Holdings, L.P. together, the “Carlyle VII Funds”; CP VIII Circle Holdings, L.P. and CP VIII Circle AIF Holdings, S.C.Sp. together, the “Carlyle VIII Funds”; and the Carlyle VII Funds together with the Carlyle VIII Funds, the “Carlyle Funds”).</w:t>
      </w:r>
    </w:p>
    <w:p>
      <w:pPr>
        <w:spacing w:after="0" w:line="69" w:lineRule="exact"/>
        <w:rPr>
          <w:sz w:val="20"/>
          <w:szCs w:val="20"/>
          <w:color w:val="auto"/>
        </w:rPr>
      </w:pPr>
    </w:p>
    <w:p>
      <w:pPr>
        <w:ind w:left="560" w:right="40"/>
        <w:spacing w:after="0" w:line="233" w:lineRule="auto"/>
        <w:rPr>
          <w:sz w:val="20"/>
          <w:szCs w:val="20"/>
          <w:color w:val="auto"/>
        </w:rPr>
      </w:pPr>
      <w:r>
        <w:rPr>
          <w:rFonts w:ascii="Times New Roman" w:cs="Times New Roman" w:eastAsia="Times New Roman" w:hAnsi="Times New Roman"/>
          <w:sz w:val="14"/>
          <w:szCs w:val="14"/>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69" w:lineRule="exact"/>
        <w:rPr>
          <w:sz w:val="20"/>
          <w:szCs w:val="20"/>
          <w:color w:val="auto"/>
        </w:rPr>
      </w:pPr>
    </w:p>
    <w:p>
      <w:pPr>
        <w:ind w:left="560" w:right="200"/>
        <w:spacing w:after="0" w:line="261" w:lineRule="auto"/>
        <w:rPr>
          <w:sz w:val="20"/>
          <w:szCs w:val="20"/>
          <w:color w:val="auto"/>
        </w:rPr>
      </w:pPr>
      <w:r>
        <w:rPr>
          <w:rFonts w:ascii="Times New Roman" w:cs="Times New Roman" w:eastAsia="Times New Roman" w:hAnsi="Times New Roman"/>
          <w:sz w:val="14"/>
          <w:szCs w:val="14"/>
          <w:color w:val="auto"/>
        </w:rPr>
        <w:t>CG Subsidiary Holdings L.L.C. is also the sole member of TC Group VIII, L.L.C., which is the general partner of TC Group VIII, L.P., which is the Delaware general partner of CP VIII Circle AIF Holdings, S.C.Sp. and the general partner of CP VIII Circle Holdings, L.P.</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TC Group Sub L.P. is also the general partner of TC Group VII Lux GP, S.à r.l., which is the Luxembourg general partner of CP VII Circle AIF Holdings, S.C.Sp.</w:t>
      </w:r>
    </w:p>
    <w:p>
      <w:pPr>
        <w:spacing w:after="0" w:line="96" w:lineRule="exact"/>
        <w:rPr>
          <w:sz w:val="20"/>
          <w:szCs w:val="20"/>
          <w:color w:val="auto"/>
        </w:rPr>
      </w:pPr>
    </w:p>
    <w:p>
      <w:pPr>
        <w:ind w:left="560" w:right="300"/>
        <w:spacing w:after="0" w:line="233" w:lineRule="auto"/>
        <w:rPr>
          <w:sz w:val="20"/>
          <w:szCs w:val="20"/>
          <w:color w:val="auto"/>
        </w:rPr>
      </w:pPr>
      <w:r>
        <w:rPr>
          <w:rFonts w:ascii="Times New Roman" w:cs="Times New Roman" w:eastAsia="Times New Roman" w:hAnsi="Times New Roman"/>
          <w:sz w:val="14"/>
          <w:szCs w:val="14"/>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Anna Tye, Jeremy Anderson and Marco De Benedetti as a non-voting observer. Each member of the investment committees disclaims beneficial ownership of all such securities.</w:t>
      </w:r>
    </w:p>
    <w:p>
      <w:pPr>
        <w:spacing w:after="0" w:line="69" w:lineRule="exact"/>
        <w:rPr>
          <w:sz w:val="20"/>
          <w:szCs w:val="20"/>
          <w:color w:val="auto"/>
        </w:rPr>
      </w:pPr>
    </w:p>
    <w:p>
      <w:pPr>
        <w:ind w:left="560" w:right="280"/>
        <w:spacing w:after="0" w:line="241" w:lineRule="auto"/>
        <w:rPr>
          <w:sz w:val="20"/>
          <w:szCs w:val="20"/>
          <w:color w:val="auto"/>
        </w:rPr>
      </w:pPr>
      <w:r>
        <w:rPr>
          <w:rFonts w:ascii="Times New Roman" w:cs="Times New Roman" w:eastAsia="Times New Roman" w:hAnsi="Times New Roman"/>
          <w:sz w:val="14"/>
          <w:szCs w:val="14"/>
          <w:color w:val="auto"/>
        </w:rPr>
        <w:t>The address for each of TC Group VII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(5)</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3"/>
              </w:rPr>
              <w:t>Reflects 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9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shares of Class A common stock held by Hellman &amp; Friedman Capital Partners X (Parallel), L.P.,            shares of Class A common stock held by HFCP X</w:t>
            </w:r>
          </w:p>
        </w:tc>
      </w:tr>
      <w:tr>
        <w:trPr>
          <w:trHeight w:val="148"/>
        </w:trPr>
        <w:tc>
          <w:tcPr>
            <w:tcW w:w="300" w:type="dxa"/>
            <w:vAlign w:val="bottom"/>
          </w:tcPr>
          <w:p>
            <w:pPr>
              <w:spacing w:after="0"/>
              <w:rPr>
                <w:sz w:val="12"/>
                <w:szCs w:val="12"/>
                <w:color w:val="auto"/>
              </w:rPr>
            </w:pPr>
          </w:p>
        </w:tc>
        <w:tc>
          <w:tcPr>
            <w:tcW w:w="10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(Parallel - A), L.P.,             shares of Class A common stock held by Mend Partners II, L.P.,            shares of Class B common stock held by Mend Investment Holdings I, L.P.</w:t>
            </w:r>
          </w:p>
        </w:tc>
      </w:tr>
      <w:tr>
        <w:trPr>
          <w:trHeight w:val="188"/>
        </w:trPr>
        <w:tc>
          <w:tcPr>
            <w:tcW w:w="30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and 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9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 of Class B common stock held by Mend Partners I, L.P. (collectively, the “H&amp;F Funds”).</w:t>
            </w:r>
          </w:p>
        </w:tc>
      </w:tr>
    </w:tbl>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Hellman &amp; Friedman Investors X, L.P. (“Investors X GP”) is the general partner of Hellman &amp; Friedman Capital Partners X (Parallel), L.P. and HFCP X (Parallel - A), L.P.</w:t>
      </w:r>
    </w:p>
    <w:p>
      <w:pPr>
        <w:spacing w:after="0" w:line="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Mend Partners GP, LLC (“Mend GP”) is the general partner of Mend Partners I, L.P. and Mend Partners II, L.P. Investors X GP is the managing member of Mend GP.</w:t>
      </w:r>
    </w:p>
    <w:p>
      <w:pPr>
        <w:spacing w:after="0" w:line="96" w:lineRule="exact"/>
        <w:rPr>
          <w:sz w:val="20"/>
          <w:szCs w:val="20"/>
          <w:color w:val="auto"/>
        </w:rPr>
      </w:pPr>
    </w:p>
    <w:p>
      <w:pPr>
        <w:ind w:left="560" w:right="580"/>
        <w:spacing w:after="0" w:line="261" w:lineRule="auto"/>
        <w:rPr>
          <w:sz w:val="20"/>
          <w:szCs w:val="20"/>
          <w:color w:val="auto"/>
        </w:rPr>
      </w:pPr>
      <w:r>
        <w:rPr>
          <w:rFonts w:ascii="Times New Roman" w:cs="Times New Roman" w:eastAsia="Times New Roman" w:hAnsi="Times New Roman"/>
          <w:sz w:val="14"/>
          <w:szCs w:val="14"/>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55" w:lineRule="exact"/>
        <w:rPr>
          <w:sz w:val="20"/>
          <w:szCs w:val="20"/>
          <w:color w:val="auto"/>
        </w:rPr>
      </w:pPr>
    </w:p>
    <w:p>
      <w:pPr>
        <w:ind w:left="560" w:right="280"/>
        <w:spacing w:after="0" w:line="241" w:lineRule="auto"/>
        <w:rPr>
          <w:sz w:val="20"/>
          <w:szCs w:val="20"/>
          <w:color w:val="auto"/>
        </w:rPr>
      </w:pPr>
      <w:r>
        <w:rPr>
          <w:rFonts w:ascii="Times New Roman" w:cs="Times New Roman" w:eastAsia="Times New Roman" w:hAnsi="Times New Roman"/>
          <w:sz w:val="14"/>
          <w:szCs w:val="14"/>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named in this footnote is c/o Hellman &amp; Friedman LLC, 415 Mission Street, Suite 5700, San Francisco, California 94105.</w:t>
      </w:r>
    </w:p>
    <w:p>
      <w:pPr>
        <w:spacing w:after="0" w:line="82" w:lineRule="exact"/>
        <w:rPr>
          <w:sz w:val="20"/>
          <w:szCs w:val="20"/>
          <w:color w:val="auto"/>
        </w:rPr>
      </w:pPr>
    </w:p>
    <w:p>
      <w:pPr>
        <w:ind w:left="540" w:right="200" w:hanging="424"/>
        <w:spacing w:after="0" w:line="241" w:lineRule="auto"/>
        <w:tabs>
          <w:tab w:leader="none" w:pos="5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Mozart HoldCo, Inc. is an entity that is owned directly and/or indirectly by members of the Mills Family and their personal planning vehicles. No person or group beneficially owns more than fifty percent of the voting power of Mozart HoldCo, Inc. Investment and voting decisions over the securities of Medline Inc. and Medline Holdings, LP held by Mozart HoldCo, Inc. are made by a board of directors consisting of three or more directors.</w:t>
      </w:r>
    </w:p>
    <w:p>
      <w:pPr>
        <w:spacing w:after="0" w:line="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(7)</w:t>
            </w:r>
          </w:p>
        </w:tc>
        <w:tc>
          <w:tcPr>
            <w:tcW w:w="10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shares of Class A common stock are held of record by Hux Investment Pte. Ltd. Hux shares the power to vote and the power to dispose of these shares with GIC Special</w:t>
            </w:r>
          </w:p>
        </w:tc>
      </w:tr>
      <w:tr>
        <w:trPr>
          <w:trHeight w:val="148"/>
        </w:trPr>
        <w:tc>
          <w:tcPr>
            <w:tcW w:w="300" w:type="dxa"/>
            <w:vAlign w:val="bottom"/>
          </w:tcPr>
          <w:p>
            <w:pPr>
              <w:spacing w:after="0"/>
              <w:rPr>
                <w:sz w:val="12"/>
                <w:szCs w:val="12"/>
                <w:color w:val="auto"/>
              </w:rPr>
            </w:pPr>
          </w:p>
        </w:tc>
        <w:tc>
          <w:tcPr>
            <w:tcW w:w="10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Investments Pte. Ltd. (“GIC SI”) and GIC Private Limited (“GIC”), both of which are private limited companies incorporated in Singapore. GIC SI is wholly-owned by GIC and is the</w:t>
            </w:r>
          </w:p>
        </w:tc>
      </w:tr>
      <w:tr>
        <w:trPr>
          <w:trHeight w:val="148"/>
        </w:trPr>
        <w:tc>
          <w:tcPr>
            <w:tcW w:w="300" w:type="dxa"/>
            <w:vAlign w:val="bottom"/>
          </w:tcPr>
          <w:p>
            <w:pPr>
              <w:spacing w:after="0"/>
              <w:rPr>
                <w:sz w:val="12"/>
                <w:szCs w:val="12"/>
                <w:color w:val="auto"/>
              </w:rPr>
            </w:pPr>
          </w:p>
        </w:tc>
        <w:tc>
          <w:tcPr>
            <w:tcW w:w="10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private equity investment arm of GIC. GIC is wholly-owned by the Government of Singapore and was set up with the sole purpose of managing the Government of Singapore’s</w:t>
            </w:r>
          </w:p>
        </w:tc>
      </w:tr>
      <w:tr>
        <w:trPr>
          <w:trHeight w:val="188"/>
        </w:trPr>
        <w:tc>
          <w:tcPr>
            <w:tcW w:w="300" w:type="dxa"/>
            <w:vAlign w:val="bottom"/>
          </w:tcPr>
          <w:p>
            <w:pPr>
              <w:spacing w:after="0"/>
              <w:rPr>
                <w:sz w:val="16"/>
                <w:szCs w:val="16"/>
                <w:color w:val="auto"/>
              </w:rPr>
            </w:pPr>
          </w:p>
        </w:tc>
        <w:tc>
          <w:tcPr>
            <w:tcW w:w="10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reserves. The Government of Singapore disclaims beneficial ownership of such shares. The address for Hux is 168 Robinson Road, #37-01 Capital Tower, Singapore 068912.</w:t>
            </w:r>
          </w:p>
        </w:tc>
      </w:tr>
      <w:tr>
        <w:trPr>
          <w:trHeight w:val="348"/>
        </w:trPr>
        <w:tc>
          <w:tcPr>
            <w:tcW w:w="300" w:type="dxa"/>
            <w:vAlign w:val="bottom"/>
          </w:tcPr>
          <w:p>
            <w:pPr>
              <w:spacing w:after="0"/>
              <w:rPr>
                <w:sz w:val="24"/>
                <w:szCs w:val="24"/>
                <w:color w:val="auto"/>
              </w:rPr>
            </w:pPr>
          </w:p>
        </w:tc>
        <w:tc>
          <w:tcPr>
            <w:tcW w:w="10660" w:type="dxa"/>
            <w:vAlign w:val="bottom"/>
          </w:tcPr>
          <w:p>
            <w:pPr>
              <w:ind w:left="5060"/>
              <w:spacing w:after="0"/>
              <w:rPr>
                <w:sz w:val="20"/>
                <w:szCs w:val="20"/>
                <w:color w:val="auto"/>
              </w:rPr>
            </w:pPr>
            <w:r>
              <w:rPr>
                <w:rFonts w:ascii="Times New Roman" w:cs="Times New Roman" w:eastAsia="Times New Roman" w:hAnsi="Times New Roman"/>
                <w:sz w:val="18"/>
                <w:szCs w:val="18"/>
                <w:color w:val="auto"/>
              </w:rPr>
              <w:t>183</w:t>
            </w:r>
          </w:p>
        </w:tc>
      </w:tr>
    </w:tbl>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7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tc>
      </w:tr>
      <w:tr>
        <w:trPr>
          <w:trHeight w:val="238"/>
        </w:trPr>
        <w:tc>
          <w:tcPr>
            <w:tcW w:w="300" w:type="dxa"/>
            <w:vAlign w:val="bottom"/>
          </w:tcPr>
          <w:p>
            <w:pPr>
              <w:spacing w:after="0"/>
              <w:rPr>
                <w:sz w:val="20"/>
                <w:szCs w:val="20"/>
                <w:color w:val="auto"/>
              </w:rPr>
            </w:pPr>
          </w:p>
        </w:tc>
        <w:tc>
          <w:tcPr>
            <w:tcW w:w="1070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tc>
      </w:tr>
      <w:tr>
        <w:trPr>
          <w:trHeight w:val="274"/>
        </w:trPr>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(8)</w:t>
            </w:r>
          </w:p>
        </w:tc>
        <w:tc>
          <w:tcPr>
            <w:tcW w:w="10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shares of Class A common stock are directly held by Platinum Falcon B 2018 RSC Limited, a limited liability company incorporated in the Abu Dhabi Global Market</w:t>
            </w:r>
          </w:p>
        </w:tc>
      </w:tr>
      <w:tr>
        <w:trPr>
          <w:trHeight w:val="148"/>
        </w:trPr>
        <w:tc>
          <w:tcPr>
            <w:tcW w:w="300" w:type="dxa"/>
            <w:vAlign w:val="bottom"/>
          </w:tcPr>
          <w:p>
            <w:pPr>
              <w:spacing w:after="0"/>
              <w:rPr>
                <w:sz w:val="12"/>
                <w:szCs w:val="12"/>
                <w:color w:val="auto"/>
              </w:rPr>
            </w:pPr>
          </w:p>
        </w:tc>
        <w:tc>
          <w:tcPr>
            <w:tcW w:w="10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an indirect wholly owned subsidiary of the Abu Dhabi Investment Authority (“ADIA”), a public institution established by the Government of the Emirate of Abu Dhabi. By reason</w:t>
            </w:r>
          </w:p>
        </w:tc>
      </w:tr>
      <w:tr>
        <w:trPr>
          <w:trHeight w:val="148"/>
        </w:trPr>
        <w:tc>
          <w:tcPr>
            <w:tcW w:w="300" w:type="dxa"/>
            <w:vAlign w:val="bottom"/>
          </w:tcPr>
          <w:p>
            <w:pPr>
              <w:spacing w:after="0"/>
              <w:rPr>
                <w:sz w:val="12"/>
                <w:szCs w:val="12"/>
                <w:color w:val="auto"/>
              </w:rPr>
            </w:pPr>
          </w:p>
        </w:tc>
        <w:tc>
          <w:tcPr>
            <w:tcW w:w="10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of its ownership of Platinum Falcon and pursuant to the rules and regulations of the SEC, ADIA may also be deemed to share investment and voting power over and, therefore,</w:t>
            </w:r>
          </w:p>
        </w:tc>
      </w:tr>
      <w:tr>
        <w:trPr>
          <w:trHeight w:val="148"/>
        </w:trPr>
        <w:tc>
          <w:tcPr>
            <w:tcW w:w="300" w:type="dxa"/>
            <w:vAlign w:val="bottom"/>
          </w:tcPr>
          <w:p>
            <w:pPr>
              <w:spacing w:after="0"/>
              <w:rPr>
                <w:sz w:val="12"/>
                <w:szCs w:val="12"/>
                <w:color w:val="auto"/>
              </w:rPr>
            </w:pPr>
          </w:p>
        </w:tc>
        <w:tc>
          <w:tcPr>
            <w:tcW w:w="10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beneficial ownership of, the shares held directly by Platinum Falcon. The address for ADIA is 211 Corniche Street, P.O. Box 3600, Abu Dhabi, United Arab Emirates and the address</w:t>
            </w:r>
          </w:p>
        </w:tc>
      </w:tr>
      <w:tr>
        <w:trPr>
          <w:trHeight w:val="188"/>
        </w:trPr>
        <w:tc>
          <w:tcPr>
            <w:tcW w:w="300" w:type="dxa"/>
            <w:vAlign w:val="bottom"/>
          </w:tcPr>
          <w:p>
            <w:pPr>
              <w:spacing w:after="0"/>
              <w:rPr>
                <w:sz w:val="16"/>
                <w:szCs w:val="16"/>
                <w:color w:val="auto"/>
              </w:rPr>
            </w:pPr>
          </w:p>
        </w:tc>
        <w:tc>
          <w:tcPr>
            <w:tcW w:w="10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Platinum Falcon B 2018 RSC Limited is Level 26, Al Khatem Tower, Abu Dhabi Global Market Square, Al Maryah Island, Abu Dhabi, United Arab Emirates.</w:t>
            </w:r>
          </w:p>
        </w:tc>
      </w:tr>
    </w:tbl>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any proceeds from the issuance of shares pursuant to any exercise by the underwriters of their option to purchase additional shares of Class A common stock) to purchase or redeem outstanding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Of this amount, the following table sets forth the amounts that may be received by certain of our pre-IPO owners and their respective affiliated entities.</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7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Assuming Underwriters’</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7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 Is Exercised in Full</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Interests</w:t>
            </w:r>
          </w:p>
        </w:tc>
        <w:tc>
          <w:tcPr>
            <w:tcW w:w="96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Sold</w:t>
            </w:r>
          </w:p>
        </w:tc>
        <w:tc>
          <w:tcPr>
            <w:tcW w:w="9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1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184</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following section summarizes the terms of our material principal indebtedness.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Sponsor Acquisition, we entered into a credit agreement (as amended through the date hereof, the “Sponsor Acquisition Credit Agreement”) which governs our Senior Secured Credit Facilities with Bank of America, N.A. as administrative agent, collateral agent, swing line lender and an L/C issuer.</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Sponsor Acquisition Credit Agreement initially provided for (i) the Initial Dollar Term Loan Facility in an aggregate principal amount of $7,270 million, (ii) the Initial Euro Term Loan Facility in an aggregate principal amount equal to the Euro equivalent of $500 million and (iii) the Revolving Credit Facility in an aggregate principal amount of $1,000 million.</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On the Second Amendment Date, we entered into an amendment to the Sponsor Acquisition Credit Agreement to refinance the Initial Dollar Term Loan Facility and the loans thereunder in order to reduce the applicable margin with respect thereto (the Initial Dollar Term Loan Facility after giving effect to such refinancing, the “Refinanced Dollar Term Loan Facility”). On the Third Amendment Date, we entered into an amendment to the Sponsor Acquisition Credit Agreement to (i) refinance the Initial Euro Term Loan Facility with incremental euro-denominated term loans in an equivalent principal amount of the Initial Euro Term Loans so prepaid (the “Refinanced Euro Term Loan Facility”), (ii) incur incremental euro-denominated Term B loans of the same class as the Refinanced Euro Term Loans in an aggregate principal amount of approximately €185 million (together with the Refinanced Euro Term Loan Facility, the “New Euro Term Loan Facility”), (iii) incur incremental term loans under the Additional Dollar Term Loan Facility in an aggregate principal amount of approximately $1,519 million and (iv) amend the Revolving Credit Facility to extend the maturity date to the date that is five years following the Third Amendment Date, subject to a springing maturity 91-days inside of the maturity date of the New Euro Term Loan Facility, the New Dollar Term Loan Facility, the Refinanced Dollar Term Loan Facility, the 2021 Secured Notes and the 2024 Notes (the “Springing Condition”), in each case, solely to the extent a material amount of such debt, as applicable, remains outstanding as of such date. On the Fourth Amendment Date, we entered into an amendment to the Sponsor Acquisition Credit Agreement to refinance the Refinanced Dollar Term Loan Facility to be on the same terms as the New Dollar Term Loan Facility (the “Refinancing”) causing the refinanced loans under the Refinanced Dollar Term Loan Facility to be a single class with the term loans outstanding under the Additional Dollar Term Loan Facility (the “New Dollar Term Loan Facility” and, together with the Revolving Credit Facility and the New Euro Term Loan Facility, the “Senior Secured Credit Facilities”).</w:t>
      </w:r>
    </w:p>
    <w:p>
      <w:pPr>
        <w:spacing w:after="0" w:line="18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Medline Borrower, LP (which is referred to throughout this section as the “Borrower”) is the borrower under the Senior Secured Credit Facilities. The Revolving Credit Facility includes sub-facilities for letters of credit and for short-term borrowings referred to as swing line borrowings. In addition, the Sponsor Acquisition Credit Agreement provides that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for the most recently ended period of four consecutive fiscal quarters for which financial statements are internally available, on a pro forma basis, plus (b) additional amounts not to exceed available capacity under a specified general debt basket, plus</w:t>
      </w:r>
    </w:p>
    <w:p>
      <w:pPr>
        <w:spacing w:after="0" w:line="5" w:lineRule="exact"/>
        <w:rPr>
          <w:sz w:val="20"/>
          <w:szCs w:val="20"/>
          <w:color w:val="auto"/>
        </w:rPr>
      </w:pPr>
    </w:p>
    <w:p>
      <w:pPr>
        <w:ind w:left="120" w:right="120" w:hanging="4"/>
        <w:spacing w:after="0" w:line="253" w:lineRule="auto"/>
        <w:tabs>
          <w:tab w:leader="none" w:pos="3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all voluntary prepayments, repurchases and redemptions of the term loans under the Sponsor Acquisition Credit Agreement and certain other debt secured by liens on the collateral and permanent revolving credit commitment reductions under the Sponsor Acquisition Credit Agreement, in each case prior to or simultaneous with the date of any such incurrence (to the extent not funded with the proceeds of long-term debt other than revolving loans), plus (d) an additional unlimited amount so long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as we (I) in the case of incremental indebtedness that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Senior Secured Credit Facilities, do not exceed a specified pro forma first lien net leverage ratio (or, so long as we do not exceed the pro forma first lien net leverage ratio immediately prior to such incurrence or any related transactions), (II) in the case of incremental indebtedness that is secured on the collateral on a junior basis with respect to the Senior Secured Credit Facilities, either do not exceed a specified pro forma secured net leverage ratio or we satisfy a specified pro forma interest coverage ratio (or, so long as we do not exceed the pro forma secured net leverage ratio or we satisfy such interest coverage ratio, as applicable, immediately prior to such incurrence or any related transactions), and (III) in the case of unsecured incremental indebtedness (or indebtedness secured by assets that do not constitute collateral securing the Senior Secured Credit Facilities), either do not exceed a specified pro forma total net leverage ratio or we satisfy a specified pro forma interest coverage ratio (or, so long as we do not exceed the pro forma total net leverage ratio or we satisfy such interest coverage ratio, as applicable, immediately prior to such incurrence or any related transactions). The lenders under the Senior Secured Credit Facilities are not under any obligation to provide any such incremental loans or commitments, and any such addition of or increase in loans is subject to certain customary conditions precedent and other provisions.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Fees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Borrowings under the New Dollar Term Loan Facility, and the Revolving Credit Facility bear interest, at the Borrower’s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in the case of the New Dollar Term Loan Facility, to a Term SOFR floor of 0.50%, and in the case of the Revolving Credit Facility, to a Term SOFR floor of 0.00%. Borrowings under the New Euro Term Loan Facility bear interest at a rate per annum equal to an applicable margin over a EURIBOR rate for Euro deposits determined by reference to the applicable page for the EURIBOR rate for Euro deposits for the interest period relevant to such borrowing.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 governing the Senior Secured Credit Facilities contains customary mandatory prepayment requirements, including with respect to excess cash flow, asset sale proceeds and proceeds from certain incurrences of indebtedness.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as set forth below, we may voluntarily repay outstanding loans under the Senior Secured Credit Facilities at any time without premium or penalty, other than customary breakage costs. Any voluntary prepayment, refinancing or repricing of the term loans under (i) the New Dollar Term Loan Facility in connection with certain repricing transactions that occur prior to the 6-month anniversary of the Fourth Amendment Date shall be subject to a prepayment premium of 1.0% of the principal amount of the term loans so prepaid, refinanced or repriced, subject to certain exceptions and (ii) the New Euro Term Loan Facility in connection with certain repricing transactions that occur prior to the 6-month anniversary of the Third Amendment Date shall be subject to a prepayment premium of 1.0% of the principal amount of such term loans so prepaid, refinanced, or repriced, subject to certain exceptions.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Amortization and Maturity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loans under the New Dollar Term Loan Facility amortize in equal quarterly installments in an aggregate annual amount equal to 1.00% of the original principal amount of such term loans as of the Fourth Amendment Date, with the balance being payable on the Initial Term Loan Maturity Date. The term loans under the New Euro Term Loan Facility do not have any amortization, with the balance payable on the Initial Term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Loan Maturity Date. The Revolving Credit Facility will, subject to the Springing Condition, mature five years after the Third Amendment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All of our obligations under the Senior Secured Credit Facilities and certain hedge agreements and cash management arrangements provided by any lender party to the Sponsor Acquisition Credit Agreement or any of its affiliates and certain other persons are unconditionally guaranteed by Medline Intermediate, LP, the Borrower (with respect to hedge agreements and cash management arrangements not entered into by the Borrower), and each of our existing and subsequently acquired or organized direct or indirect material wholly-owned domestic restricted subsidiaries, with customary exceptions including, among other things, where providing such guarantees is not permitted by law, regulation, or contract or would result in material adverse tax consequences.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and certain hedge agreements and cash management arrangements provided by any lender party to the Sponsor Acquisition Credit Agreement or any of its affiliates and certain other persons, and the guarantees of such obligations, are secured, subject to permitted liens and other exceptions, by: (i) a perfected first-priority pledge of all the equity interests of the Borrower and each wholly-owned material restricted subsidiary of the Borrower (other than Mozart Real Estate and its subsidiaries) that is directly held by the Borrower or a subsidiary guarantor (limited, with respect to equity interests, to 65% of the voting power issued by first-tier foreign subsidiaries, CFCs, or FSHCOs, as defined under the Credit Agreement except for certain instances, all of the equity interests issued by a first-tier foreign subsidiary will be pledged) and (ii) perfected first-priority security interests in substantially all tangible and intangible personal property of the Borrower and the subsidiary guarantors (excluding motor vehicles and fee owned real property).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contains a number of covenants that, among other things, restrict, subject to certain exceptions, the ability of the Borrower and its restricted subsidiaries to:</w:t>
      </w:r>
    </w:p>
    <w:p>
      <w:pPr>
        <w:spacing w:after="0" w:line="67" w:lineRule="exact"/>
        <w:rPr>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prohibit our ability and the ability of our subsidiary guarantors to incur liens on assets;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subordinated indebtedness in a manner materially adverse to the lenders under the Senior Secured Credit Facilities.</w:t>
      </w:r>
    </w:p>
    <w:p>
      <w:pPr>
        <w:spacing w:after="0" w:line="16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contains a springing financial covenant requiring compliance with a maximum ratio of consolidated first lien net indebtedness to consolidated EBITDA, applicable solely to the Revolving Credit Facility. The financial covenant is tested on the last day of any fiscal quarter only if the aggregate principal amount of borrowings (excluding outstanding letters of credit (whether or not cash collateralized)) under the Revolving Credit Facility, exceeds 35% of the greater of (a) total amount of commitments under the Revolving Credit Facility on such day and (b) $1,000 million.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also limits Medline Intermediate, LP’s activities to being a passive holding company and contain certain customary affirmative covenants and events of default for facilities of this type, including relating to a change of control. If an event of default occurs, the lenders under the Senior Secured Credit Facilities will be entitled to take various actions, including the acceleration of amounts due under the Senior Secured Credit Facilities and all actions permitted to be taken by secured creditors under applicable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Dollar Term Loan Facility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the Third Amendment Date, we incurred term loans under a new dollar-denominated senior secured term loan facility in an aggregate principal amount of approximately $1,519 million. The New Dollar Term Loan Facility has substantially identical terms to the Existing Dollar Term Loan Facility, provided, however, that (a) the New Dollar Term Loan Facility is a separate class of term loans under the Credit Agreement, (b) the applicable margin with respect to the interest rates under the New Dollar Term Loan Facility is lower than the applicable margin with respect to the interest rates under the Existing Dollar Term Loan Facility, and (c) any voluntary prepayment, refinancing, or repricing of the term loans under the New Dollar Term Loan Facility in connection with certain repricing transactions that occur prior to the 6-month anniversary of the Third Amendment Date are subject to a prepayment premium of 1.0% of the principal amount of the term loans so prepaid, refinanced, or repriced, subject to certain exceptions.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Euro Term Loan Facility</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On the Third Amendment Date, we refinanced all of our Existing Euro Term Loan Facility with the incurrence of new euro-denominated Term B loans and incurred incremental euro-denominated Term B loans in an aggregate principal amount of approximately €185 million, which, together with the outstanding Refinanced Euro Term Loan Facility, constitute a single class of term loans under the Credit Agreement. The New Euro Term Loan Facility has substantially identical terms to the Existing Euro Term Loan Facility, provided, however, that (a) the applicable margin with respect to the interest rates under the New Euro Term Loan Facility is lower than the applicable margin with respect to the interest rates under the Existing Euro Term Loan Facility and (b) any voluntary prepayment, refinancing or repricing of the term loans under the New Euro Term Loan Facility in connection with certain repricing transactions that occur on or prior to the 6-month anniversary of the Third Amendment Date are subject to a prepayment premium of 1.0% of the principal amount of the term loans so prepaid, refinanced, or repriced, subject to certain exceptions. On the Fourth Amendment Date, we consummated the Refinancing, pursuant to which the term loans that were previously outstanding under the Existing Dollar Term Loan Facility were prepaid in full with the proceeds of incremental borrowings made under the New Dollar Term Loan Facility in an equivalent principal amount equal to the principal amount of Existing Dollar Term Loans so prepaid.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Extension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the Third Amendment Date, we amended the Revolving Credit Facility to extend the maturity date to the date that is five years following the Third Amendment Date, subject to the Springing Condition.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Notes</w:t>
      </w:r>
    </w:p>
    <w:p>
      <w:pPr>
        <w:spacing w:after="0" w:line="12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To partially finance the Sponsor Acquisition, Medline Borrower, LP (the “Issuer”) and Medline Co-Issuer, Inc. (the “Co-Issuer” and together with the Issuer, the “Issuers”) issued (i) $4,500 million aggregate principal amount of 3.875% Senior Secured Notes due 2029 (the “2021 Secured Notes”) pursuant to an indenture, dated as of October 15, 2021 (the “2021 Secured Notes Indenture”), and (ii) $2,500 million aggregate principal amount of</w:t>
      </w:r>
    </w:p>
    <w:p>
      <w:pPr>
        <w:spacing w:after="0" w:line="2"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5.250% Senior Notes due 2029 (the “2021 Unsecured Notes” and, together with the 2021 Secured Notes, the “2021 Notes”)) pursuant to an indenture, dated as of October 15, 2021 (the “2021 Unsecured Notes Indenture”).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2021 Secured Notes have a fixed annual interest rate of 3.875%, which will be paid in cash semi-annually in arrears on April 1 and October 1 of each year, and will mature on April 1, 2029. The 2021 Unsecured Notes have a fixed annual interest rate of 5.250%, which will be paid in cash semi-annually in arrears on April 1 and October 1 of each year, and will mature on October 1, 2029.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Ranking and Guarantees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2021 Notes are guaranteed by Medline Intermediate, LP and each of the Issuer’s wholly owned domestic restricted subsidiaries (other than the Co-Issuer) that guarantee our Senior Secured Credit Facilities.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2021 Secured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2021 Secured Notes, including the 2021 Unsecured Notes; rank equally in priority as to the collateral securing the 2021 Secured Notes with respect to borrowings and guarantees under our Senior Secured Credit Facilities, the notes and any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2021 Secured Notes.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2021 Unsecured Notes and the related guarantees are our senior unsecured obligations and rank equally in right of payment with all of the Issuers’ existing and future senior indebtedness; rank senior in right of payment to all of the Issuers’ and guarantors’ future subordinated indebtedness; are effectively subordinated to all of the Issuers’ and the guarantors’ existing and future secured indebtedness to the extent of the value of the collateral securing such indebtedness, including the notes, the 2021 Secured Notes and our Senior Secured Credit Facilities; and are structurally subordinated to the existing and future indebtedness, claims of holders of preferred stock, and other liabilities of any subsidiary of an Issuer or a guarantor that is not a guarantor or co-issuer of the 2021 Unsecured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Issuers’ obligations under the 2021 Secured Notes and the related guarantees are secured by a perfected first priority lien on substantially all of the Issuers’ and the guarantors’ tangible and intangible assets, in each case, subject to permitted liens and certain exceptions.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At any time on or after October 1, 2024, each series of 2021 Notes is redeemable, in whole or in part, at the Issuers’ option, at the applicable redemption prices set forth in the applicable indenture, plus accrued and unpaid interest, if any, on the principal amount of the applicable series of Notes being redeemed to, but excluding, the redemption date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Triggering Event (as defined in the 2021 Secured Notes Indenture or the 2021 Unsecured Notes Indenture, as applicable), the Issuers will be required to offer to repurchase the 2021 Secured Notes and the 2021 Unsecured Notes, respectively, at a price of 101% of their principal amount plus accrued and unpaid interest, if any, to, but excluding, the date of repurchase.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2021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7" w:lineRule="exact"/>
        <w:rPr>
          <w:sz w:val="20"/>
          <w:szCs w:val="20"/>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prohibit our ability and the ability of our subsidiary guarantors to incur liens on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Notes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Issuers issued (i) $1,000 million aggregate principal amount of 6.250% Senior Secured Notes due 2029 (the “Initial 2024 Notes”) pursuant to an indenture, dated as of March 27, 2024 (the “Initial 2024 Indenture”) and (ii) $500 million aggregate principal amount of 6.250% Senior Secured Notes due 2029 (the “Additional 2024 Notes,” and together with the Initial 2024 Notes, the “2024 Notes”; the 2024 Notes together with the 2021 Notes, the “Senior Notes”) pursuant to the first supplemental indenture to the Initial Indenture, dated as of June 24, 2024 (the “First Supplemental 2024 Indenture,” and together with the Initial 2024 Indenture, the “Indenture”).</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2024 Notes have a fixed annual interest rate of 6.250%, which will be paid in cash semi-annually in arrears on April 1 and October 1 of each year and will mature on April 1, 2029.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Ranking and Guarantees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2024 Notes are guaranteed by Medline Intermediate, LP and each of the Issuer’s wholly owned domestic restricted subsidiaries (other than the Co-Issuer) that guarantee our Senior Secured Credit Facilities.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2024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2024 Notes, including the 2021 Unsecured Notes; rank equally in priority as to the collateral securing the 2024 Notes with respect to borrowings and guarantees under our Senior Secured Credit Facilities, the 2021 Secured Notes, and any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2024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Issuers’ obligations under the 2024 Notes and the related guarantees are secured by a perfected first priority lien on substantially all of the Issuers’ and the guarantors’ tangible and intangible assets, in each case, subject to permitted liens and certain exceptions.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At any time prior to April 1, 2026, the 2024 Notes are redeemable, in whole or in part, at the Issuers’ option, at a redemption price equal to 100% of the principal amount of the 2024 Notes being redeemed plus a “make-whole” premium specified in the applicable 2024 Indenture, plus accrued and unpaid interest, if any, on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80"/>
          </w:cols>
          <w:pgMar w:left="320" w:top="455"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principal amount of the 2024 Notes being redeemed to, but excluding, the redemption date. At any time on or after April 1, 2026, the 2024 Notes are redeemable, in whole or in part, at the Issuers’ option, at the applicable redemption prices set forth in the 2024 Indenture, plus accrued and unpaid interest, if any, on the principal amount of the 2024 Notes being redeemed to, but excluding, the redemption date. In addition, subject to certain conditions, at any time prior to April 1, 2026, the Issuers may redeem up to 40% of the aggregate principal amount of the 2024 Notes with an amount not to exceed the net cash proceeds from certain equity offerings at a redemption price of 106.250%, plus accrued and unpaid interest, if any, on the principal amount of the 2024 Notes being redeemed to, but excluding, the redemption date.</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Prior to April 1, 2026, the Issuers may, at their option, at any time and from time to time, redeem up to 10% of the aggregate principal amount of the 2024 Notes during each calendar year following the issuance of the 2024 Notes at a redemption price of 103.000% of the principal amount of the 2024 Notes being redeemed, plus accrued and unpaid interest, if any, to, but excluding, the redemption date.</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April 1, 2026, the Issuers may redeem all, but not less than all, of the 2024 Notes with an amount not to exceed the net cash proceeds from any Qualified IPO (as defined in the 2024 Indenture) at a redemption price of 106.250% of the principal amount of the 2024 Notes being redeemed, plus accrued and unpaid interest, if any, to, but excluding, the redemption date.</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Triggering Event (as defined in the 2024 Indenture), the Issuers will be required to offer to repurchase the 2024 Notes at a price of 101% of their principal amount plus accrued and unpaid interest, if any, to, but excluding, the date of repurchase.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2024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7" w:lineRule="exact"/>
        <w:rPr>
          <w:sz w:val="20"/>
          <w:szCs w:val="20"/>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30" w:lineRule="exact"/>
        <w:rPr>
          <w:rFonts w:ascii="Times New Roman" w:cs="Times New Roman" w:eastAsia="Times New Roman" w:hAnsi="Times New Roman"/>
          <w:sz w:val="18"/>
          <w:szCs w:val="18"/>
          <w:color w:val="auto"/>
        </w:rPr>
      </w:pPr>
    </w:p>
    <w:p>
      <w:pPr>
        <w:ind w:left="5480" w:right="1900" w:hanging="4824"/>
        <w:spacing w:after="0" w:line="454" w:lineRule="auto"/>
        <w:tabs>
          <w:tab w:leader="none" w:pos="107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prohibit our ability and the ability of our subsidiary guarantors to incur liens on assets. 191</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will amend and restate our certificate of incorporation and our bylaws. The following is a description of the material terms of, and is qualified in its entirety by, Medline Inc.’s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Medline Inc. and not to any of its subsidiaries.</w:t>
      </w:r>
    </w:p>
    <w:p>
      <w:pPr>
        <w:spacing w:after="0" w:line="183"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be organized under the DGCL. Upon the consummation of this offering, our authorized capital stock will consist of         shares of Class A common stock, par value $0.0001 per share,         shares of Class B common stock, par value $0.0001 per share, and         shares of preferred stock, par value $0.0001 per share. No shares of preferred stock</w:t>
      </w:r>
    </w:p>
    <w:p>
      <w:pPr>
        <w:spacing w:after="0" w:line="1"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will be issued or outstanding immediately after the offering contemplated by this prospectus. Unless our board of directors determines otherwise, we will issue all shares of our capital stock in uncertificated form.</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All shares of our Class A common stock that will be outstanding at the time of the completion of the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holders of our Class A common stock will be subject to those of the holders of any shares of our preferred stock or any other series or class of stock we may authorize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Holders of shares of our Class B common stock are entitled to one vote for each share held of record on all matters on which stockholders are entitled to vote generally, including the election and removal of directors. If at any time the ratio at which Units are exchangeable for shares of our Class A common stock changes from one-for-one as described under “Certain Relationships and Related Person Transactions—Exchange Agreement,” the number of votes to which holders of our Class B common stock are entitled will be adjusted accordingly. The holders of our Class B common stock do not have cumulative voting rights in the election of directors.</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will issue one share of Class B common stock for each Unit held by our Pre-IPO Unitholders. Upon an exchange by any such Pre-IPO Unitholder of Units for shares of our Class A common stock pursuant to the Exchange Agreement, an equivalent number of shares of Class B common stock held by each such Pre-IPO Unitholder will be automatically transferred to us and cancelled and retired.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Holders of shares of our Class B common stock will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9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B common stock are not entitled to receive dividends or to receive a distribution upon a liquidation, dissolution, or winding up of Medline Inc.</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any restrictions on transfer of shares of Class B common stock other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w:t>
      </w:r>
    </w:p>
    <w:p>
      <w:pPr>
        <w:spacing w:after="0" w:line="112" w:lineRule="exact"/>
        <w:rPr>
          <w:sz w:val="20"/>
          <w:szCs w:val="20"/>
          <w:color w:val="auto"/>
        </w:rPr>
      </w:pPr>
    </w:p>
    <w:p>
      <w:pPr>
        <w:ind w:left="108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an automatic transfer of shares of Class B common stock to us upon an exchange of the Units associated with such shares;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that the holder will not transfer shares of Class B common stock to any person unless the holder transfers an equal number of Units to the same person;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that, in the event the holder transfers Units to any person, the holder transfer an equal number of shares of Class B common stock to the same person.</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holders of our Class B common stock will be subject to those of the holders of any shares of our preferred stock or any other series or class of stock we may authorize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89"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right="100" w:hanging="424"/>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 on shares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our affairs or other event;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of our capital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the series.</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 except that our amended and restated certificate of incorporation will provide that holders of Class B common stock shall not be entitled to any dividends on their shares of Class B common stock. See also “Dividend Policy.”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shares that are authorized and available for issuance. However, the listing requirements of Nasdaq, which would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Units not indirectly held by Medline Inc.). These additional shares may be used for a variety of corporate purposes, including future public offerings, to raise additional capital, or to facilitate acquisitions.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80"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7"/>
          <w:szCs w:val="17"/>
          <w:color w:val="auto"/>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7" w:lineRule="exact"/>
        <w:rPr>
          <w:sz w:val="20"/>
          <w:szCs w:val="20"/>
          <w:color w:val="auto"/>
        </w:rPr>
      </w:pPr>
    </w:p>
    <w:p>
      <w:pPr>
        <w:ind w:left="1080" w:right="50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55" w:right="4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right="48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9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our outstanding voting stock that is not owned by the interested stockholder.</w:t>
      </w:r>
    </w:p>
    <w:p>
      <w:pPr>
        <w:spacing w:after="0" w:line="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87"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Principal Stockholders and their affiliates, and any of their respective direct or indirect transferees, and any group as to which such persons are a party, do not constitute “interested stockholders” for purposes of this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any time when our Principal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our Principal Stockholders.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 and Stockholder Proposals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Consent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Principal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will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demands and make decisions and taken actions with respect to any such demands, including whether to initiate a proceeding. This provision may affect a stockholder’s ability to commence or control a derivative proceeding.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investors will not be deemed to have waived compliance with the federal securities laws and the rules and regulations thereunder as a result of our forum selection provisions. See “Risk Factors – Risks Related to this Offering and Ownership of our Class A Common Stock – 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 (i) engaging in a corporate opportunity in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same or similar lines of business in which we or our affiliates now engage or propose to engage or (ii) 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will enter into with the Designating Stockholders will also contain provisions providing the Designating Stockholders with access to our corporate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shares of our Class A common stock will be             .</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apply to list our Class A common stock on Nasdaq under the symbol “MDLN.”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139"/>
          </w:cols>
          <w:pgMar w:left="320" w:top="455"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TO NON-U.S. HOLDERS</w:t>
      </w:r>
    </w:p>
    <w:p>
      <w:pPr>
        <w:spacing w:after="0" w:line="229"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68"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shares of our Class A common stock (other than an entity or arrangement treated as a partnership for U.S. federal income tax purposes) that is not, for U.S. federal income tax purposes, any of the following:</w:t>
      </w:r>
    </w:p>
    <w:p>
      <w:pPr>
        <w:spacing w:after="0" w:line="67" w:lineRule="exact"/>
        <w:rPr>
          <w:sz w:val="20"/>
          <w:szCs w:val="20"/>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has a valid election in effect under applicable U.S. Treasury regulations to be treated as a U.S. person.</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9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72"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disposition of our Class A common stock generally will not be subject to U.S. federal income tax unless:</w:t>
      </w:r>
    </w:p>
    <w:p>
      <w:pPr>
        <w:spacing w:after="0" w:line="67" w:lineRule="exact"/>
        <w:rPr>
          <w:sz w:val="20"/>
          <w:szCs w:val="20"/>
          <w:color w:val="auto"/>
        </w:rPr>
      </w:pPr>
    </w:p>
    <w:p>
      <w:pPr>
        <w:ind w:left="1080" w:right="42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5"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we will have a total of         shares of our Class A common stock outstanding (or         shares of Class A common stock if the underwriters exercise in full their option to purchase additional shares of Class A common stock). All of these shares of Class A common stock will have been sold in this offering and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shares of our Class A common stock held by the Pre-IPO Stockholders (or         shares of Class A common stock if the underwriters exercise in full their option to purchase additional shares of Class A common stock) will be “restricted securities,” as defined in Rule 144 and may not be sold absent registration under the Securities Act or compliance with Rule 144 thereunder or in reliance on another exemption from registration.</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subject to certain limitations and exceptions, pursuant to the terms of an exchange agreement we will enter into with the Pre-IPO Unitholders, holders of Units may (subject to the terms of the exchange agreement) exchange Units for shares of our Class A common stock on a one-for-one basis, subject to customary conversion rate adjustments for stock splits, stock dividends, and reclassifications, whereupon an equivalent number of shares of Class B common stock held by each such Pre-IPO Unitholder will be automatically transferred to us and cancelled and retired upon any such exchange. Upon consummation of this offering, the Pre-IPO Unitholders will hold         Units (or         Units if the underwriters exercise in full their option to purchase additional shares of Class A common stock), all of which will be exchangeable for shares of our Class A common stock. Any shares we issue upon exchange of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Units exchanged. Moreover, as a result of the registration rights agreement, all or a portion of these shares may be eligible for future sale without restriction, subject to the lock-up arrangements described below. See “—Registration Rights” and “Certain Relationships and Related Person Transactions—Registration Rights Agreement.”</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shares of Class A common stock may be granted under our Omnibus Incentive Plan. We intend to file one or more registration statements on Form S-8 under the Securities Act to register shares of Class A common stock or securities convertible into or exchangeable for shares of Class A common stock issued under or covered by our Omnibus Incentive Plan. Any such Form S-8 registration statements will automatically become effective upon filing. Accordingly, shares of Class A common stock registered under such registration statements will be available for sale in the open market. We expect that the initial registration statement on Form S-8 will cover         shares of Class A common stock.</w:t>
      </w:r>
    </w:p>
    <w:p>
      <w:pPr>
        <w:spacing w:after="0" w:line="183"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partnership agreement of Medline Holdings permits Medline Holdings to issue an unlimited number of additional limited partnership interests of Medline Holdings with designations, preferences, rights, powers, and duties that are different from, and may be senior to, those applicable to the Units, and which may be exchangeable for shares of our Class A common stock.</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Transactions, we will enter into a registration rights agreement with our Principal Stockholders and our Other Pre-IPO Investors. See “Certain Relationships and Related Person Transactions—Registration Rights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our officers, directors, our Principal Stockholders, our Other Pre-IPO Investors, and our other pre-IPO owners representing substantially all of the Units prior to this offering have agreed, subject to certain exceptions, that we and they will not offer, sell, contract to sell, pledge or otherwise dispose of, directly or indirectly, any shares of our Class A common stock or securities convertible into or exchangeable or exercisable for any shares of our Class A common stock, enter into a transaction that would have the same effect, or enter into any swap, hedge or other arrangement that transfers, in whole or in part, any of the economic consequences of ownership of our Class A common stock, whether any of these transactions are to be settled by delivery of our Class A common stock or other securities, in cash or otherwise, or publicly disclose the intention to make any such offer, sale, pledge, or disposition, or to enter into any transaction, swap, hedge, or other arrangement, without, in each case, the prior written consent of two of the representatives of the underwriters for a period of 180 days after the date of this prospectus. These agreements are subject to certain exceptions, as set forth in “Underwriting.”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8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Any shares we issue upon exchange of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Units exchanged.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and the underwriters named below will enter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BofA Securities, Inc. and J.P. Morgan Securities LLC are the representatives of the underwriters.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140" w:type="dxa"/>
            <w:vAlign w:val="bottom"/>
            <w:vMerge w:val="restart"/>
          </w:tcPr>
          <w:p>
            <w:pPr>
              <w:spacing w:after="0"/>
              <w:rPr>
                <w:sz w:val="13"/>
                <w:szCs w:val="13"/>
                <w:color w:val="auto"/>
              </w:rPr>
            </w:pP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15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1440" w:type="dxa"/>
            <w:vAlign w:val="bottom"/>
            <w:tcBorders>
              <w:top w:val="single" w:sz="8" w:color="auto"/>
            </w:tcBorders>
            <w:shd w:val="clear" w:color="auto" w:fill="CCEEFF"/>
          </w:tcPr>
          <w:p>
            <w:pPr>
              <w:ind w:left="72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an option to purchase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additional shares.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Paid by Us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56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Shares of Class A common stock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and our officers and directors and our pre-IPO owners have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the date of this prospectus, except with the prior written consent of two of the representatives.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apply to list the shares on Nasdaq under the symbol “MDLN.”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its share of the total expenses of the offering, excluding underwriting discounts and commissions, will be approximately</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        . We have also agreed to reimburse the underwriters for certain FINRA-related expenses incurred by them in connection with the offering in an amount up to $        .</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 For example, Bank of America, N.A., an affiliate of BofA Securities, Inc., is administrative agent and collateral agent under the credit agreement that governs our Senior Secured Credit Facilities, and JPMorgan Chase Bank, N.A., an affiliate of J.P. Morgan Securities LLC, Bank of America, N.A., Goldman Sachs Bank USA, an affiliate of Goldman Sachs &amp; Co. LLC, and Morgan Stanley Senior Funding Inc., an affiliate of Morgan Stanley &amp; Co. LLC, are joint-lead arrangers and lenders under certain of our Senior Secured Credit Facilities. In addition, J.P. Morgan Securities LLC and Goldman Sachs &amp; Co. LLC served as the representatives of the initial purchasers, and BofA Securities, Inc. and Morgan Stanley &amp; Co. LLC served as joint bookrunning managers in connection with our offering of $4,500 million aggregate principal amount of the 2021 Secured Notes and $2,500 million aggregate principal amount of the 2021 Unsecured Notes, for which they received customary fees and commissions. Goldman Sachs &amp; Co. and BofA Securities, Inc. served as the representatives of the initial purchasers, and J.P. Morgan Securities LLC and Morgan Stanley &amp; Co. LLC served as joint bookrunning managers in connection with our offering of $1,000 million aggregate principal amount of the Initial 2024 Notes, for which they received customary fees and commissions. Goldman Sachs &amp; Co. LLC, BofA Securities, Inc., and J.P. Morgan Securities LLC served as the representatives of the initial purchasers, and Morgan Stanley &amp; Co. LLC served as joint bookrunning manager, in connection with our offering of $500 million aggregate principal amount of the Additional 2024 Notes, for which they received customary fees and commissions.</w:t>
      </w:r>
    </w:p>
    <w:p>
      <w:pPr>
        <w:spacing w:after="0" w:line="19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of Class A common stock have been offered or will be offered pursuant to this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(as defined herein),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except that offers of shares may be made to the public in that Member State at any time under the following exemptions under the Prospectus Regulation:</w:t>
      </w:r>
    </w:p>
    <w:p>
      <w:pPr>
        <w:spacing w:after="0" w:line="67" w:lineRule="exact"/>
        <w:rPr>
          <w:sz w:val="20"/>
          <w:szCs w:val="20"/>
          <w:color w:val="auto"/>
        </w:rPr>
      </w:pPr>
    </w:p>
    <w:p>
      <w:pPr>
        <w:ind w:left="1080" w:hanging="532"/>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 (as defined herein);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of Class A common stock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the case of any shares of Class A common stock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Class A common stock in any Member State means the communication in any form and by means of sufficient information on the terms of the offer and the shares of Class A common stock to be offered so as to enable an investor to decide to purchase shares of Class A common stock, and the expression “Prospectus Regulation” means Regulation (EU) 2017/1129 (as amended).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(as defined herein);</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(“FSMA”);</w:t>
      </w:r>
    </w:p>
    <w:p>
      <w:pPr>
        <w:spacing w:after="0" w:line="22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of Class A common stock shall require any underwriter to publish a prospectus pursuant to Section 85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FSMA or supplement a prospectus pursuant to Article 23 of the UK Prospectus Regulation.</w:t>
      </w:r>
    </w:p>
    <w:p>
      <w:pPr>
        <w:spacing w:after="0" w:line="16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Class A common stock in the United Kingdom means the communication in any form and by any means of sufficient information on the terms of the offer and any shares to be offered so as to enable an investor to decide to purchase or subscribe for any shares of Class A common stock and the expression “UK Prospectus Regulation”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means Regulation (EU) 2017/1129 as it forms part of domestic law by virtue of the European Union (Withdrawal) Act 2018 and each person who initially acquires any shares of Class A common stock or to whom any offer is made will be deemed to have represented, warranted and agreed to and with each of the underwriters and us that it is a qualified investor within the meaning of Article 2(e) of the UK Prospectus Regulation.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Each person in the UK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are persons falling within Article 49(2)(a) to (d)(“high net worth companies, unincorporated associations etc.”) of the Financial Promotion Order; (iii) persons who are outside the United Kingdom; and (iv)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The shares of Class A common stock will only be available to, and any invitation, offer, or agreement to subscribe for, purchase, or otherwise acquire such shares will be engaged only with, Relevant Persons. Any person who is not a Relevant Person should not act or rely on this prospectus or any of its contents.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Dubai International Financial Centre</w:t>
      </w:r>
    </w:p>
    <w:p>
      <w:pPr>
        <w:spacing w:after="0" w:line="11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5" w:lineRule="exact"/>
        <w:rPr>
          <w:sz w:val="20"/>
          <w:szCs w:val="20"/>
          <w:color w:val="auto"/>
        </w:rPr>
      </w:pPr>
    </w:p>
    <w:p>
      <w:pPr>
        <w:ind w:left="120" w:right="300" w:hanging="4"/>
        <w:spacing w:after="0" w:line="260" w:lineRule="auto"/>
        <w:tabs>
          <w:tab w:leader="none" w:pos="43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securities (as defined in Section 239(1) of the SFA) of that corporation shall not be transferable for six months after that corporation has acquired the shares under Section 275 of the SFA except:</w:t>
      </w:r>
    </w:p>
    <w:p>
      <w:pPr>
        <w:spacing w:after="0" w:line="189" w:lineRule="exact"/>
        <w:rPr>
          <w:sz w:val="20"/>
          <w:szCs w:val="20"/>
          <w:color w:val="auto"/>
        </w:rPr>
      </w:pPr>
    </w:p>
    <w:p>
      <w:pPr>
        <w:ind w:left="1080" w:hanging="532"/>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Singapore Securities and Futures Act Product Classification</w:t>
      </w:r>
      <w:r>
        <w:rPr>
          <w:rFonts w:ascii="Times New Roman" w:cs="Times New Roman" w:eastAsia="Times New Roman" w:hAnsi="Times New Roman"/>
          <w:sz w:val="18"/>
          <w:szCs w:val="18"/>
          <w:color w:val="auto"/>
        </w:rPr>
        <w:t>—Solely for the purposes of its obligations pursuant to Sections 309B(1)(a)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309B(1)(c) 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Arab Emirates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Brazil</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shares of Class A common stock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1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0880"/>
          </w:cols>
          <w:pgMar w:left="320" w:top="455" w:right="6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Medline Holdings, LP at December 31, 2023, and for each of the two years in the period ended December 31, 2023,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8"/>
          <w:szCs w:val="18"/>
          <w:i w:val="1"/>
          <w:iCs w:val="1"/>
          <w:color w:val="auto"/>
        </w:rPr>
        <w:t>http://www.sec.gov.</w:t>
      </w:r>
    </w:p>
    <w:p>
      <w:pPr>
        <w:spacing w:after="0" w:line="190"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maintain an internet site at </w:t>
      </w:r>
      <w:r>
        <w:rPr>
          <w:rFonts w:ascii="Times New Roman" w:cs="Times New Roman" w:eastAsia="Times New Roman" w:hAnsi="Times New Roman"/>
          <w:sz w:val="18"/>
          <w:szCs w:val="18"/>
          <w:i w:val="1"/>
          <w:iCs w:val="1"/>
          <w:color w:val="auto"/>
        </w:rPr>
        <w:t>www.medline.com.</w:t>
      </w:r>
      <w:r>
        <w:rPr>
          <w:rFonts w:ascii="Times New Roman" w:cs="Times New Roman" w:eastAsia="Times New Roman" w:hAnsi="Times New Roman"/>
          <w:sz w:val="18"/>
          <w:szCs w:val="18"/>
          <w:color w:val="auto"/>
        </w:rPr>
        <w:t xml:space="preserve"> The information on, or accessible from, our website is not part of this prospectus by reference or otherwise.</w:t>
      </w:r>
    </w:p>
    <w:p>
      <w:pPr>
        <w:spacing w:after="0" w:line="16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become subject to the informational requirements of the Exchange Act and will be required to file annual, quarterly and current reports, proxy statements and other information with the SEC. You will be able to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40"/>
          </w:cols>
          <w:pgMar w:left="320" w:top="455" w:right="4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07"/>
        </w:trPr>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80" w:type="dxa"/>
            <w:vAlign w:val="bottom"/>
          </w:tcPr>
          <w:p>
            <w:pPr>
              <w:spacing w:after="0"/>
              <w:rPr>
                <w:sz w:val="17"/>
                <w:szCs w:val="17"/>
                <w:color w:val="auto"/>
              </w:rPr>
            </w:pPr>
          </w:p>
        </w:tc>
      </w:tr>
      <w:tr>
        <w:trPr>
          <w:trHeight w:val="525"/>
        </w:trPr>
        <w:tc>
          <w:tcPr>
            <w:tcW w:w="4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864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Medline Inc. has requested confidential treatment of this registration statement and associated</w:t>
            </w:r>
          </w:p>
        </w:tc>
        <w:tc>
          <w:tcPr>
            <w:tcW w:w="1080" w:type="dxa"/>
            <w:vAlign w:val="bottom"/>
          </w:tcPr>
          <w:p>
            <w:pPr>
              <w:spacing w:after="0"/>
              <w:rPr>
                <w:sz w:val="24"/>
                <w:szCs w:val="24"/>
                <w:color w:val="auto"/>
              </w:rPr>
            </w:pPr>
          </w:p>
        </w:tc>
      </w:tr>
      <w:tr>
        <w:trPr>
          <w:trHeight w:val="238"/>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correspondence pursuant to Rule 83 of the Securities and Exchange Commission.</w:t>
            </w:r>
          </w:p>
        </w:tc>
        <w:tc>
          <w:tcPr>
            <w:tcW w:w="1080" w:type="dxa"/>
            <w:vAlign w:val="bottom"/>
          </w:tcPr>
          <w:p>
            <w:pPr>
              <w:spacing w:after="0"/>
              <w:rPr>
                <w:sz w:val="20"/>
                <w:szCs w:val="20"/>
                <w:color w:val="auto"/>
              </w:rPr>
            </w:pPr>
          </w:p>
        </w:tc>
      </w:tr>
      <w:tr>
        <w:trPr>
          <w:trHeight w:val="364"/>
        </w:trPr>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380" w:type="dxa"/>
            <w:vAlign w:val="bottom"/>
            <w:gridSpan w:val="6"/>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080" w:type="dxa"/>
            <w:vAlign w:val="bottom"/>
          </w:tcPr>
          <w:p>
            <w:pPr>
              <w:spacing w:after="0"/>
              <w:rPr>
                <w:sz w:val="24"/>
                <w:szCs w:val="24"/>
                <w:color w:val="auto"/>
              </w:rPr>
            </w:pPr>
          </w:p>
        </w:tc>
      </w:tr>
      <w:tr>
        <w:trPr>
          <w:trHeight w:val="441"/>
        </w:trPr>
        <w:tc>
          <w:tcPr>
            <w:tcW w:w="1000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Medline Holdings, LP:</w:t>
            </w:r>
          </w:p>
        </w:tc>
        <w:tc>
          <w:tcPr>
            <w:tcW w:w="1080" w:type="dxa"/>
            <w:vAlign w:val="bottom"/>
          </w:tcPr>
          <w:p>
            <w:pPr>
              <w:spacing w:after="0"/>
              <w:rPr>
                <w:sz w:val="24"/>
                <w:szCs w:val="24"/>
                <w:color w:val="auto"/>
              </w:rPr>
            </w:pPr>
          </w:p>
        </w:tc>
      </w:tr>
      <w:tr>
        <w:trPr>
          <w:trHeight w:val="216"/>
        </w:trPr>
        <w:tc>
          <w:tcPr>
            <w:tcW w:w="100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1080" w:type="dxa"/>
            <w:vAlign w:val="bottom"/>
          </w:tcPr>
          <w:p>
            <w:pPr>
              <w:spacing w:after="0"/>
              <w:rPr>
                <w:sz w:val="18"/>
                <w:szCs w:val="18"/>
                <w:color w:val="auto"/>
              </w:rPr>
            </w:pPr>
          </w:p>
        </w:tc>
      </w:tr>
      <w:tr>
        <w:trPr>
          <w:trHeight w:val="194"/>
        </w:trPr>
        <w:tc>
          <w:tcPr>
            <w:tcW w:w="480" w:type="dxa"/>
            <w:vAlign w:val="bottom"/>
          </w:tcPr>
          <w:p>
            <w:pPr>
              <w:spacing w:after="0"/>
              <w:rPr>
                <w:sz w:val="16"/>
                <w:szCs w:val="16"/>
                <w:color w:val="auto"/>
              </w:rPr>
            </w:pPr>
          </w:p>
        </w:tc>
        <w:tc>
          <w:tcPr>
            <w:tcW w:w="546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ID-42)</w:t>
            </w:r>
          </w:p>
        </w:tc>
        <w:tc>
          <w:tcPr>
            <w:tcW w:w="4060" w:type="dxa"/>
            <w:vAlign w:val="bottom"/>
            <w:gridSpan w:val="4"/>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480" w:type="dxa"/>
            <w:vAlign w:val="bottom"/>
          </w:tcPr>
          <w:p>
            <w:pPr>
              <w:spacing w:after="0"/>
              <w:rPr>
                <w:sz w:val="17"/>
                <w:szCs w:val="17"/>
                <w:color w:val="auto"/>
              </w:rPr>
            </w:pPr>
          </w:p>
        </w:tc>
        <w:tc>
          <w:tcPr>
            <w:tcW w:w="95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 as of December 31, 2023</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48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78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for the Years Ended December 31, 2023 and 2022</w:t>
            </w:r>
          </w:p>
        </w:tc>
        <w:tc>
          <w:tcPr>
            <w:tcW w:w="1640" w:type="dxa"/>
            <w:vAlign w:val="bottom"/>
            <w:gridSpan w:val="2"/>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480" w:type="dxa"/>
            <w:vAlign w:val="bottom"/>
          </w:tcPr>
          <w:p>
            <w:pPr>
              <w:spacing w:after="0"/>
              <w:rPr>
                <w:sz w:val="17"/>
                <w:szCs w:val="17"/>
                <w:color w:val="auto"/>
              </w:rPr>
            </w:pPr>
          </w:p>
        </w:tc>
        <w:tc>
          <w:tcPr>
            <w:tcW w:w="85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Mezzanine Equity and Partners’ Capital for the Years Ended December 31, 2023 and 2022</w:t>
            </w:r>
          </w:p>
        </w:tc>
        <w:tc>
          <w:tcPr>
            <w:tcW w:w="9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480" w:type="dxa"/>
            <w:vAlign w:val="bottom"/>
          </w:tcPr>
          <w:p>
            <w:pPr>
              <w:spacing w:after="0"/>
              <w:rPr>
                <w:sz w:val="17"/>
                <w:szCs w:val="17"/>
                <w:color w:val="auto"/>
              </w:rPr>
            </w:pPr>
          </w:p>
        </w:tc>
        <w:tc>
          <w:tcPr>
            <w:tcW w:w="95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480" w:type="dxa"/>
            <w:vAlign w:val="bottom"/>
          </w:tcPr>
          <w:p>
            <w:pPr>
              <w:spacing w:after="0"/>
              <w:rPr>
                <w:sz w:val="17"/>
                <w:szCs w:val="17"/>
                <w:color w:val="auto"/>
              </w:rPr>
            </w:pPr>
          </w:p>
        </w:tc>
        <w:tc>
          <w:tcPr>
            <w:tcW w:w="6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980" w:type="dxa"/>
            <w:vAlign w:val="bottom"/>
            <w:gridSpan w:val="3"/>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385"/>
        </w:trPr>
        <w:tc>
          <w:tcPr>
            <w:tcW w:w="48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2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660" w:type="dxa"/>
            <w:vAlign w:val="bottom"/>
            <w:gridSpan w:val="5"/>
          </w:tcPr>
          <w:p>
            <w:pPr>
              <w:jc w:val="center"/>
              <w:ind w:right="3100"/>
              <w:spacing w:after="0"/>
              <w:rPr>
                <w:sz w:val="20"/>
                <w:szCs w:val="20"/>
                <w:color w:val="auto"/>
              </w:rPr>
            </w:pPr>
            <w:r>
              <w:rPr>
                <w:rFonts w:ascii="Times New Roman" w:cs="Times New Roman" w:eastAsia="Times New Roman" w:hAnsi="Times New Roman"/>
                <w:sz w:val="18"/>
                <w:szCs w:val="18"/>
                <w:color w:val="auto"/>
                <w:w w:val="95"/>
              </w:rPr>
              <w:t>F-1</w:t>
            </w:r>
          </w:p>
        </w:tc>
        <w:tc>
          <w:tcPr>
            <w:tcW w:w="1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Managers of Medline Holdings, LP</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audited the accompanying consolidated balance sheet of Medline Holdings, LP and subsidiaries (the Company) as of December 31, 2023,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consolidated statements of comprehensive income (loss), mezzanine equity and partners’ capital and cash flows for the years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2022, and the related notes (collectively referred to as the “consolidated financial statements”). In our opinion, the consolidated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statements present fairly, in all material respects, the financial position of the Company at December 31, 2023, and the results of its operations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its cash flows for the years ended December 31, 2023 and 2022 in conformity with U.S. generally accepted accounting principles.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6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80" w:hanging="4"/>
        <w:spacing w:after="0" w:line="255" w:lineRule="auto"/>
        <w:tabs>
          <w:tab w:leader="none" w:pos="37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Accrued customer rebates</w:t>
      </w:r>
    </w:p>
    <w:p>
      <w:pPr>
        <w:sectPr>
          <w:pgSz w:w="11900" w:h="16838" w:orient="portrait"/>
          <w:cols w:equalWidth="0" w:num="1">
            <w:col w:w="11120"/>
          </w:cols>
          <w:pgMar w:left="320" w:top="455" w:right="459" w:bottom="1440" w:gutter="0" w:footer="0" w:header="0"/>
        </w:sectPr>
      </w:pPr>
    </w:p>
    <w:p>
      <w:pPr>
        <w:spacing w:after="0" w:line="227"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As disclosed in Note 1 to the consolidated financial statements under the caption “Revenue Recognition”, the Company’s product sales to customers are adjusted for variable consideration, including customer rebates, which are estimated at the point revenue is</w:t>
      </w:r>
    </w:p>
    <w:p>
      <w:pPr>
        <w:spacing w:after="0" w:line="72" w:lineRule="exact"/>
        <w:rPr>
          <w:sz w:val="20"/>
          <w:szCs w:val="20"/>
          <w:color w:val="auto"/>
        </w:rPr>
      </w:pPr>
    </w:p>
    <w:p>
      <w:pPr>
        <w:sectPr>
          <w:pgSz w:w="11900" w:h="16838" w:orient="portrait"/>
          <w:cols w:equalWidth="0" w:num="2">
            <w:col w:w="1420" w:space="360"/>
            <w:col w:w="934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1120"/>
          </w:cols>
          <w:pgMar w:left="320" w:top="455" w:right="459" w:bottom="1440" w:gutter="0" w:footer="0" w:header="0"/>
          <w:type w:val="continuous"/>
        </w:sectPr>
      </w:pPr>
    </w:p>
    <w:bookmarkStart w:id="225" w:name="page226"/>
    <w:bookmarkEnd w:id="225"/>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580" w:type="dxa"/>
            <w:vAlign w:val="bottom"/>
          </w:tcPr>
          <w:p>
            <w:pPr>
              <w:spacing w:after="0"/>
              <w:rPr>
                <w:sz w:val="17"/>
                <w:szCs w:val="17"/>
                <w:color w:val="auto"/>
              </w:rPr>
            </w:pPr>
          </w:p>
        </w:tc>
      </w:tr>
      <w:tr>
        <w:trPr>
          <w:trHeight w:val="525"/>
        </w:trPr>
        <w:tc>
          <w:tcPr>
            <w:tcW w:w="13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5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tc>
      </w:tr>
      <w:tr>
        <w:trPr>
          <w:trHeight w:val="238"/>
        </w:trPr>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tc>
      </w:tr>
      <w:tr>
        <w:trPr>
          <w:trHeight w:val="346"/>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 The Company’s estimate of customer rebates is based upon the contractual rebate terms between the Company and its</w:t>
            </w:r>
          </w:p>
        </w:tc>
      </w:tr>
      <w:tr>
        <w:trPr>
          <w:trHeight w:val="216"/>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customers, products subject to a rebate, the lag between the sale and the payment of the rebate, and historical rebate payment</w:t>
            </w:r>
          </w:p>
        </w:tc>
      </w:tr>
      <w:tr>
        <w:trPr>
          <w:trHeight w:val="216"/>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trends. At December 31, 2023, the Company had $353 million in customer rebates and distributor chargebacks, of which a large</w:t>
            </w:r>
          </w:p>
        </w:tc>
      </w:tr>
      <w:tr>
        <w:trPr>
          <w:trHeight w:val="234"/>
        </w:trPr>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portion relates to customer rebates.</w:t>
            </w:r>
          </w:p>
        </w:tc>
      </w:tr>
      <w:tr>
        <w:trPr>
          <w:trHeight w:val="441"/>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Auditing the customer rebates liability was challenging due to the significant volume of transactions and data related to product</w:t>
            </w:r>
          </w:p>
        </w:tc>
      </w:tr>
      <w:tr>
        <w:trPr>
          <w:trHeight w:val="234"/>
        </w:trPr>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sales, customer rebate rates, as well as historical rebate payments, that are used in determining the accrual balance.</w:t>
            </w:r>
          </w:p>
        </w:tc>
      </w:tr>
      <w:tr>
        <w:trPr>
          <w:trHeight w:val="425"/>
        </w:trPr>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test the Company’s customer rebate liability, our audit procedures included, among others, testing the completeness and</w:t>
            </w:r>
          </w:p>
        </w:tc>
      </w:tr>
      <w:tr>
        <w:trPr>
          <w:trHeight w:val="216"/>
        </w:trPr>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accuracy of the underlying data used in the estimate, including, but not limited to, gross sales transactions, customer rebate rates,</w:t>
            </w:r>
          </w:p>
        </w:tc>
      </w:tr>
      <w:tr>
        <w:trPr>
          <w:trHeight w:val="216"/>
        </w:trPr>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historical rebate payments. We assessed the reasonableness of the data by corroborating payments to customer contracts and</w:t>
            </w:r>
          </w:p>
        </w:tc>
      </w:tr>
      <w:tr>
        <w:trPr>
          <w:trHeight w:val="218"/>
        </w:trPr>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recalculated the variable consideration recognized based upon gross sales subject to the rebate and the executed rate per the</w:t>
            </w:r>
          </w:p>
        </w:tc>
      </w:tr>
      <w:tr>
        <w:trPr>
          <w:trHeight w:val="216"/>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contract and evaluated any differences. We recalculated the total variable consideration on gross sales and the related</w:t>
            </w:r>
          </w:p>
        </w:tc>
      </w:tr>
      <w:tr>
        <w:trPr>
          <w:trHeight w:val="216"/>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 based upon on the historical rebates as a percentage of gross sales and an independently calculated lag between rebate</w:t>
            </w:r>
          </w:p>
        </w:tc>
      </w:tr>
      <w:tr>
        <w:trPr>
          <w:trHeight w:val="216"/>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and settlement. We evaluated the change in the accrued liability by performing inquiries and analytical procedures</w:t>
            </w:r>
          </w:p>
        </w:tc>
      </w:tr>
      <w:tr>
        <w:trPr>
          <w:trHeight w:val="216"/>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considering changes in contractual rebate rates, expected lag, and gross sales performance. We also tested subsequent invoicing</w:t>
            </w:r>
          </w:p>
        </w:tc>
      </w:tr>
      <w:tr>
        <w:trPr>
          <w:trHeight w:val="234"/>
        </w:trPr>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received from customers to assess the impact to the accrual at the balance sheet date and compared that to the Company’s estimate.</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foregoing report is in the form that will be signed upon issuance of the 2024 consolidated financial statements which will include the date of the segment change described in Note 18 to the financial statements.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18,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46"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480" w:right="2360"/>
        <w:spacing w:after="0" w:line="250" w:lineRule="auto"/>
        <w:rPr>
          <w:sz w:val="20"/>
          <w:szCs w:val="20"/>
          <w:color w:val="auto"/>
        </w:rPr>
      </w:pPr>
      <w:r>
        <w:rPr>
          <w:rFonts w:ascii="Times New Roman" w:cs="Times New Roman" w:eastAsia="Times New Roman" w:hAnsi="Times New Roman"/>
          <w:sz w:val="18"/>
          <w:szCs w:val="18"/>
          <w:color w:val="auto"/>
        </w:rPr>
        <w:t>Trade accounts receivable, net of allowance for credit losses of $58 as of December 31, 2023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assets</w:t>
      </w:r>
    </w:p>
    <w:p>
      <w:pPr>
        <w:spacing w:after="0" w:line="167" w:lineRule="exact"/>
        <w:rPr>
          <w:sz w:val="20"/>
          <w:szCs w:val="20"/>
          <w:color w:val="auto"/>
        </w:rPr>
      </w:pPr>
    </w:p>
    <w:p>
      <w:pPr>
        <w:ind w:left="120" w:right="40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LIABILITIES, MEZZANINE EQUITY AND PARTNERS’ CAPITAL </w:t>
      </w: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-273050</wp:posOffset>
            </wp:positionV>
            <wp:extent cx="699516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right="3740"/>
        <w:spacing w:after="0" w:line="250" w:lineRule="auto"/>
        <w:rPr>
          <w:sz w:val="20"/>
          <w:szCs w:val="20"/>
          <w:color w:val="auto"/>
        </w:rPr>
      </w:pPr>
      <w:r>
        <w:rPr>
          <w:rFonts w:ascii="Times New Roman" w:cs="Times New Roman" w:eastAsia="Times New Roman" w:hAnsi="Times New Roman"/>
          <w:sz w:val="18"/>
          <w:szCs w:val="18"/>
          <w:color w:val="auto"/>
        </w:rPr>
        <w:t>Current portion of long-term borrowings and other short-term borrowings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Income taxes payable</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Long-term borrowings, less current portion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right="1940"/>
        <w:spacing w:after="0" w:line="255" w:lineRule="auto"/>
        <w:rPr>
          <w:sz w:val="20"/>
          <w:szCs w:val="20"/>
          <w:color w:val="auto"/>
        </w:rPr>
      </w:pPr>
      <w:r>
        <w:rPr>
          <w:rFonts w:ascii="Times New Roman" w:cs="Times New Roman" w:eastAsia="Times New Roman" w:hAnsi="Times New Roman"/>
          <w:sz w:val="18"/>
          <w:szCs w:val="18"/>
          <w:color w:val="auto"/>
        </w:rPr>
        <w:t>Class A Units, no par value; 128 units issued and outstanding as of December 31, 2023 Stock-based compensation, no par value; 82 units issued and outstanding as of December 31, 2023</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Class A Units, no par value; 16,723 units issued and outstanding as of December 31, 2023</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Class B Units, no par value; 754 units issued and outstanding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Class B CUPI Units, no par value; 23 units issued and outstanding as of December 31, 2023</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liabilities, mezzanine equity and partners’ capital</w:t>
      </w:r>
    </w:p>
    <w:p>
      <w:pPr>
        <w:spacing w:after="0" w:line="279"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0" w:lineRule="exact"/>
        <w:rPr>
          <w:sz w:val="20"/>
          <w:szCs w:val="20"/>
          <w:color w:val="auto"/>
        </w:rPr>
      </w:pPr>
    </w:p>
    <w:p>
      <w:pPr>
        <w:spacing w:after="0" w:line="208" w:lineRule="exact"/>
        <w:rPr>
          <w:sz w:val="20"/>
          <w:szCs w:val="20"/>
          <w:color w:val="auto"/>
        </w:rPr>
      </w:pPr>
    </w:p>
    <w:p>
      <w:pPr>
        <w:ind w:left="440" w:hanging="439"/>
        <w:spacing w:after="0"/>
        <w:tabs>
          <w:tab w:leader="none" w:pos="4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1,556</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2,960</w:t>
      </w:r>
    </w:p>
    <w:p>
      <w:pPr>
        <w:spacing w:after="0" w:line="20"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3,813</w:t>
      </w:r>
    </w:p>
    <w:p>
      <w:pPr>
        <w:spacing w:after="0" w:line="20"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480</w:t>
      </w:r>
    </w:p>
    <w:p>
      <w:pPr>
        <w:spacing w:after="0" w:line="17"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8,809</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-277495</wp:posOffset>
            </wp:positionV>
            <wp:extent cx="53149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7,532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14,788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3149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22,812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5314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 w:lineRule="exact"/>
        <w:rPr>
          <w:sz w:val="20"/>
          <w:szCs w:val="20"/>
          <w:color w:val="auto"/>
        </w:rPr>
      </w:pPr>
    </w:p>
    <w:p>
      <w:pPr>
        <w:ind w:left="340" w:hanging="339"/>
        <w:spacing w:after="0"/>
        <w:tabs>
          <w:tab w:leader="none" w:pos="340" w:val="left"/>
        </w:tabs>
        <w:numPr>
          <w:ilvl w:val="0"/>
          <w:numId w:val="1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36,122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53149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hanging="659"/>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1,351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3149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7"/>
          <w:szCs w:val="17"/>
          <w:color w:val="auto"/>
        </w:rPr>
        <w:t>2,131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16,442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314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17,014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5314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 w:lineRule="exact"/>
        <w:rPr>
          <w:sz w:val="20"/>
          <w:szCs w:val="20"/>
          <w:color w:val="auto"/>
        </w:rPr>
      </w:pPr>
    </w:p>
    <w:p>
      <w:pPr>
        <w:ind w:left="340" w:hanging="339"/>
        <w:spacing w:after="0"/>
        <w:tabs>
          <w:tab w:leader="none" w:pos="340" w:val="left"/>
        </w:tabs>
        <w:numPr>
          <w:ilvl w:val="0"/>
          <w:numId w:val="1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19,145</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314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233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16,422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314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16,744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5314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 w:lineRule="exact"/>
        <w:rPr>
          <w:sz w:val="20"/>
          <w:szCs w:val="20"/>
          <w:color w:val="auto"/>
        </w:rPr>
      </w:pPr>
    </w:p>
    <w:p>
      <w:pPr>
        <w:ind w:left="340" w:hanging="339"/>
        <w:spacing w:after="0"/>
        <w:tabs>
          <w:tab w:leader="none" w:pos="340" w:val="left"/>
        </w:tabs>
        <w:numPr>
          <w:ilvl w:val="0"/>
          <w:numId w:val="1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36,122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5314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ectPr>
          <w:pgSz w:w="11900" w:h="16838" w:orient="portrait"/>
          <w:cols w:equalWidth="0" w:num="2">
            <w:col w:w="9520" w:space="720"/>
            <w:col w:w="840"/>
          </w:cols>
          <w:pgMar w:left="320" w:top="455" w:right="499" w:bottom="144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color w:val="auto"/>
              </w:rPr>
              <w:t>Year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60" w:type="dxa"/>
            <w:vAlign w:val="bottom"/>
          </w:tcPr>
          <w:p>
            <w:pPr>
              <w:spacing w:after="0"/>
              <w:rPr>
                <w:sz w:val="10"/>
                <w:szCs w:val="10"/>
                <w:color w:val="auto"/>
              </w:rPr>
            </w:pPr>
          </w:p>
        </w:tc>
        <w:tc>
          <w:tcPr>
            <w:tcW w:w="14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16,231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3,867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Retirement plan, net of tax</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(loss) gain on derivative instruments</w:t>
            </w: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6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MEZZANINE EQUITY AND PARTNERS’ CAPITAL</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3"/>
                <w:szCs w:val="13"/>
                <w:color w:val="auto"/>
                <w:w w:val="98"/>
              </w:rPr>
              <w:t>Year ended December 31, 2023</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8"/>
          </w:tcPr>
          <w:p>
            <w:pPr>
              <w:ind w:left="140"/>
              <w:spacing w:after="0" w:line="129" w:lineRule="exact"/>
              <w:rPr>
                <w:sz w:val="20"/>
                <w:szCs w:val="20"/>
                <w:color w:val="auto"/>
              </w:rPr>
            </w:pPr>
            <w:r>
              <w:rPr>
                <w:rFonts w:ascii="Times New Roman" w:cs="Times New Roman" w:eastAsia="Times New Roman" w:hAnsi="Times New Roman"/>
                <w:sz w:val="13"/>
                <w:szCs w:val="13"/>
                <w:color w:val="auto"/>
              </w:rPr>
              <w:t>Mezzanine Equity</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6"/>
          </w:tcPr>
          <w:p>
            <w:pPr>
              <w:jc w:val="right"/>
              <w:spacing w:after="0" w:line="129" w:lineRule="exact"/>
              <w:rPr>
                <w:sz w:val="20"/>
                <w:szCs w:val="20"/>
                <w:color w:val="auto"/>
              </w:rPr>
            </w:pPr>
            <w:r>
              <w:rPr>
                <w:rFonts w:ascii="Times New Roman" w:cs="Times New Roman" w:eastAsia="Times New Roman" w:hAnsi="Times New Roman"/>
                <w:sz w:val="13"/>
                <w:szCs w:val="13"/>
                <w:color w:val="auto"/>
              </w:rPr>
              <w:t>Partners’ Capital</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30"/>
              <w:spacing w:after="0" w:line="115" w:lineRule="exact"/>
              <w:rPr>
                <w:sz w:val="20"/>
                <w:szCs w:val="20"/>
                <w:color w:val="auto"/>
              </w:rPr>
            </w:pPr>
            <w:r>
              <w:rPr>
                <w:rFonts w:ascii="Times New Roman" w:cs="Times New Roman" w:eastAsia="Times New Roman" w:hAnsi="Times New Roman"/>
                <w:sz w:val="13"/>
                <w:szCs w:val="13"/>
                <w:color w:val="auto"/>
                <w:w w:val="94"/>
              </w:rPr>
              <w:t>Total</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3"/>
                <w:szCs w:val="13"/>
                <w:color w:val="auto"/>
                <w:w w:val="98"/>
              </w:rPr>
              <w:t>Accumulated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6"/>
          </w:tcPr>
          <w:p>
            <w:pPr>
              <w:ind w:left="100"/>
              <w:spacing w:after="0" w:line="135" w:lineRule="exact"/>
              <w:rPr>
                <w:sz w:val="20"/>
                <w:szCs w:val="20"/>
                <w:color w:val="auto"/>
              </w:rPr>
            </w:pPr>
            <w:r>
              <w:rPr>
                <w:rFonts w:ascii="Times New Roman" w:cs="Times New Roman" w:eastAsia="Times New Roman" w:hAnsi="Times New Roman"/>
                <w:sz w:val="13"/>
                <w:szCs w:val="13"/>
                <w:color w:val="auto"/>
              </w:rPr>
              <w:t>Stock-based</w:t>
            </w:r>
          </w:p>
        </w:tc>
        <w:tc>
          <w:tcPr>
            <w:tcW w:w="660" w:type="dxa"/>
            <w:vAlign w:val="bottom"/>
            <w:tcBorders>
              <w:right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Mezzanine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color w:val="auto"/>
                <w:w w:val="97"/>
              </w:rPr>
              <w:t>other</w:t>
            </w:r>
          </w:p>
        </w:tc>
        <w:tc>
          <w:tcPr>
            <w:tcW w:w="8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620" w:type="dxa"/>
            <w:vAlign w:val="bottom"/>
            <w:gridSpan w:val="4"/>
          </w:tcPr>
          <w:p>
            <w:pPr>
              <w:ind w:left="240"/>
              <w:spacing w:after="0"/>
              <w:rPr>
                <w:sz w:val="20"/>
                <w:szCs w:val="20"/>
                <w:color w:val="auto"/>
              </w:rPr>
            </w:pPr>
            <w:r>
              <w:rPr>
                <w:rFonts w:ascii="Times New Roman" w:cs="Times New Roman" w:eastAsia="Times New Roman" w:hAnsi="Times New Roman"/>
                <w:sz w:val="13"/>
                <w:szCs w:val="13"/>
                <w:color w:val="auto"/>
                <w:w w:val="88"/>
              </w:rPr>
              <w:t>Class 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6"/>
          </w:tcPr>
          <w:p>
            <w:pPr>
              <w:ind w:left="60"/>
              <w:spacing w:after="0"/>
              <w:rPr>
                <w:sz w:val="20"/>
                <w:szCs w:val="20"/>
                <w:color w:val="auto"/>
              </w:rPr>
            </w:pPr>
            <w:r>
              <w:rPr>
                <w:rFonts w:ascii="Times New Roman" w:cs="Times New Roman" w:eastAsia="Times New Roman" w:hAnsi="Times New Roman"/>
                <w:sz w:val="13"/>
                <w:szCs w:val="13"/>
                <w:color w:val="auto"/>
              </w:rPr>
              <w:t>Compensation</w:t>
            </w: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Equity</w:t>
            </w:r>
          </w:p>
        </w:tc>
        <w:tc>
          <w:tcPr>
            <w:tcW w:w="80" w:type="dxa"/>
            <w:vAlign w:val="bottom"/>
          </w:tcPr>
          <w:p>
            <w:pPr>
              <w:spacing w:after="0"/>
              <w:rPr>
                <w:sz w:val="12"/>
                <w:szCs w:val="12"/>
                <w:color w:val="auto"/>
              </w:rPr>
            </w:pPr>
          </w:p>
        </w:tc>
        <w:tc>
          <w:tcPr>
            <w:tcW w:w="12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Class A</w:t>
            </w:r>
          </w:p>
        </w:tc>
        <w:tc>
          <w:tcPr>
            <w:tcW w:w="620" w:type="dxa"/>
            <w:vAlign w:val="bottom"/>
            <w:gridSpan w:val="4"/>
          </w:tcPr>
          <w:p>
            <w:pPr>
              <w:ind w:left="220"/>
              <w:spacing w:after="0"/>
              <w:rPr>
                <w:sz w:val="20"/>
                <w:szCs w:val="20"/>
                <w:color w:val="auto"/>
              </w:rPr>
            </w:pPr>
            <w:r>
              <w:rPr>
                <w:rFonts w:ascii="Times New Roman" w:cs="Times New Roman" w:eastAsia="Times New Roman" w:hAnsi="Times New Roman"/>
                <w:sz w:val="13"/>
                <w:szCs w:val="13"/>
                <w:color w:val="auto"/>
                <w:w w:val="94"/>
              </w:rPr>
              <w:t>Class B</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Class B CUPI</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color w:val="auto"/>
                <w:w w:val="96"/>
              </w:rPr>
              <w:t>comprehensive</w:t>
            </w:r>
          </w:p>
        </w:tc>
        <w:tc>
          <w:tcPr>
            <w:tcW w:w="8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partners’</w:t>
            </w: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3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Units</w:t>
            </w: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93"/>
              </w:rPr>
              <w:t>Amount</w:t>
            </w:r>
          </w:p>
        </w:tc>
        <w:tc>
          <w:tcPr>
            <w:tcW w:w="140" w:type="dxa"/>
            <w:vAlign w:val="bottom"/>
          </w:tcPr>
          <w:p>
            <w:pPr>
              <w:spacing w:after="0"/>
              <w:rPr>
                <w:sz w:val="11"/>
                <w:szCs w:val="11"/>
                <w:color w:val="auto"/>
              </w:rPr>
            </w:pPr>
          </w:p>
        </w:tc>
        <w:tc>
          <w:tcPr>
            <w:tcW w:w="840" w:type="dxa"/>
            <w:vAlign w:val="bottom"/>
            <w:tcBorders>
              <w:top w:val="single" w:sz="8" w:color="auto"/>
            </w:tcBorders>
            <w:gridSpan w:val="5"/>
          </w:tcPr>
          <w:p>
            <w:pPr>
              <w:jc w:val="right"/>
              <w:spacing w:after="0" w:line="129" w:lineRule="exact"/>
              <w:rPr>
                <w:sz w:val="20"/>
                <w:szCs w:val="20"/>
                <w:color w:val="auto"/>
              </w:rPr>
            </w:pPr>
            <w:r>
              <w:rPr>
                <w:rFonts w:ascii="Times New Roman" w:cs="Times New Roman" w:eastAsia="Times New Roman" w:hAnsi="Times New Roman"/>
                <w:sz w:val="13"/>
                <w:szCs w:val="13"/>
                <w:color w:val="auto"/>
              </w:rPr>
              <w:t>Units  Amount</w:t>
            </w:r>
          </w:p>
        </w:tc>
        <w:tc>
          <w:tcPr>
            <w:tcW w:w="80" w:type="dxa"/>
            <w:vAlign w:val="bottom"/>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Amount</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Units</w:t>
            </w: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Amount</w:t>
            </w:r>
          </w:p>
        </w:tc>
        <w:tc>
          <w:tcPr>
            <w:tcW w:w="200" w:type="dxa"/>
            <w:vAlign w:val="bottom"/>
          </w:tcPr>
          <w:p>
            <w:pPr>
              <w:spacing w:after="0"/>
              <w:rPr>
                <w:sz w:val="11"/>
                <w:szCs w:val="11"/>
                <w:color w:val="auto"/>
              </w:rPr>
            </w:pPr>
          </w:p>
        </w:tc>
        <w:tc>
          <w:tcPr>
            <w:tcW w:w="340" w:type="dxa"/>
            <w:vAlign w:val="bottom"/>
            <w:tcBorders>
              <w:top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w w:val="92"/>
              </w:rPr>
              <w:t>Units</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93"/>
              </w:rPr>
              <w:t>Amount</w:t>
            </w:r>
          </w:p>
        </w:tc>
        <w:tc>
          <w:tcPr>
            <w:tcW w:w="120" w:type="dxa"/>
            <w:vAlign w:val="bottom"/>
          </w:tcPr>
          <w:p>
            <w:pPr>
              <w:spacing w:after="0"/>
              <w:rPr>
                <w:sz w:val="11"/>
                <w:szCs w:val="11"/>
                <w:color w:val="auto"/>
              </w:rPr>
            </w:pPr>
          </w:p>
        </w:tc>
        <w:tc>
          <w:tcPr>
            <w:tcW w:w="400" w:type="dxa"/>
            <w:vAlign w:val="bottom"/>
            <w:tcBorders>
              <w:top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w w:val="92"/>
              </w:rPr>
              <w:t>Units</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Amount</w:t>
            </w:r>
          </w:p>
        </w:tc>
        <w:tc>
          <w:tcPr>
            <w:tcW w:w="140" w:type="dxa"/>
            <w:vAlign w:val="bottom"/>
          </w:tcPr>
          <w:p>
            <w:pPr>
              <w:spacing w:after="0"/>
              <w:rPr>
                <w:sz w:val="11"/>
                <w:szCs w:val="11"/>
                <w:color w:val="auto"/>
              </w:rPr>
            </w:pPr>
          </w:p>
        </w:tc>
        <w:tc>
          <w:tcPr>
            <w:tcW w:w="88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3"/>
                <w:szCs w:val="13"/>
                <w:color w:val="auto"/>
                <w:w w:val="96"/>
              </w:rPr>
              <w:t>income (loss)</w:t>
            </w:r>
          </w:p>
        </w:tc>
        <w:tc>
          <w:tcPr>
            <w:tcW w:w="8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3"/>
                <w:szCs w:val="13"/>
                <w:color w:val="auto"/>
                <w:w w:val="97"/>
              </w:rPr>
              <w:t>capital</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2023</w:t>
            </w:r>
          </w:p>
        </w:tc>
        <w:tc>
          <w:tcPr>
            <w:tcW w:w="300" w:type="dxa"/>
            <w:vAlign w:val="bottom"/>
            <w:tcBorders>
              <w:top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95"/>
              </w:rPr>
              <w:t>128</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5"/>
              </w:rPr>
              <w:t>138</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w w:val="85"/>
              </w:rPr>
              <w:t>48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w w:val="95"/>
              </w:rPr>
              <w:t>156</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8"/>
              </w:rPr>
              <w:t>16,723</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$ 16,290</w:t>
            </w: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5"/>
              </w:rPr>
              <w:t>680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9"/>
              </w:rPr>
              <w:t>54</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w w:val="95"/>
              </w:rPr>
              <w:t>262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$ 16,621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3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6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3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 expense</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 of puttable common units to redemption value</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3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5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3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26"/>
        </w:trPr>
        <w:tc>
          <w:tcPr>
            <w:tcW w:w="3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3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 to partners</w:t>
            </w:r>
          </w:p>
        </w:tc>
        <w:tc>
          <w:tcPr>
            <w:tcW w:w="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3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December 31, 2023</w:t>
            </w:r>
          </w:p>
        </w:tc>
        <w:tc>
          <w:tcPr>
            <w:tcW w:w="3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95"/>
              </w:rPr>
              <w:t>128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0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16,723</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16,422</w:t>
            </w:r>
          </w:p>
        </w:tc>
        <w:tc>
          <w:tcPr>
            <w:tcW w:w="3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754</w:t>
            </w:r>
          </w:p>
        </w:tc>
        <w:tc>
          <w:tcPr>
            <w:tcW w:w="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6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16,744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MEZZANINE EQUITY AND PARTNERS’ CAPITAL</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3"/>
                <w:szCs w:val="13"/>
                <w:color w:val="auto"/>
              </w:rPr>
              <w:t>Year ended December 31, 2022</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3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7"/>
          </w:tcPr>
          <w:p>
            <w:pPr>
              <w:ind w:left="160"/>
              <w:spacing w:after="0" w:line="129" w:lineRule="exact"/>
              <w:rPr>
                <w:sz w:val="20"/>
                <w:szCs w:val="20"/>
                <w:color w:val="auto"/>
              </w:rPr>
            </w:pPr>
            <w:r>
              <w:rPr>
                <w:rFonts w:ascii="Times New Roman" w:cs="Times New Roman" w:eastAsia="Times New Roman" w:hAnsi="Times New Roman"/>
                <w:sz w:val="13"/>
                <w:szCs w:val="13"/>
                <w:color w:val="auto"/>
              </w:rPr>
              <w:t>Mezzanine Equity</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6"/>
          </w:tcPr>
          <w:p>
            <w:pPr>
              <w:ind w:left="40"/>
              <w:spacing w:after="0" w:line="129" w:lineRule="exact"/>
              <w:rPr>
                <w:sz w:val="20"/>
                <w:szCs w:val="20"/>
                <w:color w:val="auto"/>
              </w:rPr>
            </w:pPr>
            <w:r>
              <w:rPr>
                <w:rFonts w:ascii="Times New Roman" w:cs="Times New Roman" w:eastAsia="Times New Roman" w:hAnsi="Times New Roman"/>
                <w:sz w:val="13"/>
                <w:szCs w:val="13"/>
                <w:color w:val="auto"/>
              </w:rPr>
              <w:t>Partners’ Capital</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jc w:val="center"/>
              <w:ind w:right="90"/>
              <w:spacing w:after="0" w:line="115" w:lineRule="exact"/>
              <w:rPr>
                <w:sz w:val="20"/>
                <w:szCs w:val="20"/>
                <w:color w:val="auto"/>
              </w:rPr>
            </w:pPr>
            <w:r>
              <w:rPr>
                <w:rFonts w:ascii="Times New Roman" w:cs="Times New Roman" w:eastAsia="Times New Roman" w:hAnsi="Times New Roman"/>
                <w:sz w:val="13"/>
                <w:szCs w:val="13"/>
                <w:color w:val="auto"/>
                <w:w w:val="94"/>
              </w:rPr>
              <w:t>Total</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3"/>
                <w:szCs w:val="13"/>
                <w:color w:val="auto"/>
                <w:w w:val="98"/>
              </w:rPr>
              <w:t>Accumulated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5"/>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1"/>
                <w:szCs w:val="11"/>
                <w:color w:val="auto"/>
              </w:rPr>
            </w:pPr>
          </w:p>
        </w:tc>
        <w:tc>
          <w:tcPr>
            <w:tcW w:w="6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Mezzanine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color w:val="auto"/>
                <w:w w:val="97"/>
              </w:rPr>
              <w:t>other</w:t>
            </w:r>
          </w:p>
        </w:tc>
        <w:tc>
          <w:tcPr>
            <w:tcW w:w="8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620" w:type="dxa"/>
            <w:vAlign w:val="bottom"/>
            <w:gridSpan w:val="4"/>
          </w:tcPr>
          <w:p>
            <w:pPr>
              <w:ind w:left="220"/>
              <w:spacing w:after="0"/>
              <w:rPr>
                <w:sz w:val="20"/>
                <w:szCs w:val="20"/>
                <w:color w:val="auto"/>
              </w:rPr>
            </w:pPr>
            <w:r>
              <w:rPr>
                <w:rFonts w:ascii="Times New Roman" w:cs="Times New Roman" w:eastAsia="Times New Roman" w:hAnsi="Times New Roman"/>
                <w:sz w:val="13"/>
                <w:szCs w:val="13"/>
                <w:color w:val="auto"/>
                <w:w w:val="92"/>
              </w:rPr>
              <w:t>Class 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Compensation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color w:val="auto"/>
                <w:w w:val="92"/>
              </w:rPr>
              <w:t>Equity</w:t>
            </w:r>
          </w:p>
        </w:tc>
        <w:tc>
          <w:tcPr>
            <w:tcW w:w="240" w:type="dxa"/>
            <w:vAlign w:val="bottom"/>
          </w:tcPr>
          <w:p>
            <w:pPr>
              <w:spacing w:after="0"/>
              <w:rPr>
                <w:sz w:val="12"/>
                <w:szCs w:val="12"/>
                <w:color w:val="auto"/>
              </w:rPr>
            </w:pPr>
          </w:p>
        </w:tc>
        <w:tc>
          <w:tcPr>
            <w:tcW w:w="12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Class A</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w w:val="94"/>
              </w:rPr>
              <w:t>Class B</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Class B CUPI</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color w:val="auto"/>
                <w:w w:val="96"/>
              </w:rPr>
              <w:t>comprehensive</w:t>
            </w:r>
          </w:p>
        </w:tc>
        <w:tc>
          <w:tcPr>
            <w:tcW w:w="8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partners’</w:t>
            </w:r>
          </w:p>
        </w:tc>
        <w:tc>
          <w:tcPr>
            <w:tcW w:w="0" w:type="dxa"/>
            <w:vAlign w:val="bottom"/>
          </w:tcPr>
          <w:p>
            <w:pPr>
              <w:spacing w:after="0"/>
              <w:rPr>
                <w:sz w:val="1"/>
                <w:szCs w:val="1"/>
                <w:color w:val="auto"/>
              </w:rPr>
            </w:pPr>
          </w:p>
        </w:tc>
      </w:tr>
      <w:tr>
        <w:trPr>
          <w:trHeight w:val="128"/>
        </w:trPr>
        <w:tc>
          <w:tcPr>
            <w:tcW w:w="3360" w:type="dxa"/>
            <w:vAlign w:val="bottom"/>
          </w:tcPr>
          <w:p>
            <w:pPr>
              <w:spacing w:after="0"/>
              <w:rPr>
                <w:sz w:val="11"/>
                <w:szCs w:val="11"/>
                <w:color w:val="auto"/>
              </w:rPr>
            </w:pPr>
          </w:p>
        </w:tc>
        <w:tc>
          <w:tcPr>
            <w:tcW w:w="42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3"/>
                <w:szCs w:val="13"/>
                <w:color w:val="auto"/>
              </w:rPr>
              <w:t>Units</w:t>
            </w:r>
          </w:p>
        </w:tc>
        <w:tc>
          <w:tcPr>
            <w:tcW w:w="4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93"/>
              </w:rPr>
              <w:t>Amount</w:t>
            </w:r>
          </w:p>
        </w:tc>
        <w:tc>
          <w:tcPr>
            <w:tcW w:w="120" w:type="dxa"/>
            <w:vAlign w:val="bottom"/>
          </w:tcPr>
          <w:p>
            <w:pPr>
              <w:spacing w:after="0"/>
              <w:rPr>
                <w:sz w:val="11"/>
                <w:szCs w:val="11"/>
                <w:color w:val="auto"/>
              </w:rPr>
            </w:pPr>
          </w:p>
        </w:tc>
        <w:tc>
          <w:tcPr>
            <w:tcW w:w="42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Units</w:t>
            </w:r>
          </w:p>
        </w:tc>
        <w:tc>
          <w:tcPr>
            <w:tcW w:w="42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w w:val="89"/>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jc w:val="center"/>
              <w:ind w:right="70"/>
              <w:spacing w:after="0" w:line="129" w:lineRule="exact"/>
              <w:rPr>
                <w:sz w:val="20"/>
                <w:szCs w:val="20"/>
                <w:color w:val="auto"/>
              </w:rPr>
            </w:pPr>
            <w:r>
              <w:rPr>
                <w:rFonts w:ascii="Times New Roman" w:cs="Times New Roman" w:eastAsia="Times New Roman" w:hAnsi="Times New Roman"/>
                <w:sz w:val="13"/>
                <w:szCs w:val="13"/>
                <w:color w:val="auto"/>
                <w:w w:val="93"/>
              </w:rPr>
              <w:t>Amount</w:t>
            </w:r>
          </w:p>
        </w:tc>
        <w:tc>
          <w:tcPr>
            <w:tcW w:w="240" w:type="dxa"/>
            <w:vAlign w:val="bottom"/>
          </w:tcPr>
          <w:p>
            <w:pPr>
              <w:spacing w:after="0"/>
              <w:rPr>
                <w:sz w:val="11"/>
                <w:szCs w:val="11"/>
                <w:color w:val="auto"/>
              </w:rPr>
            </w:pPr>
          </w:p>
        </w:tc>
        <w:tc>
          <w:tcPr>
            <w:tcW w:w="58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Units</w:t>
            </w: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Amount</w:t>
            </w:r>
          </w:p>
        </w:tc>
        <w:tc>
          <w:tcPr>
            <w:tcW w:w="180" w:type="dxa"/>
            <w:vAlign w:val="bottom"/>
          </w:tcPr>
          <w:p>
            <w:pPr>
              <w:spacing w:after="0"/>
              <w:rPr>
                <w:sz w:val="11"/>
                <w:szCs w:val="11"/>
                <w:color w:val="auto"/>
              </w:rPr>
            </w:pPr>
          </w:p>
        </w:tc>
        <w:tc>
          <w:tcPr>
            <w:tcW w:w="4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Units</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93"/>
              </w:rPr>
              <w:t>Amount</w:t>
            </w:r>
          </w:p>
        </w:tc>
        <w:tc>
          <w:tcPr>
            <w:tcW w:w="120" w:type="dxa"/>
            <w:vAlign w:val="bottom"/>
          </w:tcPr>
          <w:p>
            <w:pPr>
              <w:spacing w:after="0"/>
              <w:rPr>
                <w:sz w:val="11"/>
                <w:szCs w:val="11"/>
                <w:color w:val="auto"/>
              </w:rPr>
            </w:pPr>
          </w:p>
        </w:tc>
        <w:tc>
          <w:tcPr>
            <w:tcW w:w="400" w:type="dxa"/>
            <w:vAlign w:val="bottom"/>
            <w:tcBorders>
              <w:top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w w:val="92"/>
              </w:rPr>
              <w:t>Units</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93"/>
              </w:rPr>
              <w:t>Amount</w:t>
            </w:r>
          </w:p>
        </w:tc>
        <w:tc>
          <w:tcPr>
            <w:tcW w:w="140" w:type="dxa"/>
            <w:vAlign w:val="bottom"/>
          </w:tcPr>
          <w:p>
            <w:pPr>
              <w:spacing w:after="0"/>
              <w:rPr>
                <w:sz w:val="11"/>
                <w:szCs w:val="11"/>
                <w:color w:val="auto"/>
              </w:rPr>
            </w:pPr>
          </w:p>
        </w:tc>
        <w:tc>
          <w:tcPr>
            <w:tcW w:w="88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3"/>
                <w:szCs w:val="13"/>
                <w:color w:val="auto"/>
                <w:w w:val="96"/>
              </w:rPr>
              <w:t>income (loss)</w:t>
            </w:r>
          </w:p>
        </w:tc>
        <w:tc>
          <w:tcPr>
            <w:tcW w:w="8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3"/>
                <w:szCs w:val="13"/>
                <w:color w:val="auto"/>
                <w:w w:val="97"/>
              </w:rPr>
              <w:t>capital</w:t>
            </w:r>
          </w:p>
        </w:tc>
        <w:tc>
          <w:tcPr>
            <w:tcW w:w="0" w:type="dxa"/>
            <w:vAlign w:val="bottom"/>
          </w:tcPr>
          <w:p>
            <w:pPr>
              <w:spacing w:after="0"/>
              <w:rPr>
                <w:sz w:val="1"/>
                <w:szCs w:val="1"/>
                <w:color w:val="auto"/>
              </w:rPr>
            </w:pPr>
          </w:p>
        </w:tc>
      </w:tr>
      <w:tr>
        <w:trPr>
          <w:trHeight w:val="142"/>
        </w:trPr>
        <w:tc>
          <w:tcPr>
            <w:tcW w:w="3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2022</w:t>
            </w:r>
          </w:p>
        </w:tc>
        <w:tc>
          <w:tcPr>
            <w:tcW w:w="28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5"/>
              </w:rPr>
              <w:t>128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5"/>
              </w:rPr>
              <w:t>128</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right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2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8"/>
              </w:rPr>
              <w:t>16,723</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$ 16,285</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5"/>
              </w:rPr>
              <w:t>717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3"/>
                <w:szCs w:val="13"/>
                <w:color w:val="auto"/>
                <w:w w:val="73"/>
              </w:rPr>
              <w:t>(34)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$ 16,262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Adoption of new accounting standard (Topic 326)</w:t>
            </w:r>
          </w:p>
        </w:tc>
        <w:tc>
          <w:tcPr>
            <w:tcW w:w="4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4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6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w:t>
            </w:r>
          </w:p>
        </w:tc>
        <w:tc>
          <w:tcPr>
            <w:tcW w:w="42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4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Compensation expense</w:t>
            </w:r>
          </w:p>
        </w:tc>
        <w:tc>
          <w:tcPr>
            <w:tcW w:w="4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2"/>
                <w:szCs w:val="12"/>
                <w:color w:val="auto"/>
              </w:rPr>
            </w:pPr>
          </w:p>
        </w:tc>
        <w:tc>
          <w:tcPr>
            <w:tcW w:w="7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Adjustment of puttable common units to redemption</w:t>
            </w:r>
          </w:p>
        </w:tc>
        <w:tc>
          <w:tcPr>
            <w:tcW w:w="4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10</w:t>
            </w: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4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42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0"/>
                <w:szCs w:val="10"/>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0"/>
                <w:szCs w:val="10"/>
                <w:color w:val="auto"/>
              </w:rPr>
            </w:pPr>
          </w:p>
        </w:tc>
        <w:tc>
          <w:tcPr>
            <w:tcW w:w="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w:t>
            </w:r>
          </w:p>
        </w:tc>
        <w:tc>
          <w:tcPr>
            <w:tcW w:w="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0"/>
                <w:szCs w:val="10"/>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4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partners</w:t>
            </w:r>
          </w:p>
        </w:tc>
        <w:tc>
          <w:tcPr>
            <w:tcW w:w="42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56"/>
        </w:trPr>
        <w:tc>
          <w:tcPr>
            <w:tcW w:w="33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2022</w:t>
            </w:r>
          </w:p>
        </w:tc>
        <w:tc>
          <w:tcPr>
            <w:tcW w:w="28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95"/>
              </w:rPr>
              <w:t>128</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95"/>
              </w:rPr>
              <w:t>138</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w w:val="85"/>
              </w:rPr>
              <w:t>18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right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156</w:t>
            </w:r>
          </w:p>
        </w:tc>
        <w:tc>
          <w:tcPr>
            <w:tcW w:w="240" w:type="dxa"/>
            <w:vAlign w:val="bottom"/>
          </w:tcPr>
          <w:p>
            <w:pPr>
              <w:spacing w:after="0"/>
              <w:rPr>
                <w:sz w:val="13"/>
                <w:szCs w:val="13"/>
                <w:color w:val="auto"/>
              </w:rPr>
            </w:pPr>
          </w:p>
        </w:tc>
        <w:tc>
          <w:tcPr>
            <w:tcW w:w="46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98"/>
              </w:rPr>
              <w:t>16,723</w:t>
            </w: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 xml:space="preserve"> 16,290</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95"/>
              </w:rPr>
              <w:t>680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w w:val="95"/>
              </w:rPr>
              <w:t>262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16,621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Year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74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r>
      <w:tr>
        <w:trPr>
          <w:trHeight w:val="171"/>
        </w:trPr>
        <w:tc>
          <w:tcPr>
            <w:tcW w:w="8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4"/>
                <w:szCs w:val="14"/>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Pr>
          <w:p>
            <w:pPr>
              <w:spacing w:after="0"/>
              <w:rPr>
                <w:sz w:val="18"/>
                <w:szCs w:val="18"/>
                <w:color w:val="auto"/>
              </w:rPr>
            </w:pPr>
          </w:p>
        </w:tc>
        <w:tc>
          <w:tcPr>
            <w:tcW w:w="9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Bad debt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 foreign exchange loss (gain),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inventory step-up</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r>
      <w:tr>
        <w:trPr>
          <w:trHeight w:val="103"/>
        </w:trPr>
        <w:tc>
          <w:tcPr>
            <w:tcW w:w="8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proceeds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payments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asset acquisitions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r>
      <w:tr>
        <w:trPr>
          <w:trHeight w:val="103"/>
        </w:trPr>
        <w:tc>
          <w:tcPr>
            <w:tcW w:w="8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for long-term borrowings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lines of credit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under lines of credit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partners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Year ended</w:t>
            </w:r>
          </w:p>
        </w:tc>
      </w:tr>
      <w:tr>
        <w:trPr>
          <w:trHeight w:val="119"/>
        </w:trPr>
        <w:tc>
          <w:tcPr>
            <w:tcW w:w="8560" w:type="dxa"/>
            <w:vAlign w:val="bottom"/>
          </w:tcPr>
          <w:p>
            <w:pPr>
              <w:spacing w:after="0"/>
              <w:rPr>
                <w:sz w:val="10"/>
                <w:szCs w:val="10"/>
                <w:color w:val="auto"/>
              </w:rPr>
            </w:pPr>
          </w:p>
        </w:tc>
        <w:tc>
          <w:tcPr>
            <w:tcW w:w="840" w:type="dxa"/>
            <w:vAlign w:val="bottom"/>
            <w:tcBorders>
              <w:top w:val="single" w:sz="8" w:color="auto"/>
            </w:tcBorders>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7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60" w:type="dxa"/>
            <w:vAlign w:val="bottom"/>
          </w:tcPr>
          <w:p>
            <w:pPr>
              <w:spacing w:after="0"/>
              <w:rPr>
                <w:sz w:val="10"/>
                <w:szCs w:val="10"/>
                <w:color w:val="auto"/>
              </w:rPr>
            </w:pPr>
          </w:p>
        </w:tc>
      </w:tr>
      <w:tr>
        <w:trPr>
          <w:trHeight w:val="171"/>
        </w:trPr>
        <w:tc>
          <w:tcPr>
            <w:tcW w:w="8560" w:type="dxa"/>
            <w:vAlign w:val="bottom"/>
          </w:tcPr>
          <w:p>
            <w:pPr>
              <w:spacing w:after="0"/>
              <w:rPr>
                <w:sz w:val="14"/>
                <w:szCs w:val="14"/>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4"/>
                <w:szCs w:val="14"/>
                <w:color w:val="auto"/>
              </w:rPr>
            </w:pPr>
          </w:p>
        </w:tc>
        <w:tc>
          <w:tcPr>
            <w:tcW w:w="156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Pr>
          <w:p>
            <w:pPr>
              <w:spacing w:after="0"/>
              <w:rPr>
                <w:sz w:val="14"/>
                <w:szCs w:val="14"/>
                <w:color w:val="auto"/>
              </w:rPr>
            </w:pPr>
          </w:p>
        </w:tc>
      </w:tr>
      <w:tr>
        <w:trPr>
          <w:trHeight w:val="196"/>
        </w:trPr>
        <w:tc>
          <w:tcPr>
            <w:tcW w:w="8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 for interest on borrowings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received from interest rate hedging activities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 for income taxes, net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operating lease assets obtained in exchange for lease obligations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capital contribution</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r>
    </w:tbl>
    <w:p>
      <w:pPr>
        <w:spacing w:after="0" w:line="19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 of cash, cash equivalent and restricted cash shown above to the amounts reported within the consolidated balance sheet as of December 31, 2023:</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4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Mozart Holdings, LP (“Mozart Holdings”), the indirect parent of Medline Industries, LP (formally known as Medline Industries, Inc.) (“Medline”), and its subsidiaries (together, the “Company”) are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June 5, 2021, the owners of Medline agreed to sell a majority ownership in the Company to a private equity consortium led by Blackstone Inc., The Carlyle Group Inc. and Hellman &amp; Friedman LLC (the private equity consortium described herein is referred to as the “Sponsors” and the transaction described herein is referred to as the “Transaction” or the “Acquisition”).</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In December 2024, the Company changed the name of Mozart Holdings, LP to Medline Holdings, LP (“Medline Holdings”). The Company will not distinguish between the prior and current name of Medline Holdings and will refer to the current name of Medline Holdings throughout these consolidated financial statements.</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The consolidated financial statements include the accounts of Medline Holdings and its wholly owned subsidiaries. All intercompany transactions and balances have been eliminated in consolidation.</w:t>
      </w:r>
    </w:p>
    <w:p>
      <w:pPr>
        <w:spacing w:after="0" w:line="162"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Basis of Presentation</w:t>
      </w:r>
      <w:r>
        <w:rPr>
          <w:rFonts w:ascii="Times New Roman" w:cs="Times New Roman" w:eastAsia="Times New Roman" w:hAnsi="Times New Roman"/>
          <w:sz w:val="18"/>
          <w:szCs w:val="18"/>
          <w:color w:val="auto"/>
        </w:rPr>
        <w:t>: The consolidated financial statements and accompanying notes are prepared in accordance with United States (“U.S.”) generally accepted accounting principles (“GAAP”).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p>
    <w:p>
      <w:pPr>
        <w:spacing w:after="0" w:line="18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Fiscal Periods</w:t>
      </w:r>
      <w:r>
        <w:rPr>
          <w:rFonts w:ascii="Times New Roman" w:cs="Times New Roman" w:eastAsia="Times New Roman" w:hAnsi="Times New Roman"/>
          <w:sz w:val="18"/>
          <w:szCs w:val="18"/>
          <w:color w:val="auto"/>
        </w:rPr>
        <w:t>: The Company’s fiscal year begins on January 1 and ends on December 31. The fiscal quarters are based on a four-four-five-week calendar with periods ending on the Saturday of the last week in the quarter, with the exception of December 31, which is always the fiscal year-end date.</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include, but are not limited to, allowance for doubtful accounts, inventory valuation reserves, fair value of financial instruments, impairment of long-lived assets and goodwill, deferred tax valuations, depreciation and amortization, actuarial assumptions and fair value allocations related to business combinations. Actual results could differ from those estimates.</w:t>
      </w:r>
    </w:p>
    <w:p>
      <w:pPr>
        <w:spacing w:after="0" w:line="18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The Company considers all highly liquid financial instruments with an original maturity of 90 days or less to be cash equivalents. Due to the short-term nature of these instruments, the carrying values approximate the fair market value. The Company presents its cash and cash equivalents under the liability extinguishment approach and, as a result, classifies its book overdrafts independent of deposit accounts as current liabilities. Of the cash held on deposit, essentially all of the cash balances were in excess of amounts insured by the Federal Deposit Insurance Corporation or other foreign provided bank insurance. The Company performs periodic evaluations of these institutions for relative credit standing and has not experienced any losses as a result of its cash concentration. The Company had $222 of cash held in foreign bank accounts as of December 31, 2023. Restricted cash represents cash balances restricted as to withdrawal or use and are included in other current assets.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Equity Method Investments</w:t>
      </w:r>
      <w:r>
        <w:rPr>
          <w:rFonts w:ascii="Times New Roman" w:cs="Times New Roman" w:eastAsia="Times New Roman" w:hAnsi="Times New Roman"/>
          <w:sz w:val="18"/>
          <w:szCs w:val="18"/>
          <w:color w:val="auto"/>
        </w:rPr>
        <w:t>: Investments in business entities in which the Company does not have control, but instead has the ability to exercise significant influence over operating and financial policies, are accounted for using the equity method. The Company records these investments initially at cost and adjusts the carrying amount to reflect its proportional share of the earnings or losses of the investee. The Company evaluates its equity method investments for impairment whenever an event or change in circumstances occurs that could have a significant adverse impact on the carrying value of the investment. If a loss in value has occurred that is deemed to be other-than-temporary, an impairment loss is recorded. The Company records its share of the earnings and losses from the equity method investments in other income, net in the consolidated statements of comprehensive income (loss).</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Inventories are stated at the lower of cost or net realizable value. Cost is determined primarily by the last-in, first-out (“LIFO”) method. The LIFO method presumes that the most recent inventory purchases are the first items sold and the inventory cost under LIFO approximates market.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The Company recognized LIFO charges of $61 and $154 in the years ended December 31, 2023 and December 31, 2022, respectively, all within Cost of goods sold in the consolidated statements of comprehensive income (loss). For certain foreign subsidiaries, cost is determined using the first-in, first-out (“FIFO”) method. The LIFO method was used to value approximately 91% of the Company’s inventories at December 31, 2023. Estimated provisions are established for slow-moving and obsolete inventory. Rebates received from vendors relating to the purchase or distribution of inventory are considered product discounts and are accounted for as a reduction in the cost of inventory and are recognized when the inventory is sold.</w:t>
      </w:r>
    </w:p>
    <w:p>
      <w:pPr>
        <w:spacing w:after="0" w:line="19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u w:val="single" w:color="auto"/>
          <w:color w:val="auto"/>
        </w:rPr>
        <w:t>Accounts Receivable, Net of Allowance for Credit Losses</w:t>
      </w:r>
      <w:r>
        <w:rPr>
          <w:rFonts w:ascii="Times New Roman" w:cs="Times New Roman" w:eastAsia="Times New Roman" w:hAnsi="Times New Roman"/>
          <w:sz w:val="18"/>
          <w:szCs w:val="18"/>
          <w:color w:val="auto"/>
        </w:rPr>
        <w:t>: Accounts receivable are carried at amortized cost less an allowance for credit losses. The determination of the allowance for credit losses is discussed in Recently Adopted Accounting Standards: ASU 2016-13. The Company charges interest on overdue receivables and evaluates the collection of this interest. Net interest on overdue receivables was not material as of December 31, 2023 and December 31, 2022. Accounts receivable are written off when deemed uncollectible. Recoveries of accounts receivable previously written off are recorded when received. The Company does not reduce customer rebates from accounts receivable as right of set-off does not exist, we classify it separately under Accrued expenses and Other Current Liabilities (for more details please refer Note 6 “Accrued expenses and Other Current Liabilities”).</w:t>
      </w:r>
    </w:p>
    <w:p>
      <w:pPr>
        <w:spacing w:after="0" w:line="18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diversifies the concentration of its cash by maintaining deposits with a number of major banks and investing in money market funds. The Company’s customers are primarily in the healthcare industry. Economic factors may affect the healthcare industry as a whole and result in wide-spread delays in collection of receivables and credit losses. Generally, the Company does not require collateral from its customers. The Company performs regular credit evaluations of our customers’ financial conditions and maintains reserves for expected losses through the established allowance for doubtful accounts. Refer to the “Accounts Receivable” section within this Note for additional information on the accounting treatment of reserves for allowance for doubtful accounts.</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Research and development expenses are charged to earnings as incurred. Research and development costs for the years ended December 31, 2023 and December 31, 2022 were $60 and $58, respectively.</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u w:val="single" w:color="auto"/>
          <w:color w:val="auto"/>
        </w:rPr>
        <w:t>Property, Plant and Equipment</w:t>
      </w:r>
      <w:r>
        <w:rPr>
          <w:rFonts w:ascii="Times New Roman" w:cs="Times New Roman" w:eastAsia="Times New Roman" w:hAnsi="Times New Roman"/>
          <w:sz w:val="18"/>
          <w:szCs w:val="18"/>
          <w:color w:val="auto"/>
        </w:rPr>
        <w:t>: Property, plant and equipment are stated at cost less accumulated depreciation and amortization. Depreciation and amortization are provided over the estimated useful lives, using straight-line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method. Fully depreciated assets are retained in property, plant and equipment and accumulated depreciation accounts until disposal. Upon sale, retirement, or disposal of property, plant and equipment, the costs and related accumulated depreciation are removed from the applicable accounts. The resulting gains or losses, if any, between the net asset value and the proceeds from disposal are recognized in the consolidated statements of comprehensive income (loss). The cost of maintenance and repairs is charged to income as incurred; significant renewals and betterment are capitalized. Amortization of leasehold improvements is based on the estimated useful life or the term of the lease, whichever is shorter.</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5200" w:type="dxa"/>
            <w:vAlign w:val="bottom"/>
            <w:gridSpan w:val="2"/>
          </w:tcPr>
          <w:p>
            <w:pPr>
              <w:ind w:left="224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91"/>
        </w:trPr>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Buildings and Improvements - Owned</w:t>
            </w:r>
          </w:p>
        </w:tc>
        <w:tc>
          <w:tcPr>
            <w:tcW w:w="220" w:type="dxa"/>
            <w:vAlign w:val="bottom"/>
          </w:tcPr>
          <w:p>
            <w:pPr>
              <w:spacing w:after="0"/>
              <w:rPr>
                <w:sz w:val="16"/>
                <w:szCs w:val="16"/>
                <w:color w:val="auto"/>
              </w:rPr>
            </w:pPr>
          </w:p>
        </w:tc>
        <w:tc>
          <w:tcPr>
            <w:tcW w:w="5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15-40 years</w:t>
            </w:r>
          </w:p>
        </w:tc>
        <w:tc>
          <w:tcPr>
            <w:tcW w:w="20" w:type="dxa"/>
            <w:vAlign w:val="bottom"/>
          </w:tcPr>
          <w:p>
            <w:pPr>
              <w:spacing w:after="0"/>
              <w:rPr>
                <w:sz w:val="16"/>
                <w:szCs w:val="16"/>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Improvements - Leased</w:t>
            </w:r>
          </w:p>
        </w:tc>
        <w:tc>
          <w:tcPr>
            <w:tcW w:w="5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Shorter of 10 years/Remaining lease term</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5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 years</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and Trucks</w:t>
            </w:r>
          </w:p>
        </w:tc>
        <w:tc>
          <w:tcPr>
            <w:tcW w:w="5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years</w:t>
            </w:r>
          </w:p>
        </w:tc>
      </w:tr>
    </w:tbl>
    <w:p>
      <w:pPr>
        <w:spacing w:after="0" w:line="19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The Company reviews long-lived assets, including property, plant and equipment, definite-lived intangible assets and right-of-use assets, for impairment whenever events or changes in business circumstances indicate that the carrying amount of an asset or asset group may not be fully recoverable. An impairment loss would be recognized when the estimated undiscounted future cash flow from use of the asset and its eventual disposition is less than the carrying amount of that asset. The amount of the impairment loss recorded is calculated by the excess of the asset’s carrying value over its fair value. Fair value is generally determined using a discounted cash flow analysis if market value is not readily available or attainable. No material impairment was recorded for years ended December 31, 2023, and December 31, 2022.</w:t>
      </w:r>
    </w:p>
    <w:p>
      <w:pPr>
        <w:spacing w:after="0" w:line="18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Goodwill represents the excess of the purchase price over the fair value of the identifiable assets acquired and liabilities assumed for a business combination.</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performs its annual goodwill impairment test in October and monitors for interim indicators of impairment on an ongoing basis. Goodwill is tested for impairment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w:t>
      </w:r>
    </w:p>
    <w:p>
      <w:pPr>
        <w:spacing w:after="0" w:line="183" w:lineRule="exact"/>
        <w:rPr>
          <w:sz w:val="20"/>
          <w:szCs w:val="20"/>
          <w:color w:val="auto"/>
        </w:rPr>
      </w:pPr>
    </w:p>
    <w:p>
      <w:pPr>
        <w:jc w:val="both"/>
        <w:ind w:left="120" w:right="560"/>
        <w:spacing w:after="0" w:line="266" w:lineRule="auto"/>
        <w:rPr>
          <w:sz w:val="20"/>
          <w:szCs w:val="20"/>
          <w:color w:val="auto"/>
        </w:rPr>
      </w:pPr>
      <w:r>
        <w:rPr>
          <w:rFonts w:ascii="Times New Roman" w:cs="Times New Roman" w:eastAsia="Times New Roman" w:hAnsi="Times New Roman"/>
          <w:sz w:val="18"/>
          <w:szCs w:val="18"/>
          <w:color w:val="auto"/>
        </w:rPr>
        <w:t>The quantitative goodwill impairment test compares the estimated fair value of each reporting unit to its carrying value. If the carrying value of a reporting unit exceeds its estimated fair value, an impairment charge is recognized in an amount equal to that excess, limited to the total goodwill allocated to that reporting unit. If the estimated fair value of a reporting unit exceeds the carrying value, goodwill is not impaired.</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The Company enters into operating leases primarily for corporate offices, manufacturing and distribution facilities, vehicles and equipment. The Company determines if an arrangement is a lease at inception by evaluating whether the arrangement conveys the right to use an identifiable asset and whether the Company obtains substantially all of the economic benefits from and has the ability to direct the use of the asset. The Company’s lease agreements generally do not contain any material residual value guarantees or material restrictive covenants.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Operating lease right-of-use assets and corresponding operating lease liabilities are recognized in the Company’s consolidated balance sheet at lease commencement date based on the present value of lease payments over the lease term. Operating lease expense for operating lease assets is recognized on a straight-line basis over the lease term. Some lease arrangements include payments that are adjusted periodically based on actual charges incurred for common area maintenance, utilities, taxes and insurance, or changes in an index or rate referenced in the lease. The fixed portion of these payments is included in the measurement of right-of-use assets and lease liabilities at lease commencement, while the variable portion is recorded as variable lease expense. As most of the leases do not provide an implicit rate, the Company uses incremental borrowing rate based on the information available at the lease commencement date in determining the present value of lease payments.</w:t>
      </w:r>
    </w:p>
    <w:p>
      <w:pPr>
        <w:spacing w:after="0" w:line="18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Company’s lease agreements contain lease components and non-lease components. The Company elected the practical expedient to combine lease and non-lease components into one single lease component for all asset classes other than certain arrangements with embedded lease assets. For embedded lease assets, the Company accounts for the lease components and non-lease components separately. The Company, from time to time, subleases certain portions of real estate property, resulting in sublease income. The Company does not recognize lease liabilities or right-of-use assets for short-term leases with a term of less than 12 months.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Company’s leases have remaining lease terms ranging from less than 12 months to approximately 15 years. The lease terms may include options to extend or terminate the lease when it is reasonably certain and there is a significant economic incentive to exercise that option.</w:t>
      </w:r>
    </w:p>
    <w:p>
      <w:pPr>
        <w:spacing w:after="0" w:line="16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As a lessor, the Company enters into operating leases primarily for corporate offices and distribution facilities. The terms of the related contracts, including options to shorten or extend the lease term or to purchase the underlying assets, vary by contract. The contracts generally also include non-lease components such as utilities, maintenance, and other services, for which payments are variable and immaterial to the Company. For all asset classes, the Company elected the practical expedient to account for the lease and non-lease components as a single lease component under Topic 842 Leases.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9 — Leases for additional information on the Company’s leases.</w:t>
      </w:r>
    </w:p>
    <w:p>
      <w:pPr>
        <w:spacing w:after="0" w:line="225"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u w:val="single" w:color="auto"/>
          <w:color w:val="auto"/>
        </w:rPr>
        <w:t>Intangible Assets</w:t>
      </w:r>
      <w:r>
        <w:rPr>
          <w:rFonts w:ascii="Times New Roman" w:cs="Times New Roman" w:eastAsia="Times New Roman" w:hAnsi="Times New Roman"/>
          <w:sz w:val="17"/>
          <w:szCs w:val="17"/>
          <w:color w:val="auto"/>
        </w:rPr>
        <w:t>: Intangible assets are initially measured at fair value and consist of trade names, customer relationships and developed technology from acquisitions by the Company. The definite-lived intangible assets are amortized using the straight-line method over their estimated useful lives.</w:t>
      </w:r>
    </w:p>
    <w:p>
      <w:pPr>
        <w:spacing w:after="0" w:line="14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Company performs its annual indefinite-lived assets impairment test in October and monitors for interim indicators of impairment on an ongoing basis. The impairment test for indefinite-lived intangibles involves first assessing qualitative factors to determine if it is more likely than not that the fair value of the indefinite-lived intangible asset is less than its carrying amount. To perform the qualitative review, the Company uses estimates and significant judgements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If the carrying value of the indefinite-lived intangible exceeds its estimated fair value, an impairment charge is recognized in an amount equal to that excess. If the estimated fair value of the indefinite-lived intangible exceeds the carrying value, the asset is not impaired.</w:t>
      </w:r>
    </w:p>
    <w:p>
      <w:pPr>
        <w:spacing w:after="0" w:line="18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The Company’s revenues are generated principally from the sale of products. The majority of the sales transactions are supported by an underlying agreement or a formal purchase order. Revenue 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recognized as performance obligations under the terms of the contract are satisfied, which generally occurs with the transfer of control. The Company transfers control and recognizes revenue when product is shipped to customers or when product arrives at destination, depending on the shipping term; customers have legal title to the product; and the Company has a right to payment for such product. Significant judgement is generally not required to determine the timing of satisfying the performance obligation. Revenue is measured as the amount of consideration the Company expects to receive in exchange for those products. Shipping and handling costs are treated as fulfillment costs and are included in selling, general and administrative expenses. Since the Company typically invoices customers when performance obligations are satisfied, the Company does not have material contract assets or contract liabilities. The Company’s credit terms are customary and do not contain significant financing components that extend beyond one year of fulfillment of performance obligations. Sales taxes collected from customers and remitted to governmental authorities are excluded from revenues.</w:t>
      </w:r>
    </w:p>
    <w:p>
      <w:pPr>
        <w:spacing w:after="0" w:line="18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generally warrants that its products will conform to pre-established specifications and that its products will be free from material defects for a limited time. The Company limits its warranty to the replacement of defective parts, or a refund or credit of the price of the defective product. The Company does not account for these warranties as separate performance obligations. Warranty claims are not material as a majority of the Company’s products are consumables.</w:t>
      </w:r>
    </w:p>
    <w:p>
      <w:pPr>
        <w:spacing w:after="0" w:line="180" w:lineRule="exact"/>
        <w:rPr>
          <w:sz w:val="20"/>
          <w:szCs w:val="20"/>
          <w:color w:val="auto"/>
        </w:rPr>
      </w:pPr>
    </w:p>
    <w:p>
      <w:pPr>
        <w:ind w:left="120" w:right="100"/>
        <w:spacing w:after="0" w:line="273" w:lineRule="auto"/>
        <w:rPr>
          <w:sz w:val="20"/>
          <w:szCs w:val="20"/>
          <w:color w:val="auto"/>
        </w:rPr>
      </w:pPr>
      <w:r>
        <w:rPr>
          <w:rFonts w:ascii="Times New Roman" w:cs="Times New Roman" w:eastAsia="Times New Roman" w:hAnsi="Times New Roman"/>
          <w:sz w:val="17"/>
          <w:szCs w:val="17"/>
          <w:color w:val="auto"/>
        </w:rPr>
        <w:t>Although products are generally sold at fixed prices, certain customers receive cash discounts, customer rebates, distributor chargebacks, return allowances, scrap allowances, and other rights, which are accounted for as variable consideration and may require significant judgement in determining the amounts by which to reduce revenue. The Company estimates these amounts at the point that revenue is recognized based on the expected value to be provided to the customer and reduces revenue accordingly. The amount of variable consideration recognized as revenue is limited to the amount for which it is probable that a significant reversal in revenue will not occur when the related uncertainty is resolved. The Company’s estimate of variable consideration and ultimate determination of the estimated amounts to include in the transaction price are based upon the contractual terms between the Company and its customers, products subject to a rebate, the lag between the sale and the payment of the rebate, and historical rebate payment trends.</w:t>
      </w:r>
    </w:p>
    <w:p>
      <w:pPr>
        <w:spacing w:after="0" w:line="17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See Note 18 — Segment Information for disaggregation of net sales by product line, geography, and sales office as the Company believes that it best depicts how the nature, amount, timing and uncertainty of net sales and cash flows are affected by economic factors.</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Cost of Goods Sold:</w:t>
      </w:r>
      <w:r>
        <w:rPr>
          <w:rFonts w:ascii="Times New Roman" w:cs="Times New Roman" w:eastAsia="Times New Roman" w:hAnsi="Times New Roman"/>
          <w:sz w:val="18"/>
          <w:szCs w:val="18"/>
          <w:color w:val="auto"/>
        </w:rPr>
        <w:t xml:space="preserve"> The primary components of cost of goods sold include the cost of the product (net of purchase discounts, supplier rebates), direct and certain indirect labor, overhead cost, including depreciation and freight incurred to transport inventories from a supplier location or in between Company locations. Costs related to purchasing, receiving, inspections, warehousing, and other costs of our distribution network are included in selling, general and administrative expenses.</w:t>
      </w:r>
    </w:p>
    <w:p>
      <w:pPr>
        <w:spacing w:after="0" w:line="180"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u w:val="single" w:color="auto"/>
          <w:color w:val="auto"/>
        </w:rPr>
        <w:t>Shipping and Handling:</w:t>
      </w:r>
      <w:r>
        <w:rPr>
          <w:rFonts w:ascii="Times New Roman" w:cs="Times New Roman" w:eastAsia="Times New Roman" w:hAnsi="Times New Roman"/>
          <w:sz w:val="17"/>
          <w:szCs w:val="17"/>
          <w:color w:val="auto"/>
        </w:rPr>
        <w:t xml:space="preserve"> Shipping and handling costs are primarily included in selling, general and administrative expenses (SG&amp;A) in our consolidated statements of comprehensive income (loss) and include all delivery expenses as well as all costs to prepare the product for shipment to the customer.</w:t>
      </w:r>
    </w:p>
    <w:p>
      <w:pPr>
        <w:spacing w:after="0" w:line="14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 The Company measures the cost of employee services received in exchange for an award of equity instruments based on the grant-date fair value of the award. The Company records liability awards at fair value each reporting period, and the change in fair value is reflected as stock-based compensation expense. These costs are recognized in the consolidated statements of comprehensive income (loss) over the period during which an employee is required to provide service in exchange for the award. Equity-based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compensation awards which ultimately settle in cash are accounted for as liabilities, and awards which are contingently settled in cash or units of the Company are accounted for as mezzanine equity. Mezzanine equity classified awards which are considered probable of becoming redeemable are carried on the consolidated balance sheet at the greater of redemption value or initial carrying value. Changes in the redemption value of the awards result in a transfer from partners’ capital to mezzanine equity on the consolidated balance sheet of the Company. Refer to Note 15 — Stock-Based Compensation for additional information.</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Medline Holdings, with the consent of its partners, has elected to be taxed under sections of the U.S. federal and state income tax laws, which provide that the partners separately account for their pro rata shares of the Company’s items of income, deductions, losses and credits. Income taxes under this election generally relate to certain state income, franchise and minimum taxes where the Company is required to pay taxes at an entity level under state statutes.</w:t>
      </w:r>
    </w:p>
    <w:p>
      <w:pPr>
        <w:spacing w:after="0" w:line="180"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Certain of the Company’s wholly owned domestic subsidiaries are taxed as a C Corporation under state and federal laws. Certain of the Company’s wholly owned foreign subsidiaries provide for local and deferred income taxes. These domestic and foreign subsidiaries record income tax expense based on the amount of taxes due on their tax return, plus deferred taxes computed based on expected future tax consequences of temporary differences between the carrying amounts and the tax bases of assets and liabilities, using enacted tax rates. Deferred tax assets are reduced by a valuation allowance if it is deemed more likely than not that some or all of the deferred tax assets will not be realized. The net deferred income tax asset and liability consists primarily of net operating loss carryforwards in foreign jurisdictions, non-deductible accruals and expenses, and the impact of temporary differences related to accrued pension obligations. The Company also pays certain foreign branch taxes for subsidiaries located in foreign jurisdictions.</w:t>
      </w:r>
    </w:p>
    <w:p>
      <w:pPr>
        <w:spacing w:after="0" w:line="17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recognizes Global Intangible Low Taxed Income (“GILTI”) charge as a period cost when incurred for wholly owned subsidiaries which are taxed as C Corporation under state and federal laws.</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upon examination. For tax positions not meeting the more likely than not test, no tax benefit is recorded. At December 31, 2023, the Company did not have any material uncertain tax positions.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interest and income tax expense, respectively. The Company had no amounts accrued for interest or penalties as of December 31, 2023. The Company does not expect the total amount of unrecognized tax benefits to substantially change in the next 12 months. As of December 31, 2023, the tax years of 2022, 2021, 2020, 2019, 2018, 2017 and 2016 remain subject to examination by major tax jurisdictions.</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Loss contingencies:</w:t>
      </w:r>
      <w:r>
        <w:rPr>
          <w:rFonts w:ascii="Times New Roman" w:cs="Times New Roman" w:eastAsia="Times New Roman" w:hAnsi="Times New Roman"/>
          <w:sz w:val="18"/>
          <w:szCs w:val="18"/>
          <w:color w:val="auto"/>
        </w:rPr>
        <w:t xml:space="preserve"> 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When a loss is considered probable and reasonably estimable, the Company records a liability in the amount of the best estimate for the ultimate loss.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adjusts the recorded contingent liability from time to time based upon periodic assessment of the potential outcomes of the pending matters. Refer to Note 12 — Commitments and Contingencies for additional information.</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Interest expense, net:</w:t>
      </w:r>
      <w:r>
        <w:rPr>
          <w:rFonts w:ascii="Times New Roman" w:cs="Times New Roman" w:eastAsia="Times New Roman" w:hAnsi="Times New Roman"/>
          <w:sz w:val="18"/>
          <w:szCs w:val="18"/>
          <w:color w:val="auto"/>
        </w:rPr>
        <w:t xml:space="preserve"> Interest expense, net primarily consists of interest expense of the Company’s borrowings, net interest settlements of interest rate derivatives, amortization of deferred finance costs including original issue discounts on debt, reduced by interest income on bank deposits and liquid financial instruments, customer interest income and other interest income.</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Defined Benefit Pension Plans</w:t>
      </w:r>
      <w:r>
        <w:rPr>
          <w:rFonts w:ascii="Times New Roman" w:cs="Times New Roman" w:eastAsia="Times New Roman" w:hAnsi="Times New Roman"/>
          <w:sz w:val="18"/>
          <w:szCs w:val="18"/>
          <w:color w:val="auto"/>
        </w:rPr>
        <w:t>: The Company uses appropriate actuarial methods and assumptions in accounting for its defined benefit pension plans. 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Pension expense on the defined benefit plans is based on management’s assumptions and consists of: the actuarially computed costs of pension benefits in respect of the current year’s service, expected return on plan assets, interest on pension obligations, amortization of net gains or losses, and amortization of prior service costs or credits. In addition, the Company is required to recognize as a component of other comprehensive income (loss) the actuarial gains or losses and the prior service costs or credits that arise during the year but are not immediately recognized as components of net periodic benefit costs. The amortization of net gains or losses is based on a straight-line amortization of net gains or losses.</w:t>
      </w:r>
    </w:p>
    <w:p>
      <w:pPr>
        <w:spacing w:after="0" w:line="18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 accounts for its defined benefit pension plans in conformity with sections of ASC 715 “Compensation — Retirement Benefits”. This guidance requires an employer to recognize the funded status of its defined benefit pension plans as a net asset or liability in its statement of financial position, with an offsetting amount in accumulated other comprehensive (loss) income, net of tax and to recognize changes in that funded status in the year in which changes occur through comprehensive (loss) income.</w:t>
      </w:r>
    </w:p>
    <w:p>
      <w:pPr>
        <w:spacing w:after="0" w:line="180"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u w:val="single" w:color="auto"/>
          <w:color w:val="auto"/>
        </w:rPr>
        <w:t>Translation of Financial Statements of Foreign Subsidiaries</w:t>
      </w:r>
      <w:r>
        <w:rPr>
          <w:rFonts w:ascii="Times New Roman" w:cs="Times New Roman" w:eastAsia="Times New Roman" w:hAnsi="Times New Roman"/>
          <w:sz w:val="18"/>
          <w:szCs w:val="18"/>
          <w:color w:val="auto"/>
        </w:rPr>
        <w:t>: The Company’s foreign subsidiaries typically use the local currency as their functional currency. The consolidated assets and liabilities of the foreign subsidiaries are translated at exchange rates in effect at the balance sheet date. Income statement activity with respect to the operations of these subsidiaries is converted at the average rate for the period. The effect of the foreign currency translation is recorded in accumulated other comprehensive income (loss).</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Derivative Financial Instruments:</w:t>
      </w:r>
      <w:r>
        <w:rPr>
          <w:rFonts w:ascii="Times New Roman" w:cs="Times New Roman" w:eastAsia="Times New Roman" w:hAnsi="Times New Roman"/>
          <w:sz w:val="18"/>
          <w:szCs w:val="18"/>
          <w:color w:val="auto"/>
        </w:rPr>
        <w:t xml:space="preserve"> Derivative financial instruments are used primarily to manage interest rate and foreign currency exchange exposures, and are recorded at fair value in the Company’s consolidated balance sheet.</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uses interest rate derivatives such as interest rate swaps and caps to add stability to interest expense and to manage its exposure to interest rate movements. The Company designates certain of its interest rate derivatives as hedging instruments in cash flow. A derivative qualifies for hedge accounting if, at inception, it is expected to be highly effective in offsetting the underlying hedged cash flows and the Company formally designates and documents the hedging relationship in accordance with Topic 815. For derivatives designated and qualified as cash flow hedges of interest rate risk, the gain or loss from the fair value change of the derivative is recorded in accumulated other comprehensive income (loss) and subsequently reclassified into interest expense in the same period(s) during which the hedged transaction affects earnings. Gains and losses on the derivative instruments representing hedge components excluded from the assessment of effectiveness are recognized over the life of the hedge on a systematic and rational basis through an amortization approach. The Company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evaluates hedge effectiveness of the derivative instruments at inception and on an ongoing basis, and ineffective portions of the fair value change of the derivatives are recognized in earnings following the date when ineffectiveness was identified. Derivatives not designated as hedges are marked-to-market at the end of each reporting period with the fair value change included in earnings. Refer to Note 14 — Derivatives and Hedging Activities Risk Management,” for additional information.</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uses foreign currency derivatives such as forward contracts to lock in a fixed foreign currency exchange rate for the expected cash payment on an acquisition closed in the subsequent period and to manage exposure to foreign currency exchange rate movements. The foreign currency derivatives are not designated for hedge accounting under Topic 815 and is marked-to-market at the end of each reporting period with the fair value changes recorded in other income or expense of the Company’s Consolidated Statement of Comprehensive Income (Loss).</w:t>
      </w:r>
    </w:p>
    <w:p>
      <w:pPr>
        <w:spacing w:after="0" w:line="180"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The Company is required to estimate fair value using a three-tiered hierarchy, which prioritizes the inputs used in measuring fair value. Level 1 provides the most reliable measure of fair value; whereas, Level 3 generally requires significant management judgment. The three levels are defined as follows.</w:t>
      </w:r>
    </w:p>
    <w:p>
      <w:pPr>
        <w:spacing w:after="0" w:line="68" w:lineRule="exact"/>
        <w:rPr>
          <w:sz w:val="20"/>
          <w:szCs w:val="20"/>
          <w:color w:val="auto"/>
        </w:rPr>
      </w:pPr>
    </w:p>
    <w:p>
      <w:pPr>
        <w:ind w:left="560" w:right="6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for identical assets or liabilities in active markets that the Company has the ability to access as of the measurement date.</w:t>
      </w:r>
    </w:p>
    <w:p>
      <w:pPr>
        <w:spacing w:after="0" w:line="54" w:lineRule="exact"/>
        <w:rPr>
          <w:sz w:val="20"/>
          <w:szCs w:val="20"/>
          <w:color w:val="auto"/>
        </w:rPr>
      </w:pPr>
    </w:p>
    <w:p>
      <w:pPr>
        <w:ind w:left="560" w:right="48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54"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In many cases, a valuation technique used to measure fair value includes inputs from multiple levels of the fair value hierarchy. The lowest level of significant input determines the placement of the entire fair value measurement in the hierarchy.</w:t>
      </w:r>
    </w:p>
    <w:p>
      <w:pPr>
        <w:spacing w:after="0" w:line="162"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carrying amount of financial instruments, including cash and cash equivalents, accounts receivable, notes receivable and accounts payable, approximates fair value due to the short maturities of these instruments.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(Topic 326). The standard, later modified by ASU Nos. 2018-19 and 2019-04 — Codification Improvements to Topic 326, ASU No. 2019-05 — Topic 326 Targeted Transition Relief, and ASU No. 2019-10 — Topic 326 Effective Dates (collectively “ASC 326”), changes how credit losses are measured for most financial assets and certain other instruments. For trade and other receivables, held-to-maturity debt securities, loans and other financial instruments, the standard requires the use of a new forward-looking “expected credit loss” model that generally will result in the earlier recognition of allowances for losses. The Company adopted the standard in the first quarter of 2022. The adoption resulted in an increase of allowance for doubtful accounts by $10, which the Company recorded to the partners’ capital directly as of January 1, 2022.</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Upon adoption of the standard, accounts receivable are stated at amortized cost less allowance for credit losses. The allowance for credit losses reflects the best estimate of future losses over the contractual life of outstanding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60"/>
          </w:cols>
          <w:pgMar w:left="320" w:top="455" w:right="5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accounts receivable and is determined on the basis of historical experience, specific allowances for known troubled accounts, other currently available information including customer’s financial condition, and both current and forecasted economic conditions. The allowance for credit losses was $54 as of December 31, 2022. There were no significant changes in credit loss risk factors that impacted the Company’s recorded allowance during the years ended December 31, 2023 and December 31, 2022.</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charges interest on certain past-due trade receivable balances; for the accrued interest that is included in the amortized cost basis of trade receivables, the Company elects not to measure an allowance for credit losses and to timely write off the interest deemed uncollectible by reversing interest income. The amounts of interest written off for the years ended December 31, 2023 and December 31, 2022 were immaterial.</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ASU 2021-08 requires an acquirer, at the acquisition date, to recognize and measure contract assets and contract liabilities acquired in a business combination in accordance with Topic 606 as if it had originated the contracts rather than at fair value that would otherwise be required under Topic 805. To achieve this, an acquirer may assess how the acquiree applied Topic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The Company adopted this standard on a prospective basis in the first quarter of 2023. The adoption did not have an impact on the Company’s consolidated financial statements.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 Not Yet Adopted:</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 (Topic 820): Fair Value Measurement of Equity Securities Subject to Contractual Sales Restrictions, which (1) clarifies the guidance in Topic 820 on the fair value measurement of an equity security that is subject to contractual restrictions that prohibit the sale of an equity security and (2) requires specific disclosures related to such an equity security. . The standard is effective on a prospective basis, with the option for retrospective application, for fiscal years beginning after December 15, 2023, including interim periods therein. Early adoption is permitted. The impact of the adoption of this ASU is not expected to have a material effect on the Company’s consolidated financial statements.</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Segment Reporting. This ASU requires enhanced disclosures about significant segment expenses regularly provided to the chief operating decision maker that are included within each reported measure of segment profit or loss, and also requires all annual disclosures currently required by Topic 280 to be included in interim periods. ASU No. 2023-07 is to be applied retrospectively for all periods presented in the financial statements and is effective for fiscal years beginning after December 15, 2023, and interim periods within fiscal years beginning after December 15, 2024, with early adoption permitted. The Company is currently evaluating the impact of this ASU on the related disclosures.</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standard is effective on a prospective basis, with the option for retrospective application, for fiscal years beginning after December 15,</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Early adoption is permitted. The Company is currently evaluating the impact of this ASU on the related disclosures.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ACQUISITIONS AND EQUITY INVESTMENT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21" w:lineRule="exact"/>
        <w:rPr>
          <w:sz w:val="20"/>
          <w:szCs w:val="20"/>
          <w:color w:val="auto"/>
        </w:rPr>
      </w:pPr>
    </w:p>
    <w:p>
      <w:pPr>
        <w:ind w:left="120" w:right="40"/>
        <w:spacing w:after="0" w:line="209" w:lineRule="auto"/>
        <w:rPr>
          <w:sz w:val="20"/>
          <w:szCs w:val="20"/>
          <w:color w:val="auto"/>
        </w:rPr>
      </w:pPr>
      <w:r>
        <w:rPr>
          <w:rFonts w:ascii="Times New Roman" w:cs="Times New Roman" w:eastAsia="Times New Roman" w:hAnsi="Times New Roman"/>
          <w:sz w:val="18"/>
          <w:szCs w:val="18"/>
          <w:color w:val="auto"/>
        </w:rPr>
        <w:t>On December 4, 2023, the Company completed the second step of the acquisition of the Hudson RCI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business, for consideration of $24. The Hudson RCI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business adds its brand of oxygen and aerosol therapy, active humidification and pulmonary hygiene products to the Company’s existing portfolio of respiratory products. The fair value allocated to assets acquired and liabilities assumed was $24, which includes $6 of goodwill. The costs associated with the acquisition were not material. The Company accounted for the transaction as a business combination in accordance with ASC 805.</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May 11, 2022, the Company completed the acquisition to purchase all shares in Asid Bonz GmbH, a German-based distributor of healthcare supplies, from Medi-Globe Technologies GmbH, for a purchase price of $18. The acquisition expanded the Company’s footprint by increasing its access to the urological and anesthesia areas of hospitals and clinics in Europe. Additionally, it has strengthened the Company’s offering in critical care and other areas, such as respiratory. The assets acquired and liabilities assumed, and the acquisition-related costs were not material to the consolidated financial statements. The Company accounted for the transaction as a business combination.</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results of operations of acquired businesses and the pro forma impact of the acquisitions during fiscal years 2023 and 2022 were not material, either individually or in the aggregate, to the consolidated results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October 11, 2023, the Company acquired a 20% equity interest in HCD Equity, LLC (“HCD”) by paying a total cash consideration of $10 and agreeing to transfer and assign to HCD certain customer contracts related to the Company’s managed care business. The underlying contracts were valued at $22 and are to be transferred in batches over the upcoming year. As of December 31, 2023, the Company recorded an initial acquisition cost of $32 for the investment in HCD in other non-current assets of the Company’s consolidated balance sheet and a liability of $22 for the underlying contracts to be transferred in accrued expenses and other current liabilities in the Company’s consolidated balance sheet. The Company’s maximum loss exposure is its investment in HCD.</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investment in HCD enables the Company to influence HCD’s operating and financial decisions, but not to control HCD. As such, the Company accounts for the investment in HCD using the equity method of accounting and records its share of earnings and losses in other income (expense), net in the consolidated statements of comprehensive income (loss). The results of operations since the date of acquisition were not material to the Company’s consolidated financial statements. The Company periodically assesses the equity investment in HCD for impairment by considering economic performance and current economic market conditions. No impairment charge was recorded for the year ended December 31, 2023.</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Inventories consisted of the following as of:</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3"/>
        </w:trPr>
        <w:tc>
          <w:tcPr>
            <w:tcW w:w="472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work in process, net</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net</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3,142</w:t>
            </w:r>
          </w:p>
        </w:tc>
      </w:tr>
      <w:tr>
        <w:trPr>
          <w:trHeight w:val="27"/>
        </w:trPr>
        <w:tc>
          <w:tcPr>
            <w:tcW w:w="4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3,813</w:t>
            </w:r>
          </w:p>
        </w:tc>
      </w:tr>
      <w:tr>
        <w:trPr>
          <w:trHeight w:val="20"/>
        </w:trPr>
        <w:tc>
          <w:tcPr>
            <w:tcW w:w="4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LIFO inventories had been valued on a current cost or FIFO basis, they would have been greater by $223 as of December 31, 2023. The inventory reserve for obsolescence was $26 at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as of:</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Auto and trucks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for the years ended December 31, 2023, and December 31, 2022 was $289 and $273,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GOODWILL AND INTANGIBLE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8"/>
              </w:rPr>
              <w:t>Balance, December 31, 2022</w:t>
            </w:r>
          </w:p>
        </w:tc>
        <w:tc>
          <w:tcPr>
            <w:tcW w:w="4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Goodwill acquired</w:t>
            </w:r>
          </w:p>
        </w:tc>
        <w:tc>
          <w:tcPr>
            <w:tcW w:w="40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8"/>
              </w:rPr>
              <w:t>Balance, December 31, 2023</w:t>
            </w:r>
          </w:p>
        </w:tc>
        <w:tc>
          <w:tcPr>
            <w:tcW w:w="4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$ 7,532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4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F-20</w:t>
            </w:r>
          </w:p>
        </w:tc>
        <w:tc>
          <w:tcPr>
            <w:tcW w:w="0" w:type="dxa"/>
            <w:vAlign w:val="bottom"/>
          </w:tcPr>
          <w:p>
            <w:pPr>
              <w:spacing w:after="0"/>
              <w:rPr>
                <w:sz w:val="1"/>
                <w:szCs w:val="1"/>
                <w:color w:val="auto"/>
              </w:rPr>
            </w:pPr>
          </w:p>
        </w:tc>
      </w:tr>
    </w:tbl>
    <w:p>
      <w:pPr>
        <w:sectPr>
          <w:pgSz w:w="11900" w:h="16838" w:orient="portrait"/>
          <w:cols w:equalWidth="0" w:num="1">
            <w:col w:w="10800"/>
          </w:cols>
          <w:pgMar w:left="320" w:top="455" w:right="7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Identifiable intangible assets consist of the following as of:</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3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color w:val="auto"/>
                <w:w w:val="99"/>
              </w:rPr>
              <w:t>Weighted</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28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Gross Carrying</w:t>
            </w:r>
          </w:p>
        </w:tc>
        <w:tc>
          <w:tcPr>
            <w:tcW w:w="360" w:type="dxa"/>
            <w:vAlign w:val="bottom"/>
          </w:tcPr>
          <w:p>
            <w:pPr>
              <w:spacing w:after="0"/>
              <w:rPr>
                <w:sz w:val="12"/>
                <w:szCs w:val="12"/>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Net Carrying Amount</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Useful Life</w:t>
            </w:r>
          </w:p>
        </w:tc>
        <w:tc>
          <w:tcPr>
            <w:tcW w:w="14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Amount</w:t>
            </w:r>
          </w:p>
        </w:tc>
        <w:tc>
          <w:tcPr>
            <w:tcW w:w="3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Finite-lived intangible assets:</w:t>
            </w: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10,499</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(1,216)</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1,946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(214)</w:t>
            </w: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12,450</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(1,432)</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11,018</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78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16,220</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(1,432)</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14,788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weighted-average amortization periods for definite-lived intangible assets acquired during the year ended December 31, 2023,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w w:val="98"/>
              </w:rPr>
              <w:t>Life (Years)</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(Total)</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amortization expense over the next five years and thereafter is as follows: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5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ACCRUED EXPENSES AND OTHER CURRENT LIABILITIES</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elements of accrued expenses and other current liabilities are as follows as of:</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980" w:type="dxa"/>
            <w:vAlign w:val="bottom"/>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Customer rebates and distributor chargebacks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Indirect tax payable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Litigation accrual (EtO)</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44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color w:val="auto"/>
              </w:rPr>
              <w:t>F-21</w:t>
            </w: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76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5" w:right="8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CREDIT AGREEMENTS AND BORROWINGS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current portion of long-term borrowings and other short-term borrowings consists of the following:</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8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long-term borrowings and the effective interest rates as of December 31, 2023, are summarized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Average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Maturity dates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effective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Amount</w:t>
            </w:r>
          </w:p>
        </w:tc>
        <w:tc>
          <w:tcPr>
            <w:tcW w:w="26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by fiscal year</w:t>
            </w:r>
          </w:p>
        </w:tc>
        <w:tc>
          <w:tcPr>
            <w:tcW w:w="5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borrowings</w:t>
            </w: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Unsecured debt</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unsecured debt</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Secured debt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Variable (Euro denominated)</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Variable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2024 - 2028</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30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secured debt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14,342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Total other</w:t>
            </w:r>
            <w:r>
              <w:rPr>
                <w:rFonts w:ascii="Times New Roman" w:cs="Times New Roman" w:eastAsia="Times New Roman" w:hAnsi="Times New Roman"/>
                <w:sz w:val="25"/>
                <w:szCs w:val="25"/>
                <w:color w:val="auto"/>
                <w:vertAlign w:val="superscript"/>
              </w:rPr>
              <w:t>2</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16,442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includes exchange rate adjustments.</w:t>
      </w:r>
    </w:p>
    <w:p>
      <w:pPr>
        <w:spacing w:after="0" w:line="2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w:t>
        <w:tab/>
        <w:t>includes deferred financing costs.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October 21, 2021, the Company received net proceeds of $7,461 from the borrowing of the Dollar Term Loans and Euro Term Loans under the Credit Agreement in connection with the Acquisition. The term loans borrowed under the Credit Agreement consist of two tranches with a principal amount of $7,270 and a principal amount of €435. Until June 27, 2023, the Dollar Term Loans mature on October 21, 2028, and accrued interest at a variable rate based on the USD London Interbank Offered Rate (“LIBOR”) plus an applicable spread. Pursuant to the amendment in the Credit Agreement effective June 28, 2023, Secured Overnight Financing Rate (“SOFR”) plus a new spread became the variable interest rate applicable to Dollar Term Loans. The Euro Term Loans accrue interest at a variable rate based on the EURO Interbank Offer Rate (“EURIBOR”), plus an applicable spread and mature on October 21, 2028. Amortization payments equal to 0.25% of initial aggregate principal amount of the Dollar Term Loans are due quarterly, commencing with the three months ending June 25, 2022</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00"/>
          </w:cols>
          <w:pgMar w:left="320" w:top="455" w:right="5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and remaining principal is set to mature on October 21, 2028. The Company made payments of $73 and $55 towards principal of the Dollar Term Loans during the years ended December 31, 2023, and December 31, 2022, respectively. The Euro Term Loans do not have any mandatory amortization.</w:t>
      </w:r>
    </w:p>
    <w:p>
      <w:pPr>
        <w:spacing w:after="0" w:line="14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On October 21, 2021, the Company received net proceeds of $4,421 for a 3.875% fixed rate note issued with a maturity date of April 2029. Principal amount of the senior secured notes issued was $4,500.</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October 21, 2021, the Company received net proceeds of $2,442 for a 5.250% fixed rate note issued with a maturity date of October 2029. Principal amount of the senior unsecured notes issued was $2,500.</w:t>
      </w:r>
    </w:p>
    <w:p>
      <w:pPr>
        <w:spacing w:after="0" w:line="162"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On October 21, 2021, the Company received net proceeds from a mortgage loan (“CMBS Loan”) in the amount of $2,177 for variable rate mortgage-backed debt. Before it matured in November 2023, the Company exercised the first of the three “one-year” extension options and extended the loan to November 2024. Furthermore, the Company intends to exercise the second one-year extension option and extend the loan to November 2025. The CMBS Loan debt consists of several components with each component having its respective principal balance and rate. The principal balances of the components total to $2,219 as of December 31, 2023. The Company made repayments of $4 and $7 during the years ended December 31, 2023 and December 31, 2022, respectively. Until June 27, 2023, the variable interest rates of each component were USD LIBOR plus the spreads ranging from 1.09% to 5.39%. Pursuant to the amendment to the Credit Agreement effective June 28, 2023, Secured Overnight Financing Rate (“SOFR”) plus the spreads ranging from 1.21% to 5.51% became the variable interest rates to CMBS Loan.</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fair value of the Dollar Term Loans and Euro Term Loans as of December 31, 2023 was $7,170 and $481, respectively. The fair value of the 3.875% fixed rate note and the 5.250% fixed rate note as of December 31, 2023 was $4,056 and $2,359, respectively. The fair value of the CMBS Loan as of December 31, 2023 was $2,141. The estimated fair value of these loans was based on recent trades as reported by a third-party bond pricing service. Due to the infrequency of trades, these inputs are considered to be Level 2 inputs.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Compliance with the covenants does not significantly impact the Company’s operations. At December 31, 2023, the Company was in compliance with all the covenants under the Credit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aggregate principal amounts over the next five years and thereafter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Annual Maturities</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7,331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7,000</w:t>
            </w:r>
          </w:p>
        </w:tc>
      </w:tr>
      <w:tr>
        <w:trPr>
          <w:trHeight w:val="27"/>
        </w:trPr>
        <w:tc>
          <w:tcPr>
            <w:tcW w:w="6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16,842</w:t>
            </w:r>
          </w:p>
        </w:tc>
      </w:tr>
      <w:tr>
        <w:trPr>
          <w:trHeight w:val="20"/>
        </w:trPr>
        <w:tc>
          <w:tcPr>
            <w:tcW w:w="6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Revolving Credit Facilities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part of the Transaction, on October 21, 2021, certain lenders have provided the Company with the Revolving Credit Facility under the Credit Agreement. The Revolving Credit Facility also accrues commitment fees in respect of unfunded commitments thereunder. Letters of credit issued under the Revolving Credit Facility reduce availability under the Revolving Credit Facility, dollar-for-dollar.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2023, the Revolving Credit Facility had several financial institutions as lenders for a maximum borrowing capacity of $1,000. As of December 31, 2023, availability under the Revolving Credit Facility was $975, after taking into account outstanding letters of credit of $25. The revolving credit facilities enable the Company to borrow at various rates, all of which float with relevant rate indices, i.e., SOFR. The maturity date of the Revolving Credit Facility is October 21, 2026.</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had no short-term borrowings under lines of credit as of December 31, 2023. Borrowings under Revolving Credit Facility may be repaid and borrowed again, partially or wholly at any time, from time to time, as elected by the Company and interest is typically paid on a monthly or quarterly basis, depending on the interest period elected.</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indentures contain certain affirmative and negative covenants, which require, among other provisions, delivery of these consolidated financial statements to the relevant note holders. At December 31, 2023, the Company was in compliance with all covenants.</w:t>
      </w:r>
    </w:p>
    <w:p>
      <w:pPr>
        <w:spacing w:after="0" w:line="16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u w:val="single" w:color="auto"/>
          <w:color w:val="auto"/>
        </w:rPr>
        <w:t>Reference Rate Reform and the Discontinuation of LIBOR:</w:t>
      </w:r>
      <w:r>
        <w:rPr>
          <w:rFonts w:ascii="Times New Roman" w:cs="Times New Roman" w:eastAsia="Times New Roman" w:hAnsi="Times New Roman"/>
          <w:sz w:val="18"/>
          <w:szCs w:val="18"/>
          <w:color w:val="auto"/>
        </w:rPr>
        <w:t xml:space="preserve">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the reference rate reform initiative, certain widely used reference rates such as LIBOR were discontinued. In the third quarter of 2023, the Company’s U.S. Dollar Term Loan, CMBS Loan, and Revolving Credit Facility agreements were amended to reference SOFR-based rates. The transition did not have a material impact on the Company’s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INTEREST EXPENSE,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net consists of the following for the years ended December 31, 2023 and December 31, 2022:</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5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5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r>
      <w:tr>
        <w:trPr>
          <w:trHeight w:val="20"/>
        </w:trPr>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Lessee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components of lease cost for the years ended December 31, 2023, and December 31, 2022:</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29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26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 net</w:t>
            </w:r>
          </w:p>
        </w:tc>
        <w:tc>
          <w:tcPr>
            <w:tcW w:w="2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2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F-24</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Variable lease cost primarily includes payments for property taxes, maintenance and insurance.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consolidated balance sheet: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70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color w:val="auto"/>
              </w:rPr>
              <w:t>Consolidated balance sheet caption:</w:t>
            </w:r>
          </w:p>
        </w:tc>
        <w:tc>
          <w:tcPr>
            <w:tcW w:w="5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470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leases:</w:t>
            </w:r>
          </w:p>
        </w:tc>
        <w:tc>
          <w:tcPr>
            <w:tcW w:w="4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Other long-term assets</w:t>
            </w: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7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operating leases had a weighted-average remaining lease term of 7 years and a weighted-average discount rate of 8 percent.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lease annual operating lease payments under non-cancelable leases over the next five years and thereafter is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Total</w:t>
            </w: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w:t>
            </w: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406</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w:t>
            </w:r>
          </w:p>
        </w:tc>
        <w:tc>
          <w:tcPr>
            <w:tcW w:w="100" w:type="dxa"/>
            <w:vAlign w:val="bottom"/>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there were no significant commitments related to executed leases not yet commenced and unrecognized.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Lessor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components of lease income recorded in selling, general and administrative expenses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December 31, 2022:</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5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Borders>
              <w:bottom w:val="single" w:sz="8" w:color="CCEEFF"/>
            </w:tcBorders>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216"/>
        </w:trPr>
        <w:tc>
          <w:tcPr>
            <w:tcW w:w="5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lease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variable lease income includes reimbursements for services, utilities, and maintenance.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0680"/>
          </w:cols>
          <w:pgMar w:left="320" w:top="455" w:right="8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Estimated maturities of operating leases receivables over the next five years and thereafter is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7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receivables</w:t>
            </w:r>
          </w:p>
        </w:tc>
        <w:tc>
          <w:tcPr>
            <w:tcW w:w="2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$ 37</w:t>
            </w:r>
          </w:p>
        </w:tc>
      </w:tr>
      <w:tr>
        <w:trPr>
          <w:trHeight w:val="20"/>
        </w:trPr>
        <w:tc>
          <w:tcPr>
            <w:tcW w:w="4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Assets under operating leases are included in property, plant and equipment of the Company’s consolidated balance sheet and are consisted of the following as of:</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74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Assets under operating leases, net</w:t>
            </w:r>
          </w:p>
        </w:tc>
        <w:tc>
          <w:tcPr>
            <w:tcW w:w="198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4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RETIREMENT PLANS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non-contributory defined benefit retirement plan obligations at several foreign subsidiaries. These plans cover certain employees, as defined, within those foreign jurisdictions. The Company uses December 31 as the measurement date of its defined benefit pension plans.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various plans’ unfunded status and amounts recognized in the Company’s balance sheet:</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8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35</w:t>
            </w:r>
          </w:p>
        </w:tc>
        <w:tc>
          <w:tcPr>
            <w:tcW w:w="60" w:type="dxa"/>
            <w:vAlign w:val="bottom"/>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plan assets</w:t>
            </w:r>
          </w:p>
        </w:tc>
        <w:tc>
          <w:tcPr>
            <w:tcW w:w="2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Unfunded status</w:t>
            </w:r>
          </w:p>
        </w:tc>
        <w:tc>
          <w:tcPr>
            <w:tcW w:w="2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unfunded obligations are recognized in the consolidated balance sheets in long-term liabilities and accrued expenses and other current liabilities.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funds the minimum contribution required under the various statutory requirements of each foreign jurisdiction.</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0960"/>
          </w:cols>
          <w:pgMar w:left="320" w:top="455" w:right="61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information relating to unfunded status that have an accumulated benefit obligation in excess of plan assets: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44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27</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plan assets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Unfunded status</w:t>
            </w:r>
          </w:p>
        </w:tc>
        <w:tc>
          <w:tcPr>
            <w:tcW w:w="234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Employer’s contribution to obligation and benefits paid by the employer under the plan were not material during the years ended December 31, 2023, and December 31, 2022.</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recognized in the consolidated balance sheet are as below:</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494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liability recognized</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weighted-average assumptions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54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3"/>
                <w:szCs w:val="13"/>
                <w:color w:val="auto"/>
              </w:rPr>
              <w:t>Benefit</w:t>
            </w:r>
          </w:p>
        </w:tc>
        <w:tc>
          <w:tcPr>
            <w:tcW w:w="720" w:type="dxa"/>
            <w:vAlign w:val="bottom"/>
            <w:gridSpan w:val="4"/>
          </w:tcPr>
          <w:p>
            <w:pPr>
              <w:jc w:val="center"/>
              <w:spacing w:after="0" w:line="119" w:lineRule="exact"/>
              <w:rPr>
                <w:sz w:val="20"/>
                <w:szCs w:val="20"/>
                <w:color w:val="auto"/>
              </w:rPr>
            </w:pPr>
            <w:r>
              <w:rPr>
                <w:rFonts w:ascii="Times New Roman" w:cs="Times New Roman" w:eastAsia="Times New Roman" w:hAnsi="Times New Roman"/>
                <w:sz w:val="13"/>
                <w:szCs w:val="13"/>
                <w:color w:val="auto"/>
              </w:rPr>
              <w:t>Net Periodic</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Obligation</w:t>
            </w:r>
          </w:p>
        </w:tc>
        <w:tc>
          <w:tcPr>
            <w:tcW w:w="920" w:type="dxa"/>
            <w:vAlign w:val="bottom"/>
          </w:tcPr>
          <w:p>
            <w:pPr>
              <w:spacing w:after="0"/>
              <w:rPr>
                <w:sz w:val="14"/>
                <w:szCs w:val="14"/>
                <w:color w:val="auto"/>
              </w:rPr>
            </w:pPr>
          </w:p>
        </w:tc>
        <w:tc>
          <w:tcPr>
            <w:tcW w:w="9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color w:val="auto"/>
              </w:rPr>
              <w:t>Benefit Cost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5900" w:type="dxa"/>
            <w:vAlign w:val="bottom"/>
            <w:gridSpan w:val="2"/>
            <w:vMerge w:val="continue"/>
            <w:shd w:val="clear" w:color="auto" w:fill="CCEEFF"/>
          </w:tcPr>
          <w:p>
            <w:pPr>
              <w:spacing w:after="0"/>
              <w:rPr>
                <w:sz w:val="18"/>
                <w:szCs w:val="18"/>
                <w:color w:val="auto"/>
              </w:rPr>
            </w:pPr>
          </w:p>
        </w:tc>
        <w:tc>
          <w:tcPr>
            <w:tcW w:w="1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Security increase rate</w:t>
            </w:r>
          </w:p>
        </w:tc>
        <w:tc>
          <w:tcPr>
            <w:tcW w:w="1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increase rate (in payment)</w:t>
            </w: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benefit payments over the next five years and thereafter are as follows:</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30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domestic employees are eligible to be enrolled in the company-sponsored contributory retirement savings plans, which include features under Section 401(k) of the Internal Revenue Code of 1986, and provide for matching and discretionary contributions by the Company.</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total expense for the employee retirement savings plan for the years ended December 31, 2023, and December 31, 2022 was $37 and $32, respectively.</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0880"/>
          </w:cols>
          <w:pgMar w:left="320" w:top="455" w:right="6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 (Benefit) by Category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before taxes and equity in earnings of affiliates was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color w:val="auto"/>
              </w:rPr>
              <w:t>Year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2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December 31, 2023</w:t>
            </w:r>
          </w:p>
        </w:tc>
        <w:tc>
          <w:tcPr>
            <w:tcW w:w="64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December 31, 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from continuing operations before</w:t>
            </w: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for each reporting period consists of the following:</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color w:val="auto"/>
              </w:rPr>
              <w:t>Year ended</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income tax expense</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U.S. federal and state income tax expense</w:t>
            </w:r>
            <w:r>
              <w:rPr>
                <w:rFonts w:ascii="Times New Roman" w:cs="Times New Roman" w:eastAsia="Times New Roman" w:hAnsi="Times New Roman"/>
                <w:sz w:val="25"/>
                <w:szCs w:val="25"/>
                <w:color w:val="auto"/>
                <w:vertAlign w:val="superscript"/>
              </w:rPr>
              <w:t>(1)</w:t>
            </w:r>
          </w:p>
        </w:tc>
        <w:tc>
          <w:tcPr>
            <w:tcW w:w="8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taxes in various foreign tax jurisdictions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U.S. federal and state income tax expense</w:t>
            </w:r>
            <w:r>
              <w:rPr>
                <w:rFonts w:ascii="Times New Roman" w:cs="Times New Roman" w:eastAsia="Times New Roman" w:hAnsi="Times New Roman"/>
                <w:sz w:val="25"/>
                <w:szCs w:val="25"/>
                <w:color w:val="auto"/>
                <w:vertAlign w:val="superscript"/>
              </w:rPr>
              <w:t>(1)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income taxes in various foreign tax jurisdictions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82"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a Global Intangible Low Taxed Income (“GILTI”) charge at the C-Corporation level as a current period expense, and no charge is recognized at Medline Holdings, as the inclusion is passed through to its partners.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60"/>
          </w:cols>
          <w:pgMar w:left="320" w:top="455" w:right="5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components of deferred tax assets and liabilities: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asset</w:t>
            </w: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Pensions and other post-retirement benefits</w:t>
            </w:r>
          </w:p>
        </w:tc>
        <w:tc>
          <w:tcPr>
            <w:tcW w:w="17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20" w:type="dxa"/>
            <w:vAlign w:val="bottom"/>
          </w:tcPr>
          <w:p>
            <w:pPr>
              <w:spacing w:after="0"/>
              <w:rPr>
                <w:sz w:val="19"/>
                <w:szCs w:val="19"/>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172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the Company had immaterial deferred tax assets on foreign net operating loss carryforward.</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did not have any unrecognized tax benefits recorded on its balance sheet for the periods ended December 31, 2023, and December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 (Benefit) Reconciliation:</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Year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w w:val="99"/>
              </w:rPr>
              <w:t>December 31, 2023</w:t>
            </w:r>
          </w:p>
        </w:tc>
        <w:tc>
          <w:tcPr>
            <w:tcW w:w="108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December 31, 2022</w:t>
            </w:r>
          </w:p>
        </w:tc>
        <w:tc>
          <w:tcPr>
            <w:tcW w:w="10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at US statutory rate</w:t>
            </w: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Partnership tax effects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Tax holidays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GILTI</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effect</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NOL</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108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can differ from the 21% U.S. federal statutory rate due to a number of factors, including the operating partnership, tax incentives, foreign rate differences, state income taxes, non-deductible expenses, and non-taxable income.</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0820"/>
          </w:cols>
          <w:pgMar w:left="320" w:top="455" w:right="7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Holidays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receives tax holidays as a result of Free Trade Zones in United Arab Emirates, Panama, and Dominican Republic. The financial impact of the reductions as compared to the statutory tax rate is indicated in the income tax expense (benefit) reconciliation table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Examinations of Tax Returns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ongoing audits in the United States, Germany, Spain, and other jurisdictions. While the final outcome of these matters is inherently uncertain, the Company does not believe that any of these pose a material risk to the financial statements. During 2023, the Company closed several United States state audits, as well as audits in Switzerland and Germany, with no material adjustments to the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ind w:left="120" w:right="420"/>
        <w:spacing w:after="0" w:line="281" w:lineRule="auto"/>
        <w:rPr>
          <w:sz w:val="20"/>
          <w:szCs w:val="20"/>
          <w:color w:val="auto"/>
        </w:rPr>
      </w:pPr>
      <w:r>
        <w:rPr>
          <w:rFonts w:ascii="Times New Roman" w:cs="Times New Roman" w:eastAsia="Times New Roman" w:hAnsi="Times New Roman"/>
          <w:sz w:val="17"/>
          <w:szCs w:val="17"/>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 assessment of the potential outcomes of pending matters.</w:t>
      </w:r>
    </w:p>
    <w:p>
      <w:pPr>
        <w:spacing w:after="0" w:line="16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January 2019 and thereafter, the Company has been named as a defendant in mass tort litigation in Cook County, Illinois involving claims by approximately 380 plaintiffs that allege personal injuries associated with the Company’s ethylene oxide sterilization activities in Waukegan, Illinois. Through settlement discussions with a mediator, the Company has reached a contingent preliminary settlement encompassing substantially all of the claimants. As of December 31, 2023, the gross settlement amount is approximately $176 and will cover over 370 plaintiffs in the case. The Company accrued $176 for this litigation without discount and made a payment of $2 for the year ended December 31, 2023.</w:t>
      </w:r>
    </w:p>
    <w:p>
      <w:pPr>
        <w:spacing w:after="0" w:line="18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 has reached agreements with the primary insurance carriers to recover $13, which is 100% of their limits. As of December 31, 2023, the Company recorded $13 in insurance recoveries related to this matter. The Company is actively pursuing litigation with its excess insurance carriers related to their obligations to reimburse the Company for all remaining settlement payments in connection with the lawsuit described above. The Company is confident in its position on this matter and will aggressively litigate to enforce its contractual rights. The Company has not recorded a receivable for expected recoveries of the remaining settlement payments as of December 31, 2023. As such, the Company recognized $163 of net litigation charges for the year ended December 31, 2023, in other operating expenses.</w:t>
      </w:r>
    </w:p>
    <w:p>
      <w:pPr>
        <w:spacing w:after="0" w:line="187" w:lineRule="exact"/>
        <w:rPr>
          <w:sz w:val="20"/>
          <w:szCs w:val="20"/>
          <w:color w:val="auto"/>
        </w:rPr>
      </w:pPr>
    </w:p>
    <w:p>
      <w:pPr>
        <w:ind w:left="120" w:right="200"/>
        <w:spacing w:after="0" w:line="277" w:lineRule="auto"/>
        <w:rPr>
          <w:sz w:val="20"/>
          <w:szCs w:val="20"/>
          <w:color w:val="auto"/>
        </w:rPr>
      </w:pPr>
      <w:r>
        <w:rPr>
          <w:rFonts w:ascii="Times New Roman" w:cs="Times New Roman" w:eastAsia="Times New Roman" w:hAnsi="Times New Roman"/>
          <w:sz w:val="17"/>
          <w:szCs w:val="17"/>
          <w:color w:val="auto"/>
        </w:rPr>
        <w:t>Based on current knowledge and the advice of legal counsel, management believes that the accrual as of December 31, 2023 for currently pending matters considered probable of loss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consolidated financial statements.</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Unconditional purchase obligations</w:t>
      </w:r>
    </w:p>
    <w:p>
      <w:pPr>
        <w:spacing w:after="0" w:line="11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were $227 and $212 for the years ended December 31, 2023 and December 31, 2022, respectively.</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2023, future payments related to commitments are as follows:</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$209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507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following descriptions of the valuation methods and assumptions used by the Company to estimate the fair values of investments apply to all investments held directly by the Company:</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u w:val="single" w:color="auto"/>
          <w:color w:val="auto"/>
        </w:rPr>
        <w:t>Interest Rate Contracts</w:t>
      </w:r>
      <w:r>
        <w:rPr>
          <w:rFonts w:ascii="Times New Roman" w:cs="Times New Roman" w:eastAsia="Times New Roman" w:hAnsi="Times New Roman"/>
          <w:sz w:val="18"/>
          <w:szCs w:val="18"/>
          <w:color w:val="auto"/>
        </w:rPr>
        <w:t>: 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80"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u w:val="single" w:color="auto"/>
          <w:color w:val="auto"/>
        </w:rPr>
        <w:t>Foreign Currency Forward Contract:</w:t>
      </w:r>
      <w:r>
        <w:rPr>
          <w:rFonts w:ascii="Times New Roman" w:cs="Times New Roman" w:eastAsia="Times New Roman" w:hAnsi="Times New Roman"/>
          <w:sz w:val="17"/>
          <w:szCs w:val="17"/>
          <w:color w:val="auto"/>
        </w:rPr>
        <w:t xml:space="preserve"> The Company uses a foreign currency derivative to lock in a fixed foreign currency exchange rate for the expected cash payment on an acquisition closed in the subsequent period and to manage its exposure to foreign currency exchange rate movements. The fair value of this contract is determined based on the present value of expected future cash flows using a discount rate appropriate for the respective maturity.</w:t>
      </w:r>
    </w:p>
    <w:p>
      <w:pPr>
        <w:spacing w:after="0" w:line="158"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Company incorporates credit valuation adjustments to appropriately reflect both our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December 31, 2023 were classified as Level 2 of the fair value hierarchy.</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See Note 14 — Derivatives and Hedging Activities Risk Management for additional information regarding interest rate contracts and foreign currency forward contract.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6"/>
          </w:tcPr>
          <w:p>
            <w:pPr>
              <w:jc w:val="center"/>
              <w:ind w:left="135"/>
              <w:spacing w:after="0" w:line="142" w:lineRule="exact"/>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7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72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70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Pr>
          <w:p>
            <w:pPr>
              <w:spacing w:after="0"/>
              <w:rPr>
                <w:sz w:val="15"/>
                <w:szCs w:val="15"/>
                <w:color w:val="auto"/>
              </w:rPr>
            </w:pPr>
          </w:p>
        </w:tc>
        <w:tc>
          <w:tcPr>
            <w:tcW w:w="144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7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contracts (undesignated)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 (undesignated)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30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contracts (undesignated)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consolidated balance sheet and are immaterial.</w:t>
      </w:r>
    </w:p>
    <w:p>
      <w:pPr>
        <w:spacing w:after="0" w:line="284" w:lineRule="exact"/>
        <w:rPr>
          <w:sz w:val="20"/>
          <w:szCs w:val="20"/>
          <w:color w:val="auto"/>
        </w:rPr>
      </w:pPr>
    </w:p>
    <w:p>
      <w:pPr>
        <w:ind w:left="120" w:right="4440"/>
        <w:spacing w:after="0" w:line="378" w:lineRule="auto"/>
        <w:rPr>
          <w:sz w:val="20"/>
          <w:szCs w:val="20"/>
          <w:color w:val="auto"/>
        </w:rPr>
      </w:pPr>
      <w:r>
        <w:rPr>
          <w:rFonts w:ascii="Times New Roman" w:cs="Times New Roman" w:eastAsia="Times New Roman" w:hAnsi="Times New Roman"/>
          <w:sz w:val="18"/>
          <w:szCs w:val="18"/>
          <w:b w:val="1"/>
          <w:bCs w:val="1"/>
          <w:color w:val="auto"/>
        </w:rPr>
        <w:t>NOTE 14 — DERIVATIVES AND HEDGING ACTIVITIES RISK MANAGEMENT Risk Management Objective of Using Derivatives</w:t>
      </w: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 The Company’s derivative financial instruments are used to manage differences in the amount, timing, and duration of the Company’s known or expected cash receipts and its known or expected cash payments principally related to the Company’s borrowings and acquisition.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21"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these objectives, the Company primarily uses interest 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swaps and caps as part of its interest rate risk management strategy. The Company designates certain of its interest rate derivatives as hedging instruments in cash flow.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2022 and 2023, such derivatives were used to hedge the variable cash flows associated with existing variable-rate debt.</w:t>
      </w:r>
    </w:p>
    <w:p>
      <w:pPr>
        <w:spacing w:after="0" w:line="168"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(loss) related to derivatives will be reclassified to interest expense as interest payments are made on the Company’s variable-rate debt. The Company estimates that $132 will be reclassified as a decrease to interest expense in one year after December 31,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Derivative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Company’s objectives in using foreign currency derivative are to lock in a fixed foreign currency exchange rate for the expected cash payment on an acquisition closed in the subsequent period and to manage its exposure to foreign currency exchange rate movements. To accomplish these objectives, the Company primarily uses a foreign exchange forward contract as part of its exchange rate risk management strategy. Although the contract was not designed as hedge accounting, effective in December 2023, it entitled the Company to receive a fixed amount of Canadian dollars from a counterparty in exchange for a fixed amount of US dollars upon settlement in January 2024. The forward contract was adjusted to current market value at the end of the period with gains and losses recorded as other income or expense.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notional amounts of outstanding interest rate derivatives and foreign currency derivative are summarized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88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color w:val="auto"/>
              </w:rPr>
              <w:t>Currency</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Notional Amount</w:t>
            </w:r>
          </w:p>
        </w:tc>
        <w:tc>
          <w:tcPr>
            <w:tcW w:w="2300" w:type="dxa"/>
            <w:vAlign w:val="bottom"/>
            <w:tcBorders>
              <w:top w:val="single" w:sz="8" w:color="auto"/>
            </w:tcBorders>
          </w:tcPr>
          <w:p>
            <w:pPr>
              <w:ind w:left="1040"/>
              <w:spacing w:after="0" w:line="142" w:lineRule="exact"/>
              <w:rPr>
                <w:sz w:val="20"/>
                <w:szCs w:val="20"/>
                <w:color w:val="auto"/>
              </w:rPr>
            </w:pPr>
            <w:r>
              <w:rPr>
                <w:rFonts w:ascii="Times New Roman" w:cs="Times New Roman" w:eastAsia="Times New Roman" w:hAnsi="Times New Roman"/>
                <w:sz w:val="14"/>
                <w:szCs w:val="14"/>
                <w:color w:val="auto"/>
              </w:rPr>
              <w:t>Maturity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USD</w:t>
            </w:r>
          </w:p>
        </w:tc>
        <w:tc>
          <w:tcPr>
            <w:tcW w:w="13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3,450</w:t>
            </w:r>
          </w:p>
        </w:tc>
        <w:tc>
          <w:tcPr>
            <w:tcW w:w="2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Nov’2025 to Dec’2026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8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USD</w:t>
            </w:r>
          </w:p>
        </w:tc>
        <w:tc>
          <w:tcPr>
            <w:tcW w:w="13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3,741</w:t>
            </w:r>
          </w:p>
        </w:tc>
        <w:tc>
          <w:tcPr>
            <w:tcW w:w="23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Nov’2025 to Dec’2026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Undesignated derivative instruments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8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USD</w:t>
            </w:r>
          </w:p>
        </w:tc>
        <w:tc>
          <w:tcPr>
            <w:tcW w:w="13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2,965</w:t>
            </w:r>
          </w:p>
        </w:tc>
        <w:tc>
          <w:tcPr>
            <w:tcW w:w="236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8"/>
              </w:rPr>
              <w:t>Nov’2025</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w:t>
            </w:r>
          </w:p>
        </w:tc>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CAD</w:t>
            </w:r>
          </w:p>
        </w:tc>
        <w:tc>
          <w:tcPr>
            <w:tcW w:w="13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6"/>
              </w:rPr>
              <w:t>215</w:t>
            </w:r>
          </w:p>
        </w:tc>
        <w:tc>
          <w:tcPr>
            <w:tcW w:w="2360" w:type="dxa"/>
            <w:vAlign w:val="bottom"/>
            <w:gridSpan w:val="2"/>
          </w:tcPr>
          <w:p>
            <w:pPr>
              <w:jc w:val="center"/>
              <w:ind w:left="456"/>
              <w:spacing w:after="0"/>
              <w:rPr>
                <w:sz w:val="20"/>
                <w:szCs w:val="20"/>
                <w:color w:val="auto"/>
              </w:rPr>
            </w:pPr>
            <w:r>
              <w:rPr>
                <w:rFonts w:ascii="Times New Roman" w:cs="Times New Roman" w:eastAsia="Times New Roman" w:hAnsi="Times New Roman"/>
                <w:sz w:val="18"/>
                <w:szCs w:val="18"/>
                <w:color w:val="auto"/>
                <w:w w:val="99"/>
              </w:rPr>
              <w:t>Jan’2024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interest rate cap with notional value of $2,230 to hedge the interest rate risk for the CMBS Loan matured in November 2023. To continue hedging the same risk, the Company entered into new interest rate caps with notional value of $741 and new interest rate swaps with notional value of $1,450 in 2023. These new interest risk contracts took effective in November 2023 and are set to mature in November 2025. Additionally, the Company entered into new interest rate caps with notional value of $1,000 in 2023 that will take effect in December 2025 and mature in December 2026. All the new interest rate contracts are designated as hedges for accounting purposes.</w:t>
      </w:r>
    </w:p>
    <w:p>
      <w:pPr>
        <w:spacing w:after="0" w:line="1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also entered into new interest rate caps with notional value of $2,965 in 2023. These contracts took effect in November 2023 and are set to mature in November 2025, and they are not designated as hedges and do not receive hedge accounting treatment.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Gains and Losses on Hedging Instruments and Undesignated Derivative Instruments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accumulated other comprehensive income (loss) (“AOCI”) for each reporting period:</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The effect of cash flow hedge accounting on</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AOCI for the Year ended</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6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recognized in</w:t>
            </w:r>
          </w:p>
        </w:tc>
        <w:tc>
          <w:tcPr>
            <w:tcW w:w="3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60" w:type="dxa"/>
            <w:vAlign w:val="bottom"/>
            <w:vMerge w:val="continue"/>
            <w:shd w:val="clear" w:color="auto" w:fill="CCEEFF"/>
          </w:tcPr>
          <w:p>
            <w:pPr>
              <w:spacing w:after="0"/>
              <w:rPr>
                <w:sz w:val="16"/>
                <w:szCs w:val="16"/>
                <w:color w:val="auto"/>
              </w:rPr>
            </w:pPr>
          </w:p>
        </w:tc>
        <w:tc>
          <w:tcPr>
            <w:tcW w:w="3040" w:type="dxa"/>
            <w:vAlign w:val="bottom"/>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Included in effectiveness testing</w:t>
            </w:r>
          </w:p>
        </w:tc>
        <w:tc>
          <w:tcPr>
            <w:tcW w:w="4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Interest rate caps</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48"/>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AOCI</w:t>
            </w:r>
          </w:p>
        </w:tc>
        <w:tc>
          <w:tcPr>
            <w:tcW w:w="3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3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Excluded from effectiveness testing</w:t>
            </w:r>
          </w:p>
        </w:tc>
        <w:tc>
          <w:tcPr>
            <w:tcW w:w="4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20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rate swaps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w w:val="99"/>
              </w:rPr>
              <w:t>Gain (loss) reclassified from</w:t>
            </w:r>
          </w:p>
        </w:tc>
        <w:tc>
          <w:tcPr>
            <w:tcW w:w="3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Included in effectiveness testing</w:t>
            </w:r>
          </w:p>
        </w:tc>
        <w:tc>
          <w:tcPr>
            <w:tcW w:w="2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Interest rate caps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AOCI into earnings</w:t>
            </w:r>
          </w:p>
        </w:tc>
        <w:tc>
          <w:tcPr>
            <w:tcW w:w="3040" w:type="dxa"/>
            <w:vAlign w:val="bottom"/>
          </w:tcPr>
          <w:p>
            <w:pPr>
              <w:spacing w:after="0"/>
              <w:rPr>
                <w:sz w:val="18"/>
                <w:szCs w:val="18"/>
                <w:color w:val="auto"/>
              </w:rPr>
            </w:pPr>
          </w:p>
        </w:tc>
        <w:tc>
          <w:tcPr>
            <w:tcW w:w="2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Interest rate swaps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30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Excluded from effectiveness testing</w:t>
            </w:r>
          </w:p>
        </w:tc>
        <w:tc>
          <w:tcPr>
            <w:tcW w:w="2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Interest rate caps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in AOCI</w:t>
            </w: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gain (loss) reclassed from AOCI into earnings was recorded in interest expense net.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presents gain (loss) of the undesignated derivatives for years ended December 31, 2023, and December 31, 2022:</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2023</w:t>
            </w:r>
          </w:p>
        </w:tc>
        <w:tc>
          <w:tcPr>
            <w:tcW w:w="6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2022</w:t>
            </w:r>
          </w:p>
        </w:tc>
        <w:tc>
          <w:tcPr>
            <w:tcW w:w="40" w:type="dxa"/>
            <w:vAlign w:val="bottom"/>
            <w:tcBorders>
              <w:bottom w:val="single" w:sz="8" w:color="CCEEFF"/>
            </w:tcBorders>
          </w:tcPr>
          <w:p>
            <w:pPr>
              <w:spacing w:after="0"/>
              <w:rPr>
                <w:sz w:val="14"/>
                <w:szCs w:val="14"/>
                <w:color w:val="auto"/>
              </w:rPr>
            </w:pP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$ 12</w:t>
            </w:r>
          </w:p>
        </w:tc>
        <w:tc>
          <w:tcPr>
            <w:tcW w:w="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w:t>
            </w:r>
          </w:p>
        </w:tc>
        <w:tc>
          <w:tcPr>
            <w:tcW w:w="9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 —</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$ 12</w:t>
            </w:r>
          </w:p>
        </w:tc>
      </w:tr>
      <w:tr>
        <w:trPr>
          <w:trHeight w:val="20"/>
        </w:trPr>
        <w:tc>
          <w:tcPr>
            <w:tcW w:w="7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gain (loss) of undesignated derivatives was recorded in other income, net.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recorded both the designated interest rate derivatives and the undesignated derivatives at fair value in the consolidated balance sheet. The respective assets and liabilities are generally classified as short-term or long-term based on the maturity dates of the derivatives.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summarizes the classification and fair value of the derivatives for each reporting period:</w:t>
      </w:r>
    </w:p>
    <w:p>
      <w:pPr>
        <w:sectPr>
          <w:pgSz w:w="11900" w:h="16838" w:orient="portrait"/>
          <w:cols w:equalWidth="0" w:num="1">
            <w:col w:w="11120"/>
          </w:cols>
          <w:pgMar w:left="320" w:top="455" w:right="459" w:bottom="1440" w:gutter="0" w:footer="0" w:header="0"/>
        </w:sectPr>
      </w:pP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Designated cash flow hedges</w:t>
            </w:r>
          </w:p>
        </w:tc>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Location</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current assets</w:t>
            </w:r>
          </w:p>
        </w:tc>
      </w:tr>
      <w:tr>
        <w:trPr>
          <w:trHeight w:val="216"/>
        </w:trPr>
        <w:tc>
          <w:tcPr>
            <w:tcW w:w="4400" w:type="dxa"/>
            <w:vAlign w:val="bottom"/>
          </w:tcPr>
          <w:p>
            <w:pPr>
              <w:spacing w:after="0"/>
              <w:rPr>
                <w:sz w:val="18"/>
                <w:szCs w:val="18"/>
                <w:color w:val="auto"/>
              </w:rPr>
            </w:pPr>
          </w:p>
        </w:tc>
        <w:tc>
          <w:tcPr>
            <w:tcW w:w="2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long-term assets</w:t>
            </w:r>
          </w:p>
        </w:tc>
      </w:tr>
      <w:tr>
        <w:trPr>
          <w:trHeight w:val="216"/>
        </w:trPr>
        <w:tc>
          <w:tcPr>
            <w:tcW w:w="4400" w:type="dxa"/>
            <w:vAlign w:val="bottom"/>
          </w:tcPr>
          <w:p>
            <w:pPr>
              <w:spacing w:after="0"/>
              <w:rPr>
                <w:sz w:val="18"/>
                <w:szCs w:val="18"/>
                <w:color w:val="auto"/>
              </w:rPr>
            </w:pPr>
          </w:p>
        </w:tc>
        <w:tc>
          <w:tcPr>
            <w:tcW w:w="2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Other long-term liabilities</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current assets</w:t>
            </w:r>
          </w:p>
        </w:tc>
      </w:tr>
      <w:tr>
        <w:trPr>
          <w:trHeight w:val="234"/>
        </w:trPr>
        <w:tc>
          <w:tcPr>
            <w:tcW w:w="4400" w:type="dxa"/>
            <w:vAlign w:val="bottom"/>
          </w:tcPr>
          <w:p>
            <w:pPr>
              <w:spacing w:after="0"/>
              <w:rPr>
                <w:sz w:val="20"/>
                <w:szCs w:val="20"/>
                <w:color w:val="auto"/>
              </w:rPr>
            </w:pPr>
          </w:p>
        </w:tc>
        <w:tc>
          <w:tcPr>
            <w:tcW w:w="2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long-term assets</w:t>
            </w:r>
          </w:p>
        </w:tc>
      </w:tr>
      <w:tr>
        <w:trPr>
          <w:trHeight w:val="24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Designated cash flow hedges</w:t>
            </w:r>
          </w:p>
        </w:tc>
        <w:tc>
          <w:tcPr>
            <w:tcW w:w="2460" w:type="dxa"/>
            <w:vAlign w:val="bottom"/>
          </w:tcPr>
          <w:p>
            <w:pPr>
              <w:spacing w:after="0"/>
              <w:rPr>
                <w:sz w:val="21"/>
                <w:szCs w:val="2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Undesignated derivative instruments</w:t>
            </w:r>
          </w:p>
        </w:tc>
        <w:tc>
          <w:tcPr>
            <w:tcW w:w="2460" w:type="dxa"/>
            <w:vAlign w:val="bottom"/>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long-term assets</w:t>
            </w:r>
          </w:p>
        </w:tc>
      </w:tr>
      <w:tr>
        <w:trPr>
          <w:trHeight w:val="216"/>
        </w:trPr>
        <w:tc>
          <w:tcPr>
            <w:tcW w:w="4400" w:type="dxa"/>
            <w:vAlign w:val="bottom"/>
          </w:tcPr>
          <w:p>
            <w:pPr>
              <w:spacing w:after="0"/>
              <w:rPr>
                <w:sz w:val="18"/>
                <w:szCs w:val="18"/>
                <w:color w:val="auto"/>
              </w:rPr>
            </w:pPr>
          </w:p>
        </w:tc>
        <w:tc>
          <w:tcPr>
            <w:tcW w:w="2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Other long-term liabilities</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w:t>
            </w:r>
          </w:p>
        </w:tc>
        <w:tc>
          <w:tcPr>
            <w:tcW w:w="2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current assets</w:t>
            </w:r>
          </w:p>
        </w:tc>
      </w:tr>
      <w:tr>
        <w:trPr>
          <w:trHeight w:val="24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Undesignated derivative instruments</w:t>
            </w:r>
          </w:p>
        </w:tc>
        <w:tc>
          <w:tcPr>
            <w:tcW w:w="2460" w:type="dxa"/>
            <w:vAlign w:val="bottom"/>
          </w:tcPr>
          <w:p>
            <w:pPr>
              <w:spacing w:after="0"/>
              <w:rPr>
                <w:sz w:val="21"/>
                <w:szCs w:val="21"/>
                <w:color w:val="auto"/>
              </w:rPr>
            </w:pPr>
          </w:p>
        </w:tc>
      </w:tr>
      <w:tr>
        <w:trPr>
          <w:trHeight w:val="243"/>
        </w:trPr>
        <w:tc>
          <w:tcPr>
            <w:tcW w:w="4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Pr>
          <w:p>
            <w:pPr>
              <w:spacing w:after="0"/>
              <w:rPr>
                <w:sz w:val="21"/>
                <w:szCs w:val="21"/>
                <w:color w:val="auto"/>
              </w:rPr>
            </w:pPr>
          </w:p>
        </w:tc>
      </w:tr>
      <w:tr>
        <w:trPr>
          <w:trHeight w:val="594"/>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-2099945</wp:posOffset>
            </wp:positionV>
            <wp:extent cx="6995160" cy="146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-1816735</wp:posOffset>
            </wp:positionV>
            <wp:extent cx="6995160" cy="1371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-1542415</wp:posOffset>
            </wp:positionV>
            <wp:extent cx="6995160" cy="1371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-1233805</wp:posOffset>
            </wp:positionV>
            <wp:extent cx="699516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-959485</wp:posOffset>
            </wp:positionV>
            <wp:extent cx="699516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-668020</wp:posOffset>
            </wp:positionV>
            <wp:extent cx="6995160"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2023</w:t>
      </w:r>
    </w:p>
    <w:p>
      <w:pPr>
        <w:spacing w:after="0" w:line="27" w:lineRule="exact"/>
        <w:rPr>
          <w:sz w:val="20"/>
          <w:szCs w:val="20"/>
          <w:color w:val="auto"/>
        </w:rPr>
      </w:pPr>
    </w:p>
    <w:p>
      <w:pPr>
        <w:ind w:left="980" w:hanging="977"/>
        <w:spacing w:after="0"/>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w:t>
      </w:r>
    </w:p>
    <w:p>
      <w:pPr>
        <w:spacing w:after="0" w:line="2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3723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372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372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372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6" w:lineRule="exact"/>
        <w:rPr>
          <w:sz w:val="20"/>
          <w:szCs w:val="20"/>
          <w:color w:val="auto"/>
        </w:rPr>
      </w:pPr>
    </w:p>
    <w:p>
      <w:pPr>
        <w:ind w:left="900" w:hanging="897"/>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372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7372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9140" w:space="720"/>
            <w:col w:w="1260"/>
          </w:cols>
          <w:pgMar w:left="320" w:top="455" w:right="459" w:bottom="1440" w:gutter="0" w:footer="0" w:header="0"/>
          <w:type w:val="continuous"/>
        </w:sect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Upon the closing of the Acquisition, the Company issued one class of ownership units, Class A units, and two classes of incentive units, Class B units and Class B catch-up profits interests (“CUPIs”; Class B, together with CUPIs, are referred to as “Incentive Units”). Incentive Units are granted to certain employees of the Company, which vest upon satisfaction of one or multiple market, performance, and/or service conditions of each award. Incentive Units granted to employees are measured at fair value at grant date, and the related expense is recognized over the requisite service periods on a straight-line basis for awards with only service conditions and the accelerated method for awards with performance or market conditions. Forfeitures are recorded as incurred. Certain Incentive Units allow for the accelerated vesting of the awards upon triggering events such as a change in control, as defined in the Company’s Incentive Unit subscription agreements. Upon the occurrence of the defined events, all qualified unvested Incentive Units granted would be automatically vested. All of the Class B and Class B CUPI Units include a put right (the “Plan Put Right”) (collectively the “Equity-based compensation mezz units”) that give the holders certain rights that may allow them to cause the Company to repurchase 20% of the Class B and 50% of the Class B CUPI mezzanine units at the current intrinsic value of the option five years from the completion of the Acquisition under conditions outside of the control of the Company. The holder’s redemption rights will terminate upon completion of a sale or IPO as defined in the respective subscription agreements. Management has determined it is probable that the units will become redeemable and has elected to carry the shares at redemption value, or fair value, in mezzanine equity on the consolidated balance sheet. The temporary equity carrying amount for the Class B and Class B CUPI mezzanine units is initially measured based on the intrinsic value as determined on grant date. As of December 31, 2023, 20% of vested Class B and 50% of vested Class B CUPI mezzanine units are recognized at their current intrinsic value. See Note 16 — Partners’ Capital and Mezzanine Equity for additional discussion of the Company’s treatment of equity-based compensation within mezzanine equity.</w:t>
      </w:r>
    </w:p>
    <w:p>
      <w:pPr>
        <w:spacing w:after="0" w:line="19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Participants in the Medline Industries, Inc. Managing Partner Program (effective April 1, 2018 and as amended from time to time, the “MPU Plan”) who hold one or more awards (“MPU Award Holders”) were entitled to receive a liquidity event MPU payout amount (the “Liquidity MPU Payout”) in connection with a change in control (e.g., a merger or consolidation into a new entity). The Acquisition qualified as a change in control and, therefore, triggered the Liquidity MPU Payout, with a portion being payable at the closing of the Acquisition. All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type w:val="continuous"/>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existing MPU Award Holders were granted the opportunity, pursuant to a reinvestment election agreement, to take a promissory note with 0.25% annualized interest rate from a portion of the Liquidity MPU Payout to purchase Class A units. The promissory note was reported as a reduction from the partners’ capital at inception. Pursuant to the same reinvestment agreement, all the existing MPU Award Holders were granted the opportunity to waive receipt of a portion of their Liquidity MPU Payout in exchange for CUPIs. As of December 31, 2023, the Company has authorized and issued 46 units of CUPIs with a grant date fair value of $0.57 per unit. CUPIs vest over a two-year service period from the grant date.</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authorized and issued 812 Class B Units with a weighted average grant date fair value of $0.33 per unit to certain employees of the Company. The Class B Units are subject to a five-year service vesting period, with 20% of units vesting on each of the five anniversaries of the grant date. The Class B Units have no expiration date.</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accordance with ASC 718 Compensation — Stock Compensation, all Incentive Units officially granted represent ownership interests of the Company and are classified as equity.</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Fair Value of Equity-Based Awards</w:t>
      </w:r>
      <w:r>
        <w:rPr>
          <w:rFonts w:ascii="Times New Roman" w:cs="Times New Roman" w:eastAsia="Times New Roman" w:hAnsi="Times New Roman"/>
          <w:sz w:val="18"/>
          <w:szCs w:val="18"/>
          <w:color w:val="auto"/>
        </w:rPr>
        <w:t>: The weighted average per unit fair value of the equity-based units is calculated using the Monte Carlo simulation in an option pricing framework, where the total equity value of the 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85" w:lineRule="exact"/>
        <w:rPr>
          <w:sz w:val="20"/>
          <w:szCs w:val="20"/>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precedent transactions involving equity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and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assumptions were made in the Monte Carlo simulation.</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7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u w:val="single" w:color="auto"/>
          <w:color w:val="auto"/>
        </w:rPr>
        <w:t>Volatility:</w:t>
      </w:r>
      <w:r>
        <w:rPr>
          <w:rFonts w:ascii="Times New Roman" w:cs="Times New Roman" w:eastAsia="Times New Roman" w:hAnsi="Times New Roman"/>
          <w:sz w:val="18"/>
          <w:szCs w:val="18"/>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The risk-free interest rate is estimated based on U.S. Treasury zero-coupon notes with terms consistent with the expected term of the awards.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auto"/>
        </w:rPr>
        <w:t>Dividend Yield:</w:t>
      </w:r>
      <w:r>
        <w:rPr>
          <w:rFonts w:ascii="Times New Roman" w:cs="Times New Roman" w:eastAsia="Times New Roman" w:hAnsi="Times New Roman"/>
          <w:sz w:val="17"/>
          <w:szCs w:val="17"/>
          <w:color w:val="auto"/>
        </w:rPr>
        <w:t xml:space="preserve"> The Company has never declared or paid any cash dividends and does not presently plan to pay cash dividends in the foreseeable future.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Consequently, the Company used an expected dividend yield of zero.</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the weighted-average inputs for expected term, volatility, risk-free interest rate, and dividend yield that were utilized by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in its Monte Carlo simulation for awards granted during fiscal 2023:</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w w:val="81"/>
              </w:rPr>
              <w:t>— </w:t>
            </w:r>
          </w:p>
        </w:tc>
        <w:tc>
          <w:tcPr>
            <w:tcW w:w="9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6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7"/>
              </w:rPr>
              <w:t>3.6</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 Years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w w:val="97"/>
              </w:rPr>
              <w:t>1.2</w:t>
            </w:r>
          </w:p>
        </w:tc>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- 4.6%</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40 - 48%</w:t>
            </w:r>
          </w:p>
        </w:tc>
      </w:tr>
    </w:tbl>
    <w:p>
      <w:pPr>
        <w:spacing w:after="0" w:line="17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Company recorded $217 and $272 of member unit-based compensation expense related to Liquidity MPU Payouts for the years ended December 31, 2023 and December 31, 2022, respectively, as a component of selling, general, and administrative expenses. On October 21, 2022, a portion of the promissory note was paid off with the Liquidity MPU Payout and consequently, a total of $85 was added to the Class A unit as capital contribution. On October 19, 2023, a portion of the promissory note was paid off with the Liquidity MPU Payout and consequently, a total of $84 was added to the Class A units as capital contribution.</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recorded $65 and $58 of compensation expense related to Class B and Class B CUPIs units for the years ended December 31, 2023, and December 31, 2022, respectively, as a component of selling, general, and administrative expenses. As of December 31, 2023, the Company had $149 of unrecognized unit-based compensation expense related to unvested Class B, which is expected to be recognized on a straight-line basis or a graded basis over a weighted average period of 3.2 years. As of December 31, 2023, the Company had another $9 of unrecognized unit-based compensation expense related to several tranches of unvested Class B units with additional performance condition and various derived requisite service periods. The respective compensation expense will not be recognized until the fulfillment of the defined performance condition. Such expense for each tranche of the Class B units will be trued up ratably based on the passage of the respective requisite service periods at the time of fulfillment and continue to be recognized on a graded basis over the remaining requisite service periods.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the Company has no material obligations to repurchase any Class B Units or CUPIs on a specified date.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Incentive Units activity during the year ended December 31, 2023:</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Class B</w:t>
            </w:r>
          </w:p>
        </w:tc>
        <w:tc>
          <w:tcPr>
            <w:tcW w:w="5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Class B CUPIs</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Units</w:t>
            </w:r>
          </w:p>
        </w:tc>
        <w:tc>
          <w:tcPr>
            <w:tcW w:w="36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Wtd. Avg. Grant</w:t>
            </w:r>
          </w:p>
        </w:tc>
        <w:tc>
          <w:tcPr>
            <w:tcW w:w="540" w:type="dxa"/>
            <w:vAlign w:val="bottom"/>
          </w:tcPr>
          <w:p>
            <w:pPr>
              <w:spacing w:after="0"/>
              <w:rPr>
                <w:sz w:val="10"/>
                <w:szCs w:val="10"/>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8"/>
              </w:rPr>
              <w:t>Units</w:t>
            </w:r>
          </w:p>
        </w:tc>
        <w:tc>
          <w:tcPr>
            <w:tcW w:w="460" w:type="dxa"/>
            <w:vAlign w:val="bottom"/>
          </w:tcPr>
          <w:p>
            <w:pPr>
              <w:spacing w:after="0"/>
              <w:rPr>
                <w:sz w:val="10"/>
                <w:szCs w:val="10"/>
                <w:color w:val="auto"/>
              </w:rPr>
            </w:pPr>
          </w:p>
        </w:tc>
        <w:tc>
          <w:tcPr>
            <w:tcW w:w="96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Wtd. Avg. Grant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Date Fair Value</w:t>
            </w:r>
          </w:p>
        </w:tc>
        <w:tc>
          <w:tcPr>
            <w:tcW w:w="4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0.32</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0.36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0.32</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Forfeited/bought back</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0.32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0.33</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unvested outstanding Incentive Units are expected to vest between 2024 and 2028.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Liability-classified units</w:t>
      </w:r>
    </w:p>
    <w:p>
      <w:pPr>
        <w:spacing w:after="0" w:line="121"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On February 13, 2023, the Company authorized additional Class B Units to be granted to certain employees on April 1, 2024 upon fulfillment of certain performance conditions. With each grant, the number of Class B units to</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be issued and the grant date fair value of the award are dependent on the performance targets achieved and the Company’s equity value, and will be determined on the official grant date. The Class B Units are subject to a five-year service vesting period, with 20% of units vesting on each of the five anniversaries from the official grant date. The award was classified as a liability in accordance with Topic 718 until the official grant date, when it will be reclassified as mezzanine equity. The award is presented in other long-term liabilities on the consolidated balance sheet. The unit fair value of these awards is determined using the same technique and assumptions as the Equity-Based Awards, and the Company reevaluates the fair value of these liability-classified units periodically until they are reclassified as mezzanine equity when granted, with the fair value change recorded ratably in the current-period compensation expense. As of December 31, 2023, the number of units probable to be issued is 77, with total fair value of $33. The Company had recognized compensation expense of $8 for the year ended December 31, 2023, and had $25 of unrecognized compensation expense, which is expected to be recognized on a graded basis over a weighted average period of 5.3 years.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 PARTNERS’ CAPITAL AND MEZZANINE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Partners’ Capital</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Company has three classes of authorized units: Class A units, Class B CUPI units, and Class B units. The holders of Class A units, Class B CUPI units, and Class B units are limited partners and do not have voting rights (although certain limited partners have certain consent rights as set forth in the GP LLC Agreement). Medline Holdings GP, LLC is the general partner of the Company that does not hold any units and is authorized to take any action, and cause the Company to take any action, subject to the terms of the Company’s Limited Partnership Agreement and the Medline Holdings GP, LLC’s Limited Liability Agreement (the “GP LLC Agreement”). The remaining rights and privileges of the holders of Class A units, Class B CUPI units, and Class B units are identical, except with respect to distribution and liquidation preferences. For both distributions (other than tax distributions) and liquidations, the Class A unit holders shall receive 100% of the distributions until the Class A unit holders have received cumulative distributions equal to $1.00 per Class A unit. Second, except for Operating Distributions (as defined in the Company’s limited partnership agreement), 100% of the remainder of the distributions following the distributions to the Class A unit holders shall be distributed to the Class B CUPI unit holders until the Class B CUPI unit holders receive cumulative distributions equal to the catch-up amount for such units ($1.00 per Class B CUPI unit). Third, the remainder of the distributions will be distributed on a pro rata basis (based on the number of units held and subject to vesting and, with respect to Class B units, deemed unit prices) to the Class A unit holders, the Class B CUPI unit holders, and the Class B unit holders, subject to the Company’s limited partnership agreement. Net income and net loss of the Company is allocated in a manner similar to the foregoing distributions pursuant to the GP LLC agreement. The partnership units cannot be converted. When units are initially granted, the related compensation expense will be presented under units granted. All subsequent compensation expense will be presented under unit-based compensation expense.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A — Mezzanine Equity</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Class A units held by members of management (the “Class A Mezzanine Units”) include a put right. Management has determined it is probable that the Class A Mezzanine Units will become redeemable and has elected to carry the shares at their maximum redemption value, or fair value, in mezzanine equity on the consolidated balance sheet. As of December 31, 2023, all Class A Mezzanine Units are recognized at their maximum redemption value. During the years ended December 31, 2023, and 2022, the Company recognized $40 and $10, respectively, in accretion of the Class A Mezzanine Units to redemption value within mezzanine equity on the consolidated balance sheet.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 — Mezzanine Equity</w:t>
      </w:r>
    </w:p>
    <w:p>
      <w:pPr>
        <w:spacing w:after="0" w:line="121" w:lineRule="exact"/>
        <w:rPr>
          <w:sz w:val="20"/>
          <w:szCs w:val="20"/>
          <w:color w:val="auto"/>
        </w:rPr>
      </w:pPr>
    </w:p>
    <w:p>
      <w:pPr>
        <w:jc w:val="both"/>
        <w:ind w:left="120" w:right="40"/>
        <w:spacing w:after="0" w:line="257" w:lineRule="auto"/>
        <w:rPr>
          <w:sz w:val="20"/>
          <w:szCs w:val="20"/>
          <w:color w:val="auto"/>
        </w:rPr>
      </w:pPr>
      <w:r>
        <w:rPr>
          <w:rFonts w:ascii="Times New Roman" w:cs="Times New Roman" w:eastAsia="Times New Roman" w:hAnsi="Times New Roman"/>
          <w:sz w:val="18"/>
          <w:szCs w:val="18"/>
          <w:color w:val="auto"/>
        </w:rPr>
        <w:t>As discussed in Note 15 — Stock-Based Compensation, 20% of vested Class B and 50% of vested Class B CUPI mezzanine units (collectively the “Put Units”) include a put right. The Company considers the Participants’ units probable of becoming redeemable. The Put Units are initially measured based on the intrinsic value as determined on the grant date. As of December 31, 2023, all vested Put Units are measured at their current intrinsic value.</w:t>
      </w:r>
    </w:p>
    <w:p>
      <w:pPr>
        <w:spacing w:after="0" w:line="1"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an adjustment to the pro-rata portion of the Put Units which have vested in the amounts of $37 and $18, respectively. The maturities related to the redemption feature are in accordance with the vesting terms discussed in Note 15 — Stock-Based Compensation, taking into account the five-year vesting period.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Accumulated other comprehensive income (loss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change in the balance of accumulated other comprehensive income (loss) by component and in total:</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ind w:right="560"/>
              <w:spacing w:after="0" w:line="119" w:lineRule="exact"/>
              <w:rPr>
                <w:sz w:val="20"/>
                <w:szCs w:val="20"/>
                <w:color w:val="auto"/>
              </w:rPr>
            </w:pPr>
            <w:r>
              <w:rPr>
                <w:rFonts w:ascii="Times New Roman" w:cs="Times New Roman" w:eastAsia="Times New Roman" w:hAnsi="Times New Roman"/>
                <w:sz w:val="13"/>
                <w:szCs w:val="13"/>
                <w:color w:val="auto"/>
              </w:rPr>
              <w:t>Unrealized gain</w:t>
            </w:r>
          </w:p>
        </w:tc>
        <w:tc>
          <w:tcPr>
            <w:tcW w:w="400" w:type="dxa"/>
            <w:vAlign w:val="bottom"/>
          </w:tcPr>
          <w:p>
            <w:pPr>
              <w:spacing w:after="0"/>
              <w:rPr>
                <w:sz w:val="10"/>
                <w:szCs w:val="10"/>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1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Retirement plans, net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right="36"/>
              <w:spacing w:after="0" w:line="119" w:lineRule="exact"/>
              <w:rPr>
                <w:sz w:val="20"/>
                <w:szCs w:val="20"/>
                <w:color w:val="auto"/>
              </w:rPr>
            </w:pPr>
            <w:r>
              <w:rPr>
                <w:rFonts w:ascii="Times New Roman" w:cs="Times New Roman" w:eastAsia="Times New Roman" w:hAnsi="Times New Roman"/>
                <w:sz w:val="13"/>
                <w:szCs w:val="13"/>
                <w:color w:val="auto"/>
              </w:rPr>
              <w:t>Accumulated other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(loss) on derivative</w:t>
            </w:r>
          </w:p>
        </w:tc>
        <w:tc>
          <w:tcPr>
            <w:tcW w:w="40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instruments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color w:val="auto"/>
              </w:rPr>
              <w:t>adjustments</w:t>
            </w:r>
          </w:p>
        </w:tc>
        <w:tc>
          <w:tcPr>
            <w:tcW w:w="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of tax</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8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reclassifications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5"/>
        </w:trPr>
        <w:tc>
          <w:tcPr>
            <w:tcW w:w="3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other comprehensive income</w:t>
            </w: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212</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gridSpan w:val="3"/>
          </w:tcPr>
          <w:p>
            <w:pPr>
              <w:jc w:val="right"/>
              <w:ind w:right="580"/>
              <w:spacing w:after="0" w:line="119" w:lineRule="exact"/>
              <w:rPr>
                <w:sz w:val="20"/>
                <w:szCs w:val="20"/>
                <w:color w:val="auto"/>
              </w:rPr>
            </w:pPr>
            <w:r>
              <w:rPr>
                <w:rFonts w:ascii="Times New Roman" w:cs="Times New Roman" w:eastAsia="Times New Roman" w:hAnsi="Times New Roman"/>
                <w:sz w:val="13"/>
                <w:szCs w:val="13"/>
                <w:color w:val="auto"/>
              </w:rPr>
              <w:t>Unrealized gain</w:t>
            </w:r>
          </w:p>
        </w:tc>
        <w:tc>
          <w:tcPr>
            <w:tcW w:w="400" w:type="dxa"/>
            <w:vAlign w:val="bottom"/>
          </w:tcPr>
          <w:p>
            <w:pPr>
              <w:spacing w:after="0"/>
              <w:rPr>
                <w:sz w:val="10"/>
                <w:szCs w:val="10"/>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16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Retirement plans, net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right="36"/>
              <w:spacing w:after="0" w:line="119" w:lineRule="exact"/>
              <w:rPr>
                <w:sz w:val="20"/>
                <w:szCs w:val="20"/>
                <w:color w:val="auto"/>
              </w:rPr>
            </w:pPr>
            <w:r>
              <w:rPr>
                <w:rFonts w:ascii="Times New Roman" w:cs="Times New Roman" w:eastAsia="Times New Roman" w:hAnsi="Times New Roman"/>
                <w:sz w:val="13"/>
                <w:szCs w:val="13"/>
                <w:color w:val="auto"/>
              </w:rPr>
              <w:t>Accumulated other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on derivative</w:t>
            </w:r>
          </w:p>
        </w:tc>
        <w:tc>
          <w:tcPr>
            <w:tcW w:w="40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rPr>
              <w:t>instruments</w:t>
            </w:r>
          </w:p>
        </w:tc>
        <w:tc>
          <w:tcPr>
            <w:tcW w:w="4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of tax</w:t>
            </w: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reclassifications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20"/>
                <w:szCs w:val="20"/>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5"/>
        </w:trPr>
        <w:tc>
          <w:tcPr>
            <w:tcW w:w="3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other comprehensive income</w:t>
            </w: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20"/>
                <w:szCs w:val="20"/>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8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 RELATED PARTY</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As of December 31, 2023, certain affiliates of the Sponsors held a portion of the Company’s long-term debt, including $6 and $643 reported in the current portion of long-term borrowings and other short-term borrowings and long-term borrowings, less current portion. The terms of these loans are identical to all other term loans issued and notes issued.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7 — Credit Agreements and Borrowings for additional information on the long-term debt.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entered into several operating leases with a certain related party. Operating lease assets and operating lease liabilities related to these transactions from this related party were not material as of December 31, 2023.</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have been no other significant transactions with related parties during the periods presented.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The organizational structure also includes Corporate &amp; Other which consists of expenses related to centralized corporate functions, such as finance, information technology, legal, human resources, and internal audit. The Medline Brand segment procures and manufactures products from three product categories — Surgical Solutions, Front Line Care, and Laboratory &amp; Diagnostics. This segment provides its products to domestic and international consumers. The Supply Chain Solutions segment distributes a variety of third-party products from national brands and also provides tailored logistics and supply chain optimization services to domestic and international consumers.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(“CODM”) is the Company’s Chief Executive Officer. For the Medline Brand and Supply Chain Solutions segments, the CODM uses Adjusted earnings before interest taxes, depreciation and amortization (“EBITDA”) to allocate resources (including employees, financial, or capital resources) to each segment in the annual budget and forecasting process. The CODM also uses Segment Adjusted EBITDA to assess the performance of each segment. Segment Adjusted EBITDA is defined as segment net sales, less cost of goods sold, less selling, general and administrative expenses. No asset information is provided to the CODM on the reportable segments. During 2024, the Company has been transitioning its operations to align around its two primary product lines, Medline Brand and Supply Chain Solutions. This change became effective in the third quarter of 2024. As a result, all segment information in these consolidated financial statements has been retrospectively recast to reflect this change. The following tables present financial information by segment:</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u w:val="single" w:color="auto"/>
          <w:color w:val="auto"/>
        </w:rPr>
        <w:t>Net sales to external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-116840</wp:posOffset>
            </wp:positionV>
            <wp:extent cx="5314950"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Front Line Care</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Surgical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54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color w:val="auto"/>
        </w:rPr>
        <w:t>Laboratory and Diagnostics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Year ended</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86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76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20" w:type="dxa"/>
            <w:vAlign w:val="bottom"/>
          </w:tcPr>
          <w:p>
            <w:pPr>
              <w:spacing w:after="0"/>
              <w:rPr>
                <w:sz w:val="10"/>
                <w:szCs w:val="10"/>
                <w:color w:val="auto"/>
              </w:rPr>
            </w:pPr>
          </w:p>
        </w:tc>
      </w:tr>
      <w:tr>
        <w:trPr>
          <w:trHeight w:val="171"/>
        </w:trPr>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4"/>
                <w:szCs w:val="14"/>
                <w:color w:val="auto"/>
              </w:rPr>
            </w:pPr>
          </w:p>
        </w:tc>
      </w:tr>
      <w:tr>
        <w:trPr>
          <w:trHeight w:val="421"/>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5,845</w:t>
            </w:r>
          </w:p>
        </w:tc>
        <w:tc>
          <w:tcPr>
            <w:tcW w:w="9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5,709</w:t>
            </w:r>
          </w:p>
        </w:tc>
      </w:tr>
      <w:tr>
        <w:trPr>
          <w:trHeight w:val="216"/>
        </w:trPr>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4,446</w:t>
            </w:r>
          </w:p>
        </w:tc>
      </w:tr>
      <w:tr>
        <w:trPr>
          <w:trHeight w:val="234"/>
        </w:trPr>
        <w:tc>
          <w:tcPr>
            <w:tcW w:w="1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r>
    </w:tbl>
    <w:p>
      <w:pPr>
        <w:spacing w:after="0" w:line="20" w:lineRule="exact"/>
        <w:rPr>
          <w:sz w:val="20"/>
          <w:szCs w:val="20"/>
          <w:color w:val="auto"/>
        </w:rPr>
      </w:pPr>
    </w:p>
    <w:p>
      <w:pPr>
        <w:sectPr>
          <w:pgSz w:w="11900" w:h="16838" w:orient="portrait"/>
          <w:cols w:equalWidth="0" w:num="2">
            <w:col w:w="6560" w:space="720"/>
            <w:col w:w="3840"/>
          </w:cols>
          <w:pgMar w:left="320" w:top="455" w:right="459" w:bottom="1440" w:gutter="0" w:footer="0" w:header="0"/>
          <w:type w:val="continuous"/>
        </w:sectPr>
      </w:pPr>
    </w:p>
    <w:tbl>
      <w:tblPr>
        <w:tblLayout w:type="fixed"/>
        <w:tblInd w:w="1440" w:type="dxa"/>
        <w:tblCellMar>
          <w:top w:w="0" w:type="dxa"/>
          <w:left w:w="0" w:type="dxa"/>
          <w:bottom w:w="0" w:type="dxa"/>
          <w:right w:w="0" w:type="dxa"/>
        </w:tblCellMar>
      </w:tblPr>
      <w:tr>
        <w:trPr>
          <w:trHeight w:val="20"/>
        </w:trPr>
        <w:tc>
          <w:tcPr>
            <w:tcW w:w="1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Medline Brand</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11,613</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10,999</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Supply Chain Solutions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10,449</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Consolidated net sales to external customers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Medline Brand</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2,704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Supply Chain Solutions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23"/>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&amp; Other</w:t>
            </w:r>
          </w:p>
        </w:tc>
        <w:tc>
          <w:tcPr>
            <w:tcW w:w="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(976)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Inventory-related adjustments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50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Stock based compensation and change of control stock</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compensation expense</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Litigation charges,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(a)</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540" w:hanging="424"/>
        <w:spacing w:after="0" w:line="282"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 due to a change in valuation estimate related to an acquisition, loss on disposals of assets and exits, realized and unrealized foreign currency and investment losses and costs and other items.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type w:val="continuous"/>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tables present information by sales office and geographic area:</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color w:val="auto"/>
              </w:rPr>
              <w:t>Year ended</w:t>
            </w:r>
          </w:p>
        </w:tc>
      </w:tr>
      <w:tr>
        <w:trPr>
          <w:trHeight w:val="119"/>
        </w:trPr>
        <w:tc>
          <w:tcPr>
            <w:tcW w:w="24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7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60" w:type="dxa"/>
            <w:vAlign w:val="bottom"/>
          </w:tcPr>
          <w:p>
            <w:pPr>
              <w:spacing w:after="0"/>
              <w:rPr>
                <w:sz w:val="10"/>
                <w:szCs w:val="10"/>
                <w:color w:val="auto"/>
              </w:rPr>
            </w:pPr>
          </w:p>
        </w:tc>
      </w:tr>
      <w:tr>
        <w:trPr>
          <w:trHeight w:val="171"/>
        </w:trPr>
        <w:tc>
          <w:tcPr>
            <w:tcW w:w="2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4"/>
                <w:szCs w:val="14"/>
                <w:color w:val="auto"/>
              </w:rPr>
            </w:pPr>
          </w:p>
        </w:tc>
        <w:tc>
          <w:tcPr>
            <w:tcW w:w="152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Pr>
          <w:p>
            <w:pPr>
              <w:spacing w:after="0"/>
              <w:rPr>
                <w:sz w:val="14"/>
                <w:szCs w:val="14"/>
                <w:color w:val="auto"/>
              </w:rPr>
            </w:pPr>
          </w:p>
        </w:tc>
      </w:tr>
      <w:tr>
        <w:trPr>
          <w:trHeight w:val="176"/>
        </w:trPr>
        <w:tc>
          <w:tcPr>
            <w:tcW w:w="2440" w:type="dxa"/>
            <w:vAlign w:val="bottom"/>
            <w:tcBorders>
              <w:top w:val="single" w:sz="8" w:color="CCEEFF"/>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Net sales to external customers:</w:t>
            </w:r>
          </w:p>
        </w:tc>
        <w:tc>
          <w:tcPr>
            <w:tcW w:w="26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506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Acute care </w:t>
            </w:r>
            <w:r>
              <w:rPr>
                <w:rFonts w:ascii="Times New Roman" w:cs="Times New Roman" w:eastAsia="Times New Roman" w:hAnsi="Times New Roman"/>
                <w:sz w:val="25"/>
                <w:szCs w:val="25"/>
                <w:color w:val="auto"/>
                <w:vertAlign w:val="superscript"/>
              </w:rPr>
              <w:t>(a)</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15,906</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14,455</w:t>
            </w:r>
          </w:p>
        </w:tc>
      </w:tr>
      <w:tr>
        <w:trPr>
          <w:trHeight w:val="216"/>
        </w:trPr>
        <w:tc>
          <w:tcPr>
            <w:tcW w:w="50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Non-Acute care </w:t>
            </w:r>
            <w:r>
              <w:rPr>
                <w:rFonts w:ascii="Times New Roman" w:cs="Times New Roman" w:eastAsia="Times New Roman" w:hAnsi="Times New Roman"/>
                <w:sz w:val="25"/>
                <w:szCs w:val="25"/>
                <w:color w:val="auto"/>
                <w:vertAlign w:val="superscript"/>
              </w:rPr>
              <w:t>(b)</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5,894</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5,510</w:t>
            </w:r>
          </w:p>
        </w:tc>
      </w:tr>
      <w:tr>
        <w:trPr>
          <w:trHeight w:val="223"/>
        </w:trPr>
        <w:tc>
          <w:tcPr>
            <w:tcW w:w="506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60" w:type="dxa"/>
            <w:vAlign w:val="bottom"/>
          </w:tcPr>
          <w:p>
            <w:pPr>
              <w:spacing w:after="0"/>
              <w:rPr>
                <w:sz w:val="19"/>
                <w:szCs w:val="19"/>
                <w:color w:val="auto"/>
              </w:rPr>
            </w:pPr>
          </w:p>
        </w:tc>
      </w:tr>
      <w:tr>
        <w:trPr>
          <w:trHeight w:val="216"/>
        </w:trPr>
        <w:tc>
          <w:tcPr>
            <w:tcW w:w="5060" w:type="dxa"/>
            <w:vAlign w:val="bottom"/>
            <w:gridSpan w:val="2"/>
            <w:shd w:val="clear" w:color="auto" w:fill="CCEEFF"/>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1,431</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w:t>
            </w:r>
          </w:p>
        </w:tc>
      </w:tr>
      <w:tr>
        <w:trPr>
          <w:trHeight w:val="201"/>
        </w:trPr>
        <w:tc>
          <w:tcPr>
            <w:tcW w:w="5060" w:type="dxa"/>
            <w:vAlign w:val="bottom"/>
            <w:gridSpan w:val="2"/>
          </w:tcPr>
          <w:p>
            <w:pPr>
              <w:ind w:left="1080"/>
              <w:spacing w:after="0" w:line="201" w:lineRule="exact"/>
              <w:rPr>
                <w:sz w:val="20"/>
                <w:szCs w:val="20"/>
                <w:color w:val="auto"/>
              </w:rPr>
            </w:pPr>
            <w:r>
              <w:rPr>
                <w:rFonts w:ascii="Times New Roman" w:cs="Times New Roman" w:eastAsia="Times New Roman" w:hAnsi="Times New Roman"/>
                <w:sz w:val="18"/>
                <w:szCs w:val="18"/>
                <w:b w:val="1"/>
                <w:bCs w:val="1"/>
                <w:color w:val="auto"/>
              </w:rPr>
              <w:t>Consolidated net sales to external</w:t>
            </w: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8"/>
        </w:trPr>
        <w:tc>
          <w:tcPr>
            <w:tcW w:w="506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23,231</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21,448</w:t>
            </w:r>
          </w:p>
        </w:tc>
      </w:tr>
      <w:tr>
        <w:trPr>
          <w:trHeight w:val="20"/>
        </w:trPr>
        <w:tc>
          <w:tcPr>
            <w:tcW w:w="2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Acute care represents hospital health systems.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Non-acute care represents other sites of care including outpatient, post acute, physician’s office, surgery centers, and all other.</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CCEEFF"/>
            </w:tcBorders>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Long-lived assets by geographical area</w:t>
            </w:r>
          </w:p>
        </w:tc>
        <w:tc>
          <w:tcPr>
            <w:tcW w:w="160" w:type="dxa"/>
            <w:vAlign w:val="bottom"/>
            <w:tcBorders>
              <w:bottom w:val="single" w:sz="8" w:color="auto"/>
            </w:tcBorders>
            <w:shd w:val="clear" w:color="auto" w:fill="CCEEFF"/>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(a)</w:t>
            </w:r>
          </w:p>
        </w:tc>
        <w:tc>
          <w:tcPr>
            <w:tcW w:w="3500" w:type="dxa"/>
            <w:vAlign w:val="bottom"/>
            <w:tcBorders>
              <w:bottom w:val="single" w:sz="8" w:color="CCEEFF"/>
            </w:tcBorders>
            <w:vMerge w:val="restart"/>
            <w:shd w:val="clear" w:color="auto" w:fill="CCEEFF"/>
          </w:tcPr>
          <w:p>
            <w:pPr>
              <w:jc w:val="right"/>
              <w:ind w:right="3361"/>
              <w:spacing w:after="0" w:line="155"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960" w:type="dxa"/>
            <w:vAlign w:val="bottom"/>
            <w:tcBorders>
              <w:bottom w:val="single" w:sz="8" w:color="auto"/>
            </w:tcBorders>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350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6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620" w:type="dxa"/>
            <w:vAlign w:val="bottom"/>
            <w:tcBorders>
              <w:top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4,190</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Consolidated long-lived assets,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property, plant and equipment, net, and operating lease ROU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consisted of $33 cash payment and a contingent liability with a fair valued of $20 at closing. The contingent liability is up to $35 and will be paid over two years based on the defined metrics in 2024 and 2025. United Medco, LLC is expected to bring significant growth to the Company’s health plans business by augmenting the Company’s best-in-class distribution capabilities and expanding the Company’s supplemental benefits offerings. The Company expects to gain access to United Medco, LLC’s valued customer base and further grow in the managed care space.</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recorded the contingent liability of $20 on the acquisition date. $8 was considered current and recorded as other current liabilities, and the remaining $12 was considered non-current and recorded as other long-term liabilities in the Company’s consolidated balance sheet.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Selling, general, and administrative expenses in the Company’s consolidated statements of comprehensive income (loss).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February 1, 2024, the Company, through its indirect wholly-owned subsidiary Medline Canada, Corporation, acquired all the issued and outstanding shares of Sinclair Dental Co. Ltd. (“Sinclair Dental”) pursuant to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terms of a share purchase agreement in exchange for $195 cash consideration. The primary purpose of the acquisition was to create an expanded opportunity for the Company to sell its own branded products and enhance Sinclair Dental’s product margins. In addition, the Company expects to leverage its scale and existing logistics capabilities to generate operational efficiencies and additional margin enhancements. The majority of the identifiable net assets was allocated to intangible assets.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March 27, 2024, the Company issued $1,000 aggregate principal amount of 6.250% Senior Secured Notes due 2029 pursuant to an indenture, with a maturity date of April 1, 2029 (the “Initial 2024 Notes”). The Company received net proceeds of $993 and used the proceeds from the issuance to pay down a portion of the principal on the outstanding Dollar Term Loans. On the same day, the Company amended the Credit Agreement originally entered into in connection with the Sponsor Acquisition to reduce the principal balance of the Dollar Term Loans by $1,000, and the applicable margin spread for the Dollar Term Loans was reduced by 0.36%.</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On June 24, 2024, the Company issued $500 aggregate principal amount of 6.250% Senior Secured Notes due 2029 with a maturity date of April 1, 2029 (the “Additional 2024 Notes,” and together with the Initial 2024 Notes, the “2024 Notes”). The Company received net proceeds of $495 and used the proceeds to repay a portion of the CMBS Loan on July 9, 2024. The 2024 Notes have a fixed annual interest rate of 6.250%, which will be paid in cash semi-annually in arrears on April 1 and October 1 of each year, and will mature on April 1, 2029.</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July 8, 2024, the Company amended the Credit Agreement originally entered into in connection with the Sponsor Acquisition to revise the Dollar Term Loans and the Euro Term Loans. Through the amendment, the Company increased the principal amounts of the U.S. Dollar Term Loans and the Euro Term Loans by $1,519 and €185, respectively, and received additional net loan proceeds of $1,503 and U.S. Dollar equivalent of $198 from the revised Dollar Term Loans and Euro Term Loans, respectively. The additional Dollar Term Loans bear a variable interest rate of SOFR plus 2.25%, while the variable interest rate on the existing Dollar Term Loans remains at SOFR plus 2.75%. The additional Euro Term Loans bear a variable interest rate of EURIBOR plus an applicable spread ranging from 2.25% to 2.75% based on certain of the Company’s debt ratios, while the variable interest rate on the existing Euro Term Loans was reduced by 0.75% to match that on the additional Euro Term Loans. The maturity date for all Term Loans remains October 21, 2028. The amendment also extended the maturity date of the Revolving Credit Facilities from October 21, 2026 to July 8, 2029 and did not change the maximum borrowing capacity of $1,000 or any other terms. On July 9, 2024, the Company used the net proceeds from the senior secured notes issued on June 24, 2024, the additional loan proceeds from the Dollar Term Loans and Euro Term Loans refinancing, and $23 cash on hand, to extinguish the entire outstanding principal balance of $2,219 of CMBS Loan.</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August 1, 2024, the Company acquired a portion of the global surgical solutions business of Ecolab, Inc., including the industry leading Microtek product lines (“Microtek”). The acquisition will provide us with innovative sterile drape solutions for surgeons, patients, and operating room equipment, as well as Ecolab’s fluid temperature management system. The purchase price for the acquisition was $926. The majority of the identifiable net assets was allocated to intangible assets.</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On November 19, 2024, we entered into an amendment to the Sponsor Acquisition Credit Agreement to (i) reduce the applicable margin for the Dollar Term Loans by 0.50% overall to match the applicable margin on the Additional Dollar Term Loans, resulting in a margin spread of SOFR plus 2.25% per annum and (ii) cause the Dollar Term Loans and the Additional Dollar Term Loans to be a single fungible class of term loans. Amortization payments equal to 0.25% of revised aggregate principal amount of $7,631 of the new class consisting of the Dollar Term Loans and Additional Dollar Term Loans are still due quarterly.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On December 9 and 10, 2024, the Company paid tax distributions of $1,210 to certain partners to catch up on a pro-rata basis tax distributions previously paid to other partners.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evaluated its consolidated financial statements for subsequent events through December 18, 2024, the date the consolidated financial statements were available to be issued.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20"/>
          </w:cols>
          <w:pgMar w:left="320" w:top="455" w:right="5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         Shares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Medline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2004695</wp:posOffset>
            </wp:positionV>
            <wp:extent cx="14744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341630</wp:posOffset>
            </wp:positionV>
            <wp:extent cx="668655" cy="677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686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Global coordinators and joint bookrunning managers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alphabetical order)</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124" w:lineRule="exact"/>
        <w:rPr>
          <w:sz w:val="20"/>
          <w:szCs w:val="20"/>
          <w:color w:val="auto"/>
        </w:rPr>
      </w:pPr>
    </w:p>
    <w:p>
      <w:pPr>
        <w:sectPr>
          <w:pgSz w:w="11900" w:h="16838" w:orient="portrait"/>
          <w:cols w:equalWidth="0" w:num="2">
            <w:col w:w="8300" w:space="720"/>
            <w:col w:w="212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8"/>
          <w:szCs w:val="28"/>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color w:val="auto"/>
        </w:rPr>
        <w:t>J.P. Morgan</w:t>
      </w:r>
    </w:p>
    <w:p>
      <w:pPr>
        <w:spacing w:after="0" w:line="200" w:lineRule="exact"/>
        <w:rPr>
          <w:sz w:val="20"/>
          <w:szCs w:val="20"/>
          <w:color w:val="auto"/>
        </w:rPr>
      </w:pPr>
    </w:p>
    <w:p>
      <w:pPr>
        <w:sectPr>
          <w:pgSz w:w="11900" w:h="16838" w:orient="portrait"/>
          <w:cols w:equalWidth="0" w:num="2">
            <w:col w:w="8920" w:space="720"/>
            <w:col w:w="1500"/>
          </w:cols>
          <w:pgMar w:left="320" w:top="455" w:right="439" w:bottom="1440" w:gutter="0" w:footer="0" w:header="0"/>
          <w:type w:val="continuous"/>
        </w:sectPr>
      </w:pPr>
    </w:p>
    <w:p>
      <w:pPr>
        <w:spacing w:after="0" w:line="263"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628015</wp:posOffset>
            </wp:positionV>
            <wp:extent cx="699516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696595</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 than the filing and listing fees payable to the Securities and Exchange Commission, the Financial Industry Regulatory Authority, Inc., and Nasdaq.</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 Fee—Securities and Exchange Commission</w:t>
            </w:r>
          </w:p>
        </w:tc>
        <w:tc>
          <w:tcPr>
            <w:tcW w:w="172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Fee—Financial Industry Regulatory Authority, Inc.</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Fee—Nasdaq</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Fees of Transfer Agent</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Expenses of Counsel</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Fees and Expenses of Accountants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720" w:type="dxa"/>
            <w:vAlign w:val="bottom"/>
            <w:gridSpan w:val="2"/>
          </w:tcPr>
          <w:p>
            <w:pPr>
              <w:spacing w:after="0"/>
              <w:rPr>
                <w:sz w:val="11"/>
                <w:szCs w:val="11"/>
                <w:color w:val="auto"/>
              </w:rPr>
            </w:pPr>
          </w:p>
        </w:tc>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be provided by amendment.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Section 102(b)(7) of the Delaware General Corporation Law, or DGCL, allows a corporation to provide in its certificate of incorporation that a director and certain officers of the corporation will not be personally liable to 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In addition, no provision may limit or eliminate the liability of a director for the authorization of the payment of a dividend or a stock repurchase or redemption in violation of Delaware corporate law, and no provision may limit or eliminate the liability of an officer in any action by or in the right of the Company, including any derivative claim. Our amended and restated certificate of incorporation provides for this limitation of liability to the fullest extent permitted by law, as it exists now or may exist in the future. Our amended and restated certificate of incorporation further provides that no amendment to our exculpation provision will limit or eliminate the rights or protections of officers with respect to acts or omissions occurring prior to the time of the amendment.</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they reasonably believed to be in or not opposed to the corporation’s best interests and, with respect to any criminal action or proceeding, had no reasonable cause to believe that their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5" w:right="4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person in connection with the defense or settlement of such action or suit, provided such person acted in good faith and in a manner they reasonably believed to be in or not opposed to the corporation’s best interests, provided further that no indemnification is permitted without judicial approval if the officer, director, employee, or agent is adjudged to be liable to the corporation. Where directors or certain officers are successful on the merits or otherwise in the defense of any action referred to above, the corporation must indemnify them against the expenses such officer or director has actually and reasonably incurred.</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them under Section 145.</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we must indemnify our directors and officers to the fullest extent authorized by the DGCL and must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indemnification agreements with our directors and executive officers. These agreements will require us, subject to limited exceptions, to indemnify these individuals to the fullest extent permitted under Delaware law against liabilities that may arise by reason of their service to us, and to advance expenses they incur as a result of any proceeding to which they are or are threatened to be made a party or participant.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proposed form of Underwriting Agreement to be filed as Exhibit 1.1 to this Registration Statement provides for indemnification to our directors and officers by the underwriters against certain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November 6, 2024, in connection with its incorporation, the Registrant issued 10,000 shares of the Registrant’s Class B common stock, par value $0.0001 per share, to Medline Holdings, LP (f/k/a Mozart Holdings, LP), a Delaware limited partnership, for $1.00. The issuance of such shares of Class B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was not registered under the Securities Act, because the shares were offered and sold in a transaction by the issuer not involving any public offering exempt from registration under Section 4(a)(2) of the Securities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7" w:lineRule="exact"/>
        <w:rPr>
          <w:sz w:val="20"/>
          <w:szCs w:val="20"/>
          <w:color w:val="auto"/>
        </w:rPr>
      </w:pPr>
    </w:p>
    <w:p>
      <w:pPr>
        <w:ind w:left="820" w:hanging="264"/>
        <w:spacing w:after="0"/>
        <w:tabs>
          <w:tab w:leader="none" w:pos="820" w:val="left"/>
        </w:tabs>
        <w:numPr>
          <w:ilvl w:val="0"/>
          <w:numId w:val="1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w:t>
      </w:r>
    </w:p>
    <w:p>
      <w:pPr>
        <w:spacing w:after="0" w:line="31" w:lineRule="exact"/>
        <w:rPr>
          <w:rFonts w:ascii="Times New Roman" w:cs="Times New Roman" w:eastAsia="Times New Roman" w:hAnsi="Times New Roman"/>
          <w:sz w:val="18"/>
          <w:szCs w:val="18"/>
          <w:b w:val="1"/>
          <w:bCs w:val="1"/>
          <w:i w:val="1"/>
          <w:iCs w:val="1"/>
          <w:color w:val="auto"/>
        </w:rPr>
      </w:pPr>
    </w:p>
    <w:p>
      <w:pPr>
        <w:ind w:left="1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herein.</w:t>
      </w:r>
    </w:p>
    <w:p>
      <w:pPr>
        <w:spacing w:after="0" w:line="202" w:lineRule="exact"/>
        <w:rPr>
          <w:rFonts w:ascii="Times New Roman" w:cs="Times New Roman" w:eastAsia="Times New Roman" w:hAnsi="Times New Roman"/>
          <w:sz w:val="18"/>
          <w:szCs w:val="18"/>
          <w:b w:val="1"/>
          <w:bCs w:val="1"/>
          <w:i w:val="1"/>
          <w:iCs w:val="1"/>
          <w:color w:val="auto"/>
        </w:rPr>
      </w:pPr>
    </w:p>
    <w:p>
      <w:pPr>
        <w:ind w:left="120" w:right="60" w:firstLine="436"/>
        <w:spacing w:after="0" w:line="286" w:lineRule="auto"/>
        <w:tabs>
          <w:tab w:leader="none" w:pos="815" w:val="left"/>
        </w:tabs>
        <w:numPr>
          <w:ilvl w:val="0"/>
          <w:numId w:val="1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Statement Schedules. </w:t>
      </w:r>
      <w:r>
        <w:rPr>
          <w:rFonts w:ascii="Times New Roman" w:cs="Times New Roman" w:eastAsia="Times New Roman" w:hAnsi="Times New Roman"/>
          <w:sz w:val="18"/>
          <w:szCs w:val="18"/>
          <w:color w:val="auto"/>
        </w:rPr>
        <w:t>Financial statement schedules have been omitted because they are not required, not applicable, or not 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amounts sufficient to require submission of the schedule.</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right="160" w:hanging="424"/>
        <w:spacing w:after="0" w:line="282"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88"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1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9" w:lineRule="exact"/>
        <w:rPr>
          <w:sz w:val="20"/>
          <w:szCs w:val="20"/>
          <w:color w:val="auto"/>
        </w:rPr>
      </w:pPr>
    </w:p>
    <w:p>
      <w:pPr>
        <w:ind w:left="1080" w:hanging="532"/>
        <w:spacing w:after="0" w:line="258"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29146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-657860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3"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8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16510</wp:posOffset>
            </wp:positionV>
            <wp:extent cx="636079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1360" w:space="640"/>
            <w:col w:w="8960"/>
          </w:cols>
          <w:pgMar w:left="320" w:top="455" w:right="619" w:bottom="1440" w:gutter="0" w:footer="0" w:header="0"/>
        </w:sectPr>
      </w:pPr>
    </w:p>
    <w:tbl>
      <w:tblPr>
        <w:tblLayout w:type="fixed"/>
        <w:tblInd w:w="1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Amended and Restated Bylaws of the Registrant*</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Indenture, dated as of October 15, 2021, by and between Mozart Debt Merger Sub Inc. and Wilmington Trust, National Association as</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trustee, paying agent, transfer agent and registrar*</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Supplemental Indenture, dated as of October 15, 2021, among each of the subsidiaries of Medline Borrower, LP listed thereto and</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Second Supplemental Indenture, dated as of July 19, 2024, among each of the subsidiaries of Medline Borrower, LP listed thereto and</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Indenture, dated as of October 15, 2021, among Mozart Debt Merger Sub Inc. and Wilmington Trust, National Association as trustee,</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paying agent, transfer agent, registrar and notes collateral agent*</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Supplemental Indenture, dated as of October 21, 2021, among each of the subsidiaries of Medline Borrower, LP listed thereto and</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Second Supplemental Indenture, dated as of July 19, 2024, among each of the subsidiaries of Medline Borrower, LP listed thereto and</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Indenture, dated as of March 27, 2024, among Medline Borrower, LP, Medline Co-Issuer, Inc., Medline Intermediate, LP, the Subsidiary</w:t>
            </w:r>
          </w:p>
        </w:tc>
      </w:tr>
      <w:tr>
        <w:trPr>
          <w:trHeight w:val="216"/>
        </w:trPr>
        <w:tc>
          <w:tcPr>
            <w:tcW w:w="660" w:type="dxa"/>
            <w:vAlign w:val="bottom"/>
          </w:tcPr>
          <w:p>
            <w:pPr>
              <w:spacing w:after="0"/>
              <w:rPr>
                <w:sz w:val="18"/>
                <w:szCs w:val="18"/>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Guarantors named therein and Wilmington Trust, National Association as trustee, paying agent, transfer agent, registrar and notes</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 agent*</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Supplemental Indenture, dated as of June 24, 2024, among each of the subsidiaries of Medline Borrower, LP listed thereto and</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Wilmington Trust, National Association, as trustee and collateral agent*</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Second Supplemental Indenture, dated as of July 19, 2024, among each of the subsidiaries of Medline Borrower, LP listed thereto and</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Wilmington Trust, National Association, as trustee and collateral agent*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Opinion of Simpson Thacher &amp; Bartlett LLP*</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Amended and Restated Limited Partnership Agreement of Medline Holdings, LP*</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Tax Receivable Agreement*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Exchange Agreement*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Director Nomination Agreement*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Support and Services Agreement, dated as of October 21, 2021, among Medline Holdings, LP (f/k/a Mozart Holdings, LP), Medline</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Industries, LP, Blackstone Capital Partners VIII L.P. and Blackstone Management Partners L.L.C.*</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Consulting Services Agreement, dated as of October 21, 2021, between Medline Holdings, LP (f/k/a Mozart Holdings, LP) and Carlyle</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Management L.L.C.*</w:t>
            </w:r>
          </w:p>
        </w:tc>
      </w:tr>
      <w:tr>
        <w:trPr>
          <w:trHeight w:val="30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Service Agreement, dated as of October 21, 2021, between Medline Holdings, LP (f/k/a Mozart Holdings, LP) and Hellman &amp; Friedman</w:t>
            </w:r>
          </w:p>
        </w:tc>
      </w:tr>
      <w:tr>
        <w:trPr>
          <w:trHeight w:val="234"/>
        </w:trPr>
        <w:tc>
          <w:tcPr>
            <w:tcW w:w="660" w:type="dxa"/>
            <w:vAlign w:val="bottom"/>
          </w:tcPr>
          <w:p>
            <w:pPr>
              <w:spacing w:after="0"/>
              <w:rPr>
                <w:sz w:val="20"/>
                <w:szCs w:val="20"/>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LP*</w:t>
            </w:r>
          </w:p>
        </w:tc>
      </w:tr>
    </w:tbl>
    <w:p>
      <w:pPr>
        <w:spacing w:after="0" w:line="1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960"/>
          </w:cols>
          <w:pgMar w:left="320" w:top="455" w:right="619" w:bottom="1440" w:gutter="0" w:footer="0" w:header="0"/>
          <w:type w:val="continuous"/>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20" w:type="dxa"/>
            <w:vAlign w:val="bottom"/>
          </w:tcPr>
          <w:p>
            <w:pPr>
              <w:jc w:val="center"/>
              <w:ind w:right="931"/>
              <w:spacing w:after="0"/>
              <w:rPr>
                <w:sz w:val="20"/>
                <w:szCs w:val="20"/>
                <w:color w:val="auto"/>
              </w:rPr>
            </w:pPr>
            <w:r>
              <w:rPr>
                <w:rFonts w:ascii="Times New Roman" w:cs="Times New Roman" w:eastAsia="Times New Roman" w:hAnsi="Times New Roman"/>
                <w:sz w:val="18"/>
                <w:szCs w:val="18"/>
                <w:b w:val="1"/>
                <w:bCs w:val="1"/>
                <w:color w:val="auto"/>
                <w:w w:val="99"/>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jc w:val="center"/>
              <w:ind w:right="911"/>
              <w:spacing w:after="0"/>
              <w:rPr>
                <w:sz w:val="20"/>
                <w:szCs w:val="20"/>
                <w:color w:val="auto"/>
              </w:rPr>
            </w:pPr>
            <w:r>
              <w:rPr>
                <w:rFonts w:ascii="Times New Roman" w:cs="Times New Roman" w:eastAsia="Times New Roman" w:hAnsi="Times New Roman"/>
                <w:sz w:val="18"/>
                <w:szCs w:val="18"/>
                <w:b w:val="1"/>
                <w:bCs w:val="1"/>
                <w:color w:val="auto"/>
                <w:w w:val="99"/>
              </w:rPr>
              <w:t>correspondence pursuant to Rule 83 of the Securities and Exchange Commission.</w:t>
            </w:r>
          </w:p>
        </w:tc>
        <w:tc>
          <w:tcPr>
            <w:tcW w:w="0" w:type="dxa"/>
            <w:vAlign w:val="bottom"/>
          </w:tcPr>
          <w:p>
            <w:pPr>
              <w:spacing w:after="0"/>
              <w:rPr>
                <w:sz w:val="1"/>
                <w:szCs w:val="1"/>
                <w:color w:val="auto"/>
              </w:rPr>
            </w:pPr>
          </w:p>
        </w:tc>
      </w:tr>
      <w:tr>
        <w:trPr>
          <w:trHeight w:val="272"/>
        </w:trPr>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20" w:type="dxa"/>
            <w:vAlign w:val="bottom"/>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24"/>
                <w:szCs w:val="24"/>
                <w:color w:val="auto"/>
              </w:rPr>
            </w:pPr>
          </w:p>
        </w:tc>
        <w:tc>
          <w:tcPr>
            <w:tcW w:w="10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Service Agreement, dated as of October 21, 2021, between Medline Holdings, LP (f/k/a Mozart Holdings, LP) and Mozart Holdco,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Form of 2025 Medline Inc. Omnibus Incentive Plan*†</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Medline Industries, LP and James M. Boyle, dated October 1, 2023.*†</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Medline Industries, LP and James M. Pigott, dated October 1, 2023.*†</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Transition and Release Agreement by and among James M. Pigott, Medline Industries, LP, Mozart Management Aggregator LLC and</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Medline Holdings, LP (f/k/a Mozart Holdings, LP), dated October 14, 2024.*†</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dated as of October 21, 2021, among Medline Borrower, LP, as successor in interest to Mozart Debt Merger Sub Inc.,</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w w:val="99"/>
              </w:rPr>
              <w:t>Medline Intermediate, LP, the guarantors from time to time party thereto, the lending institutions from time to time party thereto, and Bank</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of America, N.A., as administrative agent and collateral agent*</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Credit Agreement, dated as of June 28, 2023, among Medline Borrower, LP, as successor in interest to Mozart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Debt Merger Sub Inc., Medline Intermediate, LP, the guarantors from time to time party thereto, the lending institutions from time to time</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party thereto, and Bank of America, N.A., as administrative agent and collateral agent*</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2 to the Credit Agreement, dated as of March 27, 2024, among Medline Borrower, LP, as successor in interest to Mozart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Debt Merger Sub Inc., Medline Intermediate, LP, the guarantors from time to time party thereto, the lending institutions from time to time</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party thereto, and Bank of America, N.A., as administrative agent and collateral agent*</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3 to the Credit Agreement, dated as of July 8, 2024, among Medline Borrower, LP, as successor in interest to Mozart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Debt Merger Sub Inc., Medline Intermediate, LP, the guarantors from time to time party thereto, the lending institutions from time to time</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party thereto, and Bank of America, N.A., as administrative agent and collateral agent*</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4 to the Credit Agreement, dated as of November 19, 2024, among Medline Borrower, LP, as successor in interest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Mozart Debt Merger Sub Inc., Medline Intermediate, LP, the guarantors from time to time party thereto, the lending institutions from time</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 time party thereto, and Bank of America, N.A., as administrative agent and collateral agent*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Security Agreement, dated as of October 21, 2021, among the grantors party thereto and Bank of America, N.A., as collateral agent*</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Supplement No. 1, dated as of July 19, 2024, to the Security Agreement, dated as of October 21, 2021, among the grantors party thereto</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and Bank of America, N.A., as collateral agent*</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Security Agreement, dated as of October 21, 2021, among the grantors party thereto and Wilmington Trust, National Association as notes</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Supplement No. 1 to the Security Agreement, dated as of July 19, 2024, among the grantors party thereto and Wilmington Trust, National</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notes collateral agent*</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Security Agreement, dated as of March 27, 2024, among the grantors party thereto and Wilmington Trust, National Association as notes</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Supplement No. 1 to the Security Agreement, dated as of July 19, 2024, among the grantors party thereto and Wilmington Trust, National</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notes collateral agent*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20" w:type="dxa"/>
            <w:vAlign w:val="bottom"/>
          </w:tcPr>
          <w:p>
            <w:pPr>
              <w:jc w:val="center"/>
              <w:ind w:right="931"/>
              <w:spacing w:after="0"/>
              <w:rPr>
                <w:sz w:val="20"/>
                <w:szCs w:val="20"/>
                <w:color w:val="auto"/>
              </w:rPr>
            </w:pPr>
            <w:r>
              <w:rPr>
                <w:rFonts w:ascii="Times New Roman" w:cs="Times New Roman" w:eastAsia="Times New Roman" w:hAnsi="Times New Roman"/>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20" w:type="dxa"/>
            <w:vAlign w:val="bottom"/>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10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Consent of Ernst &amp; Young LLP as to Medline Holdings, LP*</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Consent of Simpson Thacher &amp; Bartlett LLP (included as part of Exhibit 5.1)*</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in signature pages of this Registration Statement)*</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Northfield, State of Illinois, on the        day of        , 2025.</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James M. Boyle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80"/>
          </w:cols>
          <w:pgMar w:left="320" w:top="455"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James M. Boyle, Michael B. Drazin, and Alex M. Liberman, and each of them, any of whom may act without joinder of the other, the individual’s true and lawful attorneys-in-fact and agents, with full power of substitution and resubstitution, for the person and in their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have been signed by the following persons in the capacities indicated on the        day of         , 2025.</w:t>
      </w:r>
    </w:p>
    <w:p>
      <w:pPr>
        <w:sectPr>
          <w:pgSz w:w="11900" w:h="16838" w:orient="portrait"/>
          <w:cols w:equalWidth="0" w:num="1">
            <w:col w:w="11060"/>
          </w:cols>
          <w:pgMar w:left="320" w:top="455" w:right="519" w:bottom="1440" w:gutter="0" w:footer="0" w:header="0"/>
        </w:sectPr>
      </w:pPr>
    </w:p>
    <w:p>
      <w:pPr>
        <w:spacing w:after="0" w:line="18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187960</wp:posOffset>
            </wp:positionV>
            <wp:extent cx="320611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16510</wp:posOffset>
            </wp:positionV>
            <wp:extent cx="320611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9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274320</wp:posOffset>
            </wp:positionV>
            <wp:extent cx="320611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James 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061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Joseph P. Baratta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0611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Jacob D.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0611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Andrew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0611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Charles 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0611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Robert R.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0611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Anushka M. Sunder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213360</wp:posOffset>
            </wp:positionV>
            <wp:extent cx="320611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3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0611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Allen R. 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0611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Stephen H.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0611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274320</wp:posOffset>
            </wp:positionV>
            <wp:extent cx="320611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Brenna E. Albert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16510</wp:posOffset>
            </wp:positionV>
            <wp:extent cx="365188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VP Global Controller</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II-9</w:t>
      </w:r>
    </w:p>
    <w:sectPr>
      <w:pgSz w:w="11900" w:h="16838" w:orient="portrait"/>
      <w:cols w:equalWidth="0" w:num="2">
        <w:col w:w="4760" w:space="720"/>
        <w:col w:w="5580"/>
      </w:cols>
      <w:pgMar w:left="320" w:top="45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1)"/>
      <w:numFmt w:val="decimal"/>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1)"/>
      <w:numFmt w:val="decimal"/>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1)"/>
      <w:numFmt w:val="decimal"/>
      <w:start w:val="1"/>
    </w:lvl>
  </w:abstractNum>
  <w:abstractNum w:abstractNumId="19">
    <w:nsid w:val="CC1016F"/>
    <w:multiLevelType w:val="hybridMultilevel"/>
    <w:lvl w:ilvl="0">
      <w:lvlJc w:val="left"/>
      <w:lvlText w:val="(%1)"/>
      <w:numFmt w:val="decimal"/>
      <w:start w:val="2"/>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1)"/>
      <w:numFmt w:val="lowerRoman"/>
      <w:start w:val="4"/>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1)"/>
      <w:numFmt w:val="decimal"/>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1)"/>
      <w:numFmt w:val="decimal"/>
      <w:start w:val="1"/>
    </w:lvl>
  </w:abstractNum>
  <w:abstractNum w:abstractNumId="34">
    <w:nsid w:val="7D5E18F8"/>
    <w:multiLevelType w:val="hybridMultilevel"/>
    <w:lvl w:ilvl="0">
      <w:lvlJc w:val="left"/>
      <w:lvlText w:val="(%1)"/>
      <w:numFmt w:val="decimal"/>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1)"/>
      <w:numFmt w:val="decimal"/>
      <w:start w:val="1"/>
    </w:lvl>
  </w:abstractNum>
  <w:abstractNum w:abstractNumId="37">
    <w:nsid w:val="7DE67713"/>
    <w:multiLevelType w:val="hybridMultilevel"/>
    <w:lvl w:ilvl="0">
      <w:lvlJc w:val="left"/>
      <w:lvlText w:val="%1."/>
      <w:numFmt w:val="decimal"/>
      <w:start w:val="1"/>
    </w:lvl>
  </w:abstractNum>
  <w:abstractNum w:abstractNumId="38">
    <w:nsid w:val="555C55B5"/>
    <w:multiLevelType w:val="hybridMultilevel"/>
    <w:lvl w:ilvl="0">
      <w:lvlJc w:val="left"/>
      <w:lvlText w:val="%1)"/>
      <w:numFmt w:val="lowerLetter"/>
      <w:start w:val="1"/>
    </w:lvl>
    <w:lvl w:ilvl="1">
      <w:lvlJc w:val="left"/>
      <w:lvlText w:val="%2)"/>
      <w:numFmt w:val="lowerRoman"/>
      <w:start w:val="1"/>
    </w:lvl>
  </w:abstractNum>
  <w:abstractNum w:abstractNumId="39">
    <w:nsid w:val="3FA62ACA"/>
    <w:multiLevelType w:val="hybridMultilevel"/>
    <w:lvl w:ilvl="0">
      <w:lvlJc w:val="left"/>
      <w:lvlText w:val="%1)"/>
      <w:numFmt w:val="lowerLetter"/>
      <w:start w:val="2"/>
    </w:lvl>
  </w:abstractNum>
  <w:abstractNum w:abstractNumId="40">
    <w:nsid w:val="14FCE74E"/>
    <w:multiLevelType w:val="hybridMultilevel"/>
    <w:lvl w:ilvl="0">
      <w:lvlJc w:val="left"/>
      <w:lvlText w:val="%1)"/>
      <w:numFmt w:val="lowerLetter"/>
      <w:start w:val="3"/>
    </w:lvl>
  </w:abstractNum>
  <w:abstractNum w:abstractNumId="41">
    <w:nsid w:val="6A3DD3E8"/>
    <w:multiLevelType w:val="hybridMultilevel"/>
    <w:lvl w:ilvl="0">
      <w:lvlJc w:val="left"/>
      <w:lvlText w:val="%1)"/>
      <w:numFmt w:val="lowerLetter"/>
      <w:start w:val="5"/>
    </w:lvl>
  </w:abstractNum>
  <w:abstractNum w:abstractNumId="42">
    <w:nsid w:val="71C91298"/>
    <w:multiLevelType w:val="hybridMultilevel"/>
    <w:lvl w:ilvl="0">
      <w:lvlJc w:val="left"/>
      <w:lvlText w:val="%1)"/>
      <w:numFmt w:val="lowerLetter"/>
      <w:start w:val="6"/>
    </w:lvl>
  </w:abstractNum>
  <w:abstractNum w:abstractNumId="43">
    <w:nsid w:val="9DAF632"/>
    <w:multiLevelType w:val="hybridMultilevel"/>
    <w:lvl w:ilvl="0">
      <w:lvlJc w:val="left"/>
      <w:lvlText w:val="%1."/>
      <w:numFmt w:val="decimal"/>
      <w:start w:val="2"/>
    </w:lvl>
  </w:abstractNum>
  <w:abstractNum w:abstractNumId="44">
    <w:nsid w:val="53299938"/>
    <w:multiLevelType w:val="hybridMultilevel"/>
    <w:lvl w:ilvl="0">
      <w:lvlJc w:val="left"/>
      <w:lvlText w:val="%1)"/>
      <w:numFmt w:val="lowerLetter"/>
      <w:start w:val="7"/>
    </w:lvl>
  </w:abstractNum>
  <w:abstractNum w:abstractNumId="45">
    <w:nsid w:val="1FBFE8E0"/>
    <w:multiLevelType w:val="hybridMultilevel"/>
    <w:lvl w:ilvl="0">
      <w:lvlJc w:val="left"/>
      <w:lvlText w:val="%1)"/>
      <w:numFmt w:val="lowerLetter"/>
      <w:start w:val="10"/>
    </w:lvl>
  </w:abstractNum>
  <w:abstractNum w:abstractNumId="46">
    <w:nsid w:val="5092CA79"/>
    <w:multiLevelType w:val="hybridMultilevel"/>
    <w:lvl w:ilvl="0">
      <w:lvlJc w:val="left"/>
      <w:lvlText w:val="(%1)"/>
      <w:numFmt w:val="decimal"/>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1)"/>
      <w:numFmt w:val="decimal"/>
      <w:start w:val="1"/>
    </w:lvl>
  </w:abstractNum>
  <w:abstractNum w:abstractNumId="53">
    <w:nsid w:val="51088277"/>
    <w:multiLevelType w:val="hybridMultilevel"/>
    <w:lvl w:ilvl="0">
      <w:lvlJc w:val="left"/>
      <w:lvlText w:val="(%1)"/>
      <w:numFmt w:val="decimal"/>
      <w:start w:val="1"/>
    </w:lvl>
  </w:abstractNum>
  <w:abstractNum w:abstractNumId="54">
    <w:nsid w:val="1CA0C5FA"/>
    <w:multiLevelType w:val="hybridMultilevel"/>
    <w:lvl w:ilvl="0">
      <w:lvlJc w:val="left"/>
      <w:lvlText w:val="(%1)"/>
      <w:numFmt w:val="decimal"/>
      <w:start w:val="2"/>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1)"/>
      <w:numFmt w:val="decimal"/>
      <w:start w:val="1"/>
    </w:lvl>
  </w:abstractNum>
  <w:abstractNum w:abstractNumId="57">
    <w:nsid w:val="7C58FD05"/>
    <w:multiLevelType w:val="hybridMultilevel"/>
    <w:lvl w:ilvl="0">
      <w:lvlJc w:val="left"/>
      <w:lvlText w:val="(%1)"/>
      <w:numFmt w:val="decimal"/>
      <w:start w:val="2"/>
    </w:lvl>
  </w:abstractNum>
  <w:abstractNum w:abstractNumId="58">
    <w:nsid w:val="23D86AAC"/>
    <w:multiLevelType w:val="hybridMultilevel"/>
    <w:lvl w:ilvl="0">
      <w:lvlJc w:val="left"/>
      <w:lvlText w:val="(%1)"/>
      <w:numFmt w:val="decimal"/>
      <w:start w:val="3"/>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
      <w:numFmt w:val="bullet"/>
      <w:start w:val="1"/>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
      <w:numFmt w:val="bullet"/>
      <w:start w:val="1"/>
    </w:lvl>
  </w:abstractNum>
  <w:abstractNum w:abstractNumId="75">
    <w:nsid w:val="3DD15094"/>
    <w:multiLevelType w:val="hybridMultilevel"/>
    <w:lvl w:ilvl="0">
      <w:lvlJc w:val="left"/>
      <w:lvlText w:val="•"/>
      <w:numFmt w:val="bullet"/>
      <w:start w:val="1"/>
    </w:lvl>
  </w:abstractNum>
  <w:abstractNum w:abstractNumId="76">
    <w:nsid w:val="3DB012B3"/>
    <w:multiLevelType w:val="hybridMultilevel"/>
    <w:lvl w:ilvl="0">
      <w:lvlJc w:val="left"/>
      <w:lvlText w:val="•"/>
      <w:numFmt w:val="bullet"/>
      <w:start w:val="1"/>
    </w:lvl>
  </w:abstractNum>
  <w:abstractNum w:abstractNumId="77">
    <w:nsid w:val="2708C9AF"/>
    <w:multiLevelType w:val="hybridMultilevel"/>
    <w:lvl w:ilvl="0">
      <w:lvlJc w:val="left"/>
      <w:lvlText w:val="•"/>
      <w:numFmt w:val="bullet"/>
      <w:start w:val="1"/>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
      <w:numFmt w:val="bullet"/>
      <w:start w:val="1"/>
    </w:lvl>
  </w:abstractNum>
  <w:abstractNum w:abstractNumId="81">
    <w:nsid w:val="53B0A9E"/>
    <w:multiLevelType w:val="hybridMultilevel"/>
    <w:lvl w:ilvl="0">
      <w:lvlJc w:val="left"/>
      <w:lvlText w:val="•"/>
      <w:numFmt w:val="bullet"/>
      <w:start w:val="1"/>
    </w:lvl>
  </w:abstractNum>
  <w:abstractNum w:abstractNumId="82">
    <w:nsid w:val="34FD6B4F"/>
    <w:multiLevelType w:val="hybridMultilevel"/>
    <w:lvl w:ilvl="0">
      <w:lvlJc w:val="left"/>
      <w:lvlText w:val="•"/>
      <w:numFmt w:val="bullet"/>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1)"/>
      <w:numFmt w:val="decimal"/>
      <w:start w:val="1"/>
    </w:lvl>
  </w:abstractNum>
  <w:abstractNum w:abstractNumId="86">
    <w:nsid w:val="2C6E4AFD"/>
    <w:multiLevelType w:val="hybridMultilevel"/>
    <w:lvl w:ilvl="0">
      <w:lvlJc w:val="left"/>
      <w:lvlText w:val="•"/>
      <w:numFmt w:val="bullet"/>
      <w:start w:val="1"/>
    </w:lvl>
  </w:abstractNum>
  <w:abstractNum w:abstractNumId="87">
    <w:nsid w:val="17A1B582"/>
    <w:multiLevelType w:val="hybridMultilevel"/>
    <w:lvl w:ilvl="0">
      <w:lvlJc w:val="left"/>
      <w:lvlText w:val="•"/>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1)"/>
      <w:numFmt w:val="decimal"/>
      <w:start w:val="1"/>
    </w:lvl>
  </w:abstractNum>
  <w:abstractNum w:abstractNumId="90">
    <w:nsid w:val="5D888A08"/>
    <w:multiLevelType w:val="hybridMultilevel"/>
    <w:lvl w:ilvl="0">
      <w:lvlJc w:val="left"/>
      <w:lvlText w:val="(%1)"/>
      <w:numFmt w:val="decimal"/>
      <w:start w:val="1"/>
    </w:lvl>
  </w:abstractNum>
  <w:abstractNum w:abstractNumId="91">
    <w:nsid w:val="2A082C70"/>
    <w:multiLevelType w:val="hybridMultilevel"/>
    <w:lvl w:ilvl="0">
      <w:lvlJc w:val="left"/>
      <w:lvlText w:val="(%1)"/>
      <w:numFmt w:val="decimal"/>
      <w:start w:val="1"/>
    </w:lvl>
  </w:abstractNum>
  <w:abstractNum w:abstractNumId="92">
    <w:nsid w:val="5EC6AFD4"/>
    <w:multiLevelType w:val="hybridMultilevel"/>
    <w:lvl w:ilvl="0">
      <w:lvlJc w:val="left"/>
      <w:lvlText w:val="(%1)"/>
      <w:numFmt w:val="decimal"/>
      <w:start w:val="1"/>
    </w:lvl>
  </w:abstractNum>
  <w:abstractNum w:abstractNumId="93">
    <w:nsid w:val="19E21BB2"/>
    <w:multiLevelType w:val="hybridMultilevel"/>
    <w:lvl w:ilvl="0">
      <w:lvlJc w:val="left"/>
      <w:lvlText w:val="(%1)"/>
      <w:numFmt w:val="decimal"/>
      <w:start w:val="3"/>
    </w:lvl>
  </w:abstractNum>
  <w:abstractNum w:abstractNumId="94">
    <w:nsid w:val="75E0858A"/>
    <w:multiLevelType w:val="hybridMultilevel"/>
    <w:lvl w:ilvl="0">
      <w:lvlJc w:val="left"/>
      <w:lvlText w:val="(%1)"/>
      <w:numFmt w:val="decimal"/>
      <w:start w:val="1"/>
    </w:lvl>
  </w:abstractNum>
  <w:abstractNum w:abstractNumId="95">
    <w:nsid w:val="57A61A29"/>
    <w:multiLevelType w:val="hybridMultilevel"/>
    <w:lvl w:ilvl="0">
      <w:lvlJc w:val="left"/>
      <w:lvlText w:val="(%1)"/>
      <w:numFmt w:val="decimal"/>
      <w:start w:val="1"/>
    </w:lvl>
  </w:abstractNum>
  <w:abstractNum w:abstractNumId="96">
    <w:nsid w:val="5399C654"/>
    <w:multiLevelType w:val="hybridMultilevel"/>
    <w:lvl w:ilvl="0">
      <w:lvlJc w:val="left"/>
      <w:lvlText w:val="(%1)"/>
      <w:numFmt w:val="decimal"/>
      <w:start w:val="2"/>
    </w:lvl>
  </w:abstractNum>
  <w:abstractNum w:abstractNumId="97">
    <w:nsid w:val="20EE1348"/>
    <w:multiLevelType w:val="hybridMultilevel"/>
    <w:lvl w:ilvl="0">
      <w:lvlJc w:val="left"/>
      <w:lvlText w:val="(%1)"/>
      <w:numFmt w:val="decimal"/>
      <w:start w:val="1"/>
    </w:lvl>
  </w:abstractNum>
  <w:abstractNum w:abstractNumId="98">
    <w:nsid w:val="4427069A"/>
    <w:multiLevelType w:val="hybridMultilevel"/>
    <w:lvl w:ilvl="0">
      <w:lvlJc w:val="left"/>
      <w:lvlText w:val="(%1)"/>
      <w:numFmt w:val="decimal"/>
      <w:start w:val="1"/>
    </w:lvl>
  </w:abstractNum>
  <w:abstractNum w:abstractNumId="99">
    <w:nsid w:val="B37E80A"/>
    <w:multiLevelType w:val="hybridMultilevel"/>
    <w:lvl w:ilvl="0">
      <w:lvlJc w:val="left"/>
      <w:lvlText w:val="(%1)"/>
      <w:numFmt w:val="lowerRoman"/>
      <w:start w:val="1"/>
    </w:lvl>
  </w:abstractNum>
  <w:abstractNum w:abstractNumId="100">
    <w:nsid w:val="2157F6BC"/>
    <w:multiLevelType w:val="hybridMultilevel"/>
    <w:lvl w:ilvl="0">
      <w:lvlJc w:val="left"/>
      <w:lvlText w:val="(%1)"/>
      <w:numFmt w:val="decimal"/>
      <w:start w:val="1"/>
    </w:lvl>
  </w:abstractNum>
  <w:abstractNum w:abstractNumId="101">
    <w:nsid w:val="704E1DD5"/>
    <w:multiLevelType w:val="hybridMultilevel"/>
    <w:lvl w:ilvl="0">
      <w:lvlJc w:val="left"/>
      <w:lvlText w:val="(%1)"/>
      <w:numFmt w:val="decimal"/>
      <w:start w:val="4"/>
    </w:lvl>
  </w:abstractNum>
  <w:abstractNum w:abstractNumId="102">
    <w:nsid w:val="57D2F10E"/>
    <w:multiLevelType w:val="hybridMultilevel"/>
    <w:lvl w:ilvl="0">
      <w:lvlJc w:val="left"/>
      <w:lvlText w:val="(%1)"/>
      <w:numFmt w:val="decimal"/>
      <w:start w:val="1"/>
    </w:lvl>
  </w:abstractNum>
  <w:abstractNum w:abstractNumId="103">
    <w:nsid w:val="BFFAE18"/>
    <w:multiLevelType w:val="hybridMultilevel"/>
    <w:lvl w:ilvl="0">
      <w:lvlJc w:val="left"/>
      <w:lvlText w:val="(%1)"/>
      <w:numFmt w:val="decimal"/>
      <w:start w:val="2"/>
    </w:lvl>
  </w:abstractNum>
  <w:abstractNum w:abstractNumId="104">
    <w:nsid w:val="E3E47A8"/>
    <w:multiLevelType w:val="hybridMultilevel"/>
    <w:lvl w:ilvl="0">
      <w:lvlJc w:val="left"/>
      <w:lvlText w:val="•"/>
      <w:numFmt w:val="bullet"/>
      <w:start w:val="1"/>
    </w:lvl>
  </w:abstractNum>
  <w:abstractNum w:abstractNumId="105">
    <w:nsid w:val="2E48F044"/>
    <w:multiLevelType w:val="hybridMultilevel"/>
    <w:lvl w:ilvl="0">
      <w:lvlJc w:val="left"/>
      <w:lvlText w:val="•"/>
      <w:numFmt w:val="bullet"/>
      <w:start w:val="1"/>
    </w:lvl>
  </w:abstractNum>
  <w:abstractNum w:abstractNumId="106">
    <w:nsid w:val="49D0FEAC"/>
    <w:multiLevelType w:val="hybridMultilevel"/>
    <w:lvl w:ilvl="0">
      <w:lvlJc w:val="left"/>
      <w:lvlText w:val="•"/>
      <w:numFmt w:val="bullet"/>
      <w:start w:val="1"/>
    </w:lvl>
  </w:abstractNum>
  <w:abstractNum w:abstractNumId="107">
    <w:nsid w:val="4BEE5A5B"/>
    <w:multiLevelType w:val="hybridMultilevel"/>
    <w:lvl w:ilvl="0">
      <w:lvlJc w:val="left"/>
      <w:lvlText w:val="•"/>
      <w:numFmt w:val="bullet"/>
      <w:start w:val="1"/>
    </w:lvl>
  </w:abstractNum>
  <w:abstractNum w:abstractNumId="108">
    <w:nsid w:val="5551B9F3"/>
    <w:multiLevelType w:val="hybridMultilevel"/>
    <w:lvl w:ilvl="0">
      <w:lvlJc w:val="left"/>
      <w:lvlText w:val="(%1)"/>
      <w:numFmt w:val="decimal"/>
      <w:start w:val="1"/>
    </w:lvl>
  </w:abstractNum>
  <w:abstractNum w:abstractNumId="109">
    <w:nsid w:val="24F6AB8E"/>
    <w:multiLevelType w:val="hybridMultilevel"/>
    <w:lvl w:ilvl="0">
      <w:lvlJc w:val="left"/>
      <w:lvlText w:val="(%1)"/>
      <w:numFmt w:val="decimal"/>
      <w:start w:val="2"/>
    </w:lvl>
  </w:abstractNum>
  <w:abstractNum w:abstractNumId="110">
    <w:nsid w:val="634C574C"/>
    <w:multiLevelType w:val="hybridMultilevel"/>
    <w:lvl w:ilvl="0">
      <w:lvlJc w:val="left"/>
      <w:lvlText w:val="(%1)"/>
      <w:numFmt w:val="decimal"/>
      <w:start w:val="1"/>
    </w:lvl>
  </w:abstractNum>
  <w:abstractNum w:abstractNumId="111">
    <w:nsid w:val="24E99DD7"/>
    <w:multiLevelType w:val="hybridMultilevel"/>
    <w:lvl w:ilvl="0">
      <w:lvlJc w:val="left"/>
      <w:lvlText w:val="(%1)"/>
      <w:numFmt w:val="lowerRoman"/>
      <w:start w:val="3"/>
    </w:lvl>
  </w:abstractNum>
  <w:abstractNum w:abstractNumId="112">
    <w:nsid w:val="2A31B62D"/>
    <w:multiLevelType w:val="hybridMultilevel"/>
    <w:lvl w:ilvl="0">
      <w:lvlJc w:val="left"/>
      <w:lvlText w:val="(%1)"/>
      <w:numFmt w:val="decimal"/>
      <w:start w:val="1"/>
    </w:lvl>
  </w:abstractNum>
  <w:abstractNum w:abstractNumId="113">
    <w:nsid w:val="1849C29B"/>
    <w:multiLevelType w:val="hybridMultilevel"/>
    <w:lvl w:ilvl="0">
      <w:lvlJc w:val="left"/>
      <w:lvlText w:val="(%1)"/>
      <w:numFmt w:val="decimal"/>
      <w:start w:val="6"/>
    </w:lvl>
  </w:abstractNum>
  <w:abstractNum w:abstractNumId="114">
    <w:nsid w:val="7DFF9D09"/>
    <w:multiLevelType w:val="hybridMultilevel"/>
    <w:lvl w:ilvl="0">
      <w:lvlJc w:val="left"/>
      <w:lvlText w:val="•"/>
      <w:numFmt w:val="bullet"/>
      <w:start w:val="1"/>
    </w:lvl>
  </w:abstractNum>
  <w:abstractNum w:abstractNumId="115">
    <w:nsid w:val="754342"/>
    <w:multiLevelType w:val="hybridMultilevel"/>
    <w:lvl w:ilvl="0">
      <w:lvlJc w:val="left"/>
      <w:lvlText w:val="(%1)"/>
      <w:numFmt w:val="decimal"/>
      <w:start w:val="1"/>
    </w:lvl>
  </w:abstractNum>
  <w:abstractNum w:abstractNumId="116">
    <w:nsid w:val="69E7F3E5"/>
    <w:multiLevelType w:val="hybridMultilevel"/>
    <w:lvl w:ilvl="0">
      <w:lvlJc w:val="left"/>
      <w:lvlText w:val="(%1)"/>
      <w:numFmt w:val="lowerRoman"/>
      <w:start w:val="3"/>
    </w:lvl>
  </w:abstractNum>
  <w:abstractNum w:abstractNumId="117">
    <w:nsid w:val="2A6DE806"/>
    <w:multiLevelType w:val="hybridMultilevel"/>
    <w:lvl w:ilvl="0">
      <w:lvlJc w:val="left"/>
      <w:lvlText w:val="(%1)"/>
      <w:numFmt w:val="lowerRoman"/>
      <w:start w:val="6"/>
    </w:lvl>
  </w:abstractNum>
  <w:abstractNum w:abstractNumId="118">
    <w:nsid w:val="1816F8C4"/>
    <w:multiLevelType w:val="hybridMultilevel"/>
    <w:lvl w:ilvl="0">
      <w:lvlJc w:val="left"/>
      <w:lvlText w:val="(%1)"/>
      <w:numFmt w:val="lowerRoman"/>
      <w:start w:val="9"/>
    </w:lvl>
  </w:abstractNum>
  <w:abstractNum w:abstractNumId="119">
    <w:nsid w:val="37DF2233"/>
    <w:multiLevelType w:val="hybridMultilevel"/>
    <w:lvl w:ilvl="0">
      <w:lvlJc w:val="left"/>
      <w:lvlText w:val="(%1)"/>
      <w:numFmt w:val="lowerRoman"/>
      <w:start w:val="10"/>
    </w:lvl>
  </w:abstractNum>
  <w:abstractNum w:abstractNumId="120">
    <w:nsid w:val="7AB49DAF"/>
    <w:multiLevelType w:val="hybridMultilevel"/>
    <w:lvl w:ilvl="0">
      <w:lvlJc w:val="left"/>
      <w:lvlText w:val="(%1)"/>
      <w:numFmt w:val="lowerRoman"/>
      <w:start w:val="15"/>
    </w:lvl>
  </w:abstractNum>
  <w:abstractNum w:abstractNumId="121">
    <w:nsid w:val="759F82CD"/>
    <w:multiLevelType w:val="hybridMultilevel"/>
    <w:lvl w:ilvl="0">
      <w:lvlJc w:val="left"/>
      <w:lvlText w:val="(%1)"/>
      <w:numFmt w:val="lowerRoman"/>
      <w:start w:val="19"/>
    </w:lvl>
  </w:abstractNum>
  <w:abstractNum w:abstractNumId="122">
    <w:nsid w:val="61E74EA3"/>
    <w:multiLevelType w:val="hybridMultilevel"/>
    <w:lvl w:ilvl="0">
      <w:lvlJc w:val="left"/>
      <w:lvlText w:val="(%1)"/>
      <w:numFmt w:val="lowerRoman"/>
      <w:start w:val="21"/>
    </w:lvl>
  </w:abstractNum>
  <w:abstractNum w:abstractNumId="123">
    <w:nsid w:val="597B4D84"/>
    <w:multiLevelType w:val="hybridMultilevel"/>
    <w:lvl w:ilvl="0">
      <w:lvlJc w:val="left"/>
      <w:lvlText w:val="(%1)"/>
      <w:numFmt w:val="lowerRoman"/>
      <w:start w:val="2"/>
    </w:lvl>
  </w:abstractNum>
  <w:abstractNum w:abstractNumId="124">
    <w:nsid w:val="F819E7F"/>
    <w:multiLevelType w:val="hybridMultilevel"/>
    <w:lvl w:ilvl="0">
      <w:lvlJc w:val="left"/>
      <w:lvlText w:val="•"/>
      <w:numFmt w:val="bullet"/>
      <w:start w:val="1"/>
    </w:lvl>
  </w:abstractNum>
  <w:abstractNum w:abstractNumId="125">
    <w:nsid w:val="57C7D42D"/>
    <w:multiLevelType w:val="hybridMultilevel"/>
    <w:lvl w:ilvl="0">
      <w:lvlJc w:val="left"/>
      <w:lvlText w:val="•"/>
      <w:numFmt w:val="bullet"/>
      <w:start w:val="1"/>
    </w:lvl>
  </w:abstractNum>
  <w:abstractNum w:abstractNumId="126">
    <w:nsid w:val="312167AD"/>
    <w:multiLevelType w:val="hybridMultilevel"/>
    <w:lvl w:ilvl="0">
      <w:lvlJc w:val="left"/>
      <w:lvlText w:val="(%1)"/>
      <w:numFmt w:val="lowerRoman"/>
      <w:start w:val="3"/>
    </w:lvl>
  </w:abstractNum>
  <w:abstractNum w:abstractNumId="127">
    <w:nsid w:val="631B64D4"/>
    <w:multiLevelType w:val="hybridMultilevel"/>
    <w:lvl w:ilvl="0">
      <w:lvlJc w:val="left"/>
      <w:lvlText w:val="*"/>
      <w:numFmt w:val="bullet"/>
      <w:start w:val="1"/>
    </w:lvl>
  </w:abstractNum>
  <w:abstractNum w:abstractNumId="128">
    <w:nsid w:val="78B5E776"/>
    <w:multiLevelType w:val="hybridMultilevel"/>
    <w:lvl w:ilvl="0">
      <w:lvlJc w:val="left"/>
      <w:lvlText w:val="(%1)"/>
      <w:numFmt w:val="decimal"/>
      <w:start w:val="1"/>
    </w:lvl>
  </w:abstractNum>
  <w:abstractNum w:abstractNumId="129">
    <w:nsid w:val="75486E47"/>
    <w:multiLevelType w:val="hybridMultilevel"/>
    <w:lvl w:ilvl="0">
      <w:lvlJc w:val="left"/>
      <w:lvlText w:val="(%1)"/>
      <w:numFmt w:val="decimal"/>
      <w:start w:val="4"/>
    </w:lvl>
  </w:abstractNum>
  <w:abstractNum w:abstractNumId="130">
    <w:nsid w:val="6E534CDE"/>
    <w:multiLevelType w:val="hybridMultilevel"/>
    <w:lvl w:ilvl="0">
      <w:lvlJc w:val="left"/>
      <w:lvlText w:val="(%1)"/>
      <w:numFmt w:val="decimal"/>
      <w:start w:val="6"/>
    </w:lvl>
  </w:abstractNum>
  <w:abstractNum w:abstractNumId="131">
    <w:nsid w:val="1A0DDE32"/>
    <w:multiLevelType w:val="hybridMultilevel"/>
    <w:lvl w:ilvl="0">
      <w:lvlJc w:val="left"/>
      <w:lvlText w:val="(%1)"/>
      <w:numFmt w:val="lowerLetter"/>
      <w:start w:val="3"/>
    </w:lvl>
  </w:abstractNum>
  <w:abstractNum w:abstractNumId="132">
    <w:nsid w:val="65968C1C"/>
    <w:multiLevelType w:val="hybridMultilevel"/>
    <w:lvl w:ilvl="0">
      <w:lvlJc w:val="left"/>
      <w:lvlText w:val="•"/>
      <w:numFmt w:val="bullet"/>
      <w:start w:val="1"/>
    </w:lvl>
  </w:abstractNum>
  <w:abstractNum w:abstractNumId="133">
    <w:nsid w:val="46263DEC"/>
    <w:multiLevelType w:val="hybridMultilevel"/>
    <w:lvl w:ilvl="0">
      <w:lvlJc w:val="left"/>
      <w:lvlText w:val="•"/>
      <w:numFmt w:val="bullet"/>
      <w:start w:val="1"/>
    </w:lvl>
  </w:abstractNum>
  <w:abstractNum w:abstractNumId="134">
    <w:nsid w:val="260D8C4A"/>
    <w:multiLevelType w:val="hybridMultilevel"/>
    <w:lvl w:ilvl="0">
      <w:lvlJc w:val="left"/>
      <w:lvlText w:val="•"/>
      <w:numFmt w:val="bullet"/>
      <w:start w:val="1"/>
    </w:lvl>
  </w:abstractNum>
  <w:abstractNum w:abstractNumId="135">
    <w:nsid w:val="73D4D3C4"/>
    <w:multiLevelType w:val="hybridMultilevel"/>
    <w:lvl w:ilvl="0">
      <w:lvlJc w:val="left"/>
      <w:lvlText w:val="•"/>
      <w:numFmt w:val="bullet"/>
      <w:start w:val="1"/>
    </w:lvl>
  </w:abstractNum>
  <w:abstractNum w:abstractNumId="136">
    <w:nsid w:val="746F2E30"/>
    <w:multiLevelType w:val="hybridMultilevel"/>
    <w:lvl w:ilvl="0">
      <w:lvlJc w:val="left"/>
      <w:lvlText w:val="•"/>
      <w:numFmt w:val="bullet"/>
      <w:start w:val="1"/>
    </w:lvl>
  </w:abstractNum>
  <w:abstractNum w:abstractNumId="137">
    <w:nsid w:val="6FDE8AF6"/>
    <w:multiLevelType w:val="hybridMultilevel"/>
    <w:lvl w:ilvl="0">
      <w:lvlJc w:val="left"/>
      <w:lvlText w:val="•"/>
      <w:numFmt w:val="bullet"/>
      <w:start w:val="1"/>
    </w:lvl>
  </w:abstractNum>
  <w:abstractNum w:abstractNumId="138">
    <w:nsid w:val="3FC32E20"/>
    <w:multiLevelType w:val="hybridMultilevel"/>
    <w:lvl w:ilvl="0">
      <w:lvlJc w:val="left"/>
      <w:lvlText w:val="•"/>
      <w:numFmt w:val="bullet"/>
      <w:start w:val="1"/>
    </w:lvl>
  </w:abstractNum>
  <w:abstractNum w:abstractNumId="139">
    <w:nsid w:val="49C0E823"/>
    <w:multiLevelType w:val="hybridMultilevel"/>
    <w:lvl w:ilvl="0">
      <w:lvlJc w:val="left"/>
      <w:lvlText w:val="•"/>
      <w:numFmt w:val="bullet"/>
      <w:start w:val="1"/>
    </w:lvl>
  </w:abstractNum>
  <w:abstractNum w:abstractNumId="140">
    <w:nsid w:val="14D53685"/>
    <w:multiLevelType w:val="hybridMultilevel"/>
    <w:lvl w:ilvl="0">
      <w:lvlJc w:val="left"/>
      <w:lvlText w:val="•"/>
      <w:numFmt w:val="bullet"/>
      <w:start w:val="1"/>
    </w:lvl>
  </w:abstractNum>
  <w:abstractNum w:abstractNumId="141">
    <w:nsid w:val="230F856C"/>
    <w:multiLevelType w:val="hybridMultilevel"/>
    <w:lvl w:ilvl="0">
      <w:lvlJc w:val="left"/>
      <w:lvlText w:val="•"/>
      <w:numFmt w:val="bullet"/>
      <w:start w:val="1"/>
    </w:lvl>
  </w:abstractNum>
  <w:abstractNum w:abstractNumId="142">
    <w:nsid w:val="6EAA85FB"/>
    <w:multiLevelType w:val="hybridMultilevel"/>
    <w:lvl w:ilvl="0">
      <w:lvlJc w:val="left"/>
      <w:lvlText w:val="•"/>
      <w:numFmt w:val="bullet"/>
      <w:start w:val="1"/>
    </w:lvl>
  </w:abstractNum>
  <w:abstractNum w:abstractNumId="143">
    <w:nsid w:val="3F06ECB2"/>
    <w:multiLevelType w:val="hybridMultilevel"/>
    <w:lvl w:ilvl="0">
      <w:lvlJc w:val="left"/>
      <w:lvlText w:val="(%1)"/>
      <w:numFmt w:val="lowerLetter"/>
      <w:start w:val="1"/>
    </w:lvl>
  </w:abstractNum>
  <w:abstractNum w:abstractNumId="144">
    <w:nsid w:val="3B594807"/>
    <w:multiLevelType w:val="hybridMultilevel"/>
    <w:lvl w:ilvl="0">
      <w:lvlJc w:val="left"/>
      <w:lvlText w:val="(%1)"/>
      <w:numFmt w:val="lowerLetter"/>
      <w:start w:val="1"/>
    </w:lvl>
  </w:abstractNum>
  <w:abstractNum w:abstractNumId="145">
    <w:nsid w:val="6CAA2304"/>
    <w:multiLevelType w:val="hybridMultilevel"/>
    <w:lvl w:ilvl="0">
      <w:lvlJc w:val="left"/>
      <w:lvlText w:val="(%1)"/>
      <w:numFmt w:val="lowerRoman"/>
      <w:start w:val="3"/>
    </w:lvl>
  </w:abstractNum>
  <w:abstractNum w:abstractNumId="146">
    <w:nsid w:val="3F7C2FF4"/>
    <w:multiLevelType w:val="hybridMultilevel"/>
    <w:lvl w:ilvl="0">
      <w:lvlJc w:val="left"/>
      <w:lvlText w:val="(%1)"/>
      <w:numFmt w:val="lowerLetter"/>
      <w:start w:val="1"/>
    </w:lvl>
  </w:abstractNum>
  <w:abstractNum w:abstractNumId="147">
    <w:nsid w:val="25413BEC"/>
    <w:multiLevelType w:val="hybridMultilevel"/>
    <w:lvl w:ilvl="0">
      <w:lvlJc w:val="left"/>
      <w:lvlText w:val="(%1)"/>
      <w:numFmt w:val="lowerLetter"/>
      <w:start w:val="1"/>
    </w:lvl>
  </w:abstractNum>
  <w:abstractNum w:abstractNumId="148">
    <w:nsid w:val="17180B0B"/>
    <w:multiLevelType w:val="hybridMultilevel"/>
    <w:lvl w:ilvl="0">
      <w:lvlJc w:val="left"/>
      <w:lvlText w:val="(%1)"/>
      <w:numFmt w:val="decimal"/>
      <w:start w:val="2"/>
    </w:lvl>
  </w:abstractNum>
  <w:abstractNum w:abstractNumId="149">
    <w:nsid w:val="579328B9"/>
    <w:multiLevelType w:val="hybridMultilevel"/>
    <w:lvl w:ilvl="0">
      <w:lvlJc w:val="left"/>
      <w:lvlText w:val="$"/>
      <w:numFmt w:val="bullet"/>
      <w:start w:val="1"/>
    </w:lvl>
  </w:abstractNum>
  <w:abstractNum w:abstractNumId="150">
    <w:nsid w:val="5D205E20"/>
    <w:multiLevelType w:val="hybridMultilevel"/>
    <w:lvl w:ilvl="0">
      <w:lvlJc w:val="left"/>
      <w:lvlText w:val="$"/>
      <w:numFmt w:val="bullet"/>
      <w:start w:val="1"/>
    </w:lvl>
  </w:abstractNum>
  <w:abstractNum w:abstractNumId="151">
    <w:nsid w:val="11CCA8BA"/>
    <w:multiLevelType w:val="hybridMultilevel"/>
    <w:lvl w:ilvl="0">
      <w:lvlJc w:val="left"/>
      <w:lvlText w:val="$"/>
      <w:numFmt w:val="bullet"/>
      <w:start w:val="1"/>
    </w:lvl>
  </w:abstractNum>
  <w:abstractNum w:abstractNumId="152">
    <w:nsid w:val="4D32AB86"/>
    <w:multiLevelType w:val="hybridMultilevel"/>
    <w:lvl w:ilvl="0">
      <w:lvlJc w:val="left"/>
      <w:lvlText w:val="$"/>
      <w:numFmt w:val="bullet"/>
      <w:start w:val="1"/>
    </w:lvl>
  </w:abstractNum>
  <w:abstractNum w:abstractNumId="153">
    <w:nsid w:val="3F07ACC3"/>
    <w:multiLevelType w:val="hybridMultilevel"/>
    <w:lvl w:ilvl="0">
      <w:lvlJc w:val="left"/>
      <w:lvlText w:val="$"/>
      <w:numFmt w:val="bullet"/>
      <w:start w:val="1"/>
    </w:lvl>
  </w:abstractNum>
  <w:abstractNum w:abstractNumId="154">
    <w:nsid w:val="6B47F63E"/>
    <w:multiLevelType w:val="hybridMultilevel"/>
    <w:lvl w:ilvl="0">
      <w:lvlJc w:val="left"/>
      <w:lvlText w:val="(%1)"/>
      <w:numFmt w:val="decimal"/>
      <w:start w:val="1"/>
    </w:lvl>
  </w:abstractNum>
  <w:abstractNum w:abstractNumId="155">
    <w:nsid w:val="5CB44A05"/>
    <w:multiLevelType w:val="hybridMultilevel"/>
    <w:lvl w:ilvl="0">
      <w:lvlJc w:val="left"/>
      <w:lvlText w:val="$"/>
      <w:numFmt w:val="bullet"/>
      <w:start w:val="1"/>
    </w:lvl>
  </w:abstractNum>
  <w:abstractNum w:abstractNumId="156">
    <w:nsid w:val="16CF80F1"/>
    <w:multiLevelType w:val="hybridMultilevel"/>
    <w:lvl w:ilvl="0">
      <w:lvlJc w:val="left"/>
      <w:lvlText w:val="$"/>
      <w:numFmt w:val="bullet"/>
      <w:start w:val="1"/>
    </w:lvl>
  </w:abstractNum>
  <w:abstractNum w:abstractNumId="157">
    <w:nsid w:val="1C695DEC"/>
    <w:multiLevelType w:val="hybridMultilevel"/>
    <w:lvl w:ilvl="0">
      <w:lvlJc w:val="left"/>
      <w:lvlText w:val="•"/>
      <w:numFmt w:val="bullet"/>
      <w:start w:val="1"/>
    </w:lvl>
  </w:abstractNum>
  <w:abstractNum w:abstractNumId="158">
    <w:nsid w:val="3FCFAED9"/>
    <w:multiLevelType w:val="hybridMultilevel"/>
    <w:lvl w:ilvl="0">
      <w:lvlJc w:val="left"/>
      <w:lvlText w:val="(%1)"/>
      <w:numFmt w:val="lowerLetter"/>
      <w:start w:val="1"/>
    </w:lvl>
  </w:abstractNum>
  <w:abstractNum w:abstractNumId="159">
    <w:nsid w:val="F856867"/>
    <w:multiLevelType w:val="hybridMultilevel"/>
    <w:lvl w:ilvl="0">
      <w:lvlJc w:val="left"/>
      <w:lvlText w:val="(%1)"/>
      <w:numFmt w:val="lowerLetter"/>
      <w:start w:val="1"/>
    </w:lvl>
  </w:abstractNum>
  <w:abstractNum w:abstractNumId="160">
    <w:nsid w:val="11B1CC33"/>
    <w:multiLevelType w:val="hybridMultilevel"/>
    <w:lvl w:ilvl="0">
      <w:lvlJc w:val="left"/>
      <w:lvlText w:val="(%1)"/>
      <w:numFmt w:val="lowerLetter"/>
      <w:start w:val="1"/>
    </w:lvl>
  </w:abstractNum>
  <w:abstractNum w:abstractNumId="161">
    <w:nsid w:val="2E22FBB7"/>
    <w:multiLevelType w:val="hybridMultilevel"/>
    <w:lvl w:ilvl="0">
      <w:lvlJc w:val="left"/>
      <w:lvlText w:val="(%1)"/>
      <w:numFmt w:val="lowerLetter"/>
      <w:start w:val="1"/>
    </w:lvl>
  </w:abstractNum>
  <w:abstractNum w:abstractNumId="162">
    <w:nsid w:val="29934699"/>
    <w:multiLevelType w:val="hybridMultilevel"/>
    <w:lvl w:ilvl="0">
      <w:lvlJc w:val="left"/>
      <w:lvlText w:val="(%1)"/>
      <w:numFmt w:val="decimal"/>
      <w:start w:val="1"/>
    </w:lvl>
    <w:lvl w:ilvl="1">
      <w:lvlJc w:val="left"/>
      <w:lvlText w:val="(%2)"/>
      <w:numFmt w:val="upperLetter"/>
      <w:start w:val="1"/>
    </w:lvl>
  </w:abstractNum>
  <w:abstractNum w:abstractNumId="163">
    <w:nsid w:val="77485850"/>
    <w:multiLevelType w:val="hybridMultilevel"/>
    <w:lvl w:ilvl="0">
      <w:lvlJc w:val="left"/>
      <w:lvlText w:val="(%1)"/>
      <w:numFmt w:val="upperLetter"/>
      <w:start w:val="4"/>
    </w:lvl>
    <w:lvl w:ilvl="1">
      <w:lvlJc w:val="left"/>
      <w:lvlText w:val="(%2)"/>
      <w:numFmt w:val="lowerRoman"/>
      <w:start w:val="1"/>
    </w:lvl>
  </w:abstractNum>
  <w:abstractNum w:abstractNumId="164">
    <w:nsid w:val="744939A3"/>
    <w:multiLevelType w:val="hybridMultilevel"/>
    <w:lvl w:ilvl="0">
      <w:lvlJc w:val="left"/>
      <w:lvlText w:val="*"/>
      <w:numFmt w:val="bullet"/>
      <w:start w:val="1"/>
    </w:lvl>
  </w:abstractNum>
  <w:abstractNum w:abstractNumId="165">
    <w:nsid w:val="4FA0D2E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2025-11-01T11:57:40Z</dcterms:created>
  <dcterms:modified xsi:type="dcterms:W3CDTF">2025-11-01T11:57:40Z</dcterms:modified>
</cp:coreProperties>
</file>