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BX Mozart ML-1 Holdco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10154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0"/>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632"/>
              <w:spacing w:after="0"/>
              <w:rPr>
                <w:sz w:val="20"/>
                <w:szCs w:val="20"/>
                <w:color w:val="auto"/>
              </w:rPr>
            </w:pPr>
            <w:r>
              <w:rPr>
                <w:rFonts w:ascii="Times New Roman" w:cs="Times New Roman" w:eastAsia="Times New Roman" w:hAnsi="Times New Roman"/>
                <w:sz w:val="20"/>
                <w:szCs w:val="20"/>
                <w:color w:val="0000FF"/>
                <w:w w:val="95"/>
              </w:rPr>
              <w:t>125,729,322</w:t>
            </w: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(1)(3)(5)(8)(9)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632"/>
              <w:spacing w:after="0"/>
              <w:rPr>
                <w:sz w:val="20"/>
                <w:szCs w:val="20"/>
                <w:color w:val="auto"/>
              </w:rPr>
            </w:pPr>
            <w:r>
              <w:rPr>
                <w:rFonts w:ascii="Times New Roman" w:cs="Times New Roman" w:eastAsia="Times New Roman" w:hAnsi="Times New Roman"/>
                <w:sz w:val="20"/>
                <w:szCs w:val="20"/>
                <w:color w:val="0000FF"/>
                <w:w w:val="94"/>
              </w:rPr>
              <w:t>10,185</w:t>
            </w: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(2)(4)(5)(8)(9)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632"/>
              <w:spacing w:after="0"/>
              <w:rPr>
                <w:sz w:val="20"/>
                <w:szCs w:val="20"/>
                <w:color w:val="auto"/>
              </w:rPr>
            </w:pPr>
            <w:r>
              <w:rPr>
                <w:rFonts w:ascii="Times New Roman" w:cs="Times New Roman" w:eastAsia="Times New Roman" w:hAnsi="Times New Roman"/>
                <w:sz w:val="20"/>
                <w:szCs w:val="20"/>
                <w:color w:val="0000FF"/>
                <w:w w:val="94"/>
              </w:rPr>
              <w:t>62,871,125</w:t>
            </w:r>
            <w:r>
              <w:rPr>
                <w:rFonts w:ascii="Times New Roman" w:cs="Times New Roman" w:eastAsia="Times New Roman" w:hAnsi="Times New Roman"/>
                <w:sz w:val="25"/>
                <w:szCs w:val="25"/>
                <w:color w:val="008000"/>
                <w:w w:val="94"/>
                <w:vertAlign w:val="superscript"/>
              </w:rPr>
              <w:t>(6)</w:t>
            </w:r>
          </w:p>
        </w:tc>
        <w:tc>
          <w:tcPr>
            <w:tcW w:w="9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line="359" w:lineRule="exact"/>
              <w:rPr>
                <w:sz w:val="20"/>
                <w:szCs w:val="20"/>
                <w:color w:val="auto"/>
              </w:rPr>
            </w:pPr>
            <w:r>
              <w:rPr>
                <w:rFonts w:ascii="Times New Roman" w:cs="Times New Roman" w:eastAsia="Times New Roman" w:hAnsi="Times New Roman"/>
                <w:sz w:val="39"/>
                <w:szCs w:val="39"/>
                <w:color w:val="0000FF"/>
                <w:vertAlign w:val="subscript"/>
              </w:rPr>
              <w:t>See Footnotes</w:t>
            </w:r>
            <w:r>
              <w:rPr>
                <w:rFonts w:ascii="Times New Roman" w:cs="Times New Roman" w:eastAsia="Times New Roman" w:hAnsi="Times New Roman"/>
                <w:sz w:val="13"/>
                <w:szCs w:val="13"/>
                <w:color w:val="008000"/>
              </w:rPr>
              <w:t>(2)(3)(5)(8)(9)</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7"/>
          </w:tcPr>
          <w:p>
            <w:pPr>
              <w:jc w:val="center"/>
              <w:ind w:right="179"/>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420" w:type="dxa"/>
            <w:vAlign w:val="bottom"/>
            <w:gridSpan w:val="8"/>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134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18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180" w:type="dxa"/>
            <w:vAlign w:val="bottom"/>
          </w:tcPr>
          <w:p>
            <w:pPr>
              <w:spacing w:after="0"/>
              <w:rPr>
                <w:sz w:val="13"/>
                <w:szCs w:val="13"/>
                <w:color w:val="auto"/>
              </w:rPr>
            </w:pP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18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0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008000"/>
              </w:rPr>
              <w:t>(7)</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008000"/>
              </w:rPr>
              <w:t>(7)</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62,871,125</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(7)</w:t>
            </w:r>
          </w:p>
        </w:tc>
        <w:tc>
          <w:tcPr>
            <w:tcW w:w="18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6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gridSpan w:val="3"/>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72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5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BX Mozart ML-1 Holdco L.P.</w:t>
              </w:r>
            </w:hyperlink>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tcPr>
          <w:p>
            <w:pPr>
              <w:ind w:left="180"/>
              <w:spacing w:after="0"/>
              <w:rPr>
                <w:sz w:val="20"/>
                <w:szCs w:val="20"/>
                <w:color w:val="auto"/>
              </w:rPr>
            </w:pPr>
            <w:r>
              <w:rPr>
                <w:rFonts w:ascii="Arial" w:cs="Arial" w:eastAsia="Arial" w:hAnsi="Arial"/>
                <w:sz w:val="15"/>
                <w:szCs w:val="15"/>
                <w:color w:val="auto"/>
              </w:rPr>
              <w:t>(First)</w:t>
            </w:r>
          </w:p>
        </w:tc>
        <w:tc>
          <w:tcPr>
            <w:tcW w:w="1000" w:type="dxa"/>
            <w:vAlign w:val="bottom"/>
            <w:gridSpan w:val="2"/>
          </w:tcPr>
          <w:p>
            <w:pPr>
              <w:ind w:left="160"/>
              <w:spacing w:after="0"/>
              <w:rPr>
                <w:sz w:val="20"/>
                <w:szCs w:val="20"/>
                <w:color w:val="auto"/>
              </w:rPr>
            </w:pPr>
            <w:r>
              <w:rPr>
                <w:rFonts w:ascii="Arial" w:cs="Arial" w:eastAsia="Arial" w:hAnsi="Arial"/>
                <w:sz w:val="15"/>
                <w:szCs w:val="15"/>
                <w:color w:val="auto"/>
              </w:rPr>
              <w:t>(Middle)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C/O BLACKSTONE INC.</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345 PARK AVENUE</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rPr>
              <w:t>10154</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tcPr>
          <w:p>
            <w:pPr>
              <w:ind w:left="180"/>
              <w:spacing w:after="0"/>
              <w:rPr>
                <w:sz w:val="20"/>
                <w:szCs w:val="20"/>
                <w:color w:val="auto"/>
              </w:rPr>
            </w:pPr>
            <w:r>
              <w:rPr>
                <w:rFonts w:ascii="Arial" w:cs="Arial" w:eastAsia="Arial" w:hAnsi="Arial"/>
                <w:sz w:val="15"/>
                <w:szCs w:val="15"/>
                <w:color w:val="auto"/>
              </w:rPr>
              <w:t>(State)</w:t>
            </w:r>
          </w:p>
        </w:tc>
        <w:tc>
          <w:tcPr>
            <w:tcW w:w="1000" w:type="dxa"/>
            <w:vAlign w:val="bottom"/>
            <w:gridSpan w:val="2"/>
          </w:tcPr>
          <w:p>
            <w:pPr>
              <w:ind w:left="160"/>
              <w:spacing w:after="0"/>
              <w:rPr>
                <w:sz w:val="20"/>
                <w:szCs w:val="20"/>
                <w:color w:val="auto"/>
              </w:rPr>
            </w:pPr>
            <w:r>
              <w:rPr>
                <w:rFonts w:ascii="Arial" w:cs="Arial" w:eastAsia="Arial" w:hAnsi="Arial"/>
                <w:sz w:val="15"/>
                <w:szCs w:val="15"/>
                <w:color w:val="auto"/>
              </w:rPr>
              <w:t>(Zip)</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2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BX Mozart ML-2 Holdco L.P.</w:t>
              </w:r>
            </w:hyperlink>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tcPr>
          <w:p>
            <w:pPr>
              <w:ind w:left="180"/>
              <w:spacing w:after="0"/>
              <w:rPr>
                <w:sz w:val="20"/>
                <w:szCs w:val="20"/>
                <w:color w:val="auto"/>
              </w:rPr>
            </w:pPr>
            <w:r>
              <w:rPr>
                <w:rFonts w:ascii="Arial" w:cs="Arial" w:eastAsia="Arial" w:hAnsi="Arial"/>
                <w:sz w:val="15"/>
                <w:szCs w:val="15"/>
                <w:color w:val="auto"/>
              </w:rPr>
              <w:t>(First)</w:t>
            </w:r>
          </w:p>
        </w:tc>
        <w:tc>
          <w:tcPr>
            <w:tcW w:w="1000" w:type="dxa"/>
            <w:vAlign w:val="bottom"/>
            <w:gridSpan w:val="2"/>
          </w:tcPr>
          <w:p>
            <w:pPr>
              <w:ind w:left="160"/>
              <w:spacing w:after="0"/>
              <w:rPr>
                <w:sz w:val="20"/>
                <w:szCs w:val="20"/>
                <w:color w:val="auto"/>
              </w:rPr>
            </w:pPr>
            <w:r>
              <w:rPr>
                <w:rFonts w:ascii="Arial" w:cs="Arial" w:eastAsia="Arial" w:hAnsi="Arial"/>
                <w:sz w:val="15"/>
                <w:szCs w:val="15"/>
                <w:color w:val="auto"/>
              </w:rPr>
              <w:t>(Middle)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BLACKSTONE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345 PARK AVENUE</w:t>
      </w:r>
    </w:p>
    <w:p>
      <w:pPr>
        <w:sectPr>
          <w:pgSz w:w="11900" w:h="16838"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54"/>
        </w:trPr>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-496570</wp:posOffset>
            </wp:positionV>
            <wp:extent cx="2798445" cy="4605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460565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BX Mozart ML-1 Holdco GP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BLACKSTONE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345 PARK AVENUE</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BX Mozart ML-2 Holdco GP L.L.C.</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10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January 16, 2026, Mozart Aggregator II LP contributed 125,729,322 shares of Class A Common Stock (the "Class A Common Stock") of Medline Inc. ("Issuer") previously held directly by it to its wholly-owned subsidiary BX Mozart ML-2 Holdco L.P. No securities of the Issuer were purchased, sold or otherwise transferred in connection with the contributions described herein. Reporting Persons have agreed to be bound in writing by the restrictions set forth in the Lock Up Agreement entered into by and among Blackstone Inc. and its affiliates and the underwriters.</w:t>
      </w:r>
    </w:p>
    <w:p>
      <w:pPr>
        <w:spacing w:after="0" w:line="33"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January 16, 2026, BCP Mozart Aggregator L.P. contributed 10,185 shares of Class A Common Stock of the Issuer, 62,871,125 shares of Class B common stock ("Class B Common Stock") of the Issuer and 62,871,125 common units of Medline Holdings, L.P. ("Common Units") previously held directly by it to its wholly-owned subsidiary BX Mozart ML-1 Holdco L.P. No securities of the Issuer were purchased, sold or otherwise transferred in connection with the contributions described herein. Reporting Persons have agreed to be bound in writing by the restrictions set forth in the Lock Up Agreement entered into by and among Blackstone Inc. and its affiliates and the underwriters.</w:t>
      </w:r>
    </w:p>
    <w:p>
      <w:pPr>
        <w:spacing w:after="0" w:line="33" w:lineRule="exact"/>
        <w:rPr>
          <w:rFonts w:ascii="Times New Roman" w:cs="Times New Roman" w:eastAsia="Times New Roman" w:hAnsi="Times New Roman"/>
          <w:sz w:val="15"/>
          <w:szCs w:val="15"/>
          <w:color w:val="008000"/>
        </w:rPr>
      </w:pPr>
    </w:p>
    <w:p>
      <w:pPr>
        <w:ind w:right="440" w:firstLine="5"/>
        <w:spacing w:after="0" w:line="270" w:lineRule="auto"/>
        <w:tabs>
          <w:tab w:leader="none" w:pos="15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securities of the Issuer held directly by BX Mozart ML-2 Holdco L.P. BX Mozart ML-2 Holdco GP L.L.C. is the general partner of BX Mozart ML-2 Holdco L.P. Mozart Aggregator II L.P. is the sole limited partner of BX Mozart ML-2 Holdco L.P. and the sole member of BX Mozart ML-2 Holdco GP L.L.C. Blackstone Management Associates VIII L.P. is the general partner of Mozart Aggregator II LP. BMA VIII L.L.C. is the general partner of Blackstone Management Associates VIII L.P.</w:t>
      </w:r>
    </w:p>
    <w:p>
      <w:pPr>
        <w:spacing w:after="0" w:line="11" w:lineRule="exact"/>
        <w:rPr>
          <w:rFonts w:ascii="Times New Roman" w:cs="Times New Roman" w:eastAsia="Times New Roman" w:hAnsi="Times New Roman"/>
          <w:sz w:val="14"/>
          <w:szCs w:val="14"/>
          <w:color w:val="008000"/>
        </w:rPr>
      </w:pPr>
    </w:p>
    <w:p>
      <w:pPr>
        <w:jc w:val="both"/>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of the Issuer held directly by BX Mozart ML-1 Holdco L.P. BX Mozart ML-1 Holdco GP L.L.C. is the general partner of BX Mozart ML-2 Holdco L.P. BCP Mozart Aggregator L.P. is the sole limited partner of BX Mozart ML-1 Holdco L.P. and the sole member of BX Mozart ML-1 Holdco GP L.L.C. BCP 8 Holdings Mozart Manager L.L.C. is the general partner of BCP Mozart Aggregator L.P. BMA VIII L.L.C. is the managing member of BCP 8 Holdings Mozart Manager L.L.C.</w:t>
      </w:r>
    </w:p>
    <w:p>
      <w:pPr>
        <w:spacing w:after="0" w:line="29" w:lineRule="exact"/>
        <w:rPr>
          <w:rFonts w:ascii="Times New Roman" w:cs="Times New Roman" w:eastAsia="Times New Roman" w:hAnsi="Times New Roman"/>
          <w:sz w:val="15"/>
          <w:szCs w:val="15"/>
          <w:color w:val="008000"/>
        </w:rPr>
      </w:pPr>
    </w:p>
    <w:p>
      <w:pPr>
        <w:ind w:right="2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29" w:lineRule="exact"/>
        <w:rPr>
          <w:rFonts w:ascii="Times New Roman" w:cs="Times New Roman" w:eastAsia="Times New Roman" w:hAnsi="Times New Roman"/>
          <w:sz w:val="15"/>
          <w:szCs w:val="15"/>
          <w:color w:val="008000"/>
        </w:rPr>
      </w:pPr>
    </w:p>
    <w:p>
      <w:pPr>
        <w:jc w:val="center"/>
        <w:ind w:right="1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7" w:lineRule="exact"/>
        <w:rPr>
          <w:rFonts w:ascii="Times New Roman" w:cs="Times New Roman" w:eastAsia="Times New Roman" w:hAnsi="Times New Roman"/>
          <w:sz w:val="15"/>
          <w:szCs w:val="15"/>
          <w:color w:val="008000"/>
        </w:rPr>
      </w:pPr>
    </w:p>
    <w:p>
      <w:pPr>
        <w:ind w:right="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7" w:lineRule="exact"/>
        <w:rPr>
          <w:rFonts w:ascii="Times New Roman" w:cs="Times New Roman" w:eastAsia="Times New Roman" w:hAnsi="Times New Roman"/>
          <w:sz w:val="15"/>
          <w:szCs w:val="15"/>
          <w:color w:val="008000"/>
        </w:rPr>
      </w:pPr>
    </w:p>
    <w:p>
      <w:pPr>
        <w:ind w:right="20"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such Reporting Person may be deemed to beneficially own the securities of the Issuer directly held by BX Mozart ML-1 Holdco L.P. and BX Mozart ML-2 Holdco L.P. directly or indirectly controlled by it or him, but each (other than BX Mozart ML-1 Holdco L.P. and BX Mozart ML-2 Holdco L.P. to the extent of their respective direct holdings) disclaims beneficial ownership of the securities reported herein, except to the extent of such Reporting Person's pecuniary interest therein, and this report shall not be deemed an admission that any of the Reporting Persons (other than BX Mozart ML-1 Holdco L.P. and BX Mozart ML-2 Holdco L.P. to the extent each directly holds securities of the Issuer) is the beneficial owner of such securities for purposes of Section 16 or any other purpose.</w:t>
      </w:r>
    </w:p>
    <w:p>
      <w:pPr>
        <w:spacing w:after="0" w:line="33" w:lineRule="exact"/>
        <w:rPr>
          <w:rFonts w:ascii="Times New Roman" w:cs="Times New Roman" w:eastAsia="Times New Roman" w:hAnsi="Times New Roman"/>
          <w:sz w:val="15"/>
          <w:szCs w:val="15"/>
          <w:color w:val="008000"/>
        </w:rPr>
      </w:pPr>
    </w:p>
    <w:p>
      <w:pPr>
        <w:ind w:right="8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BX MOZART ML-1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382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038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HOLDCO L.P. By: 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31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531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Mozart ML-1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238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2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general partner,  01/26/2026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9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34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1346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BX MOZART ML-2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382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38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HOLDCO L.P. By: 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31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531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Mozart ML-2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23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62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general partner,  01/26/2026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9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34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13460" cy="9525"/>
                    </a:xfrm>
                    <a:prstGeom prst="rect">
                      <a:avLst/>
                    </a:prstGeom>
                    <a:noFill/>
                  </pic:spPr>
                </pic:pic>
              </a:graphicData>
            </a:graphic>
          </wp:anchor>
        </w:drawing>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BX MOZART ML-1</w:t>
            </w:r>
          </w:p>
        </w:tc>
        <w:tc>
          <w:tcPr>
            <w:tcW w:w="5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01/26/2026</w:t>
            </w:r>
          </w:p>
        </w:tc>
      </w:tr>
    </w:tbl>
    <w:p>
      <w:pPr>
        <w:sectPr>
          <w:pgSz w:w="11900" w:h="16838" w:orient="portrait"/>
          <w:cols w:equalWidth="0" w:num="1">
            <w:col w:w="10860"/>
          </w:cols>
          <w:pgMar w:left="520" w:top="124" w:right="51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20"/>
          <w:szCs w:val="20"/>
          <w:color w:val="0000FF"/>
        </w:rPr>
        <w:t>HOLDCO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317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Brooks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507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Robert Brooks,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0937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BX MOZART ML-2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382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382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HOLDCO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/s/ Robert Brooks Name:</w:t>
      </w:r>
      <w:r>
        <w:rPr>
          <w:sz w:val="20"/>
          <w:szCs w:val="20"/>
          <w:color w:val="auto"/>
        </w:rPr>
        <w:tab/>
      </w:r>
      <w:r>
        <w:rPr>
          <w:rFonts w:ascii="Times New Roman" w:cs="Times New Roman" w:eastAsia="Times New Roman" w:hAnsi="Times New Roman"/>
          <w:sz w:val="18"/>
          <w:szCs w:val="18"/>
          <w:color w:val="0000FF"/>
        </w:rPr>
        <w:t>01/26/2026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Robert Brooks,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0937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10" Type="http://schemas.openxmlformats.org/officeDocument/2006/relationships/hyperlink" Target="http://www.sec.gov/cgi-bin/browse-edgar?action=getcompany&amp;CIK=0002102428"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2102360" TargetMode="External"/><Relationship Id="rId15" Type="http://schemas.openxmlformats.org/officeDocument/2006/relationships/hyperlink" Target="http://www.sec.gov/cgi-bin/browse-edgar?action=getcompany&amp;CIK=0002102570" TargetMode="External"/><Relationship Id="rId16" Type="http://schemas.openxmlformats.org/officeDocument/2006/relationships/hyperlink" Target="http://www.sec.gov/cgi-bin/browse-edgar?action=getcompany&amp;CIK=0002102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2026-01-26T16:10:03Z</dcterms:created>
  <dcterms:modified xsi:type="dcterms:W3CDTF">2026-01-26T16:10:03Z</dcterms:modified>
</cp:coreProperties>
</file>