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295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2953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Laabs Amanda 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MEDLINE INC.</w:t>
            </w:r>
          </w:p>
        </w:tc>
        <w:tc>
          <w:tcPr>
            <w:tcW w:w="1200" w:type="dxa"/>
            <w:vAlign w:val="bottom"/>
          </w:tcPr>
          <w:p>
            <w:pPr>
              <w:spacing w:after="0"/>
              <w:rPr>
                <w:sz w:val="24"/>
                <w:szCs w:val="24"/>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 LAKES DRIVE</w:t>
            </w:r>
          </w:p>
        </w:tc>
        <w:tc>
          <w:tcPr>
            <w:tcW w:w="12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NORTHFIELD IL</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60093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Product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4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00"/>
              <w:spacing w:after="0"/>
              <w:rPr>
                <w:sz w:val="20"/>
                <w:szCs w:val="20"/>
                <w:color w:val="auto"/>
              </w:rPr>
            </w:pPr>
            <w:r>
              <w:rPr>
                <w:rFonts w:ascii="Arial" w:cs="Arial" w:eastAsia="Arial" w:hAnsi="Arial"/>
                <w:sz w:val="15"/>
                <w:szCs w:val="15"/>
                <w:b w:val="1"/>
                <w:bCs w:val="1"/>
                <w:color w:val="auto"/>
              </w:rPr>
              <w:t>2. Amount of Securities</w:t>
            </w:r>
          </w:p>
        </w:tc>
        <w:tc>
          <w:tcPr>
            <w:tcW w:w="1540" w:type="dxa"/>
            <w:vAlign w:val="bottom"/>
            <w:gridSpan w:val="3"/>
          </w:tcPr>
          <w:p>
            <w:pPr>
              <w:ind w:left="36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60" w:type="dxa"/>
            <w:vAlign w:val="bottom"/>
            <w:gridSpan w:val="4"/>
          </w:tcPr>
          <w:p>
            <w:pPr>
              <w:ind w:left="10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540" w:type="dxa"/>
            <w:vAlign w:val="bottom"/>
            <w:gridSpan w:val="3"/>
          </w:tcPr>
          <w:p>
            <w:pPr>
              <w:ind w:left="36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40" w:type="dxa"/>
            <w:vAlign w:val="bottom"/>
            <w:gridSpan w:val="3"/>
          </w:tcPr>
          <w:p>
            <w:pPr>
              <w:ind w:left="36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4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20"/>
                <w:szCs w:val="20"/>
                <w:color w:val="0000FF"/>
              </w:rPr>
              <w:t>251,070</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4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6"/>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680" w:type="dxa"/>
            <w:vAlign w:val="bottom"/>
            <w:gridSpan w:val="7"/>
          </w:tcPr>
          <w:p>
            <w:pPr>
              <w:ind w:left="30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0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Units of Medline</w:t>
            </w:r>
          </w:p>
        </w:tc>
        <w:tc>
          <w:tcPr>
            <w:tcW w:w="144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251,070</w:t>
            </w:r>
          </w:p>
        </w:tc>
        <w:tc>
          <w:tcPr>
            <w:tcW w:w="60" w:type="dxa"/>
            <w:vAlign w:val="bottom"/>
          </w:tcPr>
          <w:p>
            <w:pPr>
              <w:spacing w:after="0"/>
              <w:rPr>
                <w:sz w:val="24"/>
                <w:szCs w:val="24"/>
                <w:color w:val="auto"/>
              </w:rPr>
            </w:pPr>
          </w:p>
        </w:tc>
        <w:tc>
          <w:tcPr>
            <w:tcW w:w="580" w:type="dxa"/>
            <w:vAlign w:val="bottom"/>
            <w:vMerge w:val="restart"/>
          </w:tcPr>
          <w:p>
            <w:pPr>
              <w:jc w:val="center"/>
              <w:ind w:left="211"/>
              <w:spacing w:after="0"/>
              <w:rPr>
                <w:sz w:val="20"/>
                <w:szCs w:val="20"/>
                <w:color w:val="auto"/>
              </w:rPr>
            </w:pPr>
            <w:r>
              <w:rPr>
                <w:rFonts w:ascii="Times New Roman" w:cs="Times New Roman" w:eastAsia="Times New Roman" w:hAnsi="Times New Roman"/>
                <w:sz w:val="13"/>
                <w:szCs w:val="13"/>
                <w:color w:val="008000"/>
                <w:w w:val="92"/>
              </w:rPr>
              <w:t>(2)</w:t>
            </w:r>
          </w:p>
        </w:tc>
        <w:tc>
          <w:tcPr>
            <w:tcW w:w="34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4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6"/>
              </w:rPr>
              <w:t>(3)(4)(5)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(3)(4)(5)</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1,242,391</w:t>
            </w:r>
          </w:p>
        </w:tc>
        <w:tc>
          <w:tcPr>
            <w:tcW w:w="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15.42</w:t>
            </w:r>
            <w:r>
              <w:rPr>
                <w:rFonts w:ascii="Times New Roman" w:cs="Times New Roman" w:eastAsia="Times New Roman" w:hAnsi="Times New Roman"/>
                <w:sz w:val="13"/>
                <w:szCs w:val="13"/>
                <w:color w:val="008000"/>
                <w:w w:val="83"/>
              </w:rPr>
              <w:t>(3)(4)</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See Footnote</w:t>
            </w:r>
            <w:r>
              <w:rPr>
                <w:rFonts w:ascii="Times New Roman" w:cs="Times New Roman" w:eastAsia="Times New Roman" w:hAnsi="Times New Roman"/>
                <w:sz w:val="25"/>
                <w:szCs w:val="25"/>
                <w:color w:val="008000"/>
                <w:w w:val="97"/>
                <w:vertAlign w:val="superscript"/>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4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6"/>
              </w:rPr>
              <w:t>(3)(4)(6)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(3)(4)(6)</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189,352</w:t>
            </w:r>
          </w:p>
        </w:tc>
        <w:tc>
          <w:tcPr>
            <w:tcW w:w="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15.23</w:t>
            </w:r>
            <w:r>
              <w:rPr>
                <w:rFonts w:ascii="Times New Roman" w:cs="Times New Roman" w:eastAsia="Times New Roman" w:hAnsi="Times New Roman"/>
                <w:sz w:val="13"/>
                <w:szCs w:val="13"/>
                <w:color w:val="008000"/>
                <w:w w:val="83"/>
              </w:rPr>
              <w:t>(3)(4)</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See Footnote</w:t>
            </w:r>
            <w:r>
              <w:rPr>
                <w:rFonts w:ascii="Times New Roman" w:cs="Times New Roman" w:eastAsia="Times New Roman" w:hAnsi="Times New Roman"/>
                <w:sz w:val="25"/>
                <w:szCs w:val="25"/>
                <w:color w:val="008000"/>
                <w:w w:val="97"/>
                <w:vertAlign w:val="superscript"/>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4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6"/>
              </w:rPr>
              <w:t>(3)(4)(7)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(3)(4)(7)</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132,771</w:t>
            </w:r>
          </w:p>
        </w:tc>
        <w:tc>
          <w:tcPr>
            <w:tcW w:w="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19.01</w:t>
            </w:r>
            <w:r>
              <w:rPr>
                <w:rFonts w:ascii="Times New Roman" w:cs="Times New Roman" w:eastAsia="Times New Roman" w:hAnsi="Times New Roman"/>
                <w:sz w:val="13"/>
                <w:szCs w:val="13"/>
                <w:color w:val="008000"/>
                <w:w w:val="83"/>
              </w:rPr>
              <w:t>(3)(4)</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See Footnote</w:t>
            </w:r>
            <w:r>
              <w:rPr>
                <w:rFonts w:ascii="Times New Roman" w:cs="Times New Roman" w:eastAsia="Times New Roman" w:hAnsi="Times New Roman"/>
                <w:sz w:val="25"/>
                <w:szCs w:val="25"/>
                <w:color w:val="008000"/>
                <w:w w:val="97"/>
                <w:vertAlign w:val="superscript"/>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Units of Medline</w:t>
            </w:r>
          </w:p>
        </w:tc>
        <w:tc>
          <w:tcPr>
            <w:tcW w:w="1440" w:type="dxa"/>
            <w:vAlign w:val="bottom"/>
            <w:gridSpan w:val="2"/>
            <w:vMerge w:val="restart"/>
          </w:tcPr>
          <w:p>
            <w:pPr>
              <w:jc w:val="center"/>
              <w:ind w:left="372"/>
              <w:spacing w:after="0"/>
              <w:rPr>
                <w:sz w:val="20"/>
                <w:szCs w:val="20"/>
                <w:color w:val="auto"/>
              </w:rPr>
            </w:pPr>
            <w:r>
              <w:rPr>
                <w:rFonts w:ascii="Times New Roman" w:cs="Times New Roman" w:eastAsia="Times New Roman" w:hAnsi="Times New Roman"/>
                <w:sz w:val="13"/>
                <w:szCs w:val="13"/>
                <w:color w:val="008000"/>
                <w:w w:val="96"/>
              </w:rPr>
              <w:t>(3)(4)(8)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6"/>
              </w:rPr>
              <w:t>(3)(4)(8)</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220,813</w:t>
            </w:r>
          </w:p>
        </w:tc>
        <w:tc>
          <w:tcPr>
            <w:tcW w:w="6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39"/>
                <w:szCs w:val="39"/>
                <w:color w:val="0000FF"/>
                <w:w w:val="83"/>
                <w:vertAlign w:val="subscript"/>
              </w:rPr>
              <w:t>27.68</w:t>
            </w:r>
            <w:r>
              <w:rPr>
                <w:rFonts w:ascii="Times New Roman" w:cs="Times New Roman" w:eastAsia="Times New Roman" w:hAnsi="Times New Roman"/>
                <w:sz w:val="13"/>
                <w:szCs w:val="13"/>
                <w:color w:val="008000"/>
                <w:w w:val="83"/>
              </w:rPr>
              <w:t>(3)(4)</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See Footnote</w:t>
            </w:r>
            <w:r>
              <w:rPr>
                <w:rFonts w:ascii="Times New Roman" w:cs="Times New Roman" w:eastAsia="Times New Roman" w:hAnsi="Times New Roman"/>
                <w:sz w:val="25"/>
                <w:szCs w:val="25"/>
                <w:color w:val="008000"/>
                <w:w w:val="97"/>
                <w:vertAlign w:val="superscript"/>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Holdings, LP</w:t>
            </w:r>
          </w:p>
        </w:tc>
        <w:tc>
          <w:tcPr>
            <w:tcW w:w="14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29" w:lineRule="exact"/>
        <w:rPr>
          <w:rFonts w:ascii="Times New Roman" w:cs="Times New Roman" w:eastAsia="Times New Roman" w:hAnsi="Times New Roman"/>
          <w:sz w:val="15"/>
          <w:szCs w:val="15"/>
          <w:color w:val="008000"/>
        </w:rPr>
      </w:pPr>
    </w:p>
    <w:p>
      <w:pPr>
        <w:jc w:val="both"/>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terms of an exchange agreement, dated as of December 16, 2025 (the "Exchange Agreement"), holders have the right to exchange their Common Units for shares of Class A Common Stock on a one-for-one basis, subject to customary conversion rate adjustments for stock splits, stock dividends and reclassifications. These exchange rights do not expire. Such Common Units are held indirectly through Medline Management Aggregator LLC.</w:t>
      </w:r>
    </w:p>
    <w:p>
      <w:pPr>
        <w:spacing w:after="0" w:line="29" w:lineRule="exact"/>
        <w:rPr>
          <w:rFonts w:ascii="Times New Roman" w:cs="Times New Roman" w:eastAsia="Times New Roman" w:hAnsi="Times New Roman"/>
          <w:sz w:val="15"/>
          <w:szCs w:val="15"/>
          <w:color w:val="008000"/>
        </w:rPr>
      </w:pPr>
    </w:p>
    <w:p>
      <w:pPr>
        <w:ind w:left="40" w:right="8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 incentive units of Medline Holdings, LP ("Incentive Units"), which are "profit interests" having economic characteristics similar to stock appreciation rights. Vested Incentive Units are convertible, at the holder's election, into a number of Common Units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w:t>
      </w:r>
    </w:p>
    <w:p>
      <w:pPr>
        <w:spacing w:after="0" w:line="33" w:lineRule="exact"/>
        <w:rPr>
          <w:rFonts w:ascii="Times New Roman" w:cs="Times New Roman" w:eastAsia="Times New Roman" w:hAnsi="Times New Roman"/>
          <w:sz w:val="15"/>
          <w:szCs w:val="15"/>
          <w:color w:val="008000"/>
        </w:rPr>
      </w:pPr>
    </w:p>
    <w:p>
      <w:pPr>
        <w:ind w:left="40" w:right="6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3 above) Common Units are exchangeable on a one-for-one basis for shares of Class A Common Stock pursuant to the terms of the Exchange Agreement. These Incentive Units have no expiration date. Such Incentive Units are held indirectly through Medline Management Aggregator LLC.</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80% of these Incentive Units have vested, and the remaining 20% vest on October 21,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40% of these Incentive Units have vested, and the remaining 60% vest in three equal annual installments beginning on April 1,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20% of these Incentive Units have vested, and the remaining 80% vest in four equal annual installments beginning on March 29, 2026.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Incentive Units vest in five equal annual installments beginning on March 28, 2026.</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940"/>
          </w:cols>
          <w:pgMar w:left="480" w:top="230" w:right="479" w:bottom="0" w:gutter="0" w:footer="0" w:header="0"/>
          <w:type w:val="continuous"/>
        </w:sectPr>
      </w:pP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Exhibit 24 - Power of Attorney.</w:t>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Nicole Fritz,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15" w:right="559" w:bottom="1440" w:gutter="0" w:footer="0" w:header="0"/>
        </w:sectPr>
      </w:pPr>
    </w:p>
    <w:bookmarkStart w:id="2" w:name="page3"/>
    <w:bookmarkEnd w:id="2"/>
    <w:p>
      <w:pPr>
        <w:spacing w:after="0" w:line="10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Alexander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Liberman, Nicole Fritz and Katherine Morgan </w:t>
      </w:r>
      <w:r>
        <w:rPr>
          <w:rFonts w:ascii="Times New Roman" w:cs="Times New Roman" w:eastAsia="Times New Roman" w:hAnsi="Times New Roman"/>
          <w:sz w:val="24"/>
          <w:szCs w:val="24"/>
          <w:color w:val="auto"/>
        </w:rPr>
        <w:t>or any one of them, as a true and lawful attorney-in-fact of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(ii) pursuant to Rule 144 under the Securities Act of 1933, as amended, including without limitation notices on Form 144 (including any amendments thereto), and (iii) in connection with any applications for EDGAR access codes, including without limitation the Form ID.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Alexander Liberman, Nicole Fritz and Katherine Morgan,</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40" w:lineRule="exact"/>
        <w:rPr>
          <w:sz w:val="20"/>
          <w:szCs w:val="20"/>
          <w:color w:val="auto"/>
        </w:rPr>
      </w:pPr>
    </w:p>
    <w:tbl>
      <w:tblPr>
        <w:tblLayout w:type="fixed"/>
        <w:tblInd w:w="5480" w:type="dxa"/>
        <w:tblCellMar>
          <w:top w:w="0" w:type="dxa"/>
          <w:left w:w="0" w:type="dxa"/>
          <w:bottom w:w="0" w:type="dxa"/>
          <w:right w:w="0" w:type="dxa"/>
        </w:tblCellMar>
      </w:tblPr>
      <w:tr>
        <w:trPr>
          <w:trHeight w:val="300"/>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By:</w:t>
            </w:r>
          </w:p>
        </w:tc>
        <w:tc>
          <w:tcPr>
            <w:tcW w:w="4760" w:type="dxa"/>
            <w:vAlign w:val="bottom"/>
            <w:gridSpan w:val="2"/>
          </w:tcPr>
          <w:p>
            <w:pPr>
              <w:ind w:left="60"/>
              <w:spacing w:after="0"/>
              <w:rPr>
                <w:sz w:val="20"/>
                <w:szCs w:val="20"/>
                <w:color w:val="auto"/>
              </w:rPr>
            </w:pPr>
            <w:r>
              <w:rPr>
                <w:rFonts w:ascii="Times New Roman" w:cs="Times New Roman" w:eastAsia="Times New Roman" w:hAnsi="Times New Roman"/>
                <w:sz w:val="24"/>
                <w:szCs w:val="24"/>
                <w:color w:val="auto"/>
              </w:rPr>
              <w:t>/s/ Amanda H. Laabs</w:t>
            </w:r>
          </w:p>
        </w:tc>
      </w:tr>
      <w:tr>
        <w:trPr>
          <w:trHeight w:val="313"/>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Name:</w:t>
            </w:r>
          </w:p>
        </w:tc>
        <w:tc>
          <w:tcPr>
            <w:tcW w:w="60" w:type="dxa"/>
            <w:vAlign w:val="bottom"/>
          </w:tcPr>
          <w:p>
            <w:pPr>
              <w:spacing w:after="0"/>
              <w:rPr>
                <w:sz w:val="24"/>
                <w:szCs w:val="24"/>
                <w:color w:val="auto"/>
              </w:rPr>
            </w:pPr>
          </w:p>
        </w:tc>
        <w:tc>
          <w:tcPr>
            <w:tcW w:w="4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Amanda H. Laabs</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March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1146175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61266"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2025-12-17T18:10:23Z</dcterms:created>
  <dcterms:modified xsi:type="dcterms:W3CDTF">2025-12-17T18:10:23Z</dcterms:modified>
</cp:coreProperties>
</file>