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8" w:lineRule="exact"/>
        <w:rPr>
          <w:sz w:val="24"/>
          <w:szCs w:val="24"/>
          <w:color w:val="auto"/>
        </w:rPr>
      </w:pPr>
    </w:p>
    <w:p>
      <w:pPr>
        <w:ind w:left="340" w:right="14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-221615</wp:posOffset>
            </wp:positionV>
            <wp:extent cx="118110" cy="118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1" w:lineRule="exact"/>
        <w:rPr>
          <w:sz w:val="24"/>
          <w:szCs w:val="24"/>
          <w:color w:val="auto"/>
        </w:rPr>
      </w:pPr>
    </w:p>
    <w:p>
      <w:pPr>
        <w:ind w:left="340"/>
        <w:spacing w:after="0" w:line="241"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-556260</wp:posOffset>
            </wp:positionV>
            <wp:extent cx="118110" cy="118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110" cy="1181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60" w:type="dxa"/>
            <w:vAlign w:val="bottom"/>
          </w:tcPr>
          <w:p>
            <w:pPr>
              <w:jc w:val="center"/>
              <w:ind w:right="279"/>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9"/>
        </w:trPr>
        <w:tc>
          <w:tcPr>
            <w:tcW w:w="6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60" w:type="dxa"/>
            <w:vAlign w:val="bottom"/>
            <w:vMerge w:val="restart"/>
          </w:tcPr>
          <w:p>
            <w:pPr>
              <w:jc w:val="center"/>
              <w:ind w:right="299"/>
              <w:spacing w:after="0" w:line="179"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6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4"/>
        </w:trPr>
        <w:tc>
          <w:tcPr>
            <w:tcW w:w="6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6160" w:type="dxa"/>
            <w:vAlign w:val="bottom"/>
            <w:vMerge w:val="restart"/>
          </w:tcPr>
          <w:p>
            <w:pPr>
              <w:jc w:val="center"/>
              <w:ind w:right="29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5182870</wp:posOffset>
            </wp:positionH>
            <wp:positionV relativeFrom="paragraph">
              <wp:posOffset>-602615</wp:posOffset>
            </wp:positionV>
            <wp:extent cx="57150"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5950"/>
                    </a:xfrm>
                    <a:prstGeom prst="rect">
                      <a:avLst/>
                    </a:prstGeom>
                    <a:noFill/>
                  </pic:spPr>
                </pic:pic>
              </a:graphicData>
            </a:graphic>
          </wp:anchor>
        </w:drawing>
        <w:drawing>
          <wp:anchor simplePos="0" relativeHeight="251657728" behindDoc="1" locked="0" layoutInCell="0" allowOverlap="1">
            <wp:simplePos x="0" y="0"/>
            <wp:positionH relativeFrom="column">
              <wp:posOffset>3899535</wp:posOffset>
            </wp:positionH>
            <wp:positionV relativeFrom="paragraph">
              <wp:posOffset>-602615</wp:posOffset>
            </wp:positionV>
            <wp:extent cx="57150" cy="6159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595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639445</wp:posOffset>
            </wp:positionV>
            <wp:extent cx="7049135" cy="6786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9135" cy="6786245"/>
                    </a:xfrm>
                    <a:prstGeom prst="rect">
                      <a:avLst/>
                    </a:prstGeom>
                    <a:noFill/>
                  </pic:spPr>
                </pic:pic>
              </a:graphicData>
            </a:graphic>
          </wp:anchor>
        </w:drawing>
      </w:r>
    </w:p>
    <w:p>
      <w:pPr>
        <w:spacing w:after="0" w:line="1020" w:lineRule="exact"/>
        <w:rPr>
          <w:sz w:val="24"/>
          <w:szCs w:val="24"/>
          <w:color w:val="auto"/>
        </w:rPr>
      </w:pPr>
    </w:p>
    <w:p>
      <w:pPr>
        <w:sectPr>
          <w:pgSz w:w="11900" w:h="16838" w:orient="portrait"/>
          <w:cols w:equalWidth="0" w:num="2">
            <w:col w:w="2300" w:space="400"/>
            <w:col w:w="8380"/>
          </w:cols>
          <w:pgMar w:left="460" w:top="213" w:right="359" w:bottom="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20" w:type="dxa"/>
            <w:vAlign w:val="bottom"/>
            <w:gridSpan w:val="7"/>
          </w:tcPr>
          <w:p>
            <w:pPr>
              <w:ind w:left="60"/>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80" w:type="dxa"/>
            <w:vAlign w:val="bottom"/>
            <w:gridSpan w:val="7"/>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20" w:type="dxa"/>
            <w:vAlign w:val="bottom"/>
            <w:gridSpan w:val="3"/>
            <w:vMerge w:val="restart"/>
          </w:tcPr>
          <w:p>
            <w:pPr>
              <w:spacing w:after="0" w:line="228" w:lineRule="exact"/>
              <w:rPr>
                <w:rFonts w:ascii="Times New Roman" w:cs="Times New Roman" w:eastAsia="Times New Roman" w:hAnsi="Times New Roman"/>
                <w:sz w:val="20"/>
                <w:szCs w:val="20"/>
                <w:color w:val="0000EE"/>
                <w:w w:val="97"/>
              </w:rPr>
            </w:pPr>
            <w:hyperlink r:id="rId13">
              <w:r>
                <w:rPr>
                  <w:rFonts w:ascii="Times New Roman" w:cs="Times New Roman" w:eastAsia="Times New Roman" w:hAnsi="Times New Roman"/>
                  <w:sz w:val="20"/>
                  <w:szCs w:val="20"/>
                  <w:color w:val="0000EE"/>
                  <w:w w:val="97"/>
                </w:rPr>
                <w:t>Drazin Michael B</w:t>
              </w:r>
            </w:hyperlink>
          </w:p>
        </w:tc>
        <w:tc>
          <w:tcPr>
            <w:tcW w:w="9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40" w:type="dxa"/>
            <w:vAlign w:val="bottom"/>
            <w:gridSpan w:val="6"/>
          </w:tcPr>
          <w:p>
            <w:pPr>
              <w:ind w:left="60"/>
              <w:spacing w:after="0" w:line="161" w:lineRule="exact"/>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 xml:space="preserve">Medline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MDLN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20" w:type="dxa"/>
            <w:vAlign w:val="bottom"/>
            <w:tcBorders>
              <w:bottom w:val="single" w:sz="8" w:color="0000EE"/>
            </w:tcBorders>
            <w:gridSpan w:val="3"/>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0" w:type="dxa"/>
            <w:vAlign w:val="bottom"/>
            <w:gridSpan w:val="2"/>
            <w:vMerge w:val="restart"/>
          </w:tcPr>
          <w:p>
            <w:pPr>
              <w:ind w:left="260"/>
              <w:spacing w:after="0"/>
              <w:rPr>
                <w:sz w:val="20"/>
                <w:szCs w:val="20"/>
                <w:color w:val="auto"/>
              </w:rPr>
            </w:pPr>
            <w:r>
              <w:rPr>
                <w:rFonts w:ascii="Arial" w:cs="Arial" w:eastAsia="Arial" w:hAnsi="Arial"/>
                <w:sz w:val="12"/>
                <w:szCs w:val="12"/>
                <w:color w:val="auto"/>
              </w:rPr>
              <w:t>10% Owner</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20" w:type="dxa"/>
            <w:vAlign w:val="bottom"/>
            <w:gridSpan w:val="3"/>
          </w:tcPr>
          <w:p>
            <w:pPr>
              <w:spacing w:after="0"/>
              <w:rPr>
                <w:sz w:val="4"/>
                <w:szCs w:val="4"/>
                <w:color w:val="auto"/>
              </w:rPr>
            </w:pPr>
          </w:p>
        </w:tc>
        <w:tc>
          <w:tcPr>
            <w:tcW w:w="940" w:type="dxa"/>
            <w:vAlign w:val="bottom"/>
            <w:vMerge w:val="continue"/>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140"/>
              <w:spacing w:after="0" w:line="116" w:lineRule="exact"/>
              <w:rPr>
                <w:sz w:val="20"/>
                <w:szCs w:val="20"/>
                <w:color w:val="auto"/>
              </w:rPr>
            </w:pPr>
            <w:r>
              <w:rPr>
                <w:rFonts w:ascii="Arial" w:cs="Arial" w:eastAsia="Arial" w:hAnsi="Arial"/>
                <w:sz w:val="12"/>
                <w:szCs w:val="12"/>
                <w:color w:val="auto"/>
              </w:rPr>
              <w:t>Officer (give title</w:t>
            </w:r>
          </w:p>
        </w:tc>
        <w:tc>
          <w:tcPr>
            <w:tcW w:w="240" w:type="dxa"/>
            <w:vAlign w:val="bottom"/>
          </w:tcPr>
          <w:p>
            <w:pPr>
              <w:spacing w:after="0"/>
              <w:rPr>
                <w:sz w:val="10"/>
                <w:szCs w:val="10"/>
                <w:color w:val="auto"/>
              </w:rPr>
            </w:pPr>
          </w:p>
        </w:tc>
        <w:tc>
          <w:tcPr>
            <w:tcW w:w="1200" w:type="dxa"/>
            <w:vAlign w:val="bottom"/>
            <w:gridSpan w:val="2"/>
          </w:tcPr>
          <w:p>
            <w:pPr>
              <w:ind w:left="260"/>
              <w:spacing w:after="0" w:line="116" w:lineRule="exact"/>
              <w:rPr>
                <w:sz w:val="20"/>
                <w:szCs w:val="20"/>
                <w:color w:val="auto"/>
              </w:rPr>
            </w:pPr>
            <w:r>
              <w:rPr>
                <w:rFonts w:ascii="Arial" w:cs="Arial" w:eastAsia="Arial" w:hAnsi="Arial"/>
                <w:sz w:val="12"/>
                <w:szCs w:val="12"/>
                <w:color w:val="auto"/>
              </w:rPr>
              <w:t>Other (specify</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top w:val="single" w:sz="8" w:color="EEEEEE"/>
            </w:tcBorders>
          </w:tcPr>
          <w:p>
            <w:pPr>
              <w:spacing w:after="0"/>
              <w:rPr>
                <w:sz w:val="12"/>
                <w:szCs w:val="12"/>
                <w:color w:val="auto"/>
              </w:rPr>
            </w:pPr>
          </w:p>
        </w:tc>
        <w:tc>
          <w:tcPr>
            <w:tcW w:w="560" w:type="dxa"/>
            <w:vAlign w:val="bottom"/>
            <w:tcBorders>
              <w:top w:val="single" w:sz="8" w:color="EEEEEE"/>
              <w:bottom w:val="single" w:sz="8" w:color="EEEEEE"/>
            </w:tcBorders>
            <w:vMerge w:val="restart"/>
          </w:tcPr>
          <w:p>
            <w:pPr>
              <w:spacing w:after="0"/>
              <w:rPr>
                <w:sz w:val="20"/>
                <w:szCs w:val="20"/>
                <w:color w:val="auto"/>
              </w:rPr>
            </w:pPr>
            <w:r>
              <w:rPr>
                <w:rFonts w:ascii="Arial" w:cs="Arial" w:eastAsia="Arial" w:hAnsi="Arial"/>
                <w:sz w:val="12"/>
                <w:szCs w:val="12"/>
                <w:color w:val="auto"/>
              </w:rPr>
              <w:t>(Last)</w:t>
            </w:r>
          </w:p>
        </w:tc>
        <w:tc>
          <w:tcPr>
            <w:tcW w:w="1800" w:type="dxa"/>
            <w:vAlign w:val="bottom"/>
            <w:tcBorders>
              <w:top w:val="single" w:sz="8" w:color="EEEEEE"/>
              <w:bottom w:val="single" w:sz="8" w:color="EEEEEE"/>
            </w:tcBorders>
            <w:gridSpan w:val="3"/>
            <w:vMerge w:val="restart"/>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Borders>
              <w:top w:val="single" w:sz="8" w:color="EEEEEE"/>
              <w:bottom w:val="single" w:sz="8" w:color="EEEEEE"/>
            </w:tcBorders>
            <w:vMerge w:val="restart"/>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Borders>
              <w:top w:val="single" w:sz="8" w:color="EEEEEE"/>
            </w:tcBorders>
          </w:tcPr>
          <w:p>
            <w:pPr>
              <w:spacing w:after="0"/>
              <w:rPr>
                <w:sz w:val="12"/>
                <w:szCs w:val="12"/>
                <w:color w:val="auto"/>
              </w:rPr>
            </w:pPr>
          </w:p>
        </w:tc>
        <w:tc>
          <w:tcPr>
            <w:tcW w:w="260" w:type="dxa"/>
            <w:vAlign w:val="bottom"/>
            <w:tcBorders>
              <w:top w:val="single" w:sz="8" w:color="EEEEEE"/>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ind w:left="140"/>
              <w:spacing w:after="0" w:line="114" w:lineRule="exact"/>
              <w:rPr>
                <w:sz w:val="20"/>
                <w:szCs w:val="20"/>
                <w:color w:val="auto"/>
              </w:rPr>
            </w:pPr>
            <w:r>
              <w:rPr>
                <w:rFonts w:ascii="Arial" w:cs="Arial" w:eastAsia="Arial" w:hAnsi="Arial"/>
                <w:sz w:val="12"/>
                <w:szCs w:val="12"/>
                <w:color w:val="auto"/>
              </w:rPr>
              <w:t>below)</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ind w:left="260"/>
              <w:spacing w:after="0" w:line="114" w:lineRule="exact"/>
              <w:rPr>
                <w:sz w:val="20"/>
                <w:szCs w:val="20"/>
                <w:color w:val="auto"/>
              </w:rPr>
            </w:pPr>
            <w:r>
              <w:rPr>
                <w:rFonts w:ascii="Arial" w:cs="Arial" w:eastAsia="Arial" w:hAnsi="Arial"/>
                <w:sz w:val="12"/>
                <w:szCs w:val="12"/>
                <w:color w:val="auto"/>
              </w:rPr>
              <w:t>below)</w:t>
            </w: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1800" w:type="dxa"/>
            <w:vAlign w:val="bottom"/>
            <w:gridSpan w:val="3"/>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2820" w:type="dxa"/>
            <w:vAlign w:val="bottom"/>
            <w:gridSpan w:val="7"/>
            <w:vMerge w:val="restart"/>
          </w:tcPr>
          <w:p>
            <w:pPr>
              <w:ind w:left="60"/>
              <w:spacing w:after="0"/>
              <w:rPr>
                <w:sz w:val="20"/>
                <w:szCs w:val="20"/>
                <w:color w:val="auto"/>
              </w:rPr>
            </w:pPr>
            <w:r>
              <w:rPr>
                <w:rFonts w:ascii="Arial" w:cs="Arial" w:eastAsia="Arial" w:hAnsi="Arial"/>
                <w:sz w:val="12"/>
                <w:szCs w:val="12"/>
                <w:color w:val="auto"/>
              </w:rPr>
              <w:t>3. Date of Earliest Transaction (Month/Day/Year)</w:t>
            </w:r>
          </w:p>
        </w:tc>
        <w:tc>
          <w:tcPr>
            <w:tcW w:w="5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140" w:type="dxa"/>
            <w:vAlign w:val="bottom"/>
            <w:gridSpan w:val="4"/>
            <w:vMerge w:val="restart"/>
          </w:tcPr>
          <w:p>
            <w:pPr>
              <w:ind w:left="440"/>
              <w:spacing w:after="0"/>
              <w:rPr>
                <w:sz w:val="20"/>
                <w:szCs w:val="20"/>
                <w:color w:val="auto"/>
              </w:rPr>
            </w:pPr>
            <w:r>
              <w:rPr>
                <w:rFonts w:ascii="Times New Roman" w:cs="Times New Roman" w:eastAsia="Times New Roman" w:hAnsi="Times New Roman"/>
                <w:sz w:val="16"/>
                <w:szCs w:val="16"/>
                <w:color w:val="0000FF"/>
              </w:rPr>
              <w:t>Chief Financial Officer</w:t>
            </w: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360" w:type="dxa"/>
            <w:vAlign w:val="bottom"/>
            <w:gridSpan w:val="4"/>
            <w:vMerge w:val="restart"/>
          </w:tcPr>
          <w:p>
            <w:pPr>
              <w:spacing w:after="0"/>
              <w:rPr>
                <w:sz w:val="20"/>
                <w:szCs w:val="20"/>
                <w:color w:val="auto"/>
              </w:rPr>
            </w:pPr>
            <w:r>
              <w:rPr>
                <w:rFonts w:ascii="Times New Roman" w:cs="Times New Roman" w:eastAsia="Times New Roman" w:hAnsi="Times New Roman"/>
                <w:sz w:val="16"/>
                <w:szCs w:val="16"/>
                <w:color w:val="0000FF"/>
              </w:rPr>
              <w:t>C/O MEDLINE INC.</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20" w:type="dxa"/>
            <w:vAlign w:val="bottom"/>
            <w:gridSpan w:val="7"/>
            <w:vMerge w:val="continue"/>
          </w:tcPr>
          <w:p>
            <w:pPr>
              <w:spacing w:after="0"/>
              <w:rPr>
                <w:sz w:val="7"/>
                <w:szCs w:val="7"/>
                <w:color w:val="auto"/>
              </w:rPr>
            </w:pPr>
          </w:p>
        </w:tc>
        <w:tc>
          <w:tcPr>
            <w:tcW w:w="5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140" w:type="dxa"/>
            <w:vAlign w:val="bottom"/>
            <w:gridSpan w:val="4"/>
            <w:vMerge w:val="continue"/>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360" w:type="dxa"/>
            <w:vAlign w:val="bottom"/>
            <w:gridSpan w:val="4"/>
            <w:vMerge w:val="continue"/>
          </w:tcPr>
          <w:p>
            <w:pPr>
              <w:spacing w:after="0"/>
              <w:rPr>
                <w:sz w:val="18"/>
                <w:szCs w:val="18"/>
                <w:color w:val="auto"/>
              </w:rPr>
            </w:pPr>
          </w:p>
        </w:tc>
        <w:tc>
          <w:tcPr>
            <w:tcW w:w="980" w:type="dxa"/>
            <w:vAlign w:val="bottom"/>
          </w:tcPr>
          <w:p>
            <w:pPr>
              <w:spacing w:after="0"/>
              <w:rPr>
                <w:sz w:val="18"/>
                <w:szCs w:val="18"/>
                <w:color w:val="auto"/>
              </w:rPr>
            </w:pPr>
          </w:p>
        </w:tc>
        <w:tc>
          <w:tcPr>
            <w:tcW w:w="146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12/16/2025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3 LAKES DRIVE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7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940" w:type="dxa"/>
            <w:vAlign w:val="bottom"/>
            <w:tcBorders>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500" w:type="dxa"/>
            <w:vAlign w:val="bottom"/>
            <w:tcBorders>
              <w:bottom w:val="single" w:sz="8" w:color="808080"/>
            </w:tcBorders>
            <w:gridSpan w:val="4"/>
          </w:tcPr>
          <w:p>
            <w:pPr>
              <w:spacing w:after="0"/>
              <w:rPr>
                <w:sz w:val="17"/>
                <w:szCs w:val="17"/>
                <w:color w:val="auto"/>
              </w:rPr>
            </w:pPr>
          </w:p>
        </w:tc>
        <w:tc>
          <w:tcPr>
            <w:tcW w:w="1780" w:type="dxa"/>
            <w:vAlign w:val="bottom"/>
            <w:tcBorders>
              <w:bottom w:val="single" w:sz="8" w:color="808080"/>
            </w:tcBorders>
            <w:gridSpan w:val="3"/>
          </w:tcPr>
          <w:p>
            <w:pPr>
              <w:spacing w:after="0"/>
              <w:rPr>
                <w:sz w:val="17"/>
                <w:szCs w:val="17"/>
                <w:color w:val="auto"/>
              </w:rPr>
            </w:pPr>
          </w:p>
        </w:tc>
        <w:tc>
          <w:tcPr>
            <w:tcW w:w="14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440" w:type="dxa"/>
            <w:vAlign w:val="bottom"/>
            <w:tcBorders>
              <w:bottom w:val="single" w:sz="8" w:color="808080"/>
            </w:tcBorders>
            <w:gridSpan w:val="2"/>
          </w:tcPr>
          <w:p>
            <w:pPr>
              <w:spacing w:after="0"/>
              <w:rPr>
                <w:sz w:val="17"/>
                <w:szCs w:val="17"/>
                <w:color w:val="auto"/>
              </w:rPr>
            </w:pPr>
          </w:p>
        </w:tc>
        <w:tc>
          <w:tcPr>
            <w:tcW w:w="2840" w:type="dxa"/>
            <w:vAlign w:val="bottom"/>
            <w:tcBorders>
              <w:bottom w:val="single" w:sz="8" w:color="808080"/>
            </w:tcBorders>
            <w:gridSpan w:val="6"/>
          </w:tcPr>
          <w:p>
            <w:pPr>
              <w:spacing w:after="0"/>
              <w:rPr>
                <w:sz w:val="17"/>
                <w:szCs w:val="17"/>
                <w:color w:val="auto"/>
              </w:rPr>
            </w:pP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7"/>
                <w:szCs w:val="17"/>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34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4. If Amendment, Date of Original Filed (Month/Day/Year)</w:t>
            </w:r>
          </w:p>
        </w:tc>
        <w:tc>
          <w:tcPr>
            <w:tcW w:w="14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180" w:type="dxa"/>
            <w:vAlign w:val="bottom"/>
            <w:tcBorders>
              <w:top w:val="single" w:sz="8" w:color="2C2C2C"/>
            </w:tcBorders>
          </w:tcPr>
          <w:p>
            <w:pPr>
              <w:spacing w:after="0"/>
              <w:rPr>
                <w:sz w:val="17"/>
                <w:szCs w:val="17"/>
                <w:color w:val="auto"/>
              </w:rPr>
            </w:pPr>
          </w:p>
        </w:tc>
        <w:tc>
          <w:tcPr>
            <w:tcW w:w="3280" w:type="dxa"/>
            <w:vAlign w:val="bottom"/>
            <w:tcBorders>
              <w:top w:val="single" w:sz="8" w:color="2C2C2C"/>
            </w:tcBorders>
            <w:gridSpan w:val="8"/>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6"/>
                <w:szCs w:val="16"/>
                <w:color w:val="0000FF"/>
              </w:rPr>
              <w:t>NORTHFIELD   IL</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60093</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gridSpan w:val="4"/>
          </w:tcPr>
          <w:p>
            <w:pPr>
              <w:ind w:left="140"/>
              <w:spacing w:after="0"/>
              <w:rPr>
                <w:sz w:val="20"/>
                <w:szCs w:val="20"/>
                <w:color w:val="auto"/>
              </w:rPr>
            </w:pPr>
            <w:r>
              <w:rPr>
                <w:rFonts w:ascii="Arial" w:cs="Arial" w:eastAsia="Arial" w:hAnsi="Arial"/>
                <w:sz w:val="12"/>
                <w:szCs w:val="12"/>
                <w:color w:val="auto"/>
              </w:rPr>
              <w:t>Form filed by One Reporting Person</w:t>
            </w: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60" w:type="dxa"/>
            <w:vAlign w:val="bottom"/>
            <w:gridSpan w:val="8"/>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6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6"/>
          </w:tcPr>
          <w:p>
            <w:pPr>
              <w:spacing w:after="0"/>
              <w:rPr>
                <w:sz w:val="10"/>
                <w:szCs w:val="10"/>
                <w:color w:val="auto"/>
              </w:rPr>
            </w:pPr>
          </w:p>
        </w:tc>
        <w:tc>
          <w:tcPr>
            <w:tcW w:w="44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9"/>
          </w:tcPr>
          <w:p>
            <w:pPr>
              <w:ind w:left="88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6"/>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2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6"/>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9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w w:val="99"/>
              </w:rPr>
              <w:t>Execution Date,</w:t>
            </w:r>
          </w:p>
        </w:tc>
        <w:tc>
          <w:tcPr>
            <w:tcW w:w="140" w:type="dxa"/>
            <w:vAlign w:val="bottom"/>
          </w:tcPr>
          <w:p>
            <w:pPr>
              <w:spacing w:after="0"/>
              <w:rPr>
                <w:sz w:val="10"/>
                <w:szCs w:val="10"/>
                <w:color w:val="auto"/>
              </w:rPr>
            </w:pPr>
          </w:p>
        </w:tc>
        <w:tc>
          <w:tcPr>
            <w:tcW w:w="2600" w:type="dxa"/>
            <w:vAlign w:val="bottom"/>
            <w:gridSpan w:val="7"/>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12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8"/>
              </w:rPr>
              <w:t>Securities</w:t>
            </w:r>
          </w:p>
        </w:tc>
        <w:tc>
          <w:tcPr>
            <w:tcW w:w="6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Form: Direct</w:t>
            </w:r>
          </w:p>
        </w:tc>
        <w:tc>
          <w:tcPr>
            <w:tcW w:w="500" w:type="dxa"/>
            <w:vAlign w:val="bottom"/>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66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60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0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840" w:type="dxa"/>
            <w:vAlign w:val="bottom"/>
            <w:gridSpan w:val="3"/>
          </w:tcPr>
          <w:p>
            <w:pPr>
              <w:ind w:left="400"/>
              <w:spacing w:after="0" w:line="124" w:lineRule="exact"/>
              <w:rPr>
                <w:sz w:val="20"/>
                <w:szCs w:val="20"/>
                <w:color w:val="auto"/>
              </w:rPr>
            </w:pPr>
            <w:r>
              <w:rPr>
                <w:rFonts w:ascii="Arial" w:cs="Arial" w:eastAsia="Arial" w:hAnsi="Arial"/>
                <w:sz w:val="11"/>
                <w:szCs w:val="11"/>
                <w:b w:val="1"/>
                <w:bCs w:val="1"/>
                <w:color w:val="auto"/>
              </w:rPr>
              <w:t>(A) or</w:t>
            </w:r>
          </w:p>
        </w:tc>
        <w:tc>
          <w:tcPr>
            <w:tcW w:w="500" w:type="dxa"/>
            <w:vAlign w:val="bottom"/>
            <w:gridSpan w:val="2"/>
            <w:vMerge w:val="restart"/>
          </w:tcPr>
          <w:p>
            <w:pPr>
              <w:jc w:val="right"/>
              <w:ind w:right="98"/>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180" w:type="dxa"/>
            <w:vAlign w:val="bottom"/>
          </w:tcPr>
          <w:p>
            <w:pPr>
              <w:spacing w:after="0"/>
              <w:rPr>
                <w:sz w:val="7"/>
                <w:szCs w:val="7"/>
                <w:color w:val="auto"/>
              </w:rPr>
            </w:pPr>
          </w:p>
        </w:tc>
        <w:tc>
          <w:tcPr>
            <w:tcW w:w="5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B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0000FF"/>
                <w:w w:val="98"/>
              </w:rPr>
              <w:t>12/16/2025</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1200" w:type="dxa"/>
            <w:vAlign w:val="bottom"/>
            <w:tcBorders>
              <w:bottom w:val="single" w:sz="8" w:color="2C2C2C"/>
            </w:tcBorders>
            <w:gridSpan w:val="2"/>
          </w:tcPr>
          <w:p>
            <w:pPr>
              <w:jc w:val="center"/>
              <w:ind w:right="200"/>
              <w:spacing w:after="0"/>
              <w:rPr>
                <w:sz w:val="20"/>
                <w:szCs w:val="20"/>
                <w:color w:val="auto"/>
              </w:rPr>
            </w:pPr>
            <w:r>
              <w:rPr>
                <w:rFonts w:ascii="Times New Roman" w:cs="Times New Roman" w:eastAsia="Times New Roman" w:hAnsi="Times New Roman"/>
                <w:sz w:val="16"/>
                <w:szCs w:val="16"/>
                <w:color w:val="0000FF"/>
              </w:rPr>
              <w:t>486,028</w:t>
            </w:r>
            <w:r>
              <w:rPr>
                <w:rFonts w:ascii="Times New Roman" w:cs="Times New Roman" w:eastAsia="Times New Roman" w:hAnsi="Times New Roman"/>
                <w:sz w:val="20"/>
                <w:szCs w:val="20"/>
                <w:color w:val="008000"/>
                <w:vertAlign w:val="superscript"/>
              </w:rPr>
              <w:t>(2)</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jc w:val="right"/>
              <w:ind w:right="78"/>
              <w:spacing w:after="0"/>
              <w:rPr>
                <w:sz w:val="20"/>
                <w:szCs w:val="20"/>
                <w:color w:val="auto"/>
              </w:rPr>
            </w:pPr>
            <w:r>
              <w:rPr>
                <w:rFonts w:ascii="Times New Roman" w:cs="Times New Roman" w:eastAsia="Times New Roman" w:hAnsi="Times New Roman"/>
                <w:sz w:val="10"/>
                <w:szCs w:val="10"/>
                <w:color w:val="008000"/>
              </w:rPr>
              <w:t>(1)</w:t>
            </w:r>
          </w:p>
        </w:tc>
        <w:tc>
          <w:tcPr>
            <w:tcW w:w="132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6"/>
                <w:szCs w:val="16"/>
                <w:color w:val="0000FF"/>
              </w:rPr>
              <w:t>486,028</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246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120"/>
              <w:spacing w:after="0"/>
              <w:rPr>
                <w:sz w:val="20"/>
                <w:szCs w:val="20"/>
                <w:color w:val="auto"/>
              </w:rPr>
            </w:pPr>
            <w:r>
              <w:rPr>
                <w:rFonts w:ascii="Times New Roman" w:cs="Times New Roman" w:eastAsia="Times New Roman" w:hAnsi="Times New Roman"/>
                <w:sz w:val="16"/>
                <w:szCs w:val="16"/>
                <w:color w:val="0000FF"/>
                <w:w w:val="98"/>
              </w:rPr>
              <w:t>03/05/2026</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(3)</w:t>
            </w:r>
          </w:p>
        </w:tc>
        <w:tc>
          <w:tcPr>
            <w:tcW w:w="12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6"/>
                <w:szCs w:val="16"/>
                <w:color w:val="0000FF"/>
              </w:rPr>
              <w:t>25,788</w:t>
            </w:r>
          </w:p>
        </w:tc>
        <w:tc>
          <w:tcPr>
            <w:tcW w:w="1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6"/>
                <w:szCs w:val="16"/>
                <w:color w:val="0000FF"/>
                <w:w w:val="86"/>
              </w:rPr>
              <w:t>A</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gridSpan w:val="2"/>
          </w:tcPr>
          <w:p>
            <w:pPr>
              <w:ind w:left="2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320" w:type="dxa"/>
            <w:vAlign w:val="bottom"/>
            <w:tcBorders>
              <w:bottom w:val="single" w:sz="8" w:color="2C2C2C"/>
            </w:tcBorders>
            <w:gridSpan w:val="3"/>
          </w:tcPr>
          <w:p>
            <w:pPr>
              <w:jc w:val="right"/>
              <w:ind w:right="342"/>
              <w:spacing w:after="0"/>
              <w:rPr>
                <w:sz w:val="20"/>
                <w:szCs w:val="20"/>
                <w:color w:val="auto"/>
              </w:rPr>
            </w:pPr>
            <w:r>
              <w:rPr>
                <w:rFonts w:ascii="Times New Roman" w:cs="Times New Roman" w:eastAsia="Times New Roman" w:hAnsi="Times New Roman"/>
                <w:sz w:val="16"/>
                <w:szCs w:val="16"/>
                <w:color w:val="0000FF"/>
              </w:rPr>
              <w:t>25,788</w:t>
            </w:r>
          </w:p>
        </w:tc>
        <w:tc>
          <w:tcPr>
            <w:tcW w:w="2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6"/>
                <w:szCs w:val="16"/>
                <w:color w:val="0000FF"/>
              </w:rPr>
              <w:t>D</w:t>
            </w:r>
          </w:p>
        </w:tc>
        <w:tc>
          <w:tcPr>
            <w:tcW w:w="5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8"/>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520" w:type="dxa"/>
            <w:vAlign w:val="bottom"/>
            <w:gridSpan w:val="16"/>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340" w:type="dxa"/>
            <w:vAlign w:val="bottom"/>
            <w:tcBorders>
              <w:bottom w:val="single" w:sz="8" w:color="2C2C2C"/>
            </w:tcBorders>
            <w:gridSpan w:val="5"/>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0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5"/>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34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Expiration Date</w:t>
            </w:r>
          </w:p>
        </w:tc>
        <w:tc>
          <w:tcPr>
            <w:tcW w:w="13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derivative</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Indirect</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340" w:type="dxa"/>
            <w:vAlign w:val="bottom"/>
          </w:tcPr>
          <w:p>
            <w:pPr>
              <w:spacing w:after="0"/>
              <w:rPr>
                <w:sz w:val="10"/>
                <w:szCs w:val="10"/>
                <w:color w:val="auto"/>
              </w:rPr>
            </w:pPr>
          </w:p>
        </w:tc>
        <w:tc>
          <w:tcPr>
            <w:tcW w:w="140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(Month/Day/Year)</w:t>
            </w:r>
          </w:p>
        </w:tc>
        <w:tc>
          <w:tcPr>
            <w:tcW w:w="1340" w:type="dxa"/>
            <w:vAlign w:val="bottom"/>
            <w:gridSpan w:val="5"/>
          </w:tcPr>
          <w:p>
            <w:pPr>
              <w:ind w:left="40"/>
              <w:spacing w:after="0" w:line="124"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Securities</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4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(Instr. 3 and 4)</w:t>
            </w: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Beneficially</w:t>
            </w: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or Disposed of</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Owned</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Indirect</w:t>
            </w:r>
          </w:p>
        </w:tc>
        <w:tc>
          <w:tcPr>
            <w:tcW w:w="500" w:type="dxa"/>
            <w:vAlign w:val="bottom"/>
          </w:tcPr>
          <w:p>
            <w:pPr>
              <w:ind w:left="60"/>
              <w:spacing w:after="0" w:line="124" w:lineRule="exact"/>
              <w:rPr>
                <w:sz w:val="20"/>
                <w:szCs w:val="20"/>
                <w:color w:val="auto"/>
              </w:rPr>
            </w:pPr>
            <w:r>
              <w:rPr>
                <w:rFonts w:ascii="Arial" w:cs="Arial" w:eastAsia="Arial" w:hAnsi="Arial"/>
                <w:sz w:val="11"/>
                <w:szCs w:val="11"/>
                <w:b w:val="1"/>
                <w:bCs w:val="1"/>
                <w:color w:val="auto"/>
                <w:w w:val="96"/>
              </w:rPr>
              <w:t>(Instr. 4)</w:t>
            </w: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 (Instr. 3, 4</w:t>
            </w: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Following</w:t>
            </w:r>
          </w:p>
        </w:tc>
        <w:tc>
          <w:tcPr>
            <w:tcW w:w="240" w:type="dxa"/>
            <w:vAlign w:val="bottom"/>
          </w:tcPr>
          <w:p>
            <w:pPr>
              <w:spacing w:after="0"/>
              <w:rPr>
                <w:sz w:val="10"/>
                <w:szCs w:val="10"/>
                <w:color w:val="auto"/>
              </w:rPr>
            </w:pPr>
          </w:p>
        </w:tc>
        <w:tc>
          <w:tcPr>
            <w:tcW w:w="70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 (Instr. 4)</w:t>
            </w: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ind w:left="20"/>
              <w:spacing w:after="0" w:line="124" w:lineRule="exact"/>
              <w:rPr>
                <w:sz w:val="20"/>
                <w:szCs w:val="20"/>
                <w:color w:val="auto"/>
              </w:rPr>
            </w:pPr>
            <w:r>
              <w:rPr>
                <w:rFonts w:ascii="Arial" w:cs="Arial" w:eastAsia="Arial" w:hAnsi="Arial"/>
                <w:sz w:val="11"/>
                <w:szCs w:val="11"/>
                <w:b w:val="1"/>
                <w:bCs w:val="1"/>
                <w:color w:val="auto"/>
              </w:rPr>
              <w:t>and 5)</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Reported</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94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gridSpan w:val="2"/>
            <w:vMerge w:val="restart"/>
          </w:tcPr>
          <w:p>
            <w:pPr>
              <w:spacing w:after="0" w:line="124" w:lineRule="exact"/>
              <w:rPr>
                <w:sz w:val="20"/>
                <w:szCs w:val="20"/>
                <w:color w:val="auto"/>
              </w:rPr>
            </w:pPr>
            <w:r>
              <w:rPr>
                <w:rFonts w:ascii="Arial" w:cs="Arial" w:eastAsia="Arial" w:hAnsi="Arial"/>
                <w:sz w:val="11"/>
                <w:szCs w:val="11"/>
                <w:b w:val="1"/>
                <w:bCs w:val="1"/>
                <w:color w:val="auto"/>
              </w:rPr>
              <w:t>Transaction(s)</w:t>
            </w:r>
          </w:p>
        </w:tc>
        <w:tc>
          <w:tcPr>
            <w:tcW w:w="700" w:type="dxa"/>
            <w:vAlign w:val="bottom"/>
          </w:tcPr>
          <w:p>
            <w:pPr>
              <w:spacing w:after="0"/>
              <w:rPr>
                <w:sz w:val="5"/>
                <w:szCs w:val="5"/>
                <w:color w:val="auto"/>
              </w:rPr>
            </w:pPr>
          </w:p>
        </w:tc>
        <w:tc>
          <w:tcPr>
            <w:tcW w:w="5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line="124" w:lineRule="exact"/>
              <w:rPr>
                <w:sz w:val="20"/>
                <w:szCs w:val="20"/>
                <w:color w:val="auto"/>
              </w:rPr>
            </w:pPr>
            <w:r>
              <w:rPr>
                <w:rFonts w:ascii="Arial" w:cs="Arial" w:eastAsia="Arial" w:hAnsi="Arial"/>
                <w:sz w:val="11"/>
                <w:szCs w:val="11"/>
                <w:b w:val="1"/>
                <w:bCs w:val="1"/>
                <w:color w:val="auto"/>
              </w:rPr>
              <w:t>(Instr. 4)</w:t>
            </w: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Expiration</w:t>
            </w:r>
          </w:p>
        </w:tc>
        <w:tc>
          <w:tcPr>
            <w:tcW w:w="520" w:type="dxa"/>
            <w:vAlign w:val="bottom"/>
          </w:tcPr>
          <w:p>
            <w:pPr>
              <w:spacing w:after="0"/>
              <w:rPr>
                <w:sz w:val="10"/>
                <w:szCs w:val="10"/>
                <w:color w:val="auto"/>
              </w:rPr>
            </w:pPr>
          </w:p>
        </w:tc>
        <w:tc>
          <w:tcPr>
            <w:tcW w:w="820" w:type="dxa"/>
            <w:vAlign w:val="bottom"/>
            <w:gridSpan w:val="4"/>
          </w:tcPr>
          <w:p>
            <w:pPr>
              <w:ind w:left="100"/>
              <w:spacing w:after="0" w:line="124" w:lineRule="exact"/>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0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34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2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820" w:type="dxa"/>
            <w:vAlign w:val="bottom"/>
            <w:gridSpan w:val="4"/>
          </w:tcPr>
          <w:p>
            <w:pPr>
              <w:ind w:left="10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(4)</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(4)</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(4)</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486,028</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486,028</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line="137" w:lineRule="exact"/>
              <w:rPr>
                <w:sz w:val="20"/>
                <w:szCs w:val="20"/>
                <w:color w:val="auto"/>
              </w:rPr>
            </w:pPr>
            <w:r>
              <w:rPr>
                <w:rFonts w:ascii="Times New Roman" w:cs="Times New Roman" w:eastAsia="Times New Roman" w:hAnsi="Times New Roman"/>
                <w:sz w:val="12"/>
                <w:szCs w:val="12"/>
                <w:color w:val="0000FF"/>
              </w:rPr>
              <w:t>486,028</w:t>
            </w:r>
          </w:p>
        </w:tc>
        <w:tc>
          <w:tcPr>
            <w:tcW w:w="240" w:type="dxa"/>
            <w:vAlign w:val="bottom"/>
          </w:tcPr>
          <w:p>
            <w:pPr>
              <w:spacing w:after="0"/>
              <w:rPr>
                <w:sz w:val="6"/>
                <w:szCs w:val="6"/>
                <w:color w:val="auto"/>
              </w:rPr>
            </w:pPr>
          </w:p>
        </w:tc>
        <w:tc>
          <w:tcPr>
            <w:tcW w:w="70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0"/>
                <w:szCs w:val="10"/>
                <w:color w:val="008000"/>
              </w:rPr>
              <w:t>(4)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2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15.42</w:t>
            </w:r>
            <w:r>
              <w:rPr>
                <w:rFonts w:ascii="Times New Roman" w:cs="Times New Roman" w:eastAsia="Times New Roman" w:hAnsi="Times New Roman"/>
                <w:sz w:val="10"/>
                <w:szCs w:val="10"/>
                <w:color w:val="008000"/>
                <w:w w:val="85"/>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(5)(6)(7)</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(5)(6)(7)</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6"/>
                <w:szCs w:val="16"/>
                <w:color w:val="0000FF"/>
              </w:rPr>
              <w:t>2,033,004</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ind w:right="2"/>
              <w:spacing w:after="0"/>
              <w:rPr>
                <w:sz w:val="20"/>
                <w:szCs w:val="20"/>
                <w:color w:val="auto"/>
              </w:rPr>
            </w:pPr>
            <w:r>
              <w:rPr>
                <w:rFonts w:ascii="Times New Roman" w:cs="Times New Roman" w:eastAsia="Times New Roman" w:hAnsi="Times New Roman"/>
                <w:sz w:val="12"/>
                <w:szCs w:val="12"/>
                <w:color w:val="0000FF"/>
              </w:rPr>
              <w:t>2,033,004</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820" w:type="dxa"/>
            <w:vAlign w:val="bottom"/>
            <w:gridSpan w:val="4"/>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gridSpan w:val="2"/>
            <w:vMerge w:val="restart"/>
          </w:tcPr>
          <w:p>
            <w:pPr>
              <w:jc w:val="center"/>
              <w:ind w:right="4"/>
              <w:spacing w:after="0"/>
              <w:rPr>
                <w:sz w:val="20"/>
                <w:szCs w:val="20"/>
                <w:color w:val="auto"/>
              </w:rPr>
            </w:pPr>
            <w:r>
              <w:rPr>
                <w:rFonts w:ascii="Times New Roman" w:cs="Times New Roman" w:eastAsia="Times New Roman" w:hAnsi="Times New Roman"/>
                <w:sz w:val="12"/>
                <w:szCs w:val="12"/>
                <w:color w:val="0000FF"/>
              </w:rPr>
              <w:t>2,033,004</w:t>
            </w: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15.23</w:t>
            </w:r>
            <w:r>
              <w:rPr>
                <w:rFonts w:ascii="Times New Roman" w:cs="Times New Roman" w:eastAsia="Times New Roman" w:hAnsi="Times New Roman"/>
                <w:sz w:val="10"/>
                <w:szCs w:val="10"/>
                <w:color w:val="008000"/>
                <w:w w:val="85"/>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(5)(6)(8)</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(5)(6)(8)</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273,782</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273,782</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rPr>
              <w:t>273,782</w:t>
            </w:r>
          </w:p>
        </w:tc>
        <w:tc>
          <w:tcPr>
            <w:tcW w:w="240" w:type="dxa"/>
            <w:vAlign w:val="bottom"/>
          </w:tcPr>
          <w:p>
            <w:pPr>
              <w:spacing w:after="0"/>
              <w:rPr>
                <w:sz w:val="6"/>
                <w:szCs w:val="6"/>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auto"/>
                <w:w w:val="90"/>
              </w:rPr>
              <w:t>$</w:t>
            </w:r>
            <w:r>
              <w:rPr>
                <w:rFonts w:ascii="Times New Roman" w:cs="Times New Roman" w:eastAsia="Times New Roman" w:hAnsi="Times New Roman"/>
                <w:sz w:val="12"/>
                <w:szCs w:val="12"/>
                <w:color w:val="0000FF"/>
                <w:w w:val="90"/>
              </w:rPr>
              <w:t>19.01</w:t>
            </w:r>
            <w:r>
              <w:rPr>
                <w:rFonts w:ascii="Times New Roman" w:cs="Times New Roman" w:eastAsia="Times New Roman" w:hAnsi="Times New Roman"/>
                <w:sz w:val="20"/>
                <w:szCs w:val="20"/>
                <w:color w:val="008000"/>
                <w:w w:val="90"/>
                <w:vertAlign w:val="superscript"/>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26"/>
              <w:spacing w:after="0"/>
              <w:rPr>
                <w:sz w:val="20"/>
                <w:szCs w:val="20"/>
                <w:color w:val="auto"/>
              </w:rPr>
            </w:pPr>
            <w:r>
              <w:rPr>
                <w:rFonts w:ascii="Times New Roman" w:cs="Times New Roman" w:eastAsia="Times New Roman" w:hAnsi="Times New Roman"/>
                <w:sz w:val="10"/>
                <w:szCs w:val="10"/>
                <w:color w:val="008000"/>
              </w:rPr>
              <w:t>(5)(6)(9)</w:t>
            </w:r>
          </w:p>
        </w:tc>
        <w:tc>
          <w:tcPr>
            <w:tcW w:w="680" w:type="dxa"/>
            <w:vAlign w:val="bottom"/>
            <w:vMerge w:val="restart"/>
          </w:tcPr>
          <w:p>
            <w:pPr>
              <w:jc w:val="center"/>
              <w:ind w:right="22"/>
              <w:spacing w:after="0"/>
              <w:rPr>
                <w:sz w:val="20"/>
                <w:szCs w:val="20"/>
                <w:color w:val="auto"/>
              </w:rPr>
            </w:pPr>
            <w:r>
              <w:rPr>
                <w:rFonts w:ascii="Times New Roman" w:cs="Times New Roman" w:eastAsia="Times New Roman" w:hAnsi="Times New Roman"/>
                <w:sz w:val="10"/>
                <w:szCs w:val="10"/>
                <w:color w:val="008000"/>
              </w:rPr>
              <w:t>(5)(6)(9)</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227,777</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227,777</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rPr>
                <w:sz w:val="20"/>
                <w:szCs w:val="20"/>
                <w:color w:val="auto"/>
              </w:rPr>
            </w:pPr>
            <w:r>
              <w:rPr>
                <w:rFonts w:ascii="Times New Roman" w:cs="Times New Roman" w:eastAsia="Times New Roman" w:hAnsi="Times New Roman"/>
                <w:sz w:val="12"/>
                <w:szCs w:val="12"/>
                <w:color w:val="0000FF"/>
              </w:rPr>
              <w:t>227,777</w:t>
            </w:r>
          </w:p>
        </w:tc>
        <w:tc>
          <w:tcPr>
            <w:tcW w:w="240" w:type="dxa"/>
            <w:vAlign w:val="bottom"/>
          </w:tcPr>
          <w:p>
            <w:pPr>
              <w:spacing w:after="0"/>
              <w:rPr>
                <w:sz w:val="6"/>
                <w:szCs w:val="6"/>
                <w:color w:val="auto"/>
              </w:rPr>
            </w:pPr>
          </w:p>
        </w:tc>
        <w:tc>
          <w:tcPr>
            <w:tcW w:w="700" w:type="dxa"/>
            <w:vAlign w:val="bottom"/>
            <w:vMerge w:val="restart"/>
          </w:tcPr>
          <w:p>
            <w:pPr>
              <w:ind w:left="320"/>
              <w:spacing w:after="0"/>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line="124" w:lineRule="exact"/>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70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LP</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Incentive</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tcPr>
          <w:p>
            <w:pPr>
              <w:ind w:left="60"/>
              <w:spacing w:after="0" w:line="137" w:lineRule="exact"/>
              <w:rPr>
                <w:sz w:val="20"/>
                <w:szCs w:val="20"/>
                <w:color w:val="auto"/>
              </w:rPr>
            </w:pPr>
            <w:r>
              <w:rPr>
                <w:rFonts w:ascii="Times New Roman" w:cs="Times New Roman" w:eastAsia="Times New Roman" w:hAnsi="Times New Roman"/>
                <w:sz w:val="12"/>
                <w:szCs w:val="12"/>
                <w:color w:val="0000FF"/>
              </w:rPr>
              <w:t>Units of</w:t>
            </w:r>
          </w:p>
        </w:tc>
        <w:tc>
          <w:tcPr>
            <w:tcW w:w="740" w:type="dxa"/>
            <w:vAlign w:val="bottom"/>
            <w:vMerge w:val="restart"/>
          </w:tcPr>
          <w:p>
            <w:pPr>
              <w:jc w:val="center"/>
              <w:spacing w:after="0" w:line="273" w:lineRule="exact"/>
              <w:rPr>
                <w:sz w:val="20"/>
                <w:szCs w:val="20"/>
                <w:color w:val="auto"/>
              </w:rPr>
            </w:pPr>
            <w:r>
              <w:rPr>
                <w:rFonts w:ascii="Arial" w:cs="Arial" w:eastAsia="Arial" w:hAnsi="Arial"/>
                <w:sz w:val="22"/>
                <w:szCs w:val="22"/>
                <w:color w:val="000000"/>
                <w:w w:val="85"/>
                <w:vertAlign w:val="subscript"/>
              </w:rPr>
              <w:t>$</w:t>
            </w:r>
            <w:r>
              <w:rPr>
                <w:rFonts w:ascii="Times New Roman" w:cs="Times New Roman" w:eastAsia="Times New Roman" w:hAnsi="Times New Roman"/>
                <w:sz w:val="24"/>
                <w:szCs w:val="24"/>
                <w:color w:val="0000FF"/>
                <w:w w:val="85"/>
                <w:vertAlign w:val="subscript"/>
              </w:rPr>
              <w:t>27.68</w:t>
            </w:r>
            <w:r>
              <w:rPr>
                <w:rFonts w:ascii="Times New Roman" w:cs="Times New Roman" w:eastAsia="Times New Roman" w:hAnsi="Times New Roman"/>
                <w:sz w:val="10"/>
                <w:szCs w:val="10"/>
                <w:color w:val="008000"/>
                <w:w w:val="85"/>
              </w:rPr>
              <w:t>(5)(6)</w:t>
            </w: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4"/>
            <w:vMerge w:val="restart"/>
          </w:tcPr>
          <w:p>
            <w:pPr>
              <w:ind w:left="100"/>
              <w:spacing w:after="0" w:line="273" w:lineRule="exact"/>
              <w:rPr>
                <w:sz w:val="20"/>
                <w:szCs w:val="20"/>
                <w:color w:val="auto"/>
              </w:rPr>
            </w:pPr>
            <w:r>
              <w:rPr>
                <w:rFonts w:ascii="Times New Roman" w:cs="Times New Roman" w:eastAsia="Times New Roman" w:hAnsi="Times New Roman"/>
                <w:sz w:val="24"/>
                <w:szCs w:val="24"/>
                <w:color w:val="0000FF"/>
                <w:vertAlign w:val="subscript"/>
              </w:rPr>
              <w:t>A</w:t>
            </w: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2"/>
            <w:vMerge w:val="restart"/>
          </w:tcPr>
          <w:p>
            <w:pPr>
              <w:jc w:val="center"/>
              <w:ind w:right="46"/>
              <w:spacing w:after="0"/>
              <w:rPr>
                <w:sz w:val="20"/>
                <w:szCs w:val="20"/>
                <w:color w:val="auto"/>
              </w:rPr>
            </w:pPr>
            <w:r>
              <w:rPr>
                <w:rFonts w:ascii="Times New Roman" w:cs="Times New Roman" w:eastAsia="Times New Roman" w:hAnsi="Times New Roman"/>
                <w:sz w:val="10"/>
                <w:szCs w:val="10"/>
                <w:color w:val="008000"/>
              </w:rPr>
              <w:t>(5)(6)(10)</w:t>
            </w:r>
          </w:p>
        </w:tc>
        <w:tc>
          <w:tcPr>
            <w:tcW w:w="680" w:type="dxa"/>
            <w:vAlign w:val="bottom"/>
            <w:vMerge w:val="restart"/>
          </w:tcPr>
          <w:p>
            <w:pPr>
              <w:jc w:val="center"/>
              <w:ind w:right="2"/>
              <w:spacing w:after="0"/>
              <w:rPr>
                <w:sz w:val="20"/>
                <w:szCs w:val="20"/>
                <w:color w:val="auto"/>
              </w:rPr>
            </w:pPr>
            <w:r>
              <w:rPr>
                <w:rFonts w:ascii="Times New Roman" w:cs="Times New Roman" w:eastAsia="Times New Roman" w:hAnsi="Times New Roman"/>
                <w:sz w:val="10"/>
                <w:szCs w:val="10"/>
                <w:color w:val="008000"/>
              </w:rPr>
              <w:t>(5)(6)(10)</w:t>
            </w:r>
          </w:p>
        </w:tc>
        <w:tc>
          <w:tcPr>
            <w:tcW w:w="520" w:type="dxa"/>
            <w:vAlign w:val="bottom"/>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Class A</w:t>
            </w:r>
          </w:p>
        </w:tc>
        <w:tc>
          <w:tcPr>
            <w:tcW w:w="140" w:type="dxa"/>
            <w:vAlign w:val="bottom"/>
          </w:tcPr>
          <w:p>
            <w:pPr>
              <w:spacing w:after="0"/>
              <w:rPr>
                <w:sz w:val="11"/>
                <w:szCs w:val="11"/>
                <w:color w:val="auto"/>
              </w:rPr>
            </w:pPr>
          </w:p>
        </w:tc>
        <w:tc>
          <w:tcPr>
            <w:tcW w:w="680" w:type="dxa"/>
            <w:vAlign w:val="bottom"/>
            <w:gridSpan w:val="3"/>
            <w:vMerge w:val="restart"/>
          </w:tcPr>
          <w:p>
            <w:pPr>
              <w:jc w:val="right"/>
              <w:ind w:right="58"/>
              <w:spacing w:after="0"/>
              <w:rPr>
                <w:sz w:val="20"/>
                <w:szCs w:val="20"/>
                <w:color w:val="auto"/>
              </w:rPr>
            </w:pPr>
            <w:r>
              <w:rPr>
                <w:rFonts w:ascii="Times New Roman" w:cs="Times New Roman" w:eastAsia="Times New Roman" w:hAnsi="Times New Roman"/>
                <w:sz w:val="16"/>
                <w:szCs w:val="16"/>
                <w:color w:val="0000FF"/>
              </w:rPr>
              <w:t>157,133</w:t>
            </w:r>
          </w:p>
        </w:tc>
        <w:tc>
          <w:tcPr>
            <w:tcW w:w="720" w:type="dxa"/>
            <w:vAlign w:val="bottom"/>
            <w:gridSpan w:val="2"/>
            <w:vMerge w:val="restart"/>
          </w:tcPr>
          <w:p>
            <w:pPr>
              <w:ind w:left="260"/>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rPr>
              <w:t>See</w:t>
            </w: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restart"/>
          </w:tcPr>
          <w:p>
            <w:pPr>
              <w:ind w:left="60"/>
              <w:spacing w:after="0" w:line="137" w:lineRule="exact"/>
              <w:rPr>
                <w:sz w:val="20"/>
                <w:szCs w:val="20"/>
                <w:color w:val="auto"/>
              </w:rPr>
            </w:pPr>
            <w:r>
              <w:rPr>
                <w:rFonts w:ascii="Times New Roman" w:cs="Times New Roman" w:eastAsia="Times New Roman" w:hAnsi="Times New Roman"/>
                <w:sz w:val="12"/>
                <w:szCs w:val="12"/>
                <w:color w:val="0000FF"/>
              </w:rPr>
              <w:t>Medline</w:t>
            </w:r>
          </w:p>
        </w:tc>
        <w:tc>
          <w:tcPr>
            <w:tcW w:w="740" w:type="dxa"/>
            <w:vAlign w:val="bottom"/>
            <w:vMerge w:val="continue"/>
          </w:tcPr>
          <w:p>
            <w:pPr>
              <w:spacing w:after="0"/>
              <w:rPr>
                <w:sz w:val="6"/>
                <w:szCs w:val="6"/>
                <w:color w:val="auto"/>
              </w:rPr>
            </w:pPr>
          </w:p>
        </w:tc>
        <w:tc>
          <w:tcPr>
            <w:tcW w:w="1060" w:type="dxa"/>
            <w:vAlign w:val="bottom"/>
            <w:gridSpan w:val="2"/>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12/16/2025</w:t>
            </w: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60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157,133</w:t>
            </w:r>
          </w:p>
        </w:tc>
        <w:tc>
          <w:tcPr>
            <w:tcW w:w="3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20" w:type="dxa"/>
            <w:vAlign w:val="bottom"/>
            <w:vMerge w:val="restart"/>
          </w:tcPr>
          <w:p>
            <w:pPr>
              <w:jc w:val="center"/>
              <w:spacing w:after="0" w:line="137" w:lineRule="exact"/>
              <w:rPr>
                <w:sz w:val="20"/>
                <w:szCs w:val="20"/>
                <w:color w:val="auto"/>
              </w:rPr>
            </w:pPr>
            <w:r>
              <w:rPr>
                <w:rFonts w:ascii="Times New Roman" w:cs="Times New Roman" w:eastAsia="Times New Roman" w:hAnsi="Times New Roman"/>
                <w:sz w:val="12"/>
                <w:szCs w:val="12"/>
                <w:color w:val="0000FF"/>
              </w:rPr>
              <w:t>Common</w:t>
            </w:r>
          </w:p>
        </w:tc>
        <w:tc>
          <w:tcPr>
            <w:tcW w:w="14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restart"/>
          </w:tcPr>
          <w:p>
            <w:pPr>
              <w:jc w:val="center"/>
              <w:ind w:left="122"/>
              <w:spacing w:after="0" w:line="137" w:lineRule="exact"/>
              <w:rPr>
                <w:sz w:val="20"/>
                <w:szCs w:val="20"/>
                <w:color w:val="auto"/>
              </w:rPr>
            </w:pPr>
            <w:r>
              <w:rPr>
                <w:rFonts w:ascii="Times New Roman" w:cs="Times New Roman" w:eastAsia="Times New Roman" w:hAnsi="Times New Roman"/>
                <w:sz w:val="12"/>
                <w:szCs w:val="12"/>
                <w:color w:val="0000FF"/>
              </w:rPr>
              <w:t>157,133</w:t>
            </w:r>
          </w:p>
        </w:tc>
        <w:tc>
          <w:tcPr>
            <w:tcW w:w="240" w:type="dxa"/>
            <w:vAlign w:val="bottom"/>
          </w:tcPr>
          <w:p>
            <w:pPr>
              <w:spacing w:after="0"/>
              <w:rPr>
                <w:sz w:val="6"/>
                <w:szCs w:val="6"/>
                <w:color w:val="auto"/>
              </w:rPr>
            </w:pPr>
          </w:p>
        </w:tc>
        <w:tc>
          <w:tcPr>
            <w:tcW w:w="700" w:type="dxa"/>
            <w:vAlign w:val="bottom"/>
            <w:vMerge w:val="restart"/>
          </w:tcPr>
          <w:p>
            <w:pPr>
              <w:ind w:left="320"/>
              <w:spacing w:after="0" w:line="137" w:lineRule="exact"/>
              <w:rPr>
                <w:sz w:val="20"/>
                <w:szCs w:val="20"/>
                <w:color w:val="auto"/>
              </w:rPr>
            </w:pPr>
            <w:r>
              <w:rPr>
                <w:rFonts w:ascii="Times New Roman" w:cs="Times New Roman" w:eastAsia="Times New Roman" w:hAnsi="Times New Roman"/>
                <w:sz w:val="12"/>
                <w:szCs w:val="12"/>
                <w:color w:val="0000FF"/>
              </w:rPr>
              <w:t>I</w:t>
            </w:r>
          </w:p>
        </w:tc>
        <w:tc>
          <w:tcPr>
            <w:tcW w:w="500" w:type="dxa"/>
            <w:vAlign w:val="bottom"/>
            <w:vMerge w:val="continue"/>
          </w:tcPr>
          <w:p>
            <w:pPr>
              <w:spacing w:after="0"/>
              <w:rPr>
                <w:sz w:val="6"/>
                <w:szCs w:val="6"/>
                <w:color w:val="auto"/>
              </w:rPr>
            </w:pPr>
          </w:p>
        </w:tc>
        <w:tc>
          <w:tcPr>
            <w:tcW w:w="320" w:type="dxa"/>
            <w:vAlign w:val="bottom"/>
            <w:gridSpan w:val="3"/>
            <w:vMerge w:val="restart"/>
          </w:tcPr>
          <w:p>
            <w:pPr>
              <w:spacing w:after="0"/>
              <w:rPr>
                <w:sz w:val="20"/>
                <w:szCs w:val="20"/>
                <w:color w:val="auto"/>
              </w:rPr>
            </w:pPr>
            <w:r>
              <w:rPr>
                <w:rFonts w:ascii="Times New Roman" w:cs="Times New Roman" w:eastAsia="Times New Roman" w:hAnsi="Times New Roman"/>
                <w:sz w:val="10"/>
                <w:szCs w:val="10"/>
                <w:color w:val="008000"/>
              </w:rPr>
              <w:t>(5)(6)</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00" w:type="dxa"/>
            <w:vAlign w:val="bottom"/>
            <w:vMerge w:val="restart"/>
          </w:tcPr>
          <w:p>
            <w:pPr>
              <w:ind w:left="60"/>
              <w:spacing w:after="0"/>
              <w:rPr>
                <w:sz w:val="20"/>
                <w:szCs w:val="20"/>
                <w:color w:val="auto"/>
              </w:rPr>
            </w:pPr>
            <w:r>
              <w:rPr>
                <w:rFonts w:ascii="Times New Roman" w:cs="Times New Roman" w:eastAsia="Times New Roman" w:hAnsi="Times New Roman"/>
                <w:sz w:val="12"/>
                <w:szCs w:val="12"/>
                <w:color w:val="0000FF"/>
                <w:w w:val="98"/>
              </w:rPr>
              <w:t>Footnote</w:t>
            </w:r>
          </w:p>
        </w:tc>
        <w:tc>
          <w:tcPr>
            <w:tcW w:w="3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Holdings,</w:t>
            </w: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80" w:type="dxa"/>
            <w:vAlign w:val="bottom"/>
          </w:tcPr>
          <w:p>
            <w:pPr>
              <w:spacing w:after="0"/>
              <w:rPr>
                <w:sz w:val="8"/>
                <w:szCs w:val="8"/>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2"/>
                <w:szCs w:val="12"/>
                <w:color w:val="0000FF"/>
              </w:rPr>
              <w:t>Stock</w:t>
            </w:r>
          </w:p>
        </w:tc>
        <w:tc>
          <w:tcPr>
            <w:tcW w:w="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98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2"/>
          <w:szCs w:val="12"/>
          <w:color w:val="0000FF"/>
        </w:rPr>
        <w:t>LP</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8" w:lineRule="exact"/>
        <w:rPr>
          <w:sz w:val="20"/>
          <w:szCs w:val="20"/>
          <w:color w:val="auto"/>
        </w:rPr>
      </w:pPr>
    </w:p>
    <w:p>
      <w:pPr>
        <w:ind w:left="40" w:right="22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These securities were acquired in connection with the reclassification of the interests of Medline Holdings, LP prior to the Issuer's initial public offering (as more fully described in the Registration Statement on Form S-1). These securities were previously reported on the Reporting Person's Form 3 filed on December 17, 2025.</w:t>
      </w:r>
    </w:p>
    <w:p>
      <w:pPr>
        <w:spacing w:after="0" w:line="4" w:lineRule="exact"/>
        <w:rPr>
          <w:rFonts w:ascii="Times New Roman" w:cs="Times New Roman" w:eastAsia="Times New Roman" w:hAnsi="Times New Roman"/>
          <w:sz w:val="12"/>
          <w:szCs w:val="12"/>
          <w:color w:val="008000"/>
        </w:rPr>
      </w:pPr>
    </w:p>
    <w:p>
      <w:pPr>
        <w:ind w:left="40" w:right="22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of the Issuer's Class B common stock ("Class B Common Stock") have no economic value and have one vote per share. One share of Class B Common Stock is issued for each common unit of Medline Holdings, LP ("Common Units") held. Upon an exchange of Common Units for shares of the Issuer's Class A common stock ("Class A Common Stock"), an equivalent number of shares of Class B Common Stock held by such holder will be automatically cancelled.</w:t>
      </w:r>
    </w:p>
    <w:p>
      <w:pPr>
        <w:spacing w:after="0" w:line="1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a grant of restricted stock units ("RSUs"), of which 25% vest on June 15, 2026 and the remaining 75% vest in three equal annual installments beginning on March 1, 2027.</w:t>
      </w:r>
    </w:p>
    <w:p>
      <w:pPr>
        <w:spacing w:after="0" w:line="47" w:lineRule="exact"/>
        <w:rPr>
          <w:rFonts w:ascii="Times New Roman" w:cs="Times New Roman" w:eastAsia="Times New Roman" w:hAnsi="Times New Roman"/>
          <w:sz w:val="12"/>
          <w:szCs w:val="12"/>
          <w:color w:val="008000"/>
        </w:rPr>
      </w:pPr>
    </w:p>
    <w:p>
      <w:pPr>
        <w:ind w:left="40" w:right="300" w:hanging="4"/>
        <w:spacing w:after="0" w:line="25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terms of an exchange agreement, dated as of December 16, 2025 (the "Exchange Agreement"), holders have the right to exchange their Common Units for shares of the Class A Common Stock on a one-for-one basis, subject to customary conversion rate adjustments for stock splits, stock dividends and reclassifications. These exchange rights do not expire. Such Common Units are held indirectly through Medline Management Aggregator LLC.</w:t>
      </w:r>
    </w:p>
    <w:p>
      <w:pPr>
        <w:spacing w:after="0" w:line="17" w:lineRule="exact"/>
        <w:rPr>
          <w:rFonts w:ascii="Times New Roman" w:cs="Times New Roman" w:eastAsia="Times New Roman" w:hAnsi="Times New Roman"/>
          <w:sz w:val="12"/>
          <w:szCs w:val="12"/>
          <w:color w:val="008000"/>
        </w:rPr>
      </w:pPr>
    </w:p>
    <w:p>
      <w:pPr>
        <w:jc w:val="both"/>
        <w:ind w:left="40" w:right="240" w:hanging="4"/>
        <w:spacing w:after="0" w:line="250"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Reflect incentive units of Medline Holdings, LP ("Incentive Units"), which are "profit interests" having economic characteristics similar to stock appreciation rights. Vested Incentive Units are convertible, at the holder's election, into a number of Common Units generally equal to (a) the product of the number of vested Incentive Units to be converted with a given per unit participation threshold and then-current difference between the per unit value of a Common Unit at the time of the conversion (based on the public trading price of a share of Class A Common Stock) and the per unit participation threshold of such vested Incentive Units divided by (b) the per unit value of a Common Unit at the time of the conversion (based on the public trading price of a share of Class A Common Stock), subject to certain adjustments.</w:t>
      </w:r>
    </w:p>
    <w:p>
      <w:pPr>
        <w:spacing w:after="0" w:line="19" w:lineRule="exact"/>
        <w:rPr>
          <w:rFonts w:ascii="Times New Roman" w:cs="Times New Roman" w:eastAsia="Times New Roman" w:hAnsi="Times New Roman"/>
          <w:sz w:val="12"/>
          <w:szCs w:val="12"/>
          <w:color w:val="008000"/>
        </w:rPr>
      </w:pPr>
    </w:p>
    <w:p>
      <w:pPr>
        <w:ind w:left="40" w:right="400" w:hanging="4"/>
        <w:spacing w:after="0" w:line="276"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(Continued from Footnote 5 above) Common Units are exchangeable on a one-for-one basis for shares of Class A Common Stock pursuant to the terms of the Exchange Agreement. These Incentive Units have no expiration date. Such Incentive Units are held indirectly through Medline Management Aggregator LLC.</w:t>
      </w:r>
    </w:p>
    <w:p>
      <w:pPr>
        <w:spacing w:after="0" w:line="4"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80% of these Incentive Units have vested, and the remaining 20% vest on October 21, 2026.</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40% of these Incentive Units have vested, and the remaining 60% vest in three equal annual installments beginning on April 1, 2026.</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20% of these Incentive Units have vested, and the remaining 80% vest in four equal annual installments beginning on March 29, 2026.</w:t>
      </w:r>
    </w:p>
    <w:p>
      <w:pPr>
        <w:sectPr>
          <w:pgSz w:w="11900" w:h="16838" w:orient="portrait"/>
          <w:cols w:equalWidth="0" w:num="1">
            <w:col w:w="11080"/>
          </w:cols>
          <w:pgMar w:left="460" w:top="213" w:right="359" w:bottom="0" w:gutter="0" w:footer="0" w:header="0"/>
          <w:type w:val="continuous"/>
        </w:sectPr>
      </w:pPr>
    </w:p>
    <w:bookmarkStart w:id="1" w:name="page2"/>
    <w:bookmarkEnd w:id="1"/>
    <w:p>
      <w:pPr>
        <w:ind w:left="4"/>
        <w:spacing w:after="0"/>
        <w:rPr>
          <w:sz w:val="20"/>
          <w:szCs w:val="20"/>
          <w:color w:val="auto"/>
        </w:rPr>
      </w:pPr>
      <w:r>
        <w:rPr>
          <w:rFonts w:ascii="Times New Roman" w:cs="Times New Roman" w:eastAsia="Times New Roman" w:hAnsi="Times New Roman"/>
          <w:sz w:val="12"/>
          <w:szCs w:val="12"/>
          <w:color w:val="008000"/>
        </w:rPr>
        <w:t>10. These Incentive Units vest in five equal annual installments beginning on March 28, 2026.</w:t>
      </w:r>
    </w:p>
    <w:p>
      <w:pPr>
        <w:spacing w:after="0" w:line="73" w:lineRule="exact"/>
        <w:rPr>
          <w:sz w:val="20"/>
          <w:szCs w:val="20"/>
          <w:color w:val="auto"/>
        </w:rPr>
      </w:pPr>
    </w:p>
    <w:p>
      <w:pPr>
        <w:ind w:left="6564"/>
        <w:spacing w:after="0"/>
        <w:rPr>
          <w:sz w:val="20"/>
          <w:szCs w:val="20"/>
          <w:color w:val="auto"/>
        </w:rPr>
      </w:pPr>
      <w:r>
        <w:rPr>
          <w:rFonts w:ascii="Times New Roman" w:cs="Times New Roman" w:eastAsia="Times New Roman" w:hAnsi="Times New Roman"/>
          <w:sz w:val="16"/>
          <w:szCs w:val="16"/>
          <w:color w:val="0000FF"/>
        </w:rPr>
        <w:t>/s/ Nicole Fritz, Attorney-in-Fact 03/06/2026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4163695</wp:posOffset>
            </wp:positionH>
            <wp:positionV relativeFrom="paragraph">
              <wp:posOffset>-5715</wp:posOffset>
            </wp:positionV>
            <wp:extent cx="186690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66900" cy="7620"/>
                    </a:xfrm>
                    <a:prstGeom prst="rect">
                      <a:avLst/>
                    </a:prstGeom>
                    <a:noFill/>
                  </pic:spPr>
                </pic:pic>
              </a:graphicData>
            </a:graphic>
          </wp:anchor>
        </w:drawing>
      </w:r>
    </w:p>
    <w:p>
      <w:pPr>
        <w:spacing w:after="0" w:line="44" w:lineRule="exact"/>
        <w:rPr>
          <w:sz w:val="20"/>
          <w:szCs w:val="20"/>
          <w:color w:val="auto"/>
        </w:rPr>
      </w:pPr>
    </w:p>
    <w:p>
      <w:pPr>
        <w:ind w:left="6564"/>
        <w:spacing w:after="0"/>
        <w:tabs>
          <w:tab w:leader="none" w:pos="8743"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 w:right="2819" w:hanging="4"/>
        <w:spacing w:after="0" w:line="323"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63"/>
      </w:cols>
      <w:pgMar w:left="496" w:top="12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60967" TargetMode="External"/><Relationship Id="rId14"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2026-03-06T15:36:54Z</dcterms:created>
  <dcterms:modified xsi:type="dcterms:W3CDTF">2026-03-06T15:36:54Z</dcterms:modified>
</cp:coreProperties>
</file>