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59"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CP Circle ML Holdco GP,</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2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5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01/16/2026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59"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THE CARLYLE GROUP INC.</w:t>
      </w:r>
    </w:p>
    <w:p>
      <w:pPr>
        <w:spacing w:after="0" w:line="93" w:lineRule="exact"/>
        <w:rPr>
          <w:sz w:val="20"/>
          <w:szCs w:val="20"/>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26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820" w:type="dxa"/>
            <w:vAlign w:val="bottom"/>
          </w:tcPr>
          <w:p>
            <w:pPr>
              <w:ind w:left="260"/>
              <w:spacing w:after="0"/>
              <w:rPr>
                <w:sz w:val="20"/>
                <w:szCs w:val="20"/>
                <w:color w:val="auto"/>
              </w:rPr>
            </w:pPr>
            <w:r>
              <w:rPr>
                <w:rFonts w:ascii="Times New Roman" w:cs="Times New Roman" w:eastAsia="Times New Roman" w:hAnsi="Times New Roman"/>
                <w:sz w:val="20"/>
                <w:szCs w:val="20"/>
                <w:color w:val="0000FF"/>
                <w:w w:val="95"/>
              </w:rPr>
              <w:t>20004-</w:t>
            </w:r>
          </w:p>
        </w:tc>
        <w:tc>
          <w:tcPr>
            <w:tcW w:w="0" w:type="dxa"/>
            <w:vAlign w:val="bottom"/>
          </w:tcPr>
          <w:p>
            <w:pPr>
              <w:spacing w:after="0"/>
              <w:rPr>
                <w:sz w:val="1"/>
                <w:szCs w:val="1"/>
                <w:color w:val="auto"/>
              </w:rPr>
            </w:pPr>
          </w:p>
        </w:tc>
      </w:tr>
      <w:tr>
        <w:trPr>
          <w:trHeight w:val="134"/>
        </w:trPr>
        <w:tc>
          <w:tcPr>
            <w:tcW w:w="1980" w:type="dxa"/>
            <w:vAlign w:val="bottom"/>
            <w:vMerge w:val="continue"/>
          </w:tcPr>
          <w:p>
            <w:pPr>
              <w:spacing w:after="0"/>
              <w:rPr>
                <w:sz w:val="11"/>
                <w:szCs w:val="11"/>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2505</w:t>
            </w:r>
          </w:p>
        </w:tc>
        <w:tc>
          <w:tcPr>
            <w:tcW w:w="0" w:type="dxa"/>
            <w:vAlign w:val="bottom"/>
          </w:tcPr>
          <w:p>
            <w:pPr>
              <w:spacing w:after="0"/>
              <w:rPr>
                <w:sz w:val="1"/>
                <w:szCs w:val="1"/>
                <w:color w:val="auto"/>
              </w:rPr>
            </w:pPr>
          </w:p>
        </w:tc>
      </w:tr>
      <w:tr>
        <w:trPr>
          <w:trHeight w:val="120"/>
        </w:trPr>
        <w:tc>
          <w:tcPr>
            <w:tcW w:w="19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59"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20"/>
                <w:szCs w:val="20"/>
                <w:color w:val="0000FF"/>
              </w:rPr>
              <w:t>111,994,953</w:t>
            </w:r>
          </w:p>
        </w:tc>
        <w:tc>
          <w:tcPr>
            <w:tcW w:w="10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1"/>
              </w:rPr>
              <w:t>See footnotes</w:t>
            </w:r>
            <w:r>
              <w:rPr>
                <w:rFonts w:ascii="Times New Roman" w:cs="Times New Roman" w:eastAsia="Times New Roman" w:hAnsi="Times New Roman"/>
                <w:sz w:val="25"/>
                <w:szCs w:val="25"/>
                <w:color w:val="008000"/>
                <w:w w:val="91"/>
                <w:vertAlign w:val="superscript"/>
              </w:rPr>
              <w:t>(1)(2)</w:t>
            </w:r>
          </w:p>
        </w:tc>
        <w:tc>
          <w:tcPr>
            <w:tcW w:w="14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r>
              <w:rPr>
                <w:rFonts w:ascii="Times New Roman" w:cs="Times New Roman" w:eastAsia="Times New Roman" w:hAnsi="Times New Roman"/>
                <w:sz w:val="25"/>
                <w:szCs w:val="25"/>
                <w:color w:val="008000"/>
                <w:vertAlign w:val="superscript"/>
              </w:rPr>
              <w:t>(3)</w:t>
            </w: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20"/>
                <w:szCs w:val="20"/>
                <w:color w:val="0000FF"/>
              </w:rPr>
              <w:t>55,557,381</w:t>
            </w:r>
          </w:p>
        </w:tc>
        <w:tc>
          <w:tcPr>
            <w:tcW w:w="10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1"/>
              </w:rPr>
              <w:t>See footnotes</w:t>
            </w:r>
            <w:r>
              <w:rPr>
                <w:rFonts w:ascii="Times New Roman" w:cs="Times New Roman" w:eastAsia="Times New Roman" w:hAnsi="Times New Roman"/>
                <w:sz w:val="25"/>
                <w:szCs w:val="25"/>
                <w:color w:val="008000"/>
                <w:w w:val="91"/>
                <w:vertAlign w:val="superscript"/>
              </w:rPr>
              <w:t>(1)(2)</w:t>
            </w: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11"/>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720" w:type="dxa"/>
            <w:vAlign w:val="bottom"/>
            <w:gridSpan w:val="12"/>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60" w:type="dxa"/>
            <w:vAlign w:val="bottom"/>
            <w:gridSpan w:val="6"/>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10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10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4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1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3"/>
                <w:szCs w:val="13"/>
                <w:color w:val="008000"/>
              </w:rPr>
              <w:t>(4)</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(4)</w:t>
            </w:r>
          </w:p>
        </w:tc>
        <w:tc>
          <w:tcPr>
            <w:tcW w:w="36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Class A Common</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w w:val="97"/>
              </w:rPr>
              <w:t>55,557,381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(4)</w:t>
            </w:r>
          </w:p>
        </w:tc>
        <w:tc>
          <w:tcPr>
            <w:tcW w:w="10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20" w:type="dxa"/>
            <w:vAlign w:val="bottom"/>
            <w:gridSpan w:val="2"/>
          </w:tcPr>
          <w:p>
            <w:pPr>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6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720" w:type="dxa"/>
            <w:vAlign w:val="bottom"/>
            <w:tcBorders>
              <w:bottom w:val="single" w:sz="8" w:color="2C2C2C"/>
            </w:tcBorders>
            <w:gridSpan w:val="3"/>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6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CP Circle ML Holdco GP, LLC</w:t>
              </w:r>
            </w:hyperlink>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tcPr>
          <w:p>
            <w:pPr>
              <w:ind w:left="2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THE CARLYLE GROUP INC.</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1001 PENNSYLVANIA AVE. NW SUITE 220 S</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WASHINGTON, DC</w:t>
            </w: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0000FF"/>
                <w:w w:val="97"/>
              </w:rPr>
              <w:t>20004-2505</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tcPr>
          <w:p>
            <w:pPr>
              <w:ind w:left="200"/>
              <w:spacing w:after="0"/>
              <w:rPr>
                <w:sz w:val="20"/>
                <w:szCs w:val="20"/>
                <w:color w:val="auto"/>
              </w:rPr>
            </w:pPr>
            <w:r>
              <w:rPr>
                <w:rFonts w:ascii="Arial" w:cs="Arial" w:eastAsia="Arial" w:hAnsi="Arial"/>
                <w:sz w:val="15"/>
                <w:szCs w:val="15"/>
                <w:color w:val="auto"/>
              </w:rPr>
              <w:t>(State)</w:t>
            </w:r>
          </w:p>
        </w:tc>
        <w:tc>
          <w:tcPr>
            <w:tcW w:w="8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6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CP Circle ML-1 Holdco GP, LLC</w:t>
              </w:r>
            </w:hyperlink>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tcPr>
          <w:p>
            <w:pPr>
              <w:ind w:left="200"/>
              <w:spacing w:after="0"/>
              <w:rPr>
                <w:sz w:val="20"/>
                <w:szCs w:val="20"/>
                <w:color w:val="auto"/>
              </w:rPr>
            </w:pPr>
            <w:r>
              <w:rPr>
                <w:rFonts w:ascii="Arial" w:cs="Arial" w:eastAsia="Arial" w:hAnsi="Arial"/>
                <w:sz w:val="15"/>
                <w:szCs w:val="15"/>
                <w:color w:val="auto"/>
              </w:rPr>
              <w:t>(First)</w:t>
            </w:r>
          </w:p>
        </w:tc>
        <w:tc>
          <w:tcPr>
            <w:tcW w:w="8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ectPr>
          <w:pgSz w:w="11900" w:h="16859" w:orient="portrait"/>
          <w:cols w:equalWidth="0" w:num="1">
            <w:col w:w="10940"/>
          </w:cols>
          <w:pgMar w:left="480" w:top="230" w:right="479" w:bottom="0" w:gutter="0" w:footer="0" w:header="0"/>
          <w:type w:val="continuous"/>
        </w:sect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59" w:orient="portrait"/>
          <w:cols w:equalWidth="0" w:num="1">
            <w:col w:w="10940"/>
          </w:cols>
          <w:pgMar w:left="480" w:top="230" w:right="47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5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8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88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52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-506095</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CP Circle ML-1 Holdco,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CP Circle ML-2 Holdco,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CP Circle ML-3 Holdco,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CP Circle ML-4 Holdco,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CP Circle ML-5 Holdco,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879"/>
          </w:cols>
          <w:pgMar w:left="580" w:top="139" w:right="1440" w:bottom="73" w:gutter="0" w:footer="0" w:header="0"/>
        </w:sectPr>
      </w:pPr>
    </w:p>
    <w:p>
      <w:pPr>
        <w:spacing w:after="0" w:line="37" w:lineRule="exact"/>
        <w:rPr>
          <w:sz w:val="20"/>
          <w:szCs w:val="20"/>
          <w:color w:val="auto"/>
        </w:rPr>
      </w:pPr>
    </w:p>
    <w:p>
      <w:pPr>
        <w:ind w:left="40"/>
        <w:spacing w:after="0"/>
        <w:tabs>
          <w:tab w:leader="none" w:pos="2800" w:val="left"/>
        </w:tabs>
        <w:rPr>
          <w:sz w:val="20"/>
          <w:szCs w:val="20"/>
          <w:color w:val="auto"/>
        </w:rPr>
      </w:pPr>
      <w:r>
        <w:rPr>
          <w:rFonts w:ascii="Times New Roman" w:cs="Times New Roman" w:eastAsia="Times New Roman" w:hAnsi="Times New Roman"/>
          <w:sz w:val="20"/>
          <w:szCs w:val="20"/>
          <w:color w:val="0000FF"/>
        </w:rPr>
        <w:t>WASHINGTON, DC</w:t>
      </w:r>
      <w:r>
        <w:rPr>
          <w:sz w:val="20"/>
          <w:szCs w:val="20"/>
          <w:color w:val="auto"/>
        </w:rPr>
        <w:tab/>
      </w:r>
      <w:r>
        <w:rPr>
          <w:rFonts w:ascii="Times New Roman" w:cs="Times New Roman" w:eastAsia="Times New Roman" w:hAnsi="Times New Roman"/>
          <w:sz w:val="18"/>
          <w:szCs w:val="18"/>
          <w:color w:val="0000FF"/>
        </w:rPr>
        <w:t>20004-2505</w:t>
      </w:r>
    </w:p>
    <w:p>
      <w:pPr>
        <w:sectPr>
          <w:pgSz w:w="11900" w:h="16838" w:orient="portrait"/>
          <w:cols w:equalWidth="0" w:num="1">
            <w:col w:w="9879"/>
          </w:cols>
          <w:pgMar w:left="580" w:top="139" w:right="1440" w:bottom="73"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4224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798445" cy="4224655"/>
                    </a:xfrm>
                    <a:prstGeom prst="rect">
                      <a:avLst/>
                    </a:prstGeom>
                    <a:noFill/>
                  </pic:spPr>
                </pic:pic>
              </a:graphicData>
            </a:graphic>
          </wp:anchor>
        </w:drawing>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CP Circle ML-6 Holdco,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CP Circle ML-7 Holdco,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THE CARLYLE GROUP INC.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1001 PENNSYLVANIA AVE. NW SUITE 220 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WASHINGTON, DC</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(i) 268,411 shares of Class A Common Stock held by CP Circle ML-2 Holdco, L.P., (ii) 58,369,466 shares of Class A Common Stock held by CP Circle ML-3 Holdco, L.P., (iii) 26,655,381 shares of Class A Common Stock held by CP Circle ML-4 Holdco, L.P., (iv) 6,615,133 shares of Class A Common Stock held by CP Circle ML-5 Holdco, L.P., (v) 2,440,275 shares of Class A Common Stock held by CP Circle ML-6 Holdco, L.P., (vi) 17,636,833 shares of Class A Common Stock held by CP Circle ML-7 Holdco, L.P. and (vii) 9,454 shares of Class A Common Stock and 55,557,381 Common Units and shares of Class B Common Stock held by CP Circle ML-1 Holdco, L.P.</w:t>
      </w:r>
    </w:p>
    <w:p>
      <w:pPr>
        <w:spacing w:after="0" w:line="33" w:lineRule="exact"/>
        <w:rPr>
          <w:rFonts w:ascii="Times New Roman" w:cs="Times New Roman" w:eastAsia="Times New Roman" w:hAnsi="Times New Roman"/>
          <w:sz w:val="15"/>
          <w:szCs w:val="15"/>
          <w:color w:val="008000"/>
        </w:rPr>
      </w:pPr>
    </w:p>
    <w:p>
      <w:pPr>
        <w:ind w:right="2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Carlyle Group Inc., a publicly traded company listed on Nasdaq, is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32"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5"/>
          <w:szCs w:val="15"/>
          <w:color w:val="008000"/>
        </w:rPr>
        <w:t>Due to the limitations of the electronic filing system, Carlyle Holdings II GP L.L.C., Carlyle Holdings II L.L.C., TC Group Cayman Investment Holdings, L.P., TC Group Cayman Investment Holdings Sub L.P., TC Group VII, L.L.C. and TC Group VII, L.P. are filing a separate Form 3. In future Section 16 filings, the Reporting Persons will also file jointly with The Carlyle Group Inc., Carlyle Holdings I GP Inc., Carlyle Holdings I GP Sub L.L.C., Carlyle Holdings I L.P., CG Subsidiary Holdings L.L.C., TC Group, L.L.C., TC Group Sub L.P., TC Group VII S1, L.L.C., TC Group VII S1, L.P., TC Group VIII Lux GP, S.a r.l., CPEP GP, LLC, CPEP Circle Holdings L.P., Carlyle Mozart Coinvestment Holdings, L.P. and CP Circle Holdings, L.P.</w:t>
      </w:r>
    </w:p>
    <w:p>
      <w:pPr>
        <w:sectPr>
          <w:pgSz w:w="11900" w:h="16838" w:orient="portrait"/>
          <w:cols w:equalWidth="0" w:num="1">
            <w:col w:w="10840"/>
          </w:cols>
          <w:pgMar w:left="520" w:top="125" w:right="539" w:bottom="0" w:gutter="0" w:footer="0" w:header="0"/>
        </w:sectPr>
      </w:pP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042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0429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52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L.P., By: TC Group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44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Holdings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11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011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789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L.P.,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31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531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88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Circle ML-1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078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GP, LLC,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VII,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VII, L.L.C.,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85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441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Holdings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11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011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789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L.P.,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316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531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40" w:space="80"/>
            <w:col w:w="2120"/>
          </w:cols>
          <w:pgMar w:left="520" w:top="125" w:right="539" w:bottom="0" w:gutter="0" w:footer="0" w:header="0"/>
          <w:type w:val="continuous"/>
        </w:sectPr>
      </w:pPr>
    </w:p>
    <w:bookmarkStart w:id="3" w:name="page4"/>
    <w:bookmarkEnd w:id="3"/>
    <w:p>
      <w:pPr>
        <w:ind w:left="5620"/>
        <w:spacing w:after="0"/>
        <w:rPr>
          <w:sz w:val="20"/>
          <w:szCs w:val="20"/>
          <w:color w:val="auto"/>
        </w:rPr>
      </w:pPr>
      <w:r>
        <w:rPr>
          <w:rFonts w:ascii="Times New Roman" w:cs="Times New Roman" w:eastAsia="Times New Roman" w:hAnsi="Times New Roman"/>
          <w:sz w:val="20"/>
          <w:szCs w:val="20"/>
          <w:color w:val="0000FF"/>
        </w:rPr>
        <w:t>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3886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1275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ML-1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700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700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441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789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ML-2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649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44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789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ML-3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649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441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789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ML-4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649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441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789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ML-5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649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9441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093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97890"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536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6150"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CP Circle ML-6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190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6495"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6640"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8395"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7720" w:space="80"/>
            <w:col w:w="1219"/>
          </w:cols>
          <w:pgMar w:left="1440" w:top="124" w:right="1440" w:bottom="0" w:gutter="0" w:footer="0" w:header="0"/>
        </w:sectPr>
      </w:pPr>
    </w:p>
    <w:bookmarkStart w:id="4" w:name="page5"/>
    <w:bookmarkEnd w:id="4"/>
    <w:p>
      <w:pPr>
        <w:ind w:left="6540"/>
        <w:spacing w:after="0"/>
        <w:rPr>
          <w:sz w:val="20"/>
          <w:szCs w:val="20"/>
          <w:color w:val="auto"/>
        </w:rPr>
      </w:pPr>
      <w:r>
        <w:rPr>
          <w:rFonts w:ascii="Times New Roman" w:cs="Times New Roman" w:eastAsia="Times New Roman" w:hAnsi="Times New Roman"/>
          <w:sz w:val="20"/>
          <w:szCs w:val="20"/>
          <w:color w:val="0000FF"/>
        </w:rPr>
        <w:t>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4410" cy="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930"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7890"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1755" cy="9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 Circle ML-7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1900" cy="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CP Circle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6495" cy="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Holdco GP, LLC,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640" cy="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VII, L.P.,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1755" cy="9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VII, L.L.C.,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8395" cy="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6540"/>
        <w:spacing w:after="0" w:line="186" w:lineRule="auto"/>
        <w:tabs>
          <w:tab w:leader="none" w:pos="8700" w:val="left"/>
        </w:tabs>
        <w:rPr>
          <w:sz w:val="20"/>
          <w:szCs w:val="20"/>
          <w:color w:val="auto"/>
        </w:rPr>
      </w:pPr>
      <w:r>
        <w:rPr>
          <w:rFonts w:ascii="Times New Roman" w:cs="Times New Roman" w:eastAsia="Times New Roman" w:hAnsi="Times New Roman"/>
          <w:sz w:val="20"/>
          <w:szCs w:val="20"/>
          <w:color w:val="0000FF"/>
        </w:rPr>
        <w:t>Cayman Investment</w:t>
      </w:r>
      <w:r>
        <w:rPr>
          <w:sz w:val="20"/>
          <w:szCs w:val="20"/>
          <w:color w:val="auto"/>
        </w:rPr>
        <w:tab/>
      </w:r>
      <w:r>
        <w:rPr>
          <w:rFonts w:ascii="Times New Roman" w:cs="Times New Roman" w:eastAsia="Times New Roman" w:hAnsi="Times New Roman"/>
          <w:sz w:val="29"/>
          <w:szCs w:val="29"/>
          <w:color w:val="0000FF"/>
          <w:vertAlign w:val="subscript"/>
        </w:rPr>
        <w:t>01/21/2026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994410" cy="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Sub L.P,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090930" cy="9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109093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Group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7890" cy="9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L.P.,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975" cy="9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1755" cy="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0" Type="http://schemas.openxmlformats.org/officeDocument/2006/relationships/hyperlink" Target="http://www.sec.gov/cgi-bin/browse-edgar?action=getcompany&amp;CIK=0002102777"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2102776" TargetMode="External"/><Relationship Id="rId15" Type="http://schemas.openxmlformats.org/officeDocument/2006/relationships/hyperlink" Target="http://www.sec.gov/cgi-bin/browse-edgar?action=getcompany&amp;CIK=0002102784" TargetMode="External"/><Relationship Id="rId16" Type="http://schemas.openxmlformats.org/officeDocument/2006/relationships/hyperlink" Target="http://www.sec.gov/cgi-bin/browse-edgar?action=getcompany&amp;CIK=0002102783" TargetMode="External"/><Relationship Id="rId17" Type="http://schemas.openxmlformats.org/officeDocument/2006/relationships/hyperlink" Target="http://www.sec.gov/cgi-bin/browse-edgar?action=getcompany&amp;CIK=0002102782" TargetMode="External"/><Relationship Id="rId18" Type="http://schemas.openxmlformats.org/officeDocument/2006/relationships/hyperlink" Target="http://www.sec.gov/cgi-bin/browse-edgar?action=getcompany&amp;CIK=0002102781" TargetMode="External"/><Relationship Id="rId19" Type="http://schemas.openxmlformats.org/officeDocument/2006/relationships/hyperlink" Target="http://www.sec.gov/cgi-bin/browse-edgar?action=getcompany&amp;CIK=0002102780" TargetMode="External"/><Relationship Id="rId21" Type="http://schemas.openxmlformats.org/officeDocument/2006/relationships/hyperlink" Target="http://www.sec.gov/cgi-bin/browse-edgar?action=getcompany&amp;CIK=0002102779" TargetMode="External"/><Relationship Id="rId22" Type="http://schemas.openxmlformats.org/officeDocument/2006/relationships/hyperlink" Target="http://www.sec.gov/cgi-bin/browse-edgar?action=getcompany&amp;CIK=0002102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2026-01-21T15:37:08Z</dcterms:created>
  <dcterms:modified xsi:type="dcterms:W3CDTF">2026-01-21T15:37:08Z</dcterms:modified>
</cp:coreProperties>
</file>