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Carlyle Mozart Coinvestment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Medline Inc.</w:t>
              </w:r>
            </w:hyperlink>
            <w:r>
              <w:rPr/>
              <w:t xml:space="preserve"> [ </w:t>
            </w:r>
            <w:r>
              <w:rPr>
                <w:rFonts w:ascii="Times;serif" w:hAnsi="Times;serif"/>
                <w:color w:val="0000FF"/>
                <w:sz w:val="24"/>
                <w:shd w:fill="FFFFFF" w:val="clear"/>
              </w:rPr>
              <w:t>MDLN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62"/>
        <w:gridCol w:w="908"/>
        <w:gridCol w:w="779"/>
        <w:gridCol w:w="602"/>
        <w:gridCol w:w="339"/>
        <w:gridCol w:w="1283"/>
        <w:gridCol w:w="425"/>
        <w:gridCol w:w="589"/>
        <w:gridCol w:w="1340"/>
        <w:gridCol w:w="964"/>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6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6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02/11/2026</w:t>
            </w:r>
          </w:p>
        </w:tc>
        <w:tc>
          <w:tcPr>
            <w:tcW w:w="7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15,414,514</w:t>
            </w:r>
            <w:r>
              <w:rPr>
                <w:rFonts w:ascii="Times;serif" w:hAnsi="Times;serif"/>
                <w:color w:val="008000"/>
                <w:position w:val="7"/>
                <w:sz w:val="16"/>
                <w:sz w:val="20"/>
                <w:shd w:fill="FFFFFF" w:val="clear"/>
              </w:rPr>
              <w:t>(1)</w:t>
            </w:r>
            <w:r>
              <w:rPr/>
              <w:t xml:space="preserve"> </w:t>
            </w:r>
          </w:p>
        </w:tc>
        <w:tc>
          <w:tcPr>
            <w:tcW w:w="4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16,125,094</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 transfer of shares of Class A Common Stock by Carlyle Mozart Coinvestment Holdings, L.P. to an affiliated entity for no consideration. Pursuant to the terms of a lock-up agreement, the affiliated entity is bound to certain restrictions on the shares transferred, as set forth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In future Section 16 filings, the Reporting Person will file jointly with The Carlyle Group Inc., Carlyle Holdings I GP Inc., Carlyle Holdings I GP Sub L.L.C., Carlyle Holdings I L.P., CG Subsidiary Holdings L.L.C., TC Group, L.L.C., TC Group Sub L.P., TC Group VII S1, L.L.C., TC Group VII S1, L.P., Carlyle Mozart Coinvestment UNLV Holdco, L.P., CP Circle UNLV Holdco, L.P., CPEP GP, LLC, CPEP Circle Holdings L.P., Carlyle Holdings II GP L.L.C., Carlyle Holdings II L.L.C., TC Group Cayman Investment Holdings, L.P., TC Group Cayman Investment Holdings Sub L.P., TC Group VII, L.L.C., TC Group VII, L.P., CP Circle ML Holdco GP, LLC, CP Circle ML-1 Holdco GP, LLC, CP Circle ML-1 Holdco, L.P., CP Circle ML-2 Holdco, L.P., CP Circle ML-3 Holdco, L.P., CP Circle ML-4 Holdco, L.P., CP Circle ML-5 Holdco, L.P., CP Circle ML-6 Holdco, L.P. and CP Circle ML-7 Holdco, L.P.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Carlyle Mozart Coinvestment Holdings, L.P., By: TC Group VII S1, L.P., its general partner, TC Group VII S1, L.L.C., its general partner, /s/ Jeremy Anderson,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8065" TargetMode="External"/><Relationship Id="rId5" Type="http://schemas.openxmlformats.org/officeDocument/2006/relationships/hyperlink" Target="http://www.sec.gov/cgi-bin/browse-edgar?action=getcompany&amp;CIK=00020463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788</Words>
  <Characters>4202</Characters>
  <CharactersWithSpaces>4928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