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25,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Medline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33-1845288</w:t>
      </w:r>
    </w:p>
    <w:p>
      <w:pPr>
        <w:spacing w:after="0" w:line="7" w:lineRule="exact"/>
        <w:rPr>
          <w:sz w:val="24"/>
          <w:szCs w:val="24"/>
          <w:color w:val="auto"/>
        </w:rPr>
      </w:pPr>
    </w:p>
    <w:p>
      <w:pPr>
        <w:sectPr>
          <w:pgSz w:w="11900" w:h="16838" w:orient="portrait"/>
          <w:cols w:equalWidth="0" w:num="2">
            <w:col w:w="6860" w:space="720"/>
            <w:col w:w="2980"/>
          </w:cols>
          <w:pgMar w:left="660" w:top="223" w:right="67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9" w:lineRule="exact"/>
        <w:rPr>
          <w:sz w:val="24"/>
          <w:szCs w:val="24"/>
          <w:color w:val="auto"/>
        </w:rPr>
      </w:pPr>
    </w:p>
    <w:p>
      <w:pPr>
        <w:sectPr>
          <w:pgSz w:w="11900" w:h="16838" w:orient="portrait"/>
          <w:cols w:equalWidth="0" w:num="2">
            <w:col w:w="6740" w:space="720"/>
            <w:col w:w="3100"/>
          </w:cols>
          <w:pgMar w:left="660" w:top="223" w:right="6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3 Lakes Drive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Northfield, Illinois 60093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ectPr>
          <w:pgSz w:w="11900" w:h="16838" w:orient="portrait"/>
          <w:cols w:equalWidth="0" w:num="1">
            <w:col w:w="10560"/>
          </w:cols>
          <w:pgMar w:left="660" w:top="223" w:right="679" w:bottom="1440" w:gutter="0" w:footer="0" w:header="0"/>
          <w:type w:val="continuous"/>
        </w:sectPr>
      </w:pP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 2025 Omnibus Incentive Plan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 2025 Employee Stock Purchase Plan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Alex Liberman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Legal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 Lakes Drive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Northfield, Illinois 60093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(847) 949-5500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Joshua Ford Bonnie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Jonathan R. Ozner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Katharine L. Thompson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Simpson Thacher &amp; Bartlett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900 G Street, N.W.</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20001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 636-5500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This Registration Statement on Form S-8 (this “Registration Statement”) is being filed for the purpose of registering (i) an additional 39,613,729 shares of Class A common stock, par value $0.0001 per share (“Common Stock”), of Medline Inc. (the “Registrant”) issuable under the Medline Inc. 2025 Omnibus Incentive Plan (the “Omnibus Incentive Plan”) and (ii) an additional 8,116,713 shares of Common Stock issuable under the Medline Inc. 2025 Employee Stock Purchase Plan (the “ESPP” and, together with the Omnibus Incentive Plan, the “Plans).</w:t>
      </w:r>
    </w:p>
    <w:p>
      <w:pPr>
        <w:spacing w:after="0" w:line="169" w:lineRule="exact"/>
        <w:rPr>
          <w:sz w:val="20"/>
          <w:szCs w:val="20"/>
          <w:color w:val="auto"/>
        </w:rPr>
      </w:pPr>
    </w:p>
    <w:p>
      <w:pPr>
        <w:spacing w:after="0" w:line="263" w:lineRule="auto"/>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auto"/>
          </w:rPr>
          <w:t>These additional shares of Common Stock are additional securities of the same class as other securities for which an original registration statement (</w:t>
        </w:r>
        <w:r>
          <w:rPr>
            <w:rFonts w:ascii="Times New Roman" w:cs="Times New Roman" w:eastAsia="Times New Roman" w:hAnsi="Times New Roman"/>
            <w:sz w:val="17"/>
            <w:szCs w:val="17"/>
            <w:u w:val="single" w:color="auto"/>
            <w:color w:val="0000EE"/>
          </w:rPr>
          <w:t>File</w:t>
        </w:r>
      </w:hyperlink>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No. 333-292176</w:t>
        </w:r>
        <w:r>
          <w:rPr>
            <w:rFonts w:ascii="Times New Roman" w:cs="Times New Roman" w:eastAsia="Times New Roman" w:hAnsi="Times New Roman"/>
            <w:sz w:val="17"/>
            <w:szCs w:val="17"/>
            <w:color w:val="000000"/>
          </w:rPr>
          <w:t>) on Form S-8 was filed with the Securities and Exchange Commission (the “Commission”) on December 16, 2025 (the “Original</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Registration Statement”). These additional shares of Common Stock have become reserved for issuance under the Plans, including as a result of the operation of the “evergreen” provision of each Plan, which provides that the total number of shares subject to each Plan will be increased on the first day of each fiscal year pursuant to a specified formula.</w:t>
      </w:r>
    </w:p>
    <w:p>
      <w:pPr>
        <w:spacing w:after="0" w:line="172"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Pursuant to General Instruction E to Form S-8, the contents of the Original Registration Statement are incorporated by reference into this Registration Statement, except that the provisions contained in Part II thereof are modified as set forth in this Registration Statement.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21"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The following documents filed with the Commission by the Registrant pursuant to the Securities Act of 1933, as amended and the Securities Exchange Act of 1934, as amended (the “Exchange Act”), are hereby incorporated by reference in this Registration Statement:</w:t>
      </w:r>
    </w:p>
    <w:p>
      <w:pPr>
        <w:spacing w:after="0" w:line="148" w:lineRule="exact"/>
        <w:rPr>
          <w:sz w:val="20"/>
          <w:szCs w:val="20"/>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Registrant’s Annual Report on </w:t>
      </w:r>
      <w:hyperlink r:id="rId1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filed with the Commission on February 25,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w:t>
      </w:r>
    </w:p>
    <w:p>
      <w:pPr>
        <w:spacing w:after="0" w:line="200" w:lineRule="exact"/>
        <w:rPr>
          <w:sz w:val="20"/>
          <w:szCs w:val="20"/>
          <w:color w:val="auto"/>
        </w:rPr>
      </w:pPr>
    </w:p>
    <w:p>
      <w:pPr>
        <w:ind w:right="300" w:firstLine="423"/>
        <w:spacing w:after="0" w:line="291" w:lineRule="auto"/>
        <w:tabs>
          <w:tab w:leader="none" w:pos="66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filed as </w:t>
      </w:r>
      <w:hyperlink r:id="rId20">
        <w:r>
          <w:rPr>
            <w:rFonts w:ascii="Times New Roman" w:cs="Times New Roman" w:eastAsia="Times New Roman" w:hAnsi="Times New Roman"/>
            <w:sz w:val="17"/>
            <w:szCs w:val="17"/>
            <w:u w:val="single" w:color="auto"/>
            <w:color w:val="0000EE"/>
          </w:rPr>
          <w:t>Exhibit 4.13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Registrant’s Annual Report on Form 10-K for the fiscal year ended December 31, 2025, and any amendment or report filed for the purpose of updating such description.</w:t>
      </w:r>
    </w:p>
    <w:p>
      <w:pPr>
        <w:spacing w:after="0" w:line="14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All documents that the Registrant subsequently files pursuant to Sections 13(a), 13(c), 14 and 15(d) of the Exchange Act after the date of this Registration Statement (except for any information deemed furnished to, rather than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3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560"/>
          </w:cols>
          <w:pgMar w:left="660" w:top="262"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8.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or incorporated by reference as part of this Registration Statement: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8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1"/>
                <w:szCs w:val="21"/>
                <w:color w:val="auto"/>
              </w:rPr>
            </w:pPr>
          </w:p>
        </w:tc>
        <w:tc>
          <w:tcPr>
            <w:tcW w:w="9560" w:type="dxa"/>
            <w:vAlign w:val="bottom"/>
            <w:gridSpan w:val="14"/>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Amended and Restated Certificate of Incorporation of Medline Inc. (incorporated by reference to Exhibit 3.1 filed with the Registrant’s</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2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Current Report on Form 8-K filed with the Securities and Exchange Commission on December 22, 2025).</w:t>
              </w:r>
            </w:hyperlink>
          </w:p>
        </w:tc>
        <w:tc>
          <w:tcPr>
            <w:tcW w:w="2020" w:type="dxa"/>
            <w:vAlign w:val="bottom"/>
            <w:tcBorders>
              <w:top w:val="single" w:sz="8" w:color="0000EE"/>
            </w:tcBorders>
            <w:gridSpan w:val="3"/>
          </w:tcPr>
          <w:p>
            <w:pPr>
              <w:spacing w:after="0"/>
              <w:rPr>
                <w:sz w:val="16"/>
                <w:szCs w:val="16"/>
                <w:color w:val="auto"/>
              </w:rPr>
            </w:pP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50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Amended and Restated Bylaws of Medline Inc. (incorporated by reference to Exhibit 3.2 filed with the Registrant’s Current Report on</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2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Form 8-K filed with the Securities and Exchange Commission on December 22, 2025).</w:t>
              </w:r>
            </w:hyperlink>
          </w:p>
        </w:tc>
        <w:tc>
          <w:tcPr>
            <w:tcW w:w="3240" w:type="dxa"/>
            <w:vAlign w:val="bottom"/>
            <w:tcBorders>
              <w:top w:val="single" w:sz="8" w:color="0000EE"/>
            </w:tcBorders>
            <w:gridSpan w:val="4"/>
          </w:tcPr>
          <w:p>
            <w:pPr>
              <w:spacing w:after="0"/>
              <w:rPr>
                <w:sz w:val="16"/>
                <w:szCs w:val="16"/>
                <w:color w:val="auto"/>
              </w:rPr>
            </w:pPr>
          </w:p>
        </w:tc>
        <w:tc>
          <w:tcPr>
            <w:tcW w:w="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50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Medline Inc. 2025 Omnibus Incentive Plan (incorporated by reference to Exhibit 4.3 filed with the Registrant’s Registration Statement on</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00" w:type="dxa"/>
            <w:vAlign w:val="bottom"/>
            <w:tcBorders>
              <w:top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Form S-8 filed with the Securities and Exchange Commission on December 16, 2025).</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50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Medline Inc. 2025 Employee Stock Purchase Plan (incorporated by reference to Exhibit 4.4 filed with the Registrant’s Registration</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40" w:type="dxa"/>
            <w:vAlign w:val="bottom"/>
            <w:tcBorders>
              <w:top w:val="single" w:sz="8" w:color="0000EE"/>
              <w:bottom w:val="single" w:sz="8" w:color="0000EE"/>
            </w:tcBorders>
            <w:gridSpan w:val="8"/>
          </w:tcPr>
          <w:p>
            <w:pP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Statement on Form S-8 filed with the Securities and Exchange Commission on December 16, 2025).</w:t>
              </w:r>
            </w:hyperlink>
          </w:p>
        </w:tc>
        <w:tc>
          <w:tcPr>
            <w:tcW w:w="2100" w:type="dxa"/>
            <w:vAlign w:val="bottom"/>
            <w:tcBorders>
              <w:top w:val="single" w:sz="8" w:color="0000EE"/>
            </w:tcBorders>
            <w:gridSpan w:val="2"/>
          </w:tcPr>
          <w:p>
            <w:pPr>
              <w:spacing w:after="0"/>
              <w:rPr>
                <w:sz w:val="16"/>
                <w:szCs w:val="16"/>
                <w:color w:val="auto"/>
              </w:rPr>
            </w:pPr>
          </w:p>
        </w:tc>
        <w:tc>
          <w:tcPr>
            <w:tcW w:w="5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50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Opinion of Simpson Thacher &amp; Bartlett LLP.</w:t>
            </w:r>
          </w:p>
        </w:tc>
        <w:tc>
          <w:tcPr>
            <w:tcW w:w="6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500" w:type="dxa"/>
            <w:vAlign w:val="bottom"/>
          </w:tcPr>
          <w:p>
            <w:pPr>
              <w:spacing w:after="0"/>
              <w:rPr>
                <w:sz w:val="24"/>
                <w:szCs w:val="24"/>
                <w:color w:val="auto"/>
              </w:rPr>
            </w:pPr>
          </w:p>
        </w:tc>
        <w:tc>
          <w:tcPr>
            <w:tcW w:w="3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Consent of Ernst &amp; Young LLP as to Medline Inc.</w:t>
            </w:r>
          </w:p>
        </w:tc>
        <w:tc>
          <w:tcPr>
            <w:tcW w:w="60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50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Consent of Simpson Thacher &amp; Bartlett LLP (included as part of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500" w:type="dxa"/>
            <w:vAlign w:val="bottom"/>
          </w:tcPr>
          <w:p>
            <w:pPr>
              <w:spacing w:after="0"/>
              <w:rPr>
                <w:sz w:val="24"/>
                <w:szCs w:val="24"/>
                <w:color w:val="auto"/>
              </w:rPr>
            </w:pPr>
          </w:p>
        </w:tc>
        <w:tc>
          <w:tcPr>
            <w:tcW w:w="5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(included in the signature pages to this Registration Statement).</w:t>
            </w:r>
          </w:p>
        </w:tc>
        <w:tc>
          <w:tcPr>
            <w:tcW w:w="3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50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40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69" w:lineRule="exact"/>
        <w:rPr>
          <w:sz w:val="20"/>
          <w:szCs w:val="20"/>
          <w:color w:val="auto"/>
        </w:rPr>
      </w:pPr>
    </w:p>
    <w:p>
      <w:pPr>
        <w:ind w:left="420" w:hanging="420"/>
        <w:spacing w:after="0"/>
        <w:tabs>
          <w:tab w:leader="none" w:pos="4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ectPr>
          <w:pgSz w:w="11900" w:h="16838" w:orient="portrait"/>
          <w:cols w:equalWidth="0" w:num="1">
            <w:col w:w="10560"/>
          </w:cols>
          <w:pgMar w:left="660" w:top="262" w:right="6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0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Northfield, Illinois, on the 25th day of February,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19050</wp:posOffset>
            </wp:positionV>
            <wp:extent cx="24669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1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James M. Boyle</w:t>
      </w:r>
    </w:p>
    <w:p>
      <w:pPr>
        <w:spacing w:after="0" w:line="30" w:lineRule="exact"/>
        <w:rPr>
          <w:sz w:val="20"/>
          <w:szCs w:val="20"/>
          <w:color w:val="auto"/>
        </w:rPr>
      </w:pPr>
    </w:p>
    <w:p>
      <w:pPr>
        <w:ind w:left="668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the undersigned directors and officers of the Registrant, which is filing a Registration Statement on Form S-8 with the Securities and Exchange Commission, Washington, D.C. 20549 under the provisions of the Securities Act of 1933 hereby constitute and appoint James M. Boyle, Michael B. Drazin, and Alex M. Liberman,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or supplements to this Registration Statement, including post-effective amendments,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8"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powers of attorney have been signed by the following persons in the capacities indicated on the 25th day of February, 2026.</w:t>
      </w:r>
    </w:p>
    <w:p>
      <w:pPr>
        <w:sectPr>
          <w:pgSz w:w="11900" w:h="16838" w:orient="portrait"/>
          <w:cols w:equalWidth="0" w:num="1">
            <w:col w:w="10540"/>
          </w:cols>
          <w:pgMar w:left="660" w:top="262"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0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91"/>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James M. Boyle</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M. Boyle</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B. Drazin</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B. Drazin</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Jessi L. Corcoran</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Jessi L. Corcoran</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Charles N. Mills</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Charles N. Mills</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Joseph P. Baratta</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Joseph P. Baratta</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Jacob D. Best</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Jacob D. Best</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Todd M. Bluedorn</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Todd M. Bluedorn</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A. Galanti</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A. Galanti</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Patrick J. Healy</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Patrick J. Healy</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Andrew J. Mills</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Andrew J. Mills</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Robert R. Schmidt</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Robert R. Schmidt</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Anushka M. Sunder</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Anushka M. Sunder</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Thomas W. Sweet</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Thomas W. Sweet</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05"/>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H. Wise</w:t>
            </w:r>
          </w:p>
        </w:tc>
        <w:tc>
          <w:tcPr>
            <w:tcW w:w="10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Stephen H. Wise</w:t>
            </w:r>
          </w:p>
        </w:tc>
        <w:tc>
          <w:tcPr>
            <w:tcW w:w="100" w:type="dxa"/>
            <w:vAlign w:val="bottom"/>
          </w:tcPr>
          <w:p>
            <w:pPr>
              <w:spacing w:after="0"/>
              <w:rPr>
                <w:sz w:val="19"/>
                <w:szCs w:val="19"/>
                <w:color w:val="auto"/>
              </w:rPr>
            </w:pPr>
          </w:p>
        </w:tc>
        <w:tc>
          <w:tcPr>
            <w:tcW w:w="50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560"/>
          </w:cols>
          <w:pgMar w:left="660" w:top="258" w:right="67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425 L</w:t>
      </w:r>
      <w:r>
        <w:rPr>
          <w:rFonts w:ascii="Times New Roman" w:cs="Times New Roman" w:eastAsia="Times New Roman" w:hAnsi="Times New Roman"/>
          <w:sz w:val="14"/>
          <w:szCs w:val="14"/>
          <w:color w:val="auto"/>
        </w:rPr>
        <w:t>EXINGTON</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4"/>
          <w:szCs w:val="14"/>
          <w:color w:val="auto"/>
        </w:rPr>
        <w:t>VENUE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17"/>
          <w:szCs w:val="17"/>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7"/>
          <w:szCs w:val="17"/>
          <w:color w:val="auto"/>
        </w:rPr>
        <w:t>,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TELEPHONE</w:t>
      </w:r>
      <w:r>
        <w:rPr>
          <w:rFonts w:ascii="Times New Roman" w:cs="Times New Roman" w:eastAsia="Times New Roman" w:hAnsi="Times New Roman"/>
          <w:sz w:val="17"/>
          <w:szCs w:val="17"/>
          <w:color w:val="auto"/>
        </w:rPr>
        <w:t>: +1-212-455-2000</w:t>
      </w:r>
    </w:p>
    <w:p>
      <w:pPr>
        <w:spacing w:after="0" w:line="3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FACSIMILE</w:t>
      </w:r>
      <w:r>
        <w:rPr>
          <w:rFonts w:ascii="Times New Roman" w:cs="Times New Roman" w:eastAsia="Times New Roman" w:hAnsi="Times New Roman"/>
          <w:sz w:val="17"/>
          <w:szCs w:val="17"/>
          <w:color w:val="auto"/>
        </w:rPr>
        <w:t>: +1-212-455-2502</w:t>
      </w:r>
    </w:p>
    <w:p>
      <w:pPr>
        <w:spacing w:after="0" w:line="226" w:lineRule="exact"/>
        <w:rPr>
          <w:sz w:val="20"/>
          <w:szCs w:val="20"/>
          <w:color w:val="auto"/>
        </w:rPr>
      </w:pPr>
    </w:p>
    <w:p>
      <w:pPr>
        <w:spacing w:after="0"/>
        <w:tabs>
          <w:tab w:leader="none" w:pos="9460" w:val="left"/>
        </w:tabs>
        <w:rPr>
          <w:sz w:val="20"/>
          <w:szCs w:val="20"/>
          <w:color w:val="auto"/>
        </w:rPr>
      </w:pPr>
      <w:r>
        <w:rPr>
          <w:rFonts w:ascii="Times New Roman" w:cs="Times New Roman" w:eastAsia="Times New Roman" w:hAnsi="Times New Roman"/>
          <w:sz w:val="17"/>
          <w:szCs w:val="17"/>
          <w:color w:val="auto"/>
        </w:rPr>
        <w:t>Direct Dial Number</w:t>
      </w:r>
      <w:r>
        <w:rPr>
          <w:sz w:val="20"/>
          <w:szCs w:val="20"/>
          <w:color w:val="auto"/>
        </w:rPr>
        <w:tab/>
      </w:r>
      <w:r>
        <w:rPr>
          <w:rFonts w:ascii="Times New Roman" w:cs="Times New Roman" w:eastAsia="Times New Roman" w:hAnsi="Times New Roman"/>
          <w:sz w:val="17"/>
          <w:szCs w:val="17"/>
          <w:color w:val="auto"/>
        </w:rPr>
        <w:t>E-mail Address</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February 25,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Medline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Lakes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Northfield, Illinois 60093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Stated Above:</w:t>
      </w:r>
    </w:p>
    <w:p>
      <w:pPr>
        <w:spacing w:after="0" w:line="115" w:lineRule="exact"/>
        <w:rPr>
          <w:sz w:val="20"/>
          <w:szCs w:val="20"/>
          <w:color w:val="auto"/>
        </w:rPr>
      </w:pPr>
    </w:p>
    <w:p>
      <w:pPr>
        <w:ind w:right="60" w:firstLine="422"/>
        <w:spacing w:after="0" w:line="260" w:lineRule="auto"/>
        <w:rPr>
          <w:sz w:val="20"/>
          <w:szCs w:val="20"/>
          <w:color w:val="auto"/>
        </w:rPr>
      </w:pPr>
      <w:r>
        <w:rPr>
          <w:rFonts w:ascii="Times New Roman" w:cs="Times New Roman" w:eastAsia="Times New Roman" w:hAnsi="Times New Roman"/>
          <w:sz w:val="17"/>
          <w:szCs w:val="17"/>
          <w:color w:val="auto"/>
        </w:rPr>
        <w:t>We have acted as counsel to Medline Inc., a Delaware corporation (the “Company”), in connection with the Registration Statement on Form S-8 (the “Registration Statement”) filed by the Company with the Securities and Exchange Commission (the “Commission”) under the Securities Act of 1933, as amended, relating to the issuance by the Company of an aggregate of up to 47,730,442 shares (the “Shares”) of Class A common stock, par value $0.0001 per share, of the Company (the “Class A Common Stock”), consisting of: (i) up to 39,613,729 shares of Class A Common Stock that may be issued by the Company pursuant to the Medline Inc. 2025 Omnibus Incentive Plan (the “2025 Omnibus Plan”) and (ii) up to 8,116,713 shares of Class A Common Stock that may be issued by the Company pursuant to the Medline Inc. 2025 Employee Stock Purchase Plan (the “ESPP” and, together with the 2025 Omnibus Plan, the “Plans”).</w:t>
      </w:r>
    </w:p>
    <w:p>
      <w:pPr>
        <w:spacing w:after="0" w:line="175" w:lineRule="exact"/>
        <w:rPr>
          <w:sz w:val="20"/>
          <w:szCs w:val="20"/>
          <w:color w:val="auto"/>
        </w:rPr>
      </w:pPr>
    </w:p>
    <w:p>
      <w:pPr>
        <w:ind w:right="180" w:firstLine="422"/>
        <w:spacing w:after="0" w:line="263" w:lineRule="auto"/>
        <w:rPr>
          <w:sz w:val="20"/>
          <w:szCs w:val="20"/>
          <w:color w:val="auto"/>
        </w:rPr>
      </w:pPr>
      <w:r>
        <w:rPr>
          <w:rFonts w:ascii="Times New Roman" w:cs="Times New Roman" w:eastAsia="Times New Roman" w:hAnsi="Times New Roman"/>
          <w:sz w:val="17"/>
          <w:szCs w:val="17"/>
          <w:color w:val="auto"/>
        </w:rPr>
        <w:t>We have examined the Registration Statement, the Amended and Restated Certificate of Incorporation of the Company (the “Amended Certificate”) and the Plans,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72" w:lineRule="exact"/>
        <w:rPr>
          <w:sz w:val="20"/>
          <w:szCs w:val="20"/>
          <w:color w:val="auto"/>
        </w:rPr>
      </w:pPr>
    </w:p>
    <w:p>
      <w:pPr>
        <w:jc w:val="both"/>
        <w:ind w:right="100" w:firstLine="422"/>
        <w:spacing w:after="0" w:line="273" w:lineRule="auto"/>
        <w:rPr>
          <w:sz w:val="20"/>
          <w:szCs w:val="20"/>
          <w:color w:val="auto"/>
        </w:rPr>
      </w:pPr>
      <w:r>
        <w:rPr>
          <w:rFonts w:ascii="Times New Roman" w:cs="Times New Roman" w:eastAsia="Times New Roman" w:hAnsi="Times New Roman"/>
          <w:sz w:val="17"/>
          <w:szCs w:val="17"/>
          <w:color w:val="auto"/>
        </w:rPr>
        <w:t>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YORK  BEIJING  BOSTON  BRUSSELS  HONG KONG  HOUSTON  LONDON  LOS ANGELES  LUXEMBOURG  PALO ALTO  SÃO PAULO  TOKYO</w:t>
      </w:r>
    </w:p>
    <w:p>
      <w:pPr>
        <w:sectPr>
          <w:pgSz w:w="11900" w:h="16838" w:orient="portrait"/>
          <w:cols w:equalWidth="0" w:num="1">
            <w:col w:w="10560"/>
          </w:cols>
          <w:pgMar w:left="660" w:top="119" w:right="679" w:bottom="1440" w:gutter="0" w:footer="0" w:header="0"/>
        </w:sectPr>
      </w:pPr>
    </w:p>
    <w:bookmarkStart w:id="6" w:name="page7"/>
    <w:bookmarkEnd w:id="6"/>
    <w:p>
      <w:pPr>
        <w:ind w:firstLine="422"/>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Based upon the foregoing, and subject to the qualifications, assumptions and limitations stated herein, we are of the opinion that upon issuance and delivery in accordance with the Plans, the Shares will be validly issued, fully paid and nonassessable.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do not express any opinion herein concerning any law other than the Delaware General Corporation Law.</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w:t>
      </w:r>
    </w:p>
    <w:p>
      <w:pPr>
        <w:spacing w:after="0" w:line="24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Simpson Thacher &amp; Bartlett LLP</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SIMPSON THACHER &amp; BARTLETT LLP</w:t>
      </w:r>
    </w:p>
    <w:p>
      <w:pPr>
        <w:sectPr>
          <w:pgSz w:w="11900" w:h="16838" w:orient="portrait"/>
          <w:cols w:equalWidth="0" w:num="1">
            <w:col w:w="10280"/>
          </w:cols>
          <w:pgMar w:left="660" w:top="264" w:right="9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Medline Inc. 2025 Omnibus Incentive Plan and Medline Inc. 2025 Employee Stock Purchase Plan of our report dated February 25, 2026, with respect to the consolidated financial statements of Medline Inc. included in its Annual Report (Form 10-K) for the year ended December 31, 2025,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2026</w:t>
      </w:r>
    </w:p>
    <w:p>
      <w:pPr>
        <w:sectPr>
          <w:pgSz w:w="11900" w:h="16838" w:orient="portrait"/>
          <w:cols w:equalWidth="0" w:num="1">
            <w:col w:w="10560"/>
          </w:cols>
          <w:pgMar w:left="660" w:top="119" w:right="679" w:bottom="1440" w:gutter="0" w:footer="0" w:header="0"/>
        </w:sectPr>
      </w:pPr>
    </w:p>
    <w:bookmarkStart w:id="8" w:name="page9"/>
    <w:bookmarkEnd w:id="8"/>
    <w:p>
      <w:pPr>
        <w:spacing w:after="0" w:line="52" w:lineRule="exact"/>
        <w:rPr>
          <w:sz w:val="20"/>
          <w:szCs w:val="20"/>
          <w:color w:val="auto"/>
        </w:rPr>
      </w:pPr>
    </w:p>
    <w:p>
      <w:pPr>
        <w:ind w:left="294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35"/>
          <w:szCs w:val="35"/>
          <w:b w:val="1"/>
          <w:bCs w:val="1"/>
          <w:color w:val="auto"/>
        </w:rPr>
        <w:t>Medline Inc.</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3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6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0"/>
                <w:szCs w:val="20"/>
                <w:color w:val="auto"/>
              </w:rPr>
            </w:pPr>
          </w:p>
        </w:tc>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6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6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Aggregate</w:t>
            </w: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Offering Price</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continue"/>
            <w:shd w:val="clear" w:color="auto" w:fill="9ADAF6"/>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6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stock,</w:t>
            </w:r>
          </w:p>
        </w:tc>
        <w:tc>
          <w:tcPr>
            <w:tcW w:w="20" w:type="dxa"/>
            <w:vAlign w:val="bottom"/>
          </w:tcPr>
          <w:p>
            <w:pPr>
              <w:spacing w:after="0"/>
              <w:rPr>
                <w:sz w:val="24"/>
                <w:szCs w:val="24"/>
                <w:color w:val="auto"/>
              </w:rPr>
            </w:pPr>
          </w:p>
        </w:tc>
        <w:tc>
          <w:tcPr>
            <w:tcW w:w="116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4"/>
                <w:szCs w:val="24"/>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39,613,729</w:t>
            </w:r>
          </w:p>
        </w:tc>
        <w:tc>
          <w:tcPr>
            <w:tcW w:w="40" w:type="dxa"/>
            <w:vAlign w:val="bottom"/>
          </w:tcPr>
          <w:p>
            <w:pPr>
              <w:spacing w:after="0"/>
              <w:rPr>
                <w:sz w:val="24"/>
                <w:szCs w:val="24"/>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$ 47.36</w:t>
            </w:r>
          </w:p>
        </w:tc>
        <w:tc>
          <w:tcPr>
            <w:tcW w:w="20" w:type="dxa"/>
            <w:vAlign w:val="bottom"/>
          </w:tcPr>
          <w:p>
            <w:pPr>
              <w:spacing w:after="0"/>
              <w:rPr>
                <w:sz w:val="24"/>
                <w:szCs w:val="24"/>
                <w:color w:val="auto"/>
              </w:rPr>
            </w:pPr>
          </w:p>
        </w:tc>
        <w:tc>
          <w:tcPr>
            <w:tcW w:w="16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4"/>
                <w:szCs w:val="24"/>
                <w:color w:val="auto"/>
              </w:rPr>
            </w:pPr>
          </w:p>
        </w:tc>
        <w:tc>
          <w:tcPr>
            <w:tcW w:w="15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$ 259,090.27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shd w:val="clear" w:color="auto" w:fill="E7E7E2"/>
          </w:tcPr>
          <w:p>
            <w:pPr>
              <w:jc w:val="right"/>
              <w:spacing w:after="0" w:line="142" w:lineRule="exact"/>
              <w:rPr>
                <w:sz w:val="20"/>
                <w:szCs w:val="20"/>
                <w:color w:val="auto"/>
              </w:rPr>
            </w:pPr>
            <w:r>
              <w:rPr>
                <w:rFonts w:ascii="Arial" w:cs="Arial" w:eastAsia="Arial" w:hAnsi="Arial"/>
                <w:sz w:val="16"/>
                <w:szCs w:val="16"/>
                <w:color w:val="auto"/>
              </w:rPr>
              <w:t>1,876,106,205.44</w:t>
            </w:r>
          </w:p>
        </w:tc>
        <w:tc>
          <w:tcPr>
            <w:tcW w:w="4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2</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8,116,713</w:t>
            </w:r>
          </w:p>
        </w:tc>
        <w:tc>
          <w:tcPr>
            <w:tcW w:w="4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$ 47.36</w:t>
            </w:r>
          </w:p>
        </w:tc>
        <w:tc>
          <w:tcPr>
            <w:tcW w:w="20" w:type="dxa"/>
            <w:vAlign w:val="bottom"/>
          </w:tcPr>
          <w:p>
            <w:pPr>
              <w:spacing w:after="0"/>
              <w:rPr>
                <w:sz w:val="20"/>
                <w:szCs w:val="20"/>
                <w:color w:val="auto"/>
              </w:rPr>
            </w:pPr>
          </w:p>
        </w:tc>
        <w:tc>
          <w:tcPr>
            <w:tcW w:w="16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7"/>
              </w:rPr>
              <w:t>$ 384,407,527.68</w:t>
            </w:r>
          </w:p>
        </w:tc>
        <w:tc>
          <w:tcPr>
            <w:tcW w:w="40" w:type="dxa"/>
            <w:vAlign w:val="bottom"/>
          </w:tcPr>
          <w:p>
            <w:pPr>
              <w:spacing w:after="0"/>
              <w:rPr>
                <w:sz w:val="20"/>
                <w:szCs w:val="20"/>
                <w:color w:val="auto"/>
              </w:rPr>
            </w:pPr>
          </w:p>
        </w:tc>
        <w:tc>
          <w:tcPr>
            <w:tcW w:w="10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$ 53,086.68</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shd w:val="clear" w:color="auto" w:fill="E7E7E2"/>
          </w:tcPr>
          <w:p>
            <w:pPr>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$ 312,176.95</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21"/>
                <w:szCs w:val="21"/>
                <w:color w:val="auto"/>
                <w:w w:val="99"/>
              </w:rPr>
              <w:t>2,260,513,733.12</w:t>
            </w: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$ 312,176.95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780" w:right="660" w:hanging="214"/>
        <w:spacing w:after="0" w:line="230" w:lineRule="auto"/>
        <w:tabs>
          <w:tab w:leader="none" w:pos="780" w:val="left"/>
        </w:tabs>
        <w:numPr>
          <w:ilvl w:val="0"/>
          <w:numId w:val="3"/>
        </w:numPr>
        <w:rPr>
          <w:rFonts w:ascii="Arial" w:cs="Arial" w:eastAsia="Arial" w:hAnsi="Arial"/>
          <w:sz w:val="26"/>
          <w:szCs w:val="26"/>
          <w:color w:val="auto"/>
          <w:vertAlign w:val="superscript"/>
        </w:rPr>
      </w:pPr>
      <w:r>
        <w:rPr>
          <w:rFonts w:ascii="Arial" w:cs="Arial" w:eastAsia="Arial" w:hAnsi="Arial"/>
          <w:sz w:val="21"/>
          <w:szCs w:val="21"/>
          <w:color w:val="auto"/>
        </w:rPr>
        <w:t>(a) Covers shares of Class A common stock, $0.0001 par value per share, of Medline Inc. ("Class A Common Stock") issuable under the Medline Inc. 2025 Omnibus Incentive Plan (the "Omnibus Incentive Plan"). (b) Pursuant to Rule 416(a) under the Securities Act of 1933, as amended (the "Securities Act"), the Registration Statement on Form S-8 (the "Registration Statement") to which this exhibit relates also covers an indeterminate number of additional shares of Class A Common Stock, which may be offered and issued from time to time under the Omnibus Inventive Plan and the ESPP, as applicable, to prevent dilution resulting from stock splits, stock dividends or similar transactions. (c) Estimated solely for the purpose of calculating the registration fee pursuant to Rule 457(h) and Rule 457(c) under the Securities Act, based upon the average of the high and low prices of the Registrant's Class A Common Stock as reported on The Nasdaq Stock Market LLC on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78105</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78" w:lineRule="exact"/>
        <w:rPr>
          <w:sz w:val="20"/>
          <w:szCs w:val="20"/>
          <w:color w:val="auto"/>
        </w:rPr>
      </w:pPr>
    </w:p>
    <w:p>
      <w:pPr>
        <w:ind w:left="780" w:right="740" w:hanging="214"/>
        <w:spacing w:after="0" w:line="230" w:lineRule="auto"/>
        <w:tabs>
          <w:tab w:leader="none" w:pos="780" w:val="left"/>
        </w:tabs>
        <w:numPr>
          <w:ilvl w:val="0"/>
          <w:numId w:val="4"/>
        </w:numPr>
        <w:rPr>
          <w:rFonts w:ascii="Arial" w:cs="Arial" w:eastAsia="Arial" w:hAnsi="Arial"/>
          <w:sz w:val="26"/>
          <w:szCs w:val="26"/>
          <w:color w:val="auto"/>
          <w:vertAlign w:val="superscript"/>
        </w:rPr>
      </w:pPr>
      <w:r>
        <w:rPr>
          <w:rFonts w:ascii="Arial" w:cs="Arial" w:eastAsia="Arial" w:hAnsi="Arial"/>
          <w:sz w:val="21"/>
          <w:szCs w:val="21"/>
          <w:color w:val="auto"/>
        </w:rPr>
        <w:t>(a) Covers shares of Class A Common Stock issuable under the Medline Inc. 2025 Employee Stock Purchase Plan (the "ESPP"). (b) See note 1(b) above. (c) Estimated solely for the purpose of calculating the registration fee pursuant to Rule 457(h) and Rule 457(c) under the Securities Act, based upon the average of the high and low prices of the Registrant's Class A Common Stock as reported on The Nasdaq Stock Market LLC on February 19, 2026. Pursuant to the ESPP, the purchase price of the shares of Class A Common Stock reserved for issuance thereunder will be equal to 85% of the lesser of (i) the Fair Market Value per share of Class A Common Stock on the applicable Purchase Period End Date or (ii) the Fair Market Value of a share of Class A Common Stock on the applicable Grant Date in which the Purchase Period occurs (each term as defined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77470</wp:posOffset>
            </wp:positionV>
            <wp:extent cx="6398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52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63500</wp:posOffset>
            </wp:positionV>
            <wp:extent cx="7200900" cy="1891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00900" cy="1891665"/>
                    </a:xfrm>
                    <a:prstGeom prst="rect">
                      <a:avLst/>
                    </a:prstGeom>
                    <a:noFill/>
                  </pic:spPr>
                </pic:pic>
              </a:graphicData>
            </a:graphic>
          </wp:anchor>
        </w:drawing>
      </w:r>
    </w:p>
    <w:p>
      <w:pPr>
        <w:sectPr>
          <w:pgSz w:w="11900" w:h="16890" w:orient="portrait"/>
          <w:cols w:equalWidth="0" w:num="1">
            <w:col w:w="11240"/>
          </w:cols>
          <w:pgMar w:left="360" w:top="14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Registrant</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auto"/>
        </w:rPr>
        <w:t>or Filer</w:t>
      </w:r>
    </w:p>
    <w:p>
      <w:pPr>
        <w:jc w:val="center"/>
        <w:ind w:left="124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0"/>
                <w:szCs w:val="10"/>
                <w:color w:val="auto"/>
              </w:rPr>
            </w:pPr>
          </w:p>
        </w:tc>
        <w:tc>
          <w:tcPr>
            <w:tcW w:w="5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208"/>
        </w:trPr>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4"/>
                <w:szCs w:val="14"/>
                <w:color w:val="auto"/>
              </w:rPr>
            </w:pPr>
          </w:p>
        </w:tc>
        <w:tc>
          <w:tcPr>
            <w:tcW w:w="58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4"/>
                <w:szCs w:val="14"/>
                <w:color w:val="auto"/>
              </w:rPr>
            </w:pPr>
          </w:p>
        </w:tc>
        <w:tc>
          <w:tcPr>
            <w:tcW w:w="58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84"/>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33"/>
        </w:trPr>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17"/>
        </w:trPr>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208"/>
        </w:trPr>
        <w:tc>
          <w:tcPr>
            <w:tcW w:w="8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2"/>
        </w:trPr>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0" w:type="dxa"/>
            <w:vAlign w:val="bottom"/>
          </w:tcPr>
          <w:p>
            <w:pPr>
              <w:spacing w:after="0"/>
              <w:rPr>
                <w:sz w:val="1"/>
                <w:szCs w:val="1"/>
                <w:color w:val="auto"/>
              </w:rPr>
            </w:pPr>
          </w:p>
        </w:tc>
      </w:tr>
      <w:tr>
        <w:trPr>
          <w:trHeight w:val="272"/>
        </w:trPr>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Rule 457(p)</w:t>
      </w:r>
    </w:p>
    <w:p>
      <w:pPr>
        <w:spacing w:after="0" w:line="35" w:lineRule="exact"/>
        <w:rPr>
          <w:sz w:val="20"/>
          <w:szCs w:val="20"/>
          <w:color w:val="auto"/>
        </w:rPr>
      </w:pPr>
    </w:p>
    <w:p>
      <w:pPr>
        <w:sectPr>
          <w:pgSz w:w="11900" w:h="16890" w:orient="portrait"/>
          <w:cols w:equalWidth="0" w:num="3">
            <w:col w:w="2260" w:space="40"/>
            <w:col w:w="2640" w:space="40"/>
            <w:col w:w="6260"/>
          </w:cols>
          <w:pgMar w:left="360" w:top="141" w:right="299" w:bottom="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0"/>
                <w:szCs w:val="20"/>
                <w:color w:val="auto"/>
              </w:rPr>
            </w:pPr>
          </w:p>
        </w:tc>
        <w:tc>
          <w:tcPr>
            <w:tcW w:w="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bl>
    <w:p>
      <w:pPr>
        <w:sectPr>
          <w:pgSz w:w="11900" w:h="16890" w:orient="portrait"/>
          <w:cols w:equalWidth="0" w:num="1">
            <w:col w:w="11240"/>
          </w:cols>
          <w:pgMar w:left="360" w:top="141" w:right="299" w:bottom="0"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0" w:type="dxa"/>
            <w:vAlign w:val="bottom"/>
            <w:tcBorders>
              <w:left w:val="single" w:sz="8" w:color="auto"/>
            </w:tcBorders>
          </w:tcPr>
          <w:p>
            <w:pPr>
              <w:spacing w:after="0"/>
              <w:rPr>
                <w:sz w:val="21"/>
                <w:szCs w:val="21"/>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1"/>
                <w:szCs w:val="21"/>
                <w:color w:val="auto"/>
              </w:rPr>
            </w:pPr>
          </w:p>
        </w:tc>
        <w:tc>
          <w:tcPr>
            <w:tcW w:w="3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18" Type="http://schemas.openxmlformats.org/officeDocument/2006/relationships/hyperlink" Target="http://www.sec.gov/Archives/edgar/data/2046386/000119312525321135/d76744ds8.htm" TargetMode="External"/><Relationship Id="rId19" Type="http://schemas.openxmlformats.org/officeDocument/2006/relationships/hyperlink" Target="http://www.sec.gov/ix?doc=/Archives/edgar/data/2046386/000204638626000009/mdln-20251231.htm" TargetMode="External"/><Relationship Id="rId20" Type="http://schemas.openxmlformats.org/officeDocument/2006/relationships/hyperlink" Target="http://www.sec.gov/Archives/edgar/data/2046386/000204638626000009/ex413descriptionofregister.htm" TargetMode="External"/><Relationship Id="rId22" Type="http://schemas.openxmlformats.org/officeDocument/2006/relationships/hyperlink" Target="http://www.sec.gov/Archives/edgar/data/2046386/000119312525328884/d933672dex31.htm" TargetMode="External"/><Relationship Id="rId23" Type="http://schemas.openxmlformats.org/officeDocument/2006/relationships/hyperlink" Target="http://www.sec.gov/Archives/edgar/data/2046386/000119312525328884/d933672dex32.htm" TargetMode="External"/><Relationship Id="rId24" Type="http://schemas.openxmlformats.org/officeDocument/2006/relationships/hyperlink" Target="http://www.sec.gov/Archives/edgar/data/2046386/000119312525321135/d76744dex43.htm" TargetMode="External"/><Relationship Id="rId25" Type="http://schemas.openxmlformats.org/officeDocument/2006/relationships/hyperlink" Target="http://www.sec.gov/Archives/edgar/data/2046386/000119312525321135/d76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2026-02-25T16:34:18Z</dcterms:created>
  <dcterms:modified xsi:type="dcterms:W3CDTF">2026-02-25T16:34:18Z</dcterms:modified>
</cp:coreProperties>
</file>