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14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-221615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1"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6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-602615</wp:posOffset>
            </wp:positionV>
            <wp:extent cx="57150"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950"/>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-602615</wp:posOffset>
            </wp:positionV>
            <wp:extent cx="57150" cy="615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595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639445</wp:posOffset>
            </wp:positionV>
            <wp:extent cx="6998970" cy="882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8827770"/>
                    </a:xfrm>
                    <a:prstGeom prst="rect">
                      <a:avLst/>
                    </a:prstGeom>
                    <a:noFill/>
                  </pic:spPr>
                </pic:pic>
              </a:graphicData>
            </a:graphic>
          </wp:anchor>
        </w:drawing>
      </w:r>
    </w:p>
    <w:p>
      <w:pPr>
        <w:spacing w:after="0" w:line="1075" w:lineRule="exact"/>
        <w:rPr>
          <w:sz w:val="24"/>
          <w:szCs w:val="24"/>
          <w:color w:val="auto"/>
        </w:rPr>
      </w:pPr>
    </w:p>
    <w:p>
      <w:pPr>
        <w:sectPr>
          <w:pgSz w:w="11900" w:h="16838" w:orient="portrait"/>
          <w:cols w:equalWidth="0" w:num="2">
            <w:col w:w="2300" w:space="400"/>
            <w:col w:w="8260"/>
          </w:cols>
          <w:pgMar w:left="460" w:top="213" w:right="479" w:bottom="499"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line="239" w:lineRule="auto"/>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Hellman &amp; Friedman Capital Partners X</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(Parallel), L.P.</w:t>
        </w:r>
      </w:hyperlink>
    </w:p>
    <w:p>
      <w:pPr>
        <w:spacing w:after="0" w:line="276"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0"/>
          <w:szCs w:val="20"/>
          <w:color w:val="auto"/>
        </w:rPr>
      </w:pPr>
    </w:p>
    <w:p>
      <w:pPr>
        <w:ind w:left="120" w:right="720"/>
        <w:spacing w:after="0" w:line="356" w:lineRule="auto"/>
        <w:rPr>
          <w:sz w:val="20"/>
          <w:szCs w:val="20"/>
          <w:color w:val="auto"/>
        </w:rPr>
      </w:pPr>
      <w:r>
        <w:rPr>
          <w:rFonts w:ascii="Times New Roman" w:cs="Times New Roman" w:eastAsia="Times New Roman" w:hAnsi="Times New Roman"/>
          <w:sz w:val="16"/>
          <w:szCs w:val="16"/>
          <w:color w:val="0000FF"/>
        </w:rPr>
        <w:t>C/O HELLMAN &amp; FRIEDMAN LLC 415 MISSION STREET, SUITE 5700</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pacing w:after="0" w:line="35" w:lineRule="exact"/>
        <w:rPr>
          <w:sz w:val="20"/>
          <w:szCs w:val="20"/>
          <w:color w:val="auto"/>
        </w:rPr>
      </w:pPr>
    </w:p>
    <w:p>
      <w:pPr>
        <w:ind w:left="120" w:right="360"/>
        <w:spacing w:after="0"/>
        <w:rPr>
          <w:sz w:val="20"/>
          <w:szCs w:val="20"/>
          <w:color w:val="auto"/>
        </w:rPr>
      </w:pPr>
      <w:r>
        <w:rPr>
          <w:rFonts w:ascii="Times New Roman" w:cs="Times New Roman" w:eastAsia="Times New Roman" w:hAnsi="Times New Roman"/>
          <w:sz w:val="32"/>
          <w:szCs w:val="32"/>
          <w:color w:val="0000FF"/>
          <w:vertAlign w:val="superscript"/>
        </w:rPr>
        <w:t>SAN</w:t>
      </w:r>
      <w:r>
        <w:rPr>
          <w:rFonts w:ascii="Times New Roman" w:cs="Times New Roman" w:eastAsia="Times New Roman" w:hAnsi="Times New Roman"/>
          <w:sz w:val="16"/>
          <w:szCs w:val="16"/>
          <w:color w:val="0000FF"/>
        </w:rPr>
        <w:t xml:space="preserve"> CA 94105 FRANCISCO</w:t>
      </w:r>
    </w:p>
    <w:p>
      <w:pPr>
        <w:spacing w:after="0" w:line="326"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r>
      <w:tr>
        <w:trPr>
          <w:trHeight w:val="211"/>
        </w:trPr>
        <w:tc>
          <w:tcPr>
            <w:tcW w:w="3840" w:type="dxa"/>
            <w:vAlign w:val="bottom"/>
            <w:gridSpan w:val="4"/>
          </w:tcPr>
          <w:p>
            <w:pPr>
              <w:ind w:left="60"/>
              <w:spacing w:after="0" w:line="21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Medline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MDLN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0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480" w:type="dxa"/>
            <w:vAlign w:val="bottom"/>
          </w:tcPr>
          <w:p>
            <w:pPr>
              <w:spacing w:after="0"/>
              <w:rPr>
                <w:sz w:val="18"/>
                <w:szCs w:val="18"/>
                <w:color w:val="auto"/>
              </w:rPr>
            </w:pPr>
          </w:p>
        </w:tc>
      </w:tr>
      <w:tr>
        <w:trPr>
          <w:trHeight w:val="144"/>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900" w:type="dxa"/>
            <w:vAlign w:val="bottom"/>
            <w:tcBorders>
              <w:top w:val="single" w:sz="8" w:color="0000EE"/>
            </w:tcBorders>
          </w:tcPr>
          <w:p>
            <w:pPr>
              <w:spacing w:after="0"/>
              <w:rPr>
                <w:sz w:val="12"/>
                <w:szCs w:val="12"/>
                <w:color w:val="auto"/>
              </w:rPr>
            </w:pPr>
          </w:p>
        </w:tc>
        <w:tc>
          <w:tcPr>
            <w:tcW w:w="2760" w:type="dxa"/>
            <w:vAlign w:val="bottom"/>
          </w:tcPr>
          <w:p>
            <w:pPr>
              <w:spacing w:after="0"/>
              <w:rPr>
                <w:sz w:val="12"/>
                <w:szCs w:val="12"/>
                <w:color w:val="auto"/>
              </w:rPr>
            </w:pPr>
          </w:p>
        </w:tc>
        <w:tc>
          <w:tcPr>
            <w:tcW w:w="1800" w:type="dxa"/>
            <w:vAlign w:val="bottom"/>
          </w:tcPr>
          <w:p>
            <w:pPr>
              <w:ind w:left="580"/>
              <w:spacing w:after="0"/>
              <w:rPr>
                <w:sz w:val="20"/>
                <w:szCs w:val="20"/>
                <w:color w:val="auto"/>
              </w:rPr>
            </w:pPr>
            <w:r>
              <w:rPr>
                <w:rFonts w:ascii="Arial" w:cs="Arial" w:eastAsia="Arial" w:hAnsi="Arial"/>
                <w:sz w:val="12"/>
                <w:szCs w:val="12"/>
                <w:color w:val="auto"/>
              </w:rPr>
              <w:t>Director</w:t>
            </w:r>
          </w:p>
        </w:tc>
        <w:tc>
          <w:tcPr>
            <w:tcW w:w="1480" w:type="dxa"/>
            <w:vAlign w:val="bottom"/>
          </w:tcPr>
          <w:p>
            <w:pPr>
              <w:ind w:left="340"/>
              <w:spacing w:after="0"/>
              <w:rPr>
                <w:sz w:val="20"/>
                <w:szCs w:val="20"/>
                <w:color w:val="auto"/>
              </w:rPr>
            </w:pPr>
            <w:r>
              <w:rPr>
                <w:rFonts w:ascii="Arial" w:cs="Arial" w:eastAsia="Arial" w:hAnsi="Arial"/>
                <w:sz w:val="12"/>
                <w:szCs w:val="12"/>
                <w:color w:val="auto"/>
              </w:rPr>
              <w:t>10% Owner</w:t>
            </w:r>
          </w:p>
        </w:tc>
      </w:tr>
      <w:tr>
        <w:trPr>
          <w:trHeight w:val="183"/>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800" w:type="dxa"/>
            <w:vAlign w:val="bottom"/>
          </w:tcPr>
          <w:p>
            <w:pPr>
              <w:ind w:left="580"/>
              <w:spacing w:after="0"/>
              <w:rPr>
                <w:sz w:val="20"/>
                <w:szCs w:val="20"/>
                <w:color w:val="auto"/>
              </w:rPr>
            </w:pPr>
            <w:r>
              <w:rPr>
                <w:rFonts w:ascii="Arial" w:cs="Arial" w:eastAsia="Arial" w:hAnsi="Arial"/>
                <w:sz w:val="12"/>
                <w:szCs w:val="12"/>
                <w:color w:val="auto"/>
              </w:rPr>
              <w:t>Officer (give title</w:t>
            </w:r>
          </w:p>
        </w:tc>
        <w:tc>
          <w:tcPr>
            <w:tcW w:w="148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166"/>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760" w:type="dxa"/>
            <w:vAlign w:val="bottom"/>
            <w:tcBorders>
              <w:bottom w:val="single" w:sz="8" w:color="2C2C2C"/>
            </w:tcBorders>
          </w:tcPr>
          <w:p>
            <w:pPr>
              <w:spacing w:after="0"/>
              <w:rPr>
                <w:sz w:val="14"/>
                <w:szCs w:val="14"/>
                <w:color w:val="auto"/>
              </w:rPr>
            </w:pPr>
          </w:p>
        </w:tc>
        <w:tc>
          <w:tcPr>
            <w:tcW w:w="1800" w:type="dxa"/>
            <w:vAlign w:val="bottom"/>
          </w:tcPr>
          <w:p>
            <w:pPr>
              <w:ind w:left="580"/>
              <w:spacing w:after="0"/>
              <w:rPr>
                <w:sz w:val="20"/>
                <w:szCs w:val="20"/>
                <w:color w:val="auto"/>
              </w:rPr>
            </w:pPr>
            <w:r>
              <w:rPr>
                <w:rFonts w:ascii="Arial" w:cs="Arial" w:eastAsia="Arial" w:hAnsi="Arial"/>
                <w:sz w:val="12"/>
                <w:szCs w:val="12"/>
                <w:color w:val="auto"/>
              </w:rPr>
              <w:t>below)</w:t>
            </w:r>
          </w:p>
        </w:tc>
        <w:tc>
          <w:tcPr>
            <w:tcW w:w="1480" w:type="dxa"/>
            <w:vAlign w:val="bottom"/>
          </w:tcPr>
          <w:p>
            <w:pPr>
              <w:ind w:left="340"/>
              <w:spacing w:after="0"/>
              <w:rPr>
                <w:sz w:val="20"/>
                <w:szCs w:val="20"/>
                <w:color w:val="auto"/>
              </w:rPr>
            </w:pPr>
            <w:r>
              <w:rPr>
                <w:rFonts w:ascii="Arial" w:cs="Arial" w:eastAsia="Arial" w:hAnsi="Arial"/>
                <w:sz w:val="12"/>
                <w:szCs w:val="12"/>
                <w:color w:val="auto"/>
              </w:rPr>
              <w:t>below)</w:t>
            </w:r>
          </w:p>
        </w:tc>
      </w:tr>
      <w:tr>
        <w:trPr>
          <w:trHeight w:val="173"/>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10"/>
        </w:trPr>
        <w:tc>
          <w:tcPr>
            <w:tcW w:w="10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12/18/2025</w:t>
            </w:r>
          </w:p>
        </w:tc>
        <w:tc>
          <w:tcPr>
            <w:tcW w:w="2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90"/>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2"/>
          </w:tcPr>
          <w:p>
            <w:pPr>
              <w:spacing w:after="0"/>
              <w:rPr>
                <w:sz w:val="24"/>
                <w:szCs w:val="24"/>
                <w:color w:val="auto"/>
              </w:rPr>
            </w:pPr>
          </w:p>
        </w:tc>
      </w:tr>
      <w:tr>
        <w:trPr>
          <w:trHeight w:val="201"/>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r>
      <w:tr>
        <w:trPr>
          <w:trHeight w:val="174"/>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r>
      <w:tr>
        <w:trPr>
          <w:trHeight w:val="211"/>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715" w:lineRule="exact"/>
        <w:rPr>
          <w:sz w:val="20"/>
          <w:szCs w:val="20"/>
          <w:color w:val="auto"/>
        </w:rPr>
      </w:pPr>
    </w:p>
    <w:p>
      <w:pPr>
        <w:sectPr>
          <w:pgSz w:w="11900" w:h="16838" w:orient="portrait"/>
          <w:cols w:equalWidth="0" w:num="2">
            <w:col w:w="3320" w:space="520"/>
            <w:col w:w="7120"/>
          </w:cols>
          <w:pgMar w:left="460" w:top="213" w:right="479" w:bottom="499"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34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60" w:type="dxa"/>
            <w:vAlign w:val="bottom"/>
          </w:tcPr>
          <w:p>
            <w:pPr>
              <w:ind w:left="6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40" w:type="dxa"/>
            <w:vAlign w:val="bottom"/>
          </w:tcPr>
          <w:p>
            <w:pPr>
              <w:spacing w:after="0"/>
              <w:rPr>
                <w:sz w:val="12"/>
                <w:szCs w:val="12"/>
                <w:color w:val="auto"/>
              </w:rPr>
            </w:pPr>
          </w:p>
        </w:tc>
        <w:tc>
          <w:tcPr>
            <w:tcW w:w="2240" w:type="dxa"/>
            <w:vAlign w:val="bottom"/>
            <w:gridSpan w:val="3"/>
          </w:tcPr>
          <w:p>
            <w:pPr>
              <w:jc w:val="center"/>
              <w:spacing w:after="0"/>
              <w:rPr>
                <w:sz w:val="20"/>
                <w:szCs w:val="20"/>
                <w:color w:val="auto"/>
              </w:rPr>
            </w:pPr>
            <w:r>
              <w:rPr>
                <w:rFonts w:ascii="Arial" w:cs="Arial" w:eastAsia="Arial" w:hAnsi="Arial"/>
                <w:sz w:val="11"/>
                <w:szCs w:val="11"/>
                <w:b w:val="1"/>
                <w:bCs w:val="1"/>
                <w:color w:val="auto"/>
              </w:rPr>
              <w:t>4. Securities Acquired (A) or Disposed</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340" w:type="dxa"/>
            <w:vAlign w:val="bottom"/>
          </w:tcPr>
          <w:p>
            <w:pPr>
              <w:spacing w:after="0"/>
              <w:rPr>
                <w:sz w:val="10"/>
                <w:szCs w:val="10"/>
                <w:color w:val="auto"/>
              </w:rPr>
            </w:pPr>
          </w:p>
        </w:tc>
        <w:tc>
          <w:tcPr>
            <w:tcW w:w="1660" w:type="dxa"/>
            <w:vAlign w:val="bottom"/>
          </w:tcPr>
          <w:p>
            <w:pPr>
              <w:ind w:left="6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3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Of (D) (Instr. 3, 4 and 5)</w:t>
            </w:r>
          </w:p>
        </w:tc>
        <w:tc>
          <w:tcPr>
            <w:tcW w:w="860" w:type="dxa"/>
            <w:vAlign w:val="bottom"/>
          </w:tcPr>
          <w:p>
            <w:pPr>
              <w:spacing w:after="0"/>
              <w:rPr>
                <w:sz w:val="10"/>
                <w:szCs w:val="10"/>
                <w:color w:val="auto"/>
              </w:rPr>
            </w:pP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340" w:type="dxa"/>
            <w:vAlign w:val="bottom"/>
          </w:tcPr>
          <w:p>
            <w:pPr>
              <w:spacing w:after="0"/>
              <w:rPr>
                <w:sz w:val="10"/>
                <w:szCs w:val="10"/>
                <w:color w:val="auto"/>
              </w:rPr>
            </w:pPr>
          </w:p>
        </w:tc>
        <w:tc>
          <w:tcPr>
            <w:tcW w:w="1660" w:type="dxa"/>
            <w:vAlign w:val="bottom"/>
          </w:tcPr>
          <w:p>
            <w:pPr>
              <w:jc w:val="center"/>
              <w:ind w:left="546"/>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 or Indirect</w:t>
            </w:r>
          </w:p>
        </w:tc>
        <w:tc>
          <w:tcPr>
            <w:tcW w:w="8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3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8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3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6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3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2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8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3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3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3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98"/>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Hellman</w:t>
            </w:r>
          </w:p>
        </w:tc>
        <w:tc>
          <w:tcPr>
            <w:tcW w:w="0" w:type="dxa"/>
            <w:vAlign w:val="bottom"/>
          </w:tcPr>
          <w:p>
            <w:pPr>
              <w:spacing w:after="0"/>
              <w:rPr>
                <w:sz w:val="1"/>
                <w:szCs w:val="1"/>
                <w:color w:val="auto"/>
              </w:rPr>
            </w:pPr>
          </w:p>
        </w:tc>
      </w:tr>
      <w:tr>
        <w:trPr>
          <w:trHeight w:val="198"/>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&amp;</w:t>
            </w:r>
          </w:p>
        </w:tc>
        <w:tc>
          <w:tcPr>
            <w:tcW w:w="0" w:type="dxa"/>
            <w:vAlign w:val="bottom"/>
          </w:tcPr>
          <w:p>
            <w:pPr>
              <w:spacing w:after="0"/>
              <w:rPr>
                <w:sz w:val="1"/>
                <w:szCs w:val="1"/>
                <w:color w:val="auto"/>
              </w:rPr>
            </w:pPr>
          </w:p>
        </w:tc>
      </w:tr>
      <w:tr>
        <w:trPr>
          <w:trHeight w:val="198"/>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vMerge w:val="restart"/>
          </w:tcPr>
          <w:p>
            <w:pPr>
              <w:jc w:val="center"/>
              <w:ind w:left="566"/>
              <w:spacing w:after="0"/>
              <w:rPr>
                <w:sz w:val="20"/>
                <w:szCs w:val="20"/>
                <w:color w:val="auto"/>
              </w:rPr>
            </w:pPr>
            <w:r>
              <w:rPr>
                <w:rFonts w:ascii="Times New Roman" w:cs="Times New Roman" w:eastAsia="Times New Roman" w:hAnsi="Times New Roman"/>
                <w:sz w:val="16"/>
                <w:szCs w:val="16"/>
                <w:color w:val="0000FF"/>
              </w:rPr>
              <w:t>12/18/2025</w:t>
            </w:r>
          </w:p>
        </w:tc>
        <w:tc>
          <w:tcPr>
            <w:tcW w:w="1040" w:type="dxa"/>
            <w:vAlign w:val="bottom"/>
          </w:tcPr>
          <w:p>
            <w:pPr>
              <w:spacing w:after="0"/>
              <w:rPr>
                <w:sz w:val="17"/>
                <w:szCs w:val="17"/>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w:t>
            </w:r>
          </w:p>
        </w:tc>
        <w:tc>
          <w:tcPr>
            <w:tcW w:w="240" w:type="dxa"/>
            <w:vAlign w:val="bottom"/>
          </w:tcPr>
          <w:p>
            <w:pPr>
              <w:spacing w:after="0"/>
              <w:rPr>
                <w:sz w:val="17"/>
                <w:szCs w:val="17"/>
                <w:color w:val="auto"/>
              </w:rPr>
            </w:pPr>
          </w:p>
        </w:tc>
        <w:tc>
          <w:tcPr>
            <w:tcW w:w="880" w:type="dxa"/>
            <w:vAlign w:val="bottom"/>
            <w:vMerge w:val="restart"/>
          </w:tcPr>
          <w:p>
            <w:pPr>
              <w:jc w:val="center"/>
              <w:ind w:left="6"/>
              <w:spacing w:after="0"/>
              <w:rPr>
                <w:sz w:val="20"/>
                <w:szCs w:val="20"/>
                <w:color w:val="auto"/>
              </w:rPr>
            </w:pPr>
            <w:r>
              <w:rPr>
                <w:rFonts w:ascii="Times New Roman" w:cs="Times New Roman" w:eastAsia="Times New Roman" w:hAnsi="Times New Roman"/>
                <w:sz w:val="16"/>
                <w:szCs w:val="16"/>
                <w:color w:val="0000FF"/>
                <w:w w:val="99"/>
              </w:rPr>
              <w:t>5,079,306</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86"/>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28.3683</w:t>
            </w:r>
            <w:r>
              <w:rPr>
                <w:rFonts w:ascii="Times New Roman" w:cs="Times New Roman" w:eastAsia="Times New Roman" w:hAnsi="Times New Roman"/>
                <w:sz w:val="20"/>
                <w:szCs w:val="20"/>
                <w:color w:val="008000"/>
                <w:w w:val="94"/>
                <w:vertAlign w:val="superscript"/>
              </w:rPr>
              <w:t>(1)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88,890,651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Friedman</w:t>
            </w:r>
          </w:p>
        </w:tc>
        <w:tc>
          <w:tcPr>
            <w:tcW w:w="0" w:type="dxa"/>
            <w:vAlign w:val="bottom"/>
          </w:tcPr>
          <w:p>
            <w:pPr>
              <w:spacing w:after="0"/>
              <w:rPr>
                <w:sz w:val="1"/>
                <w:szCs w:val="1"/>
                <w:color w:val="auto"/>
              </w:rPr>
            </w:pPr>
          </w:p>
        </w:tc>
      </w:tr>
      <w:tr>
        <w:trPr>
          <w:trHeight w:val="162"/>
        </w:trPr>
        <w:tc>
          <w:tcPr>
            <w:tcW w:w="234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37"/>
        </w:trPr>
        <w:tc>
          <w:tcPr>
            <w:tcW w:w="23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8"/>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Partners X</w:t>
            </w:r>
          </w:p>
        </w:tc>
        <w:tc>
          <w:tcPr>
            <w:tcW w:w="0" w:type="dxa"/>
            <w:vAlign w:val="bottom"/>
          </w:tcPr>
          <w:p>
            <w:pPr>
              <w:spacing w:after="0"/>
              <w:rPr>
                <w:sz w:val="1"/>
                <w:szCs w:val="1"/>
                <w:color w:val="auto"/>
              </w:rPr>
            </w:pPr>
          </w:p>
        </w:tc>
      </w:tr>
      <w:tr>
        <w:trPr>
          <w:trHeight w:val="198"/>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(Parallel),</w:t>
            </w:r>
          </w:p>
        </w:tc>
        <w:tc>
          <w:tcPr>
            <w:tcW w:w="0" w:type="dxa"/>
            <w:vAlign w:val="bottom"/>
          </w:tcPr>
          <w:p>
            <w:pPr>
              <w:spacing w:after="0"/>
              <w:rPr>
                <w:sz w:val="1"/>
                <w:szCs w:val="1"/>
                <w:color w:val="auto"/>
              </w:rPr>
            </w:pPr>
          </w:p>
        </w:tc>
      </w:tr>
      <w:tr>
        <w:trPr>
          <w:trHeight w:val="266"/>
        </w:trPr>
        <w:tc>
          <w:tcPr>
            <w:tcW w:w="2340" w:type="dxa"/>
            <w:vAlign w:val="bottom"/>
            <w:tcBorders>
              <w:bottom w:val="single" w:sz="8" w:color="2C2C2C"/>
            </w:tcBorders>
          </w:tcPr>
          <w:p>
            <w:pPr>
              <w:spacing w:after="0"/>
              <w:rPr>
                <w:sz w:val="23"/>
                <w:szCs w:val="23"/>
                <w:color w:val="auto"/>
              </w:rPr>
            </w:pPr>
          </w:p>
        </w:tc>
        <w:tc>
          <w:tcPr>
            <w:tcW w:w="16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ind w:left="8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(2)(3)</w:t>
            </w: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 HFCP</w:t>
            </w:r>
          </w:p>
        </w:tc>
        <w:tc>
          <w:tcPr>
            <w:tcW w:w="0" w:type="dxa"/>
            <w:vAlign w:val="bottom"/>
          </w:tcPr>
          <w:p>
            <w:pPr>
              <w:spacing w:after="0"/>
              <w:rPr>
                <w:sz w:val="1"/>
                <w:szCs w:val="1"/>
                <w:color w:val="auto"/>
              </w:rPr>
            </w:pPr>
          </w:p>
        </w:tc>
      </w:tr>
      <w:tr>
        <w:trPr>
          <w:trHeight w:val="224"/>
        </w:trPr>
        <w:tc>
          <w:tcPr>
            <w:tcW w:w="23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tcPr>
          <w:p>
            <w:pPr>
              <w:jc w:val="center"/>
              <w:ind w:left="566"/>
              <w:spacing w:after="0"/>
              <w:rPr>
                <w:sz w:val="20"/>
                <w:szCs w:val="20"/>
                <w:color w:val="auto"/>
              </w:rPr>
            </w:pPr>
            <w:r>
              <w:rPr>
                <w:rFonts w:ascii="Times New Roman" w:cs="Times New Roman" w:eastAsia="Times New Roman" w:hAnsi="Times New Roman"/>
                <w:sz w:val="16"/>
                <w:szCs w:val="16"/>
                <w:color w:val="0000FF"/>
              </w:rPr>
              <w:t>12/18/2025</w:t>
            </w:r>
          </w:p>
        </w:tc>
        <w:tc>
          <w:tcPr>
            <w:tcW w:w="10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w:t>
            </w:r>
          </w:p>
        </w:tc>
        <w:tc>
          <w:tcPr>
            <w:tcW w:w="240" w:type="dxa"/>
            <w:vAlign w:val="bottom"/>
          </w:tcPr>
          <w:p>
            <w:pPr>
              <w:spacing w:after="0"/>
              <w:rPr>
                <w:sz w:val="19"/>
                <w:szCs w:val="19"/>
                <w:color w:val="auto"/>
              </w:rPr>
            </w:pPr>
          </w:p>
        </w:tc>
        <w:tc>
          <w:tcPr>
            <w:tcW w:w="880" w:type="dxa"/>
            <w:vAlign w:val="bottom"/>
          </w:tcPr>
          <w:p>
            <w:pPr>
              <w:jc w:val="center"/>
              <w:ind w:left="6"/>
              <w:spacing w:after="0"/>
              <w:rPr>
                <w:sz w:val="20"/>
                <w:szCs w:val="20"/>
                <w:color w:val="auto"/>
              </w:rPr>
            </w:pPr>
            <w:r>
              <w:rPr>
                <w:rFonts w:ascii="Times New Roman" w:cs="Times New Roman" w:eastAsia="Times New Roman" w:hAnsi="Times New Roman"/>
                <w:sz w:val="16"/>
                <w:szCs w:val="16"/>
                <w:color w:val="0000FF"/>
                <w:w w:val="99"/>
              </w:rPr>
              <w:t>547,305</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86"/>
              </w:rPr>
              <w:t>D</w:t>
            </w:r>
          </w:p>
        </w:tc>
        <w:tc>
          <w:tcPr>
            <w:tcW w:w="860" w:type="dxa"/>
            <w:vAlign w:val="bottom"/>
          </w:tcPr>
          <w:p>
            <w:pPr>
              <w:jc w:val="center"/>
              <w:spacing w:after="0" w:line="224" w:lineRule="exact"/>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28.3683</w:t>
            </w:r>
            <w:r>
              <w:rPr>
                <w:rFonts w:ascii="Times New Roman" w:cs="Times New Roman" w:eastAsia="Times New Roman" w:hAnsi="Times New Roman"/>
                <w:sz w:val="20"/>
                <w:szCs w:val="20"/>
                <w:color w:val="008000"/>
                <w:w w:val="94"/>
                <w:vertAlign w:val="superscript"/>
              </w:rPr>
              <w:t>(1)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9,268,693</w:t>
            </w:r>
          </w:p>
        </w:tc>
        <w:tc>
          <w:tcPr>
            <w:tcW w:w="9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X (Parallel</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0000FF"/>
              </w:rPr>
              <w:t>- A), L.P.</w:t>
            </w:r>
            <w:r>
              <w:rPr>
                <w:rFonts w:ascii="Times New Roman" w:cs="Times New Roman" w:eastAsia="Times New Roman" w:hAnsi="Times New Roman"/>
                <w:sz w:val="19"/>
                <w:szCs w:val="19"/>
                <w:color w:val="008000"/>
                <w:vertAlign w:val="superscript"/>
              </w:rPr>
              <w:t>(2)</w:t>
            </w:r>
          </w:p>
        </w:tc>
        <w:tc>
          <w:tcPr>
            <w:tcW w:w="0" w:type="dxa"/>
            <w:vAlign w:val="bottom"/>
          </w:tcPr>
          <w:p>
            <w:pPr>
              <w:spacing w:after="0"/>
              <w:rPr>
                <w:sz w:val="1"/>
                <w:szCs w:val="1"/>
                <w:color w:val="auto"/>
              </w:rPr>
            </w:pPr>
          </w:p>
        </w:tc>
      </w:tr>
      <w:tr>
        <w:trPr>
          <w:trHeight w:val="132"/>
        </w:trPr>
        <w:tc>
          <w:tcPr>
            <w:tcW w:w="23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(3)</w:t>
            </w:r>
          </w:p>
        </w:tc>
        <w:tc>
          <w:tcPr>
            <w:tcW w:w="0" w:type="dxa"/>
            <w:vAlign w:val="bottom"/>
          </w:tcPr>
          <w:p>
            <w:pPr>
              <w:spacing w:after="0"/>
              <w:rPr>
                <w:sz w:val="1"/>
                <w:szCs w:val="1"/>
                <w:color w:val="auto"/>
              </w:rPr>
            </w:pPr>
          </w:p>
        </w:tc>
      </w:tr>
      <w:tr>
        <w:trPr>
          <w:trHeight w:val="74"/>
        </w:trPr>
        <w:tc>
          <w:tcPr>
            <w:tcW w:w="234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28.3683</w:t>
            </w:r>
            <w:r>
              <w:rPr>
                <w:rFonts w:ascii="Times New Roman" w:cs="Times New Roman" w:eastAsia="Times New Roman" w:hAnsi="Times New Roman"/>
                <w:sz w:val="20"/>
                <w:szCs w:val="20"/>
                <w:color w:val="008000"/>
                <w:w w:val="94"/>
                <w:vertAlign w:val="superscript"/>
              </w:rPr>
              <w:t>(1)</w:t>
            </w: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 Mend</w:t>
            </w:r>
          </w:p>
        </w:tc>
        <w:tc>
          <w:tcPr>
            <w:tcW w:w="0" w:type="dxa"/>
            <w:vAlign w:val="bottom"/>
          </w:tcPr>
          <w:p>
            <w:pPr>
              <w:spacing w:after="0"/>
              <w:rPr>
                <w:sz w:val="1"/>
                <w:szCs w:val="1"/>
                <w:color w:val="auto"/>
              </w:rPr>
            </w:pPr>
          </w:p>
        </w:tc>
      </w:tr>
      <w:tr>
        <w:trPr>
          <w:trHeight w:val="198"/>
        </w:trPr>
        <w:tc>
          <w:tcPr>
            <w:tcW w:w="23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tcPr>
          <w:p>
            <w:pPr>
              <w:jc w:val="center"/>
              <w:ind w:left="566"/>
              <w:spacing w:after="0"/>
              <w:rPr>
                <w:sz w:val="20"/>
                <w:szCs w:val="20"/>
                <w:color w:val="auto"/>
              </w:rPr>
            </w:pPr>
            <w:r>
              <w:rPr>
                <w:rFonts w:ascii="Times New Roman" w:cs="Times New Roman" w:eastAsia="Times New Roman" w:hAnsi="Times New Roman"/>
                <w:sz w:val="16"/>
                <w:szCs w:val="16"/>
                <w:color w:val="0000FF"/>
              </w:rPr>
              <w:t>12/18/2025</w:t>
            </w:r>
          </w:p>
        </w:tc>
        <w:tc>
          <w:tcPr>
            <w:tcW w:w="104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w:t>
            </w:r>
          </w:p>
        </w:tc>
        <w:tc>
          <w:tcPr>
            <w:tcW w:w="240" w:type="dxa"/>
            <w:vAlign w:val="bottom"/>
          </w:tcPr>
          <w:p>
            <w:pPr>
              <w:spacing w:after="0"/>
              <w:rPr>
                <w:sz w:val="17"/>
                <w:szCs w:val="17"/>
                <w:color w:val="auto"/>
              </w:rPr>
            </w:pPr>
          </w:p>
        </w:tc>
        <w:tc>
          <w:tcPr>
            <w:tcW w:w="880" w:type="dxa"/>
            <w:vAlign w:val="bottom"/>
          </w:tcPr>
          <w:p>
            <w:pPr>
              <w:jc w:val="center"/>
              <w:ind w:left="6"/>
              <w:spacing w:after="0"/>
              <w:rPr>
                <w:sz w:val="20"/>
                <w:szCs w:val="20"/>
                <w:color w:val="auto"/>
              </w:rPr>
            </w:pPr>
            <w:r>
              <w:rPr>
                <w:rFonts w:ascii="Times New Roman" w:cs="Times New Roman" w:eastAsia="Times New Roman" w:hAnsi="Times New Roman"/>
                <w:sz w:val="16"/>
                <w:szCs w:val="16"/>
                <w:color w:val="0000FF"/>
                <w:w w:val="99"/>
              </w:rPr>
              <w:t>461,760</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86"/>
              </w:rPr>
              <w:t>D</w:t>
            </w:r>
          </w:p>
        </w:tc>
        <w:tc>
          <w:tcPr>
            <w:tcW w:w="860" w:type="dxa"/>
            <w:vAlign w:val="bottom"/>
            <w:vMerge w:val="continue"/>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4,806,160</w:t>
            </w:r>
          </w:p>
        </w:tc>
        <w:tc>
          <w:tcPr>
            <w:tcW w:w="9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Partners II,</w:t>
            </w:r>
          </w:p>
        </w:tc>
        <w:tc>
          <w:tcPr>
            <w:tcW w:w="0" w:type="dxa"/>
            <w:vAlign w:val="bottom"/>
          </w:tcPr>
          <w:p>
            <w:pPr>
              <w:spacing w:after="0"/>
              <w:rPr>
                <w:sz w:val="1"/>
                <w:szCs w:val="1"/>
                <w:color w:val="auto"/>
              </w:rPr>
            </w:pPr>
          </w:p>
        </w:tc>
      </w:tr>
      <w:tr>
        <w:trPr>
          <w:trHeight w:val="266"/>
        </w:trPr>
        <w:tc>
          <w:tcPr>
            <w:tcW w:w="2340" w:type="dxa"/>
            <w:vAlign w:val="bottom"/>
            <w:tcBorders>
              <w:bottom w:val="single" w:sz="8" w:color="2C2C2C"/>
            </w:tcBorders>
          </w:tcPr>
          <w:p>
            <w:pPr>
              <w:spacing w:after="0"/>
              <w:rPr>
                <w:sz w:val="23"/>
                <w:szCs w:val="23"/>
                <w:color w:val="auto"/>
              </w:rPr>
            </w:pPr>
          </w:p>
        </w:tc>
        <w:tc>
          <w:tcPr>
            <w:tcW w:w="16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ind w:left="8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(2)(3)</w:t>
            </w: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 Mend</w:t>
            </w:r>
          </w:p>
        </w:tc>
        <w:tc>
          <w:tcPr>
            <w:tcW w:w="0" w:type="dxa"/>
            <w:vAlign w:val="bottom"/>
          </w:tcPr>
          <w:p>
            <w:pPr>
              <w:spacing w:after="0"/>
              <w:rPr>
                <w:sz w:val="1"/>
                <w:szCs w:val="1"/>
                <w:color w:val="auto"/>
              </w:rPr>
            </w:pPr>
          </w:p>
        </w:tc>
      </w:tr>
      <w:tr>
        <w:trPr>
          <w:trHeight w:val="198"/>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660" w:type="dxa"/>
            <w:vAlign w:val="bottom"/>
            <w:vMerge w:val="restart"/>
          </w:tcPr>
          <w:p>
            <w:pPr>
              <w:jc w:val="center"/>
              <w:ind w:left="566"/>
              <w:spacing w:after="0"/>
              <w:rPr>
                <w:sz w:val="20"/>
                <w:szCs w:val="20"/>
                <w:color w:val="auto"/>
              </w:rPr>
            </w:pPr>
            <w:r>
              <w:rPr>
                <w:rFonts w:ascii="Times New Roman" w:cs="Times New Roman" w:eastAsia="Times New Roman" w:hAnsi="Times New Roman"/>
                <w:sz w:val="16"/>
                <w:szCs w:val="16"/>
                <w:color w:val="0000FF"/>
              </w:rPr>
              <w:t>12/18/2025</w:t>
            </w:r>
          </w:p>
        </w:tc>
        <w:tc>
          <w:tcPr>
            <w:tcW w:w="1040" w:type="dxa"/>
            <w:vAlign w:val="bottom"/>
          </w:tcPr>
          <w:p>
            <w:pPr>
              <w:spacing w:after="0"/>
              <w:rPr>
                <w:sz w:val="17"/>
                <w:szCs w:val="17"/>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FF"/>
                <w:w w:val="94"/>
                <w:vertAlign w:val="subscript"/>
              </w:rPr>
              <w:t>J</w:t>
            </w:r>
            <w:r>
              <w:rPr>
                <w:rFonts w:ascii="Times New Roman" w:cs="Times New Roman" w:eastAsia="Times New Roman" w:hAnsi="Times New Roman"/>
                <w:sz w:val="10"/>
                <w:szCs w:val="10"/>
                <w:color w:val="008000"/>
                <w:w w:val="94"/>
              </w:rPr>
              <w:t>(4)(5)</w:t>
            </w:r>
          </w:p>
        </w:tc>
        <w:tc>
          <w:tcPr>
            <w:tcW w:w="240" w:type="dxa"/>
            <w:vAlign w:val="bottom"/>
          </w:tcPr>
          <w:p>
            <w:pPr>
              <w:spacing w:after="0"/>
              <w:rPr>
                <w:sz w:val="17"/>
                <w:szCs w:val="17"/>
                <w:color w:val="auto"/>
              </w:rPr>
            </w:pPr>
          </w:p>
        </w:tc>
        <w:tc>
          <w:tcPr>
            <w:tcW w:w="880" w:type="dxa"/>
            <w:vAlign w:val="bottom"/>
            <w:vMerge w:val="restart"/>
          </w:tcPr>
          <w:p>
            <w:pPr>
              <w:jc w:val="center"/>
              <w:ind w:left="6"/>
              <w:spacing w:after="0"/>
              <w:rPr>
                <w:sz w:val="20"/>
                <w:szCs w:val="20"/>
                <w:color w:val="auto"/>
              </w:rPr>
            </w:pPr>
            <w:r>
              <w:rPr>
                <w:rFonts w:ascii="Times New Roman" w:cs="Times New Roman" w:eastAsia="Times New Roman" w:hAnsi="Times New Roman"/>
                <w:sz w:val="16"/>
                <w:szCs w:val="16"/>
                <w:color w:val="0000FF"/>
                <w:w w:val="99"/>
              </w:rPr>
              <w:t>9,028,455</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86"/>
              </w:rPr>
              <w:t>D</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117,886,972</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Investment</w:t>
            </w:r>
          </w:p>
        </w:tc>
        <w:tc>
          <w:tcPr>
            <w:tcW w:w="0" w:type="dxa"/>
            <w:vAlign w:val="bottom"/>
          </w:tcPr>
          <w:p>
            <w:pPr>
              <w:spacing w:after="0"/>
              <w:rPr>
                <w:sz w:val="1"/>
                <w:szCs w:val="1"/>
                <w:color w:val="auto"/>
              </w:rPr>
            </w:pPr>
          </w:p>
        </w:tc>
      </w:tr>
      <w:tr>
        <w:trPr>
          <w:trHeight w:val="128"/>
        </w:trPr>
        <w:tc>
          <w:tcPr>
            <w:tcW w:w="234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Holdings</w:t>
            </w:r>
          </w:p>
        </w:tc>
        <w:tc>
          <w:tcPr>
            <w:tcW w:w="0" w:type="dxa"/>
            <w:vAlign w:val="bottom"/>
          </w:tcPr>
          <w:p>
            <w:pPr>
              <w:spacing w:after="0"/>
              <w:rPr>
                <w:sz w:val="1"/>
                <w:szCs w:val="1"/>
                <w:color w:val="auto"/>
              </w:rPr>
            </w:pPr>
          </w:p>
        </w:tc>
      </w:tr>
      <w:tr>
        <w:trPr>
          <w:trHeight w:val="71"/>
        </w:trPr>
        <w:tc>
          <w:tcPr>
            <w:tcW w:w="23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2340" w:type="dxa"/>
            <w:vAlign w:val="bottom"/>
            <w:tcBorders>
              <w:bottom w:val="single" w:sz="8" w:color="2C2C2C"/>
            </w:tcBorders>
          </w:tcPr>
          <w:p>
            <w:pPr>
              <w:spacing w:after="0"/>
              <w:rPr>
                <w:sz w:val="23"/>
                <w:szCs w:val="23"/>
                <w:color w:val="auto"/>
              </w:rPr>
            </w:pPr>
          </w:p>
        </w:tc>
        <w:tc>
          <w:tcPr>
            <w:tcW w:w="16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I, L.P.</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98"/>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Hellman</w:t>
            </w:r>
          </w:p>
        </w:tc>
        <w:tc>
          <w:tcPr>
            <w:tcW w:w="0" w:type="dxa"/>
            <w:vAlign w:val="bottom"/>
          </w:tcPr>
          <w:p>
            <w:pPr>
              <w:spacing w:after="0"/>
              <w:rPr>
                <w:sz w:val="1"/>
                <w:szCs w:val="1"/>
                <w:color w:val="auto"/>
              </w:rPr>
            </w:pPr>
          </w:p>
        </w:tc>
      </w:tr>
      <w:tr>
        <w:trPr>
          <w:trHeight w:val="198"/>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&amp;</w:t>
            </w:r>
          </w:p>
        </w:tc>
        <w:tc>
          <w:tcPr>
            <w:tcW w:w="0" w:type="dxa"/>
            <w:vAlign w:val="bottom"/>
          </w:tcPr>
          <w:p>
            <w:pPr>
              <w:spacing w:after="0"/>
              <w:rPr>
                <w:sz w:val="1"/>
                <w:szCs w:val="1"/>
                <w:color w:val="auto"/>
              </w:rPr>
            </w:pPr>
          </w:p>
        </w:tc>
      </w:tr>
      <w:tr>
        <w:trPr>
          <w:trHeight w:val="198"/>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vMerge w:val="restart"/>
          </w:tcPr>
          <w:p>
            <w:pPr>
              <w:jc w:val="center"/>
              <w:ind w:left="566"/>
              <w:spacing w:after="0"/>
              <w:rPr>
                <w:sz w:val="20"/>
                <w:szCs w:val="20"/>
                <w:color w:val="auto"/>
              </w:rPr>
            </w:pPr>
            <w:r>
              <w:rPr>
                <w:rFonts w:ascii="Times New Roman" w:cs="Times New Roman" w:eastAsia="Times New Roman" w:hAnsi="Times New Roman"/>
                <w:sz w:val="16"/>
                <w:szCs w:val="16"/>
                <w:color w:val="0000FF"/>
              </w:rPr>
              <w:t>12/18/2025</w:t>
            </w:r>
          </w:p>
        </w:tc>
        <w:tc>
          <w:tcPr>
            <w:tcW w:w="1040" w:type="dxa"/>
            <w:vAlign w:val="bottom"/>
          </w:tcPr>
          <w:p>
            <w:pPr>
              <w:spacing w:after="0"/>
              <w:rPr>
                <w:sz w:val="17"/>
                <w:szCs w:val="17"/>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FF"/>
                <w:w w:val="94"/>
                <w:vertAlign w:val="subscript"/>
              </w:rPr>
              <w:t>J</w:t>
            </w:r>
            <w:r>
              <w:rPr>
                <w:rFonts w:ascii="Times New Roman" w:cs="Times New Roman" w:eastAsia="Times New Roman" w:hAnsi="Times New Roman"/>
                <w:sz w:val="10"/>
                <w:szCs w:val="10"/>
                <w:color w:val="008000"/>
                <w:w w:val="94"/>
              </w:rPr>
              <w:t>(6)(7)</w:t>
            </w:r>
          </w:p>
        </w:tc>
        <w:tc>
          <w:tcPr>
            <w:tcW w:w="240" w:type="dxa"/>
            <w:vAlign w:val="bottom"/>
          </w:tcPr>
          <w:p>
            <w:pPr>
              <w:spacing w:after="0"/>
              <w:rPr>
                <w:sz w:val="17"/>
                <w:szCs w:val="17"/>
                <w:color w:val="auto"/>
              </w:rPr>
            </w:pPr>
          </w:p>
        </w:tc>
        <w:tc>
          <w:tcPr>
            <w:tcW w:w="880" w:type="dxa"/>
            <w:vAlign w:val="bottom"/>
            <w:vMerge w:val="restart"/>
          </w:tcPr>
          <w:p>
            <w:pPr>
              <w:jc w:val="center"/>
              <w:ind w:left="6"/>
              <w:spacing w:after="0"/>
              <w:rPr>
                <w:sz w:val="20"/>
                <w:szCs w:val="20"/>
                <w:color w:val="auto"/>
              </w:rPr>
            </w:pPr>
            <w:r>
              <w:rPr>
                <w:rFonts w:ascii="Times New Roman" w:cs="Times New Roman" w:eastAsia="Times New Roman" w:hAnsi="Times New Roman"/>
                <w:sz w:val="16"/>
                <w:szCs w:val="16"/>
                <w:color w:val="0000FF"/>
                <w:w w:val="99"/>
              </w:rPr>
              <w:t>3,157,629</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86"/>
              </w:rPr>
              <w:t>D</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85,733,022</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Friedman</w:t>
            </w:r>
          </w:p>
        </w:tc>
        <w:tc>
          <w:tcPr>
            <w:tcW w:w="0" w:type="dxa"/>
            <w:vAlign w:val="bottom"/>
          </w:tcPr>
          <w:p>
            <w:pPr>
              <w:spacing w:after="0"/>
              <w:rPr>
                <w:sz w:val="1"/>
                <w:szCs w:val="1"/>
                <w:color w:val="auto"/>
              </w:rPr>
            </w:pPr>
          </w:p>
        </w:tc>
      </w:tr>
      <w:tr>
        <w:trPr>
          <w:trHeight w:val="128"/>
        </w:trPr>
        <w:tc>
          <w:tcPr>
            <w:tcW w:w="234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71"/>
        </w:trPr>
        <w:tc>
          <w:tcPr>
            <w:tcW w:w="23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Partners X</w:t>
            </w:r>
          </w:p>
        </w:tc>
        <w:tc>
          <w:tcPr>
            <w:tcW w:w="0" w:type="dxa"/>
            <w:vAlign w:val="bottom"/>
          </w:tcPr>
          <w:p>
            <w:pPr>
              <w:spacing w:after="0"/>
              <w:rPr>
                <w:sz w:val="1"/>
                <w:szCs w:val="1"/>
                <w:color w:val="auto"/>
              </w:rPr>
            </w:pPr>
          </w:p>
        </w:tc>
      </w:tr>
      <w:tr>
        <w:trPr>
          <w:trHeight w:val="198"/>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(Parallel),</w:t>
            </w:r>
          </w:p>
        </w:tc>
        <w:tc>
          <w:tcPr>
            <w:tcW w:w="0" w:type="dxa"/>
            <w:vAlign w:val="bottom"/>
          </w:tcPr>
          <w:p>
            <w:pPr>
              <w:spacing w:after="0"/>
              <w:rPr>
                <w:sz w:val="1"/>
                <w:szCs w:val="1"/>
                <w:color w:val="auto"/>
              </w:rPr>
            </w:pPr>
          </w:p>
        </w:tc>
      </w:tr>
      <w:tr>
        <w:trPr>
          <w:trHeight w:val="266"/>
        </w:trPr>
        <w:tc>
          <w:tcPr>
            <w:tcW w:w="2340" w:type="dxa"/>
            <w:vAlign w:val="bottom"/>
            <w:tcBorders>
              <w:bottom w:val="single" w:sz="8" w:color="2C2C2C"/>
            </w:tcBorders>
          </w:tcPr>
          <w:p>
            <w:pPr>
              <w:spacing w:after="0"/>
              <w:rPr>
                <w:sz w:val="23"/>
                <w:szCs w:val="23"/>
                <w:color w:val="auto"/>
              </w:rPr>
            </w:pPr>
          </w:p>
        </w:tc>
        <w:tc>
          <w:tcPr>
            <w:tcW w:w="16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ind w:left="8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(2)(3)</w:t>
            </w: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 HFCP</w:t>
            </w:r>
          </w:p>
        </w:tc>
        <w:tc>
          <w:tcPr>
            <w:tcW w:w="0" w:type="dxa"/>
            <w:vAlign w:val="bottom"/>
          </w:tcPr>
          <w:p>
            <w:pPr>
              <w:spacing w:after="0"/>
              <w:rPr>
                <w:sz w:val="1"/>
                <w:szCs w:val="1"/>
                <w:color w:val="auto"/>
              </w:rPr>
            </w:pPr>
          </w:p>
        </w:tc>
      </w:tr>
      <w:tr>
        <w:trPr>
          <w:trHeight w:val="224"/>
        </w:trPr>
        <w:tc>
          <w:tcPr>
            <w:tcW w:w="23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tcPr>
          <w:p>
            <w:pPr>
              <w:jc w:val="center"/>
              <w:ind w:left="566"/>
              <w:spacing w:after="0"/>
              <w:rPr>
                <w:sz w:val="20"/>
                <w:szCs w:val="20"/>
                <w:color w:val="auto"/>
              </w:rPr>
            </w:pPr>
            <w:r>
              <w:rPr>
                <w:rFonts w:ascii="Times New Roman" w:cs="Times New Roman" w:eastAsia="Times New Roman" w:hAnsi="Times New Roman"/>
                <w:sz w:val="16"/>
                <w:szCs w:val="16"/>
                <w:color w:val="0000FF"/>
              </w:rPr>
              <w:t>12/18/2025</w:t>
            </w:r>
          </w:p>
        </w:tc>
        <w:tc>
          <w:tcPr>
            <w:tcW w:w="1040" w:type="dxa"/>
            <w:vAlign w:val="bottom"/>
          </w:tcPr>
          <w:p>
            <w:pPr>
              <w:spacing w:after="0"/>
              <w:rPr>
                <w:sz w:val="19"/>
                <w:szCs w:val="19"/>
                <w:color w:val="auto"/>
              </w:rPr>
            </w:pPr>
          </w:p>
        </w:tc>
        <w:tc>
          <w:tcPr>
            <w:tcW w:w="560" w:type="dxa"/>
            <w:vAlign w:val="bottom"/>
          </w:tcPr>
          <w:p>
            <w:pPr>
              <w:jc w:val="center"/>
              <w:spacing w:after="0" w:line="224" w:lineRule="exact"/>
              <w:rPr>
                <w:sz w:val="20"/>
                <w:szCs w:val="20"/>
                <w:color w:val="auto"/>
              </w:rPr>
            </w:pPr>
            <w:r>
              <w:rPr>
                <w:rFonts w:ascii="Times New Roman" w:cs="Times New Roman" w:eastAsia="Times New Roman" w:hAnsi="Times New Roman"/>
                <w:sz w:val="24"/>
                <w:szCs w:val="24"/>
                <w:color w:val="0000FF"/>
                <w:w w:val="94"/>
                <w:vertAlign w:val="subscript"/>
              </w:rPr>
              <w:t>J</w:t>
            </w:r>
            <w:r>
              <w:rPr>
                <w:rFonts w:ascii="Times New Roman" w:cs="Times New Roman" w:eastAsia="Times New Roman" w:hAnsi="Times New Roman"/>
                <w:sz w:val="10"/>
                <w:szCs w:val="10"/>
                <w:color w:val="008000"/>
                <w:w w:val="94"/>
              </w:rPr>
              <w:t>(6)(7)</w:t>
            </w:r>
          </w:p>
        </w:tc>
        <w:tc>
          <w:tcPr>
            <w:tcW w:w="240" w:type="dxa"/>
            <w:vAlign w:val="bottom"/>
          </w:tcPr>
          <w:p>
            <w:pPr>
              <w:spacing w:after="0"/>
              <w:rPr>
                <w:sz w:val="19"/>
                <w:szCs w:val="19"/>
                <w:color w:val="auto"/>
              </w:rPr>
            </w:pPr>
          </w:p>
        </w:tc>
        <w:tc>
          <w:tcPr>
            <w:tcW w:w="880" w:type="dxa"/>
            <w:vAlign w:val="bottom"/>
          </w:tcPr>
          <w:p>
            <w:pPr>
              <w:jc w:val="center"/>
              <w:ind w:left="6"/>
              <w:spacing w:after="0"/>
              <w:rPr>
                <w:sz w:val="20"/>
                <w:szCs w:val="20"/>
                <w:color w:val="auto"/>
              </w:rPr>
            </w:pPr>
            <w:r>
              <w:rPr>
                <w:rFonts w:ascii="Times New Roman" w:cs="Times New Roman" w:eastAsia="Times New Roman" w:hAnsi="Times New Roman"/>
                <w:sz w:val="16"/>
                <w:szCs w:val="16"/>
                <w:color w:val="0000FF"/>
                <w:w w:val="99"/>
              </w:rPr>
              <w:t>313,116</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86"/>
              </w:rPr>
              <w:t>D</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8,955,577</w:t>
            </w:r>
          </w:p>
        </w:tc>
        <w:tc>
          <w:tcPr>
            <w:tcW w:w="9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X (Parallel</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0000FF"/>
              </w:rPr>
              <w:t>- A), L.P.</w:t>
            </w:r>
            <w:r>
              <w:rPr>
                <w:rFonts w:ascii="Times New Roman" w:cs="Times New Roman" w:eastAsia="Times New Roman" w:hAnsi="Times New Roman"/>
                <w:sz w:val="19"/>
                <w:szCs w:val="19"/>
                <w:color w:val="008000"/>
                <w:vertAlign w:val="superscript"/>
              </w:rPr>
              <w:t>(2)</w:t>
            </w:r>
          </w:p>
        </w:tc>
        <w:tc>
          <w:tcPr>
            <w:tcW w:w="0" w:type="dxa"/>
            <w:vAlign w:val="bottom"/>
          </w:tcPr>
          <w:p>
            <w:pPr>
              <w:spacing w:after="0"/>
              <w:rPr>
                <w:sz w:val="1"/>
                <w:szCs w:val="1"/>
                <w:color w:val="auto"/>
              </w:rPr>
            </w:pPr>
          </w:p>
        </w:tc>
      </w:tr>
      <w:tr>
        <w:trPr>
          <w:trHeight w:val="132"/>
        </w:trPr>
        <w:tc>
          <w:tcPr>
            <w:tcW w:w="23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(3)</w:t>
            </w:r>
          </w:p>
        </w:tc>
        <w:tc>
          <w:tcPr>
            <w:tcW w:w="0" w:type="dxa"/>
            <w:vAlign w:val="bottom"/>
          </w:tcPr>
          <w:p>
            <w:pPr>
              <w:spacing w:after="0"/>
              <w:rPr>
                <w:sz w:val="1"/>
                <w:szCs w:val="1"/>
                <w:color w:val="auto"/>
              </w:rPr>
            </w:pPr>
          </w:p>
        </w:tc>
      </w:tr>
      <w:tr>
        <w:trPr>
          <w:trHeight w:val="74"/>
        </w:trPr>
        <w:tc>
          <w:tcPr>
            <w:tcW w:w="234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 Mend</w:t>
            </w:r>
          </w:p>
        </w:tc>
        <w:tc>
          <w:tcPr>
            <w:tcW w:w="0" w:type="dxa"/>
            <w:vAlign w:val="bottom"/>
          </w:tcPr>
          <w:p>
            <w:pPr>
              <w:spacing w:after="0"/>
              <w:rPr>
                <w:sz w:val="1"/>
                <w:szCs w:val="1"/>
                <w:color w:val="auto"/>
              </w:rPr>
            </w:pPr>
          </w:p>
        </w:tc>
      </w:tr>
      <w:tr>
        <w:trPr>
          <w:trHeight w:val="198"/>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vMerge w:val="restart"/>
          </w:tcPr>
          <w:p>
            <w:pPr>
              <w:jc w:val="center"/>
              <w:ind w:left="566"/>
              <w:spacing w:after="0"/>
              <w:rPr>
                <w:sz w:val="20"/>
                <w:szCs w:val="20"/>
                <w:color w:val="auto"/>
              </w:rPr>
            </w:pPr>
            <w:r>
              <w:rPr>
                <w:rFonts w:ascii="Times New Roman" w:cs="Times New Roman" w:eastAsia="Times New Roman" w:hAnsi="Times New Roman"/>
                <w:sz w:val="16"/>
                <w:szCs w:val="16"/>
                <w:color w:val="0000FF"/>
              </w:rPr>
              <w:t>12/18/2025</w:t>
            </w:r>
          </w:p>
        </w:tc>
        <w:tc>
          <w:tcPr>
            <w:tcW w:w="1040" w:type="dxa"/>
            <w:vAlign w:val="bottom"/>
          </w:tcPr>
          <w:p>
            <w:pPr>
              <w:spacing w:after="0"/>
              <w:rPr>
                <w:sz w:val="17"/>
                <w:szCs w:val="17"/>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FF"/>
                <w:w w:val="93"/>
                <w:vertAlign w:val="subscript"/>
              </w:rPr>
              <w:t>C</w:t>
            </w:r>
            <w:r>
              <w:rPr>
                <w:rFonts w:ascii="Times New Roman" w:cs="Times New Roman" w:eastAsia="Times New Roman" w:hAnsi="Times New Roman"/>
                <w:sz w:val="10"/>
                <w:szCs w:val="10"/>
                <w:color w:val="008000"/>
                <w:w w:val="93"/>
              </w:rPr>
              <w:t>(8)(9)</w:t>
            </w:r>
          </w:p>
        </w:tc>
        <w:tc>
          <w:tcPr>
            <w:tcW w:w="240" w:type="dxa"/>
            <w:vAlign w:val="bottom"/>
          </w:tcPr>
          <w:p>
            <w:pPr>
              <w:spacing w:after="0"/>
              <w:rPr>
                <w:sz w:val="17"/>
                <w:szCs w:val="17"/>
                <w:color w:val="auto"/>
              </w:rPr>
            </w:pPr>
          </w:p>
        </w:tc>
        <w:tc>
          <w:tcPr>
            <w:tcW w:w="880" w:type="dxa"/>
            <w:vAlign w:val="bottom"/>
            <w:vMerge w:val="restart"/>
          </w:tcPr>
          <w:p>
            <w:pPr>
              <w:jc w:val="center"/>
              <w:ind w:left="6"/>
              <w:spacing w:after="0"/>
              <w:rPr>
                <w:sz w:val="20"/>
                <w:szCs w:val="20"/>
                <w:color w:val="auto"/>
              </w:rPr>
            </w:pPr>
            <w:r>
              <w:rPr>
                <w:rFonts w:ascii="Times New Roman" w:cs="Times New Roman" w:eastAsia="Times New Roman" w:hAnsi="Times New Roman"/>
                <w:sz w:val="16"/>
                <w:szCs w:val="16"/>
                <w:color w:val="0000FF"/>
                <w:w w:val="99"/>
              </w:rPr>
              <w:t>2,098,005</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86"/>
              </w:rPr>
              <w:t>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2,117,315</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Investment</w:t>
            </w:r>
          </w:p>
        </w:tc>
        <w:tc>
          <w:tcPr>
            <w:tcW w:w="0" w:type="dxa"/>
            <w:vAlign w:val="bottom"/>
          </w:tcPr>
          <w:p>
            <w:pPr>
              <w:spacing w:after="0"/>
              <w:rPr>
                <w:sz w:val="1"/>
                <w:szCs w:val="1"/>
                <w:color w:val="auto"/>
              </w:rPr>
            </w:pPr>
          </w:p>
        </w:tc>
      </w:tr>
      <w:tr>
        <w:trPr>
          <w:trHeight w:val="128"/>
        </w:trPr>
        <w:tc>
          <w:tcPr>
            <w:tcW w:w="234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Holdings</w:t>
            </w:r>
          </w:p>
        </w:tc>
        <w:tc>
          <w:tcPr>
            <w:tcW w:w="0" w:type="dxa"/>
            <w:vAlign w:val="bottom"/>
          </w:tcPr>
          <w:p>
            <w:pPr>
              <w:spacing w:after="0"/>
              <w:rPr>
                <w:sz w:val="1"/>
                <w:szCs w:val="1"/>
                <w:color w:val="auto"/>
              </w:rPr>
            </w:pPr>
          </w:p>
        </w:tc>
      </w:tr>
      <w:tr>
        <w:trPr>
          <w:trHeight w:val="71"/>
        </w:trPr>
        <w:tc>
          <w:tcPr>
            <w:tcW w:w="23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2340" w:type="dxa"/>
            <w:vAlign w:val="bottom"/>
            <w:tcBorders>
              <w:bottom w:val="single" w:sz="8" w:color="2C2C2C"/>
            </w:tcBorders>
          </w:tcPr>
          <w:p>
            <w:pPr>
              <w:spacing w:after="0"/>
              <w:rPr>
                <w:sz w:val="23"/>
                <w:szCs w:val="23"/>
                <w:color w:val="auto"/>
              </w:rPr>
            </w:pPr>
          </w:p>
        </w:tc>
        <w:tc>
          <w:tcPr>
            <w:tcW w:w="16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I, L.P.</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 Mend</w:t>
            </w:r>
          </w:p>
        </w:tc>
        <w:tc>
          <w:tcPr>
            <w:tcW w:w="0" w:type="dxa"/>
            <w:vAlign w:val="bottom"/>
          </w:tcPr>
          <w:p>
            <w:pPr>
              <w:spacing w:after="0"/>
              <w:rPr>
                <w:sz w:val="1"/>
                <w:szCs w:val="1"/>
                <w:color w:val="auto"/>
              </w:rPr>
            </w:pPr>
          </w:p>
        </w:tc>
      </w:tr>
      <w:tr>
        <w:trPr>
          <w:trHeight w:val="198"/>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vMerge w:val="restart"/>
          </w:tcPr>
          <w:p>
            <w:pPr>
              <w:jc w:val="center"/>
              <w:ind w:left="566"/>
              <w:spacing w:after="0"/>
              <w:rPr>
                <w:sz w:val="20"/>
                <w:szCs w:val="20"/>
                <w:color w:val="auto"/>
              </w:rPr>
            </w:pPr>
            <w:r>
              <w:rPr>
                <w:rFonts w:ascii="Times New Roman" w:cs="Times New Roman" w:eastAsia="Times New Roman" w:hAnsi="Times New Roman"/>
                <w:sz w:val="16"/>
                <w:szCs w:val="16"/>
                <w:color w:val="0000FF"/>
              </w:rPr>
              <w:t>12/18/2025</w:t>
            </w:r>
          </w:p>
        </w:tc>
        <w:tc>
          <w:tcPr>
            <w:tcW w:w="1040" w:type="dxa"/>
            <w:vAlign w:val="bottom"/>
          </w:tcPr>
          <w:p>
            <w:pPr>
              <w:spacing w:after="0"/>
              <w:rPr>
                <w:sz w:val="17"/>
                <w:szCs w:val="17"/>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FF"/>
                <w:w w:val="96"/>
                <w:vertAlign w:val="subscript"/>
              </w:rPr>
              <w:t>J</w:t>
            </w:r>
            <w:r>
              <w:rPr>
                <w:rFonts w:ascii="Times New Roman" w:cs="Times New Roman" w:eastAsia="Times New Roman" w:hAnsi="Times New Roman"/>
                <w:sz w:val="10"/>
                <w:szCs w:val="10"/>
                <w:color w:val="008000"/>
                <w:w w:val="96"/>
              </w:rPr>
              <w:t>(6)(7)(9)</w:t>
            </w:r>
          </w:p>
        </w:tc>
        <w:tc>
          <w:tcPr>
            <w:tcW w:w="240" w:type="dxa"/>
            <w:vAlign w:val="bottom"/>
          </w:tcPr>
          <w:p>
            <w:pPr>
              <w:spacing w:after="0"/>
              <w:rPr>
                <w:sz w:val="17"/>
                <w:szCs w:val="17"/>
                <w:color w:val="auto"/>
              </w:rPr>
            </w:pPr>
          </w:p>
        </w:tc>
        <w:tc>
          <w:tcPr>
            <w:tcW w:w="880" w:type="dxa"/>
            <w:vAlign w:val="bottom"/>
            <w:vMerge w:val="restart"/>
          </w:tcPr>
          <w:p>
            <w:pPr>
              <w:jc w:val="center"/>
              <w:ind w:left="6"/>
              <w:spacing w:after="0"/>
              <w:rPr>
                <w:sz w:val="20"/>
                <w:szCs w:val="20"/>
                <w:color w:val="auto"/>
              </w:rPr>
            </w:pPr>
            <w:r>
              <w:rPr>
                <w:rFonts w:ascii="Times New Roman" w:cs="Times New Roman" w:eastAsia="Times New Roman" w:hAnsi="Times New Roman"/>
                <w:sz w:val="16"/>
                <w:szCs w:val="16"/>
                <w:color w:val="0000FF"/>
                <w:w w:val="99"/>
              </w:rPr>
              <w:t>2,098,005</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86"/>
              </w:rPr>
              <w:t>D</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19,310</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Investment</w:t>
            </w:r>
          </w:p>
        </w:tc>
        <w:tc>
          <w:tcPr>
            <w:tcW w:w="0" w:type="dxa"/>
            <w:vAlign w:val="bottom"/>
          </w:tcPr>
          <w:p>
            <w:pPr>
              <w:spacing w:after="0"/>
              <w:rPr>
                <w:sz w:val="1"/>
                <w:szCs w:val="1"/>
                <w:color w:val="auto"/>
              </w:rPr>
            </w:pPr>
          </w:p>
        </w:tc>
      </w:tr>
      <w:tr>
        <w:trPr>
          <w:trHeight w:val="128"/>
        </w:trPr>
        <w:tc>
          <w:tcPr>
            <w:tcW w:w="234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Holdings</w:t>
            </w: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10180"/>
        <w:spacing w:after="0"/>
        <w:rPr>
          <w:sz w:val="20"/>
          <w:szCs w:val="20"/>
          <w:color w:val="auto"/>
        </w:rPr>
      </w:pPr>
      <w:r>
        <w:rPr>
          <w:rFonts w:ascii="Times New Roman" w:cs="Times New Roman" w:eastAsia="Times New Roman" w:hAnsi="Times New Roman"/>
          <w:sz w:val="16"/>
          <w:szCs w:val="16"/>
          <w:color w:val="0000FF"/>
        </w:rPr>
        <w:t>I, L.P.</w:t>
      </w:r>
      <w:r>
        <w:rPr>
          <w:rFonts w:ascii="Times New Roman" w:cs="Times New Roman" w:eastAsia="Times New Roman" w:hAnsi="Times New Roman"/>
          <w:sz w:val="20"/>
          <w:szCs w:val="20"/>
          <w:color w:val="008000"/>
          <w:vertAlign w:val="superscript"/>
        </w:rPr>
        <w:t>(2)(3)</w:t>
      </w:r>
    </w:p>
    <w:p>
      <w:pPr>
        <w:sectPr>
          <w:pgSz w:w="11900" w:h="16838" w:orient="portrait"/>
          <w:cols w:equalWidth="0" w:num="1">
            <w:col w:w="10960"/>
          </w:cols>
          <w:pgMar w:left="460" w:top="213" w:right="479" w:bottom="499" w:gutter="0" w:footer="0" w:header="0"/>
          <w:type w:val="continuous"/>
        </w:sectPr>
      </w:pPr>
    </w:p>
    <w:bookmarkStart w:id="1" w:name="page2"/>
    <w:bookmarkEnd w:id="1"/>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6998970" cy="10523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8970" cy="1052322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8"/>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320" w:type="dxa"/>
            <w:vAlign w:val="bottom"/>
          </w:tcPr>
          <w:p>
            <w:pPr>
              <w:spacing w:after="0"/>
              <w:rPr>
                <w:sz w:val="12"/>
                <w:szCs w:val="12"/>
                <w:color w:val="auto"/>
              </w:rPr>
            </w:pPr>
          </w:p>
        </w:tc>
        <w:tc>
          <w:tcPr>
            <w:tcW w:w="1200" w:type="dxa"/>
            <w:vAlign w:val="bottom"/>
            <w:gridSpan w:val="2"/>
          </w:tcPr>
          <w:p>
            <w:pPr>
              <w:ind w:left="24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5"/>
          </w:tcPr>
          <w:p>
            <w:pPr>
              <w:ind w:left="80"/>
              <w:spacing w:after="0"/>
              <w:rPr>
                <w:sz w:val="20"/>
                <w:szCs w:val="20"/>
                <w:color w:val="auto"/>
              </w:rPr>
            </w:pPr>
            <w:r>
              <w:rPr>
                <w:rFonts w:ascii="Arial" w:cs="Arial" w:eastAsia="Arial" w:hAnsi="Arial"/>
                <w:sz w:val="11"/>
                <w:szCs w:val="11"/>
                <w:b w:val="1"/>
                <w:bCs w:val="1"/>
                <w:color w:val="auto"/>
              </w:rPr>
              <w:t>2A. Deemed</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380" w:type="dxa"/>
            <w:vAlign w:val="bottom"/>
          </w:tcPr>
          <w:p>
            <w:pPr>
              <w:spacing w:after="0"/>
              <w:rPr>
                <w:sz w:val="12"/>
                <w:szCs w:val="12"/>
                <w:color w:val="auto"/>
              </w:rPr>
            </w:pPr>
          </w:p>
        </w:tc>
        <w:tc>
          <w:tcPr>
            <w:tcW w:w="2160" w:type="dxa"/>
            <w:vAlign w:val="bottom"/>
            <w:gridSpan w:val="4"/>
          </w:tcPr>
          <w:p>
            <w:pPr>
              <w:jc w:val="center"/>
              <w:ind w:right="60"/>
              <w:spacing w:after="0"/>
              <w:rPr>
                <w:sz w:val="20"/>
                <w:szCs w:val="20"/>
                <w:color w:val="auto"/>
              </w:rPr>
            </w:pPr>
            <w:r>
              <w:rPr>
                <w:rFonts w:ascii="Arial" w:cs="Arial" w:eastAsia="Arial" w:hAnsi="Arial"/>
                <w:sz w:val="11"/>
                <w:szCs w:val="11"/>
                <w:b w:val="1"/>
                <w:bCs w:val="1"/>
                <w:color w:val="auto"/>
              </w:rPr>
              <w:t>4. Securities Acquired (A) or Disposed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ind w:left="240"/>
              <w:spacing w:after="0" w:line="124" w:lineRule="exact"/>
              <w:rPr>
                <w:sz w:val="20"/>
                <w:szCs w:val="20"/>
                <w:color w:val="auto"/>
              </w:rPr>
            </w:pPr>
            <w:r>
              <w:rPr>
                <w:rFonts w:ascii="Arial" w:cs="Arial" w:eastAsia="Arial" w:hAnsi="Arial"/>
                <w:sz w:val="11"/>
                <w:szCs w:val="11"/>
                <w:b w:val="1"/>
                <w:bCs w:val="1"/>
                <w:color w:val="auto"/>
              </w:rPr>
              <w:t>Date</w:t>
            </w:r>
          </w:p>
        </w:tc>
        <w:tc>
          <w:tcPr>
            <w:tcW w:w="500" w:type="dxa"/>
            <w:vAlign w:val="bottom"/>
          </w:tcPr>
          <w:p>
            <w:pPr>
              <w:spacing w:after="0"/>
              <w:rPr>
                <w:sz w:val="10"/>
                <w:szCs w:val="10"/>
                <w:color w:val="auto"/>
              </w:rPr>
            </w:pPr>
          </w:p>
        </w:tc>
        <w:tc>
          <w:tcPr>
            <w:tcW w:w="112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Of (D) (Instr. 3, 4 and 5)</w:t>
            </w: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gridSpan w:val="2"/>
          </w:tcPr>
          <w:p>
            <w:pPr>
              <w:ind w:left="240"/>
              <w:spacing w:after="0" w:line="124" w:lineRule="exact"/>
              <w:rPr>
                <w:sz w:val="20"/>
                <w:szCs w:val="20"/>
                <w:color w:val="auto"/>
              </w:rPr>
            </w:pPr>
            <w:r>
              <w:rPr>
                <w:rFonts w:ascii="Arial" w:cs="Arial" w:eastAsia="Arial" w:hAnsi="Arial"/>
                <w:sz w:val="11"/>
                <w:szCs w:val="11"/>
                <w:b w:val="1"/>
                <w:bCs w:val="1"/>
                <w:color w:val="auto"/>
              </w:rPr>
              <w:t>(Month/Day/Year)</w:t>
            </w:r>
          </w:p>
        </w:tc>
        <w:tc>
          <w:tcPr>
            <w:tcW w:w="3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w w:val="97"/>
              </w:rPr>
              <w:t>if any</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9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gridSpan w:val="4"/>
            <w:vMerge w:val="restart"/>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380" w:type="dxa"/>
            <w:vAlign w:val="bottom"/>
            <w:vMerge w:val="restart"/>
          </w:tcPr>
          <w:p>
            <w:pPr>
              <w:jc w:val="right"/>
              <w:ind w:right="127"/>
              <w:spacing w:after="0"/>
              <w:rPr>
                <w:sz w:val="20"/>
                <w:szCs w:val="20"/>
                <w:color w:val="auto"/>
              </w:rPr>
            </w:pPr>
            <w:r>
              <w:rPr>
                <w:rFonts w:ascii="Arial" w:cs="Arial" w:eastAsia="Arial" w:hAnsi="Arial"/>
                <w:sz w:val="11"/>
                <w:szCs w:val="11"/>
                <w:b w:val="1"/>
                <w:bCs w:val="1"/>
                <w:color w:val="auto"/>
              </w:rPr>
              <w:t>V</w:t>
            </w: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By Mend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gridSpan w:val="8"/>
            <w:vMerge w:val="restart"/>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520" w:type="dxa"/>
            <w:vAlign w:val="bottom"/>
            <w:gridSpan w:val="3"/>
            <w:vMerge w:val="restart"/>
          </w:tcPr>
          <w:p>
            <w:pPr>
              <w:ind w:left="660"/>
              <w:spacing w:after="0"/>
              <w:rPr>
                <w:sz w:val="20"/>
                <w:szCs w:val="20"/>
                <w:color w:val="auto"/>
              </w:rPr>
            </w:pPr>
            <w:r>
              <w:rPr>
                <w:rFonts w:ascii="Times New Roman" w:cs="Times New Roman" w:eastAsia="Times New Roman" w:hAnsi="Times New Roman"/>
                <w:sz w:val="16"/>
                <w:szCs w:val="16"/>
                <w:color w:val="0000FF"/>
              </w:rPr>
              <w:t>12/18/2025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vMerge w:val="restart"/>
          </w:tcPr>
          <w:p>
            <w:pPr>
              <w:ind w:left="8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(4)(9)</w:t>
            </w:r>
          </w:p>
        </w:tc>
        <w:tc>
          <w:tcPr>
            <w:tcW w:w="380" w:type="dxa"/>
            <w:vAlign w:val="bottom"/>
          </w:tcPr>
          <w:p>
            <w:pPr>
              <w:spacing w:after="0"/>
              <w:rPr>
                <w:sz w:val="17"/>
                <w:szCs w:val="17"/>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2,098,005</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86"/>
              </w:rPr>
              <w:t>D</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(4)(9)</w:t>
            </w:r>
          </w:p>
        </w:tc>
        <w:tc>
          <w:tcPr>
            <w:tcW w:w="60" w:type="dxa"/>
            <w:vAlign w:val="bottom"/>
          </w:tcPr>
          <w:p>
            <w:pPr>
              <w:spacing w:after="0"/>
              <w:rPr>
                <w:sz w:val="17"/>
                <w:szCs w:val="17"/>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rPr>
              <w:t>115,788,967</w:t>
            </w:r>
          </w:p>
        </w:tc>
        <w:tc>
          <w:tcPr>
            <w:tcW w:w="340" w:type="dxa"/>
            <w:vAlign w:val="bottom"/>
          </w:tcPr>
          <w:p>
            <w:pPr>
              <w:spacing w:after="0"/>
              <w:rPr>
                <w:sz w:val="17"/>
                <w:szCs w:val="17"/>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Investment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gridSpan w:val="8"/>
            <w:vMerge w:val="continue"/>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96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Holdings</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6"/>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4"/>
          </w:tcPr>
          <w:p>
            <w:pPr>
              <w:ind w:left="60"/>
              <w:spacing w:after="0" w:line="261" w:lineRule="exact"/>
              <w:rPr>
                <w:sz w:val="20"/>
                <w:szCs w:val="20"/>
                <w:color w:val="auto"/>
              </w:rPr>
            </w:pPr>
            <w:r>
              <w:rPr>
                <w:rFonts w:ascii="Times New Roman" w:cs="Times New Roman" w:eastAsia="Times New Roman" w:hAnsi="Times New Roman"/>
                <w:sz w:val="30"/>
                <w:szCs w:val="30"/>
                <w:color w:val="0000FF"/>
                <w:vertAlign w:val="subscript"/>
              </w:rPr>
              <w:t>I, L.P.</w:t>
            </w:r>
            <w:r>
              <w:rPr>
                <w:rFonts w:ascii="Times New Roman" w:cs="Times New Roman" w:eastAsia="Times New Roman" w:hAnsi="Times New Roman"/>
                <w:sz w:val="10"/>
                <w:szCs w:val="10"/>
                <w:color w:val="008000"/>
              </w:rPr>
              <w:t>(2)(3)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20" w:type="dxa"/>
            <w:vAlign w:val="bottom"/>
            <w:gridSpan w:val="15"/>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300" w:type="dxa"/>
            <w:vAlign w:val="bottom"/>
            <w:gridSpan w:val="13"/>
          </w:tcPr>
          <w:p>
            <w:pPr>
              <w:ind w:left="5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3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4"/>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80" w:type="dxa"/>
            <w:vAlign w:val="bottom"/>
            <w:gridSpan w:val="3"/>
          </w:tcPr>
          <w:p>
            <w:pPr>
              <w:ind w:left="18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8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580" w:type="dxa"/>
            <w:vAlign w:val="bottom"/>
            <w:gridSpan w:val="3"/>
          </w:tcPr>
          <w:p>
            <w:pPr>
              <w:ind w:left="180"/>
              <w:spacing w:after="0" w:line="124"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8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580" w:type="dxa"/>
            <w:vAlign w:val="bottom"/>
            <w:gridSpan w:val="3"/>
          </w:tcPr>
          <w:p>
            <w:pPr>
              <w:ind w:left="180"/>
              <w:spacing w:after="0" w:line="124"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w:t>
            </w: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or Disposed of</w:t>
            </w: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w w:val="99"/>
              </w:rPr>
              <w:t>(D) (Instr. 3, 4</w:t>
            </w: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and 5)</w:t>
            </w: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Date</w:t>
            </w:r>
          </w:p>
        </w:tc>
        <w:tc>
          <w:tcPr>
            <w:tcW w:w="380" w:type="dxa"/>
            <w:vAlign w:val="bottom"/>
          </w:tcPr>
          <w:p>
            <w:pPr>
              <w:spacing w:after="0"/>
              <w:rPr>
                <w:sz w:val="10"/>
                <w:szCs w:val="10"/>
                <w:color w:val="auto"/>
              </w:rPr>
            </w:pPr>
          </w:p>
        </w:tc>
        <w:tc>
          <w:tcPr>
            <w:tcW w:w="7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8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80" w:type="dxa"/>
            <w:vAlign w:val="bottom"/>
            <w:gridSpan w:val="3"/>
          </w:tcPr>
          <w:p>
            <w:pPr>
              <w:ind w:left="2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2"/>
          </w:tcPr>
          <w:p>
            <w:pPr>
              <w:ind w:left="18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By Mend</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4"/>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(8)</w:t>
            </w: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vMerge w:val="restart"/>
          </w:tcPr>
          <w:p>
            <w:pPr>
              <w:jc w:val="right"/>
              <w:ind w:right="207"/>
              <w:spacing w:after="0"/>
              <w:rPr>
                <w:sz w:val="20"/>
                <w:szCs w:val="20"/>
                <w:color w:val="auto"/>
              </w:rPr>
            </w:pPr>
            <w:r>
              <w:rPr>
                <w:rFonts w:ascii="Times New Roman" w:cs="Times New Roman" w:eastAsia="Times New Roman" w:hAnsi="Times New Roman"/>
                <w:sz w:val="10"/>
                <w:szCs w:val="10"/>
                <w:color w:val="008000"/>
                <w:w w:val="85"/>
              </w:rPr>
              <w:t>(8)</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540" w:type="dxa"/>
            <w:vAlign w:val="bottom"/>
            <w:vMerge w:val="continue"/>
          </w:tcPr>
          <w:p>
            <w:pPr>
              <w:spacing w:after="0"/>
              <w:rPr>
                <w:sz w:val="6"/>
                <w:szCs w:val="6"/>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9,028,455</w:t>
            </w:r>
          </w:p>
        </w:tc>
        <w:tc>
          <w:tcPr>
            <w:tcW w:w="60" w:type="dxa"/>
            <w:vAlign w:val="bottom"/>
          </w:tcPr>
          <w:p>
            <w:pPr>
              <w:spacing w:after="0"/>
              <w:rPr>
                <w:sz w:val="6"/>
                <w:szCs w:val="6"/>
                <w:color w:val="auto"/>
              </w:rPr>
            </w:pPr>
          </w:p>
        </w:tc>
        <w:tc>
          <w:tcPr>
            <w:tcW w:w="700" w:type="dxa"/>
            <w:vAlign w:val="bottom"/>
            <w:vMerge w:val="restart"/>
          </w:tcPr>
          <w:p>
            <w:pPr>
              <w:jc w:val="center"/>
              <w:ind w:right="23"/>
              <w:spacing w:after="0" w:line="211" w:lineRule="exact"/>
              <w:rPr>
                <w:sz w:val="20"/>
                <w:szCs w:val="20"/>
                <w:color w:val="auto"/>
              </w:rPr>
            </w:pPr>
            <w:r>
              <w:rPr>
                <w:rFonts w:ascii="Arial" w:cs="Arial" w:eastAsia="Arial" w:hAnsi="Arial"/>
                <w:sz w:val="11"/>
                <w:szCs w:val="11"/>
                <w:color w:val="auto"/>
                <w:w w:val="95"/>
              </w:rPr>
              <w:t>$</w:t>
            </w:r>
            <w:r>
              <w:rPr>
                <w:rFonts w:ascii="Times New Roman" w:cs="Times New Roman" w:eastAsia="Times New Roman" w:hAnsi="Times New Roman"/>
                <w:sz w:val="12"/>
                <w:szCs w:val="12"/>
                <w:color w:val="0000FF"/>
                <w:w w:val="95"/>
              </w:rPr>
              <w:t>28.3687</w:t>
            </w:r>
            <w:r>
              <w:rPr>
                <w:rFonts w:ascii="Times New Roman" w:cs="Times New Roman" w:eastAsia="Times New Roman" w:hAnsi="Times New Roman"/>
                <w:sz w:val="20"/>
                <w:szCs w:val="20"/>
                <w:color w:val="008000"/>
                <w:w w:val="95"/>
                <w:vertAlign w:val="superscript"/>
              </w:rPr>
              <w:t>(1)</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Borders>
              <w:right w:val="single" w:sz="8" w:color="2C2C2C"/>
            </w:tcBorders>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Investment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4"/>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gridSpan w:val="3"/>
            <w:vMerge w:val="restart"/>
          </w:tcPr>
          <w:p>
            <w:pPr>
              <w:ind w:left="220"/>
              <w:spacing w:after="0" w:line="137" w:lineRule="exact"/>
              <w:rPr>
                <w:sz w:val="20"/>
                <w:szCs w:val="20"/>
                <w:color w:val="auto"/>
              </w:rPr>
            </w:pPr>
            <w:r>
              <w:rPr>
                <w:rFonts w:ascii="Times New Roman" w:cs="Times New Roman" w:eastAsia="Times New Roman" w:hAnsi="Times New Roman"/>
                <w:sz w:val="12"/>
                <w:szCs w:val="12"/>
                <w:color w:val="0000FF"/>
              </w:rPr>
              <w:t>12/18/2025</w:t>
            </w: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restart"/>
          </w:tcPr>
          <w:p>
            <w:pPr>
              <w:ind w:left="200"/>
              <w:spacing w:after="0" w:line="137" w:lineRule="exact"/>
              <w:rPr>
                <w:sz w:val="20"/>
                <w:szCs w:val="20"/>
                <w:color w:val="auto"/>
              </w:rPr>
            </w:pPr>
            <w:r>
              <w:rPr>
                <w:rFonts w:ascii="Times New Roman" w:cs="Times New Roman" w:eastAsia="Times New Roman" w:hAnsi="Times New Roman"/>
                <w:sz w:val="12"/>
                <w:szCs w:val="12"/>
                <w:color w:val="0000FF"/>
              </w:rPr>
              <w:t>S</w:t>
            </w: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restart"/>
          </w:tcPr>
          <w:p>
            <w:pPr>
              <w:ind w:left="300"/>
              <w:spacing w:after="0" w:line="137" w:lineRule="exact"/>
              <w:rPr>
                <w:sz w:val="20"/>
                <w:szCs w:val="20"/>
                <w:color w:val="auto"/>
              </w:rPr>
            </w:pPr>
            <w:r>
              <w:rPr>
                <w:rFonts w:ascii="Times New Roman" w:cs="Times New Roman" w:eastAsia="Times New Roman" w:hAnsi="Times New Roman"/>
                <w:sz w:val="12"/>
                <w:szCs w:val="12"/>
                <w:color w:val="0000FF"/>
              </w:rPr>
              <w:t>9,028,455</w:t>
            </w:r>
          </w:p>
        </w:tc>
        <w:tc>
          <w:tcPr>
            <w:tcW w:w="3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8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gridSpan w:val="2"/>
            <w:vMerge w:val="restart"/>
          </w:tcPr>
          <w:p>
            <w:pPr>
              <w:ind w:left="100"/>
              <w:spacing w:after="0" w:line="137" w:lineRule="exact"/>
              <w:rPr>
                <w:sz w:val="20"/>
                <w:szCs w:val="20"/>
                <w:color w:val="auto"/>
              </w:rPr>
            </w:pPr>
            <w:r>
              <w:rPr>
                <w:rFonts w:ascii="Times New Roman" w:cs="Times New Roman" w:eastAsia="Times New Roman" w:hAnsi="Times New Roman"/>
                <w:sz w:val="12"/>
                <w:szCs w:val="12"/>
                <w:color w:val="0000FF"/>
              </w:rPr>
              <w:t>117,886,972</w:t>
            </w:r>
          </w:p>
        </w:tc>
        <w:tc>
          <w:tcPr>
            <w:tcW w:w="500" w:type="dxa"/>
            <w:vAlign w:val="bottom"/>
            <w:vMerge w:val="restart"/>
          </w:tcPr>
          <w:p>
            <w:pPr>
              <w:ind w:left="36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24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4"/>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w:t>
            </w:r>
          </w:p>
        </w:tc>
        <w:tc>
          <w:tcPr>
            <w:tcW w:w="760" w:type="dxa"/>
            <w:vAlign w:val="bottom"/>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Borders>
              <w:right w:val="single" w:sz="8" w:color="2C2C2C"/>
            </w:tcBorders>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Holdings I,</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4"/>
            <w:vMerge w:val="continue"/>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Borders>
              <w:right w:val="single" w:sz="8" w:color="2C2C2C"/>
            </w:tcBorders>
            <w:gridSpan w:val="3"/>
            <w:vMerge w:val="restart"/>
          </w:tcPr>
          <w:p>
            <w:pPr>
              <w:ind w:left="60"/>
              <w:spacing w:after="0" w:line="224"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(2)(3)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By Mend</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4"/>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(8)</w:t>
            </w: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vMerge w:val="restart"/>
          </w:tcPr>
          <w:p>
            <w:pPr>
              <w:ind w:left="80"/>
              <w:spacing w:after="0" w:line="211" w:lineRule="exact"/>
              <w:rPr>
                <w:sz w:val="20"/>
                <w:szCs w:val="20"/>
                <w:color w:val="auto"/>
              </w:rPr>
            </w:pPr>
            <w:r>
              <w:rPr>
                <w:rFonts w:ascii="Times New Roman" w:cs="Times New Roman" w:eastAsia="Times New Roman" w:hAnsi="Times New Roman"/>
                <w:sz w:val="24"/>
                <w:szCs w:val="24"/>
                <w:color w:val="0000FF"/>
                <w:vertAlign w:val="subscript"/>
              </w:rPr>
              <w:t>C</w:t>
            </w:r>
            <w:r>
              <w:rPr>
                <w:rFonts w:ascii="Times New Roman" w:cs="Times New Roman" w:eastAsia="Times New Roman" w:hAnsi="Times New Roman"/>
                <w:sz w:val="10"/>
                <w:szCs w:val="10"/>
                <w:color w:val="008000"/>
              </w:rPr>
              <w:t>(8)(9)</w:t>
            </w: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vMerge w:val="restart"/>
          </w:tcPr>
          <w:p>
            <w:pPr>
              <w:jc w:val="right"/>
              <w:ind w:right="207"/>
              <w:spacing w:after="0"/>
              <w:rPr>
                <w:sz w:val="20"/>
                <w:szCs w:val="20"/>
                <w:color w:val="auto"/>
              </w:rPr>
            </w:pPr>
            <w:r>
              <w:rPr>
                <w:rFonts w:ascii="Times New Roman" w:cs="Times New Roman" w:eastAsia="Times New Roman" w:hAnsi="Times New Roman"/>
                <w:sz w:val="10"/>
                <w:szCs w:val="10"/>
                <w:color w:val="008000"/>
                <w:w w:val="85"/>
              </w:rPr>
              <w:t>(8)</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540" w:type="dxa"/>
            <w:vAlign w:val="bottom"/>
            <w:vMerge w:val="continue"/>
          </w:tcPr>
          <w:p>
            <w:pPr>
              <w:spacing w:after="0"/>
              <w:rPr>
                <w:sz w:val="6"/>
                <w:szCs w:val="6"/>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2,098,005</w:t>
            </w:r>
          </w:p>
        </w:tc>
        <w:tc>
          <w:tcPr>
            <w:tcW w:w="60" w:type="dxa"/>
            <w:vAlign w:val="bottom"/>
          </w:tcPr>
          <w:p>
            <w:pPr>
              <w:spacing w:after="0"/>
              <w:rPr>
                <w:sz w:val="6"/>
                <w:szCs w:val="6"/>
                <w:color w:val="auto"/>
              </w:rPr>
            </w:pPr>
          </w:p>
        </w:tc>
        <w:tc>
          <w:tcPr>
            <w:tcW w:w="700" w:type="dxa"/>
            <w:vAlign w:val="bottom"/>
            <w:vMerge w:val="restart"/>
          </w:tcPr>
          <w:p>
            <w:pPr>
              <w:jc w:val="right"/>
              <w:ind w:right="283"/>
              <w:spacing w:after="0"/>
              <w:rPr>
                <w:sz w:val="20"/>
                <w:szCs w:val="20"/>
                <w:color w:val="auto"/>
              </w:rPr>
            </w:pPr>
            <w:r>
              <w:rPr>
                <w:rFonts w:ascii="Times New Roman" w:cs="Times New Roman" w:eastAsia="Times New Roman" w:hAnsi="Times New Roman"/>
                <w:sz w:val="10"/>
                <w:szCs w:val="10"/>
                <w:color w:val="008000"/>
              </w:rPr>
              <w:t>(8)</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Borders>
              <w:right w:val="single" w:sz="8" w:color="2C2C2C"/>
            </w:tcBorders>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Investment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4"/>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gridSpan w:val="3"/>
            <w:vMerge w:val="restart"/>
          </w:tcPr>
          <w:p>
            <w:pPr>
              <w:ind w:left="220"/>
              <w:spacing w:after="0" w:line="137" w:lineRule="exact"/>
              <w:rPr>
                <w:sz w:val="20"/>
                <w:szCs w:val="20"/>
                <w:color w:val="auto"/>
              </w:rPr>
            </w:pPr>
            <w:r>
              <w:rPr>
                <w:rFonts w:ascii="Times New Roman" w:cs="Times New Roman" w:eastAsia="Times New Roman" w:hAnsi="Times New Roman"/>
                <w:sz w:val="12"/>
                <w:szCs w:val="12"/>
                <w:color w:val="0000FF"/>
              </w:rPr>
              <w:t>12/18/2025</w:t>
            </w: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restart"/>
          </w:tcPr>
          <w:p>
            <w:pPr>
              <w:ind w:left="300"/>
              <w:spacing w:after="0" w:line="137" w:lineRule="exact"/>
              <w:rPr>
                <w:sz w:val="20"/>
                <w:szCs w:val="20"/>
                <w:color w:val="auto"/>
              </w:rPr>
            </w:pPr>
            <w:r>
              <w:rPr>
                <w:rFonts w:ascii="Times New Roman" w:cs="Times New Roman" w:eastAsia="Times New Roman" w:hAnsi="Times New Roman"/>
                <w:sz w:val="12"/>
                <w:szCs w:val="12"/>
                <w:color w:val="0000FF"/>
              </w:rPr>
              <w:t>2,098,005</w:t>
            </w:r>
          </w:p>
        </w:tc>
        <w:tc>
          <w:tcPr>
            <w:tcW w:w="3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8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gridSpan w:val="2"/>
            <w:vMerge w:val="restart"/>
          </w:tcPr>
          <w:p>
            <w:pPr>
              <w:ind w:left="100"/>
              <w:spacing w:after="0" w:line="137" w:lineRule="exact"/>
              <w:rPr>
                <w:sz w:val="20"/>
                <w:szCs w:val="20"/>
                <w:color w:val="auto"/>
              </w:rPr>
            </w:pPr>
            <w:r>
              <w:rPr>
                <w:rFonts w:ascii="Times New Roman" w:cs="Times New Roman" w:eastAsia="Times New Roman" w:hAnsi="Times New Roman"/>
                <w:sz w:val="12"/>
                <w:szCs w:val="12"/>
                <w:color w:val="0000FF"/>
              </w:rPr>
              <w:t>115,788,967</w:t>
            </w:r>
          </w:p>
        </w:tc>
        <w:tc>
          <w:tcPr>
            <w:tcW w:w="500" w:type="dxa"/>
            <w:vAlign w:val="bottom"/>
            <w:vMerge w:val="restart"/>
          </w:tcPr>
          <w:p>
            <w:pPr>
              <w:ind w:left="36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24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4"/>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w:t>
            </w:r>
          </w:p>
        </w:tc>
        <w:tc>
          <w:tcPr>
            <w:tcW w:w="760" w:type="dxa"/>
            <w:vAlign w:val="bottom"/>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Borders>
              <w:right w:val="single" w:sz="8" w:color="2C2C2C"/>
            </w:tcBorders>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Holdings I,</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4"/>
            <w:vMerge w:val="continue"/>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Borders>
              <w:right w:val="single" w:sz="8" w:color="2C2C2C"/>
            </w:tcBorders>
            <w:gridSpan w:val="3"/>
            <w:vMerge w:val="restart"/>
          </w:tcPr>
          <w:p>
            <w:pPr>
              <w:ind w:left="60"/>
              <w:spacing w:after="0" w:line="224"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(2)(3)</w:t>
            </w:r>
          </w:p>
        </w:tc>
        <w:tc>
          <w:tcPr>
            <w:tcW w:w="0" w:type="dxa"/>
            <w:vAlign w:val="bottom"/>
          </w:tcPr>
          <w:p>
            <w:pPr>
              <w:spacing w:after="0"/>
              <w:rPr>
                <w:sz w:val="1"/>
                <w:szCs w:val="1"/>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right w:val="single" w:sz="8" w:color="2C2C2C"/>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8"/>
          </w:tcPr>
          <w:p>
            <w:pPr>
              <w:ind w:left="60"/>
              <w:spacing w:after="0" w:line="220"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12"/>
          </w:tcPr>
          <w:p>
            <w:pPr>
              <w:spacing w:after="0" w:line="21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Hellman &amp; Friedman Capital Partners X (Parallel),</w:t>
              </w:r>
            </w:hyperlink>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top w:val="single" w:sz="8" w:color="0000EE"/>
            </w:tcBorders>
            <w:gridSpan w:val="2"/>
          </w:tcPr>
          <w:p>
            <w:pPr>
              <w:spacing w:after="0" w:line="203"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L.P.</w:t>
              </w:r>
            </w:hyperlink>
          </w:p>
        </w:tc>
        <w:tc>
          <w:tcPr>
            <w:tcW w:w="7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76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2"/>
                <w:szCs w:val="12"/>
                <w:color w:val="auto"/>
              </w:rPr>
              <w:t>(First)</w:t>
            </w:r>
          </w:p>
        </w:tc>
        <w:tc>
          <w:tcPr>
            <w:tcW w:w="32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2"/>
                <w:szCs w:val="12"/>
                <w:color w:val="auto"/>
              </w:rPr>
              <w:t>(Middle)</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3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 HELLMAN &amp; FRIEDMAN LLC</w:t>
            </w: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415 MISSION STREET, SUITE 5700</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0000FF"/>
              </w:rPr>
              <w:t>94105</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76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2"/>
                <w:szCs w:val="12"/>
                <w:color w:val="auto"/>
              </w:rPr>
              <w:t>(State)</w:t>
            </w:r>
          </w:p>
        </w:tc>
        <w:tc>
          <w:tcPr>
            <w:tcW w:w="32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2"/>
                <w:szCs w:val="12"/>
                <w:color w:val="auto"/>
              </w:rPr>
              <w:t>(Zip)</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gridSpan w:val="3"/>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6"/>
          </w:tcPr>
          <w:p>
            <w:pPr>
              <w:spacing w:after="0" w:line="211"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HFCP X (Parallel-A), L.P.</w:t>
              </w:r>
            </w:hyperlink>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76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2"/>
                <w:szCs w:val="12"/>
                <w:color w:val="auto"/>
              </w:rPr>
              <w:t>(First)</w:t>
            </w:r>
          </w:p>
        </w:tc>
        <w:tc>
          <w:tcPr>
            <w:tcW w:w="32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2"/>
                <w:szCs w:val="12"/>
                <w:color w:val="auto"/>
              </w:rPr>
              <w:t>(Middle)</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3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 HELLMAN &amp; FRIEDMAN LLC</w:t>
            </w: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415 MISSION STREET, SUITE 5700</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0000FF"/>
              </w:rPr>
              <w:t>94105</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76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2"/>
                <w:szCs w:val="12"/>
                <w:color w:val="auto"/>
              </w:rPr>
              <w:t>(State)</w:t>
            </w:r>
          </w:p>
        </w:tc>
        <w:tc>
          <w:tcPr>
            <w:tcW w:w="32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2"/>
                <w:szCs w:val="12"/>
                <w:color w:val="auto"/>
              </w:rPr>
              <w:t>(Zip)</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gridSpan w:val="3"/>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6"/>
          </w:tcPr>
          <w:p>
            <w:pPr>
              <w:spacing w:after="0" w:line="211"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Mend Partners II, L.P.</w:t>
              </w:r>
            </w:hyperlink>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76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2"/>
                <w:szCs w:val="12"/>
                <w:color w:val="auto"/>
              </w:rPr>
              <w:t>(First)</w:t>
            </w:r>
          </w:p>
        </w:tc>
        <w:tc>
          <w:tcPr>
            <w:tcW w:w="32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2"/>
                <w:szCs w:val="12"/>
                <w:color w:val="auto"/>
              </w:rPr>
              <w:t>(Middle)</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3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 HELLMAN &amp; FRIEDMAN LLC</w:t>
            </w: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415 MISSION STREET, SUITE 5700</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0000FF"/>
              </w:rPr>
              <w:t>94105</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76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2"/>
                <w:szCs w:val="12"/>
                <w:color w:val="auto"/>
              </w:rPr>
              <w:t>(State)</w:t>
            </w:r>
          </w:p>
        </w:tc>
        <w:tc>
          <w:tcPr>
            <w:tcW w:w="32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2"/>
                <w:szCs w:val="12"/>
                <w:color w:val="auto"/>
              </w:rPr>
              <w:t>(Zip)</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gridSpan w:val="3"/>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gridSpan w:val="8"/>
          </w:tcPr>
          <w:p>
            <w:pPr>
              <w:spacing w:after="0" w:line="211"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Mend Investment Holdings I, L.P.</w:t>
              </w:r>
            </w:hyperlink>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76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2"/>
                <w:szCs w:val="12"/>
                <w:color w:val="auto"/>
              </w:rPr>
              <w:t>(First)</w:t>
            </w:r>
          </w:p>
        </w:tc>
        <w:tc>
          <w:tcPr>
            <w:tcW w:w="32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2"/>
                <w:szCs w:val="12"/>
                <w:color w:val="auto"/>
              </w:rPr>
              <w:t>(Middle)</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3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 HELLMAN &amp; FRIEDMAN LLC</w:t>
            </w: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415 MISSION STREET, SUITE 5700</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0000FF"/>
              </w:rPr>
              <w:t>94105</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76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2"/>
                <w:szCs w:val="12"/>
                <w:color w:val="auto"/>
              </w:rPr>
              <w:t>(State)</w:t>
            </w:r>
          </w:p>
        </w:tc>
        <w:tc>
          <w:tcPr>
            <w:tcW w:w="32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2"/>
                <w:szCs w:val="12"/>
                <w:color w:val="auto"/>
              </w:rPr>
              <w:t>(Zip)</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-8899525</wp:posOffset>
            </wp:positionV>
            <wp:extent cx="28575" cy="2165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575" cy="2165985"/>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sz w:val="1"/>
          <w:szCs w:val="1"/>
          <w:color w:val="auto"/>
        </w:rPr>
        <w:drawing>
          <wp:inline distT="0" distB="0" distL="0" distR="0">
            <wp:extent cx="33020" cy="1701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3020" cy="170180"/>
                    </a:xfrm>
                    <a:prstGeom prst="rect">
                      <a:avLst/>
                    </a:prstGeom>
                    <a:noFill/>
                    <a:ln>
                      <a:noFill/>
                    </a:ln>
                  </pic:spPr>
                </pic:pic>
              </a:graphicData>
            </a:graphic>
          </wp:inline>
        </w:drawing>
      </w:r>
      <w:r>
        <w:rPr>
          <w:rFonts w:ascii="Arial" w:cs="Arial" w:eastAsia="Arial" w:hAnsi="Arial"/>
          <w:sz w:val="12"/>
          <w:szCs w:val="12"/>
          <w:color w:val="auto"/>
        </w:rPr>
        <w:t xml:space="preserve"> 1. Name and Address of Reporting Person</w:t>
      </w:r>
      <w:r>
        <w:rPr>
          <w:rFonts w:ascii="Arial" w:cs="Arial" w:eastAsia="Arial" w:hAnsi="Arial"/>
          <w:sz w:val="20"/>
          <w:szCs w:val="20"/>
          <w:color w:val="auto"/>
          <w:vertAlign w:val="superscript"/>
        </w:rPr>
        <w:t>*</w:t>
      </w:r>
    </w:p>
    <w:p>
      <w:pPr>
        <w:sectPr>
          <w:pgSz w:w="11900" w:h="16954" w:orient="portrait"/>
          <w:cols w:equalWidth="0" w:num="1">
            <w:col w:w="11080"/>
          </w:cols>
          <w:pgMar w:left="460" w:top="188" w:right="359" w:bottom="0" w:gutter="0" w:footer="0" w:header="0"/>
        </w:sectPr>
      </w:pPr>
    </w:p>
    <w:bookmarkStart w:id="2" w:name="page3"/>
    <w:bookmarkEnd w:id="2"/>
    <w:p>
      <w:pPr>
        <w:ind w:left="100"/>
        <w:spacing w:after="0"/>
        <w:rPr>
          <w:rFonts w:ascii="Times New Roman" w:cs="Times New Roman" w:eastAsia="Times New Roman" w:hAnsi="Times New Roman"/>
          <w:sz w:val="20"/>
          <w:szCs w:val="20"/>
          <w:u w:val="single" w:color="auto"/>
          <w:color w:val="0000EE"/>
        </w:rPr>
      </w:pPr>
      <w:hyperlink r:id="rId21">
        <w:r>
          <w:rPr>
            <w:rFonts w:ascii="Times New Roman" w:cs="Times New Roman" w:eastAsia="Times New Roman" w:hAnsi="Times New Roman"/>
            <w:sz w:val="20"/>
            <w:szCs w:val="20"/>
            <w:u w:val="single" w:color="auto"/>
            <w:color w:val="0000EE"/>
          </w:rPr>
          <w:t>Hellman &amp; Friedman Investors X,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-145415</wp:posOffset>
            </wp:positionV>
            <wp:extent cx="2811780" cy="8166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2811780" cy="8166735"/>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(Last)</w:t>
            </w:r>
          </w:p>
        </w:tc>
        <w:tc>
          <w:tcPr>
            <w:tcW w:w="132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HELLMAN &amp; FRIEDMAN LLC</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8"/>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415 MISSION STREET, SUITE 5700</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1"/>
        </w:trPr>
        <w:tc>
          <w:tcPr>
            <w:tcW w:w="14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94105</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(City)</w:t>
            </w:r>
          </w:p>
        </w:tc>
        <w:tc>
          <w:tcPr>
            <w:tcW w:w="132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2"/>
                <w:szCs w:val="12"/>
                <w:color w:val="auto"/>
              </w:rPr>
              <w:t>(Zip)</w:t>
            </w:r>
          </w:p>
        </w:tc>
      </w:tr>
      <w:tr>
        <w:trPr>
          <w:trHeight w:val="76"/>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gridSpan w:val="2"/>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5"/>
        </w:trPr>
        <w:tc>
          <w:tcPr>
            <w:tcW w:w="274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40" w:type="dxa"/>
            <w:vAlign w:val="bottom"/>
            <w:gridSpan w:val="3"/>
          </w:tcPr>
          <w:p>
            <w:pPr>
              <w:spacing w:after="0" w:line="211" w:lineRule="exact"/>
              <w:rPr>
                <w:rFonts w:ascii="Times New Roman" w:cs="Times New Roman" w:eastAsia="Times New Roman" w:hAnsi="Times New Roman"/>
                <w:sz w:val="20"/>
                <w:szCs w:val="20"/>
                <w:color w:val="0000EE"/>
              </w:rPr>
            </w:pPr>
            <w:hyperlink r:id="rId23">
              <w:r>
                <w:rPr>
                  <w:rFonts w:ascii="Times New Roman" w:cs="Times New Roman" w:eastAsia="Times New Roman" w:hAnsi="Times New Roman"/>
                  <w:sz w:val="20"/>
                  <w:szCs w:val="20"/>
                  <w:color w:val="0000EE"/>
                </w:rPr>
                <w:t>Mend Partners GP, LLC</w:t>
              </w:r>
            </w:hyperlink>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20" w:type="dxa"/>
            <w:vAlign w:val="bottom"/>
            <w:tcBorders>
              <w:top w:val="single" w:sz="8" w:color="0000EE"/>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(Last)</w:t>
            </w:r>
          </w:p>
        </w:tc>
        <w:tc>
          <w:tcPr>
            <w:tcW w:w="132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HELLMAN &amp; FRIEDMAN LLC</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8"/>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415 MISSION STREET, SUITE 5700</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1"/>
        </w:trPr>
        <w:tc>
          <w:tcPr>
            <w:tcW w:w="14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94105</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(City)</w:t>
            </w:r>
          </w:p>
        </w:tc>
        <w:tc>
          <w:tcPr>
            <w:tcW w:w="132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4">
        <w:r>
          <w:rPr>
            <w:rFonts w:ascii="Times New Roman" w:cs="Times New Roman" w:eastAsia="Times New Roman" w:hAnsi="Times New Roman"/>
            <w:sz w:val="20"/>
            <w:szCs w:val="20"/>
            <w:u w:val="single" w:color="auto"/>
            <w:color w:val="0000EE"/>
          </w:rPr>
          <w:t>Mend Investment Holdings GP, LLC</w:t>
        </w:r>
      </w:hyperlink>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(Last)</w:t>
            </w:r>
          </w:p>
        </w:tc>
        <w:tc>
          <w:tcPr>
            <w:tcW w:w="1320" w:type="dxa"/>
            <w:vAlign w:val="bottom"/>
          </w:tcPr>
          <w:p>
            <w:pPr>
              <w:ind w:left="80"/>
              <w:spacing w:after="0"/>
              <w:rPr>
                <w:sz w:val="20"/>
                <w:szCs w:val="20"/>
                <w:color w:val="auto"/>
              </w:rPr>
            </w:pPr>
            <w:r>
              <w:rPr>
                <w:rFonts w:ascii="Arial" w:cs="Arial" w:eastAsia="Arial" w:hAnsi="Arial"/>
                <w:sz w:val="12"/>
                <w:szCs w:val="12"/>
                <w:color w:val="auto"/>
              </w:rPr>
              <w:t>(First)</w:t>
            </w:r>
          </w:p>
        </w:tc>
        <w:tc>
          <w:tcPr>
            <w:tcW w:w="1520" w:type="dxa"/>
            <w:vAlign w:val="bottom"/>
          </w:tcPr>
          <w:p>
            <w:pPr>
              <w:ind w:left="160"/>
              <w:spacing w:after="0"/>
              <w:rPr>
                <w:sz w:val="20"/>
                <w:szCs w:val="20"/>
                <w:color w:val="auto"/>
              </w:rPr>
            </w:pPr>
            <w:r>
              <w:rPr>
                <w:rFonts w:ascii="Arial" w:cs="Arial" w:eastAsia="Arial" w:hAnsi="Arial"/>
                <w:sz w:val="12"/>
                <w:szCs w:val="12"/>
                <w:color w:val="auto"/>
              </w:rPr>
              <w:t>(Middle)</w:t>
            </w:r>
          </w:p>
        </w:tc>
      </w:tr>
      <w:tr>
        <w:trPr>
          <w:trHeight w:val="256"/>
        </w:trPr>
        <w:tc>
          <w:tcPr>
            <w:tcW w:w="20" w:type="dxa"/>
            <w:vAlign w:val="bottom"/>
          </w:tcPr>
          <w:p>
            <w:pPr>
              <w:spacing w:after="0"/>
              <w:rPr>
                <w:sz w:val="22"/>
                <w:szCs w:val="22"/>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C/O HELLMAN &amp; FRIEDMAN LLC</w:t>
            </w:r>
          </w:p>
        </w:tc>
        <w:tc>
          <w:tcPr>
            <w:tcW w:w="1520" w:type="dxa"/>
            <w:vAlign w:val="bottom"/>
          </w:tcPr>
          <w:p>
            <w:pPr>
              <w:spacing w:after="0"/>
              <w:rPr>
                <w:sz w:val="22"/>
                <w:szCs w:val="22"/>
                <w:color w:val="auto"/>
              </w:rPr>
            </w:pPr>
          </w:p>
        </w:tc>
      </w:tr>
      <w:tr>
        <w:trPr>
          <w:trHeight w:val="248"/>
        </w:trPr>
        <w:tc>
          <w:tcPr>
            <w:tcW w:w="20" w:type="dxa"/>
            <w:vAlign w:val="bottom"/>
          </w:tcPr>
          <w:p>
            <w:pPr>
              <w:spacing w:after="0"/>
              <w:rPr>
                <w:sz w:val="21"/>
                <w:szCs w:val="21"/>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415 MISSION STREET, SUITE 5700</w:t>
            </w:r>
          </w:p>
        </w:tc>
        <w:tc>
          <w:tcPr>
            <w:tcW w:w="1520" w:type="dxa"/>
            <w:vAlign w:val="bottom"/>
          </w:tcPr>
          <w:p>
            <w:pPr>
              <w:spacing w:after="0"/>
              <w:rPr>
                <w:sz w:val="21"/>
                <w:szCs w:val="21"/>
                <w:color w:val="auto"/>
              </w:rPr>
            </w:pPr>
          </w:p>
        </w:tc>
      </w:tr>
      <w:tr>
        <w:trPr>
          <w:trHeight w:val="143"/>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51"/>
        </w:trPr>
        <w:tc>
          <w:tcPr>
            <w:tcW w:w="13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FRANCISCO</w:t>
            </w:r>
          </w:p>
        </w:tc>
        <w:tc>
          <w:tcPr>
            <w:tcW w:w="13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94105</w:t>
            </w:r>
          </w:p>
        </w:tc>
      </w:tr>
      <w:tr>
        <w:trPr>
          <w:trHeight w:val="143"/>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(City)</w:t>
            </w:r>
          </w:p>
        </w:tc>
        <w:tc>
          <w:tcPr>
            <w:tcW w:w="1320" w:type="dxa"/>
            <w:vAlign w:val="bottom"/>
          </w:tcPr>
          <w:p>
            <w:pPr>
              <w:ind w:left="80"/>
              <w:spacing w:after="0"/>
              <w:rPr>
                <w:sz w:val="20"/>
                <w:szCs w:val="20"/>
                <w:color w:val="auto"/>
              </w:rPr>
            </w:pPr>
            <w:r>
              <w:rPr>
                <w:rFonts w:ascii="Arial" w:cs="Arial" w:eastAsia="Arial" w:hAnsi="Arial"/>
                <w:sz w:val="12"/>
                <w:szCs w:val="12"/>
                <w:color w:val="auto"/>
              </w:rPr>
              <w:t>(State)</w:t>
            </w:r>
          </w:p>
        </w:tc>
        <w:tc>
          <w:tcPr>
            <w:tcW w:w="1520" w:type="dxa"/>
            <w:vAlign w:val="bottom"/>
          </w:tcPr>
          <w:p>
            <w:pPr>
              <w:ind w:left="16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5">
        <w:r>
          <w:rPr>
            <w:rFonts w:ascii="Times New Roman" w:cs="Times New Roman" w:eastAsia="Times New Roman" w:hAnsi="Times New Roman"/>
            <w:sz w:val="20"/>
            <w:szCs w:val="20"/>
            <w:u w:val="single" w:color="auto"/>
            <w:color w:val="0000EE"/>
          </w:rPr>
          <w:t>Hellman &amp; Friedman Capital Partners X, L.P.</w:t>
        </w:r>
      </w:hyperlink>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(Last)</w:t>
            </w:r>
          </w:p>
        </w:tc>
        <w:tc>
          <w:tcPr>
            <w:tcW w:w="140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HELLMAN &amp; FRIEDMAN LLC</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8"/>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415 MISSION STREET, SUITE 5700</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1"/>
        </w:trPr>
        <w:tc>
          <w:tcPr>
            <w:tcW w:w="14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4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94105</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(City)</w:t>
            </w:r>
          </w:p>
        </w:tc>
        <w:tc>
          <w:tcPr>
            <w:tcW w:w="140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(Zip)</w:t>
            </w:r>
          </w:p>
        </w:tc>
      </w:tr>
      <w:tr>
        <w:trPr>
          <w:trHeight w:val="76"/>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5"/>
        </w:trPr>
        <w:tc>
          <w:tcPr>
            <w:tcW w:w="28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20" w:type="dxa"/>
            <w:vAlign w:val="bottom"/>
            <w:gridSpan w:val="3"/>
          </w:tcPr>
          <w:p>
            <w:pPr>
              <w:spacing w:after="0" w:line="211" w:lineRule="exact"/>
              <w:rPr>
                <w:rFonts w:ascii="Times New Roman" w:cs="Times New Roman" w:eastAsia="Times New Roman" w:hAnsi="Times New Roman"/>
                <w:sz w:val="20"/>
                <w:szCs w:val="20"/>
                <w:color w:val="0000EE"/>
              </w:rPr>
            </w:pPr>
            <w:hyperlink r:id="rId26">
              <w:r>
                <w:rPr>
                  <w:rFonts w:ascii="Times New Roman" w:cs="Times New Roman" w:eastAsia="Times New Roman" w:hAnsi="Times New Roman"/>
                  <w:sz w:val="20"/>
                  <w:szCs w:val="20"/>
                  <w:color w:val="0000EE"/>
                </w:rPr>
                <w:t>H&amp;F Corporate Investors X, Ltd.</w:t>
              </w:r>
            </w:hyperlink>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20" w:type="dxa"/>
            <w:vAlign w:val="bottom"/>
            <w:tcBorders>
              <w:top w:val="single" w:sz="8" w:color="0000EE"/>
              <w:bottom w:val="single" w:sz="8" w:color="9A9A9A"/>
            </w:tcBorders>
          </w:tcPr>
          <w:p>
            <w:pPr>
              <w:spacing w:after="0"/>
              <w:rPr>
                <w:sz w:val="13"/>
                <w:szCs w:val="13"/>
                <w:color w:val="auto"/>
              </w:rPr>
            </w:pPr>
          </w:p>
        </w:tc>
        <w:tc>
          <w:tcPr>
            <w:tcW w:w="132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(Last)</w:t>
            </w:r>
          </w:p>
        </w:tc>
        <w:tc>
          <w:tcPr>
            <w:tcW w:w="140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HELLMAN &amp; FRIEDMAN LLC</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8"/>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415 MISSION STREET, SUITE 5700</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1"/>
        </w:trPr>
        <w:tc>
          <w:tcPr>
            <w:tcW w:w="14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4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94105</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(City)</w:t>
            </w:r>
          </w:p>
        </w:tc>
        <w:tc>
          <w:tcPr>
            <w:tcW w:w="140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(Zip)</w:t>
            </w: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20" w:right="120" w:hanging="4"/>
        <w:spacing w:after="0" w:line="276"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amount represents the $29.00 secondary public offering price per share of Class A common stock ("Class A Common Stock") of Medline Inc. (the "Issuer"), less the underwriting discount of $0.63173 per share sold by the Reporting Persons to the Issuer in connection with the Issuer's initial public offering.</w:t>
      </w:r>
    </w:p>
    <w:p>
      <w:pPr>
        <w:spacing w:after="0" w:line="4" w:lineRule="exact"/>
        <w:rPr>
          <w:rFonts w:ascii="Times New Roman" w:cs="Times New Roman" w:eastAsia="Times New Roman" w:hAnsi="Times New Roman"/>
          <w:sz w:val="12"/>
          <w:szCs w:val="12"/>
          <w:color w:val="008000"/>
        </w:rPr>
      </w:pPr>
    </w:p>
    <w:p>
      <w:pPr>
        <w:ind w:left="20" w:hanging="4"/>
        <w:spacing w:after="0" w:line="250"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Hellman &amp; Friedman Investors X, L.P. ("Investors X GP") is the general partner of Hellman &amp; Friedman Capital Partners X (Parallel), L.P. and HFCP X (Parallel - A), L.P. Mend Partners GP, LLC ("Mend GP") is the general partner of Mend Partners II, L.P. Investors X GP is the managing member of Mend GP. Mend Investment Holdings GP, LLC ("Mend Investment GP") is the general partner of Mend Investment Holdings I, L.P. Hellman &amp; Friedman Capital Partners X, L.P. ("HFCP X") is the managing member of Mend Investment GP. Investors X GP is the general partner of HFCP X. H&amp;F Corporate Investors X, Ltd. ("Investors X Ltd.") is the general partner of Investors X GP.</w:t>
      </w:r>
    </w:p>
    <w:p>
      <w:pPr>
        <w:spacing w:after="0" w:line="19" w:lineRule="exact"/>
        <w:rPr>
          <w:rFonts w:ascii="Times New Roman" w:cs="Times New Roman" w:eastAsia="Times New Roman" w:hAnsi="Times New Roman"/>
          <w:sz w:val="12"/>
          <w:szCs w:val="12"/>
          <w:color w:val="008000"/>
        </w:rPr>
      </w:pPr>
    </w:p>
    <w:p>
      <w:pPr>
        <w:ind w:left="20" w:right="180" w:hanging="4"/>
        <w:spacing w:after="0" w:line="276"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2) A three-member board of directors of Investors X Ltd. has voting and investment discretion over the securities held by Hellman &amp; Friedman Capital Partners X (Parallel), L.P., HFCP X (Parallel - A), Mend Partners II, L.P., and Mend Investment Holdings I, L.P. Each of the members of the board of directors of Investors X Ltd. disclaims beneficial ownership of such shares.</w:t>
      </w:r>
    </w:p>
    <w:p>
      <w:pPr>
        <w:spacing w:after="0" w:line="4" w:lineRule="exact"/>
        <w:rPr>
          <w:rFonts w:ascii="Times New Roman" w:cs="Times New Roman" w:eastAsia="Times New Roman" w:hAnsi="Times New Roman"/>
          <w:sz w:val="12"/>
          <w:szCs w:val="12"/>
          <w:color w:val="008000"/>
        </w:rPr>
      </w:pPr>
    </w:p>
    <w:p>
      <w:pPr>
        <w:ind w:left="20" w:right="60" w:hanging="4"/>
        <w:spacing w:after="0" w:line="262"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of the Issuer's Class B common stock ("Class B Common Stock") have no economic value and have one vote per share. One share of Class B Common Stock is issued for each common unit of Medline Holdings, LP ("Common Units") held. Upon an exchange of Common Units for shares of the Class A common stock, an equivalent number of shares of Class B Common Stock held by such holder will be automatically cancelled.</w:t>
      </w:r>
    </w:p>
    <w:p>
      <w:pPr>
        <w:spacing w:after="0" w:line="157" w:lineRule="exact"/>
        <w:rPr>
          <w:rFonts w:ascii="Times New Roman" w:cs="Times New Roman" w:eastAsia="Times New Roman" w:hAnsi="Times New Roman"/>
          <w:sz w:val="12"/>
          <w:szCs w:val="12"/>
          <w:color w:val="008000"/>
        </w:rPr>
      </w:pPr>
    </w:p>
    <w:p>
      <w:pPr>
        <w:ind w:left="20" w:right="400" w:hanging="4"/>
        <w:spacing w:after="0" w:line="276"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December 18, 2025, Mend Investment Holdings I, L.P. sold 9,028,455 Common Units to the Issuer at a price of $28.3687 per unit as shown in Table II. In connection with such sale, the Issuer automatically cancelled an equivalent number of shares of Class B Common Stock held by Mend Investment Holdings I, L.P.</w:t>
      </w:r>
    </w:p>
    <w:p>
      <w:pPr>
        <w:spacing w:after="0" w:line="4" w:lineRule="exact"/>
        <w:rPr>
          <w:rFonts w:ascii="Times New Roman" w:cs="Times New Roman" w:eastAsia="Times New Roman" w:hAnsi="Times New Roman"/>
          <w:sz w:val="12"/>
          <w:szCs w:val="12"/>
          <w:color w:val="008000"/>
        </w:rPr>
      </w:pPr>
    </w:p>
    <w:p>
      <w:pPr>
        <w:ind w:left="20" w:hanging="4"/>
        <w:spacing w:after="0" w:line="256"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December 18, 2025, in connection with the sales reported above, each of Hellman &amp; Friedman Capital Partners X (Parallel), L.P., HFCP X (Parallel - A), L.P., and Mend Investment Holdings I, L.P. initiated distributions of shares of Class A Common Stock to their respective ultimate partners and shareholders as in-kind distributions in respect of such persons' interests in the distributing entities. The receipt of shares of Class A Common Stock by each of the Reporting Persons in connection with such distributions was exempt from reporting pursuant to Rule 16a-13 of the Securities Exchange Act of 1934, as amended (the "Exchange Act").</w:t>
      </w:r>
    </w:p>
    <w:p>
      <w:pPr>
        <w:spacing w:after="0" w:line="17" w:lineRule="exact"/>
        <w:rPr>
          <w:rFonts w:ascii="Times New Roman" w:cs="Times New Roman" w:eastAsia="Times New Roman" w:hAnsi="Times New Roman"/>
          <w:sz w:val="12"/>
          <w:szCs w:val="12"/>
          <w:color w:val="008000"/>
        </w:rPr>
      </w:pPr>
    </w:p>
    <w:p>
      <w:pPr>
        <w:ind w:left="20" w:right="100" w:hanging="4"/>
        <w:spacing w:after="0" w:line="262"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recipients of the shares of Class A Common Stock distributed pursuant to footnote 6 have agreed to be subject to a lock-up agreement with the representatives of the several underwriters in connection with the initial public offering of the Issuer, provided that shares constituting less than 1% of the Issuer's outstanding common stock in the aggregate that are being delivered to charitable organizations will not be subject to such restrictions.</w:t>
      </w:r>
    </w:p>
    <w:p>
      <w:pPr>
        <w:spacing w:after="0" w:line="157" w:lineRule="exact"/>
        <w:rPr>
          <w:rFonts w:ascii="Times New Roman" w:cs="Times New Roman" w:eastAsia="Times New Roman" w:hAnsi="Times New Roman"/>
          <w:sz w:val="12"/>
          <w:szCs w:val="12"/>
          <w:color w:val="008000"/>
        </w:rPr>
      </w:pPr>
    </w:p>
    <w:p>
      <w:pPr>
        <w:ind w:left="20" w:right="440" w:hanging="4"/>
        <w:spacing w:after="0" w:line="276"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an exchange agreement, dated as of December 16, 2025, holders have the right to exchange their Common Units for shares of Class A Common Stock on a one-for-one basis, subject to customary conversion rate adjustments for stock splits, stock dividends and reclassifications. These exchange rights do not expire.</w:t>
      </w:r>
    </w:p>
    <w:p>
      <w:pPr>
        <w:spacing w:after="0" w:line="4"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December 18, 2025, Mend Investment Holdings I, L.P. exchanged 2,098,005 Common Units for an equal number of shares of Class A Common Stock in connection with the distribution described above in</w:t>
      </w:r>
    </w:p>
    <w:p>
      <w:pPr>
        <w:sectPr>
          <w:pgSz w:w="11900" w:h="16838" w:orient="portrait"/>
          <w:cols w:equalWidth="0" w:num="1">
            <w:col w:w="10920"/>
          </w:cols>
          <w:pgMar w:left="480" w:top="139" w:right="499" w:bottom="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2"/>
          <w:szCs w:val="12"/>
          <w:color w:val="008000"/>
        </w:rPr>
        <w:t>footnote 6 and the Issuer automatically cancelled an equivalent number of shares of Class B Common Stock held by Mend Investment Holdings I, L.P.</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Remarks:</w:t>
      </w:r>
    </w:p>
    <w:p>
      <w:pPr>
        <w:spacing w:after="0" w:line="52"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for purposes of Section 16 of the Exchange Act, or otherwise, that the Reporting Persons are subject to Section 16 of the Exchange Act or that the Reporting Persons are the beneficial owners of any equity securities in excess of their respective pecuniary interests, and each Reporting Person disclaims beneficial ownership of the securities reported herein, except to the extent of such Reporting Person's pecuniary interest therein, if any.</w:t>
      </w:r>
    </w:p>
    <w:p>
      <w:pPr>
        <w:sectPr>
          <w:pgSz w:w="11900" w:h="16838" w:orient="portrait"/>
          <w:cols w:equalWidth="0" w:num="1">
            <w:col w:w="10884"/>
          </w:cols>
          <w:pgMar w:left="496" w:top="127" w:right="519" w:bottom="1036" w:gutter="0" w:footer="0" w:header="0"/>
        </w:sectPr>
      </w:pPr>
    </w:p>
    <w:p>
      <w:pPr>
        <w:spacing w:after="0" w:line="42"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-5715</wp:posOffset>
            </wp:positionV>
            <wp:extent cx="125603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5603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Vice President of H&amp;F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9398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93980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Corporate Investors X, Ltd.,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30429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3042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general partner of Hellman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21031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21031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Friedman Investors X,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27889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2788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general partner of Hellman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21031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1031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Friedman Capital Partners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17348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17348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(Parallel),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59118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591185"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-5715</wp:posOffset>
            </wp:positionV>
            <wp:extent cx="125603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25603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Vice President of H&amp;F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93980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93980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Corporate Investors X, Ltd.,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30429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3042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general partner of Hellman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21031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21031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Friedman Investors X,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27889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2788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general partner of HFCP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10807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10807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(Parallel - 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74993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49935"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-5715</wp:posOffset>
            </wp:positionV>
            <wp:extent cx="125603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5603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Vice President of H&amp;F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93980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93980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Corporate Investors X, Ltd.,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30429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042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general partner of Hellman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2103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21031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Friedman Investors X,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27889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2788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managing member of Mend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13919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1391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Partners 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22745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2274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5"/>
          <w:szCs w:val="15"/>
          <w:color w:val="0000FF"/>
        </w:rPr>
        <w:t>partner of Mend Partners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-5715</wp:posOffset>
            </wp:positionV>
            <wp:extent cx="132969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329690" cy="7620"/>
                    </a:xfrm>
                    <a:prstGeom prst="rect">
                      <a:avLst/>
                    </a:prstGeom>
                    <a:noFill/>
                  </pic:spPr>
                </pic:pic>
              </a:graphicData>
            </a:graphic>
          </wp:anchor>
        </w:drawing>
      </w:r>
    </w:p>
    <w:p>
      <w:pPr>
        <w:spacing w:after="0" w:line="44"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-5715</wp:posOffset>
            </wp:positionV>
            <wp:extent cx="125603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25603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Vice President of H&amp;F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93980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93980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Corporate Investors X, Ltd.,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30429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3042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general partner of Hellman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21031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21031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Friedman Capital Partners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19888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19888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L.P., the 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23634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23634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Mend Investment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29032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29032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LLC, the G.P. of Mend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94043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94043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Investment Holdings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12522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125220"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-5715</wp:posOffset>
            </wp:positionV>
            <wp:extent cx="125603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25603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Vice President of H&amp;F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93980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93980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Corporate Investors X, Ltd.,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30429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3042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general partner of Hellman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2103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21031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Friedman Investors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10236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102360"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-5715</wp:posOffset>
            </wp:positionV>
            <wp:extent cx="125603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25603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Vice President of H&amp;F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93980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93980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Corporate Investors X, Ltd.,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30429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3042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general partner of Hellman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21031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21031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Friedman Investors X,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27889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2788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managing member of Mend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13919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1391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Partners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72453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-5715</wp:posOffset>
            </wp:positionV>
            <wp:extent cx="125603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25603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Vice President of H&amp;F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9398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93980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Corporate Investors X, Ltd.,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30429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3042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general partner of Hellman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21031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21031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Friedman Investors X,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27889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2788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G.P. of Hellman &amp; Friedman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28143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28143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Capital Partners,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04267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04267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managing member of Mend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13919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1391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Investment Holding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19062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190625"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-5715</wp:posOffset>
            </wp:positionV>
            <wp:extent cx="125603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25603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Vice President of H&amp;F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93980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93980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Corporate Investors X, Ltd.,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30429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3042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G.P. 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18237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18237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5"/>
          <w:szCs w:val="15"/>
          <w:color w:val="0000FF"/>
        </w:rPr>
        <w:t>Investors X, L.P., the G.P.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-5715</wp:posOffset>
            </wp:positionV>
            <wp:extent cx="131826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31826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general partner of Hellman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21031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21031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Friedman Capital Partners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19888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19888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5938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59385"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-5715</wp:posOffset>
            </wp:positionV>
            <wp:extent cx="125603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25603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Vice President of H&amp;F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93980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93980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Corporate Investors X,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12839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1128395"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6609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4660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6609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4660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6609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4660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6609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4660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6609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4660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6609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4660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6609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4660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6609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4660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6609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466090" cy="762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8" w:lineRule="exact"/>
        <w:rPr>
          <w:sz w:val="20"/>
          <w:szCs w:val="20"/>
          <w:color w:val="auto"/>
        </w:rPr>
      </w:pPr>
    </w:p>
    <w:p>
      <w:pPr>
        <w:sectPr>
          <w:pgSz w:w="11900" w:h="16838" w:orient="portrait"/>
          <w:cols w:equalWidth="0" w:num="2">
            <w:col w:w="8644" w:space="120"/>
            <w:col w:w="2120"/>
          </w:cols>
          <w:pgMar w:left="496" w:top="127" w:right="519" w:bottom="1036" w:gutter="0" w:footer="0" w:header="0"/>
          <w:type w:val="continuous"/>
        </w:sect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 w:right="3740" w:hanging="4"/>
        <w:spacing w:after="0" w:line="323"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4"/>
      </w:cols>
      <w:pgMar w:left="496" w:top="127" w:right="519" w:bottom="103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2"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3" Type="http://schemas.openxmlformats.org/officeDocument/2006/relationships/hyperlink" Target="http://www.sec.gov/cgi-bin/browse-edgar?action=getcompany&amp;CIK=0001841430" TargetMode="External"/><Relationship Id="rId14" Type="http://schemas.openxmlformats.org/officeDocument/2006/relationships/hyperlink" Target="http://www.sec.gov/cgi-bin/browse-edgar?action=getcompany&amp;CIK=0002046386" TargetMode="External"/><Relationship Id="rId16" Type="http://schemas.openxmlformats.org/officeDocument/2006/relationships/hyperlink" Target="http://www.sec.gov/cgi-bin/browse-edgar?action=getcompany&amp;CIK=0001841189" TargetMode="External"/><Relationship Id="rId17" Type="http://schemas.openxmlformats.org/officeDocument/2006/relationships/hyperlink" Target="http://www.sec.gov/cgi-bin/browse-edgar?action=getcompany&amp;CIK=0001877047" TargetMode="External"/><Relationship Id="rId18" Type="http://schemas.openxmlformats.org/officeDocument/2006/relationships/hyperlink" Target="http://www.sec.gov/cgi-bin/browse-edgar?action=getcompany&amp;CIK=0002074968" TargetMode="External"/><Relationship Id="rId21" Type="http://schemas.openxmlformats.org/officeDocument/2006/relationships/hyperlink" Target="http://www.sec.gov/cgi-bin/browse-edgar?action=getcompany&amp;CIK=0001868392" TargetMode="External"/><Relationship Id="rId23" Type="http://schemas.openxmlformats.org/officeDocument/2006/relationships/hyperlink" Target="http://www.sec.gov/cgi-bin/browse-edgar?action=getcompany&amp;CIK=0002074972" TargetMode="External"/><Relationship Id="rId24" Type="http://schemas.openxmlformats.org/officeDocument/2006/relationships/hyperlink" Target="http://www.sec.gov/cgi-bin/browse-edgar?action=getcompany&amp;CIK=0002074980" TargetMode="External"/><Relationship Id="rId25" Type="http://schemas.openxmlformats.org/officeDocument/2006/relationships/hyperlink" Target="http://www.sec.gov/cgi-bin/browse-edgar?action=getcompany&amp;CIK=0001841434" TargetMode="External"/><Relationship Id="rId26" Type="http://schemas.openxmlformats.org/officeDocument/2006/relationships/hyperlink" Target="http://www.sec.gov/cgi-bin/browse-edgar?action=getcompany&amp;CIK=00019019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2025-12-22T21:03:35Z</dcterms:created>
  <dcterms:modified xsi:type="dcterms:W3CDTF">2025-12-22T21:03:35Z</dcterms:modified>
</cp:coreProperties>
</file>