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4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-186690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4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-542290</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1"/>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-588010</wp:posOffset>
            </wp:positionV>
            <wp:extent cx="55880"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34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-588010</wp:posOffset>
            </wp:positionV>
            <wp:extent cx="55880" cy="601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34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621665</wp:posOffset>
            </wp:positionV>
            <wp:extent cx="7001510" cy="887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71585"/>
                    </a:xfrm>
                    <a:prstGeom prst="rect">
                      <a:avLst/>
                    </a:prstGeom>
                    <a:noFill/>
                  </pic:spPr>
                </pic:pic>
              </a:graphicData>
            </a:graphic>
          </wp:anchor>
        </w:drawing>
      </w:r>
    </w:p>
    <w:p>
      <w:pPr>
        <w:spacing w:after="0" w:line="987" w:lineRule="exact"/>
        <w:rPr>
          <w:sz w:val="24"/>
          <w:szCs w:val="24"/>
          <w:color w:val="auto"/>
        </w:rPr>
      </w:pPr>
    </w:p>
    <w:p>
      <w:pPr>
        <w:sectPr>
          <w:pgSz w:w="11900" w:h="16940" w:orient="portrait"/>
          <w:cols w:equalWidth="0" w:num="2">
            <w:col w:w="2340" w:space="440"/>
            <w:col w:w="8320"/>
          </w:cols>
          <w:pgMar w:left="440" w:top="211" w:right="359" w:bottom="0" w:gutter="0" w:footer="0" w:header="0"/>
        </w:sectPr>
      </w:pPr>
    </w:p>
    <w:tbl>
      <w:tblPr>
        <w:tblLayout w:type="fixed"/>
        <w:tblInd w:w="20" w:type="dxa"/>
        <w:tblCellMar>
          <w:top w:w="0" w:type="dxa"/>
          <w:left w:w="0" w:type="dxa"/>
          <w:bottom w:w="0" w:type="dxa"/>
          <w:right w:w="0" w:type="dxa"/>
        </w:tblCellMar>
      </w:tblPr>
      <w:tr>
        <w:trPr>
          <w:trHeight w:val="230"/>
        </w:trPr>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20" w:type="dxa"/>
            <w:vAlign w:val="bottom"/>
            <w:gridSpan w:val="6"/>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TC Group VII S1, L.L.C.</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980" w:type="dxa"/>
            <w:vAlign w:val="bottom"/>
            <w:gridSpan w:val="7"/>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Medline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2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520" w:type="dxa"/>
            <w:vAlign w:val="bottom"/>
            <w:tcBorders>
              <w:bottom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2"/>
                <w:szCs w:val="12"/>
                <w:color w:val="auto"/>
              </w:rPr>
              <w:t>Director</w:t>
            </w:r>
          </w:p>
        </w:tc>
        <w:tc>
          <w:tcPr>
            <w:tcW w:w="42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color w:val="auto"/>
                <w:w w:val="96"/>
              </w:rPr>
              <w:t>below)</w:t>
            </w: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color w:val="auto"/>
                <w:w w:val="96"/>
              </w:rPr>
              <w:t>below)</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C/O THE CARLYLE GROUP INC.</w:t>
            </w:r>
          </w:p>
        </w:tc>
        <w:tc>
          <w:tcPr>
            <w:tcW w:w="940" w:type="dxa"/>
            <w:vAlign w:val="bottom"/>
          </w:tcPr>
          <w:p>
            <w:pPr>
              <w:spacing w:after="0"/>
              <w:rPr>
                <w:sz w:val="20"/>
                <w:szCs w:val="20"/>
                <w:color w:val="auto"/>
              </w:rPr>
            </w:pPr>
          </w:p>
        </w:tc>
        <w:tc>
          <w:tcPr>
            <w:tcW w:w="1540" w:type="dxa"/>
            <w:vAlign w:val="bottom"/>
            <w:gridSpan w:val="8"/>
          </w:tcPr>
          <w:p>
            <w:pPr>
              <w:ind w:left="540"/>
              <w:spacing w:after="0"/>
              <w:rPr>
                <w:sz w:val="20"/>
                <w:szCs w:val="20"/>
                <w:color w:val="auto"/>
              </w:rPr>
            </w:pPr>
            <w:r>
              <w:rPr>
                <w:rFonts w:ascii="Times New Roman" w:cs="Times New Roman" w:eastAsia="Times New Roman" w:hAnsi="Times New Roman"/>
                <w:sz w:val="16"/>
                <w:szCs w:val="16"/>
                <w:color w:val="0000FF"/>
              </w:rPr>
              <w:t>12/18/2025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3060" w:type="dxa"/>
            <w:vAlign w:val="bottom"/>
            <w:tcBorders>
              <w:bottom w:val="single" w:sz="8" w:color="2C2C2C"/>
            </w:tcBorders>
            <w:gridSpan w:val="5"/>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00" w:type="dxa"/>
            <w:vAlign w:val="bottom"/>
            <w:gridSpan w:val="10"/>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2"/>
                <w:szCs w:val="2"/>
                <w:color w:val="auto"/>
              </w:rPr>
            </w:pPr>
          </w:p>
        </w:tc>
        <w:tc>
          <w:tcPr>
            <w:tcW w:w="3300" w:type="dxa"/>
            <w:vAlign w:val="bottom"/>
            <w:gridSpan w:val="7"/>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00" w:type="dxa"/>
            <w:vAlign w:val="bottom"/>
            <w:gridSpan w:val="10"/>
            <w:vMerge w:val="continue"/>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6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5"/>
            <w:vMerge w:val="restart"/>
          </w:tcPr>
          <w:p>
            <w:pPr>
              <w:ind w:left="36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DC</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20004-2505</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5"/>
            <w:vMerge w:val="restart"/>
          </w:tcPr>
          <w:p>
            <w:pPr>
              <w:ind w:left="36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0" w:type="dxa"/>
            <w:vAlign w:val="bottom"/>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6"/>
          </w:tcPr>
          <w:p>
            <w:pPr>
              <w:ind w:left="7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12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ind w:left="700"/>
              <w:spacing w:after="0" w:line="121" w:lineRule="exact"/>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200" w:type="dxa"/>
            <w:vAlign w:val="bottom"/>
            <w:gridSpan w:val="2"/>
          </w:tcPr>
          <w:p>
            <w:pPr>
              <w:ind w:left="440"/>
              <w:spacing w:after="0" w:line="121"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line="121"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6"/>
          </w:tcPr>
          <w:p>
            <w:pPr>
              <w:ind w:left="700"/>
              <w:spacing w:after="0" w:line="121"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  (D) or Indirect</w:t>
            </w:r>
          </w:p>
        </w:tc>
        <w:tc>
          <w:tcPr>
            <w:tcW w:w="1160" w:type="dxa"/>
            <w:vAlign w:val="bottom"/>
            <w:gridSpan w:val="2"/>
          </w:tcPr>
          <w:p>
            <w:pPr>
              <w:ind w:left="140"/>
              <w:spacing w:after="0" w:line="121"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1200" w:type="dxa"/>
            <w:vAlign w:val="bottom"/>
            <w:gridSpan w:val="2"/>
          </w:tcPr>
          <w:p>
            <w:pPr>
              <w:ind w:left="440"/>
              <w:spacing w:after="0" w:line="121" w:lineRule="exact"/>
              <w:rPr>
                <w:sz w:val="20"/>
                <w:szCs w:val="20"/>
                <w:color w:val="auto"/>
              </w:rPr>
            </w:pPr>
            <w:r>
              <w:rPr>
                <w:rFonts w:ascii="Arial" w:cs="Arial" w:eastAsia="Arial" w:hAnsi="Arial"/>
                <w:sz w:val="11"/>
                <w:szCs w:val="11"/>
                <w:b w:val="1"/>
                <w:bCs w:val="1"/>
                <w:color w:val="auto"/>
              </w:rPr>
              <w:t>(I) (Instr. 4)</w:t>
            </w:r>
          </w:p>
        </w:tc>
        <w:tc>
          <w:tcPr>
            <w:tcW w:w="38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4)</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00" w:type="dxa"/>
            <w:vAlign w:val="bottom"/>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6,815,617</w:t>
            </w:r>
            <w:r>
              <w:rPr>
                <w:rFonts w:ascii="Times New Roman" w:cs="Times New Roman" w:eastAsia="Times New Roman" w:hAnsi="Times New Roman"/>
                <w:sz w:val="20"/>
                <w:szCs w:val="20"/>
                <w:color w:val="008000"/>
                <w:w w:val="92"/>
                <w:vertAlign w:val="superscript"/>
              </w:rPr>
              <w:t>(1)</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480" w:type="dxa"/>
            <w:vAlign w:val="bottom"/>
            <w:vMerge w:val="restart"/>
          </w:tcPr>
          <w:p>
            <w:pPr>
              <w:jc w:val="center"/>
              <w:ind w:left="222"/>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9"/>
                <w:szCs w:val="19"/>
                <w:color w:val="auto"/>
              </w:rPr>
            </w:pPr>
          </w:p>
        </w:tc>
        <w:tc>
          <w:tcPr>
            <w:tcW w:w="1520" w:type="dxa"/>
            <w:vAlign w:val="bottom"/>
            <w:gridSpan w:val="3"/>
            <w:vMerge w:val="restart"/>
          </w:tcPr>
          <w:p>
            <w:pPr>
              <w:jc w:val="center"/>
              <w:ind w:right="365"/>
              <w:spacing w:after="0"/>
              <w:rPr>
                <w:sz w:val="20"/>
                <w:szCs w:val="20"/>
                <w:color w:val="auto"/>
              </w:rPr>
            </w:pPr>
            <w:r>
              <w:rPr>
                <w:rFonts w:ascii="Times New Roman" w:cs="Times New Roman" w:eastAsia="Times New Roman" w:hAnsi="Times New Roman"/>
                <w:sz w:val="16"/>
                <w:szCs w:val="16"/>
                <w:color w:val="0000FF"/>
                <w:w w:val="97"/>
              </w:rPr>
              <w:t>165,061,257</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J</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6,815,617</w:t>
            </w:r>
            <w:r>
              <w:rPr>
                <w:rFonts w:ascii="Times New Roman" w:cs="Times New Roman" w:eastAsia="Times New Roman" w:hAnsi="Times New Roman"/>
                <w:sz w:val="20"/>
                <w:szCs w:val="20"/>
                <w:color w:val="008000"/>
                <w:w w:val="92"/>
                <w:vertAlign w:val="superscript"/>
              </w:rPr>
              <w:t>(5)</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480" w:type="dxa"/>
            <w:vAlign w:val="bottom"/>
            <w:vMerge w:val="restart"/>
          </w:tcPr>
          <w:p>
            <w:pPr>
              <w:jc w:val="center"/>
              <w:ind w:left="222"/>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19"/>
                <w:szCs w:val="19"/>
                <w:color w:val="auto"/>
              </w:rPr>
            </w:pPr>
          </w:p>
        </w:tc>
        <w:tc>
          <w:tcPr>
            <w:tcW w:w="1520" w:type="dxa"/>
            <w:vAlign w:val="bottom"/>
            <w:gridSpan w:val="3"/>
            <w:vMerge w:val="restart"/>
          </w:tcPr>
          <w:p>
            <w:pPr>
              <w:jc w:val="center"/>
              <w:ind w:right="345"/>
              <w:spacing w:after="0"/>
              <w:rPr>
                <w:sz w:val="20"/>
                <w:szCs w:val="20"/>
                <w:color w:val="auto"/>
              </w:rPr>
            </w:pPr>
            <w:r>
              <w:rPr>
                <w:rFonts w:ascii="Times New Roman" w:cs="Times New Roman" w:eastAsia="Times New Roman" w:hAnsi="Times New Roman"/>
                <w:sz w:val="16"/>
                <w:szCs w:val="16"/>
                <w:color w:val="0000FF"/>
                <w:w w:val="99"/>
              </w:rPr>
              <w:t>70,927,355</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19,136,333</w:t>
            </w:r>
            <w:r>
              <w:rPr>
                <w:rFonts w:ascii="Times New Roman" w:cs="Times New Roman" w:eastAsia="Times New Roman" w:hAnsi="Times New Roman"/>
                <w:sz w:val="20"/>
                <w:szCs w:val="20"/>
                <w:color w:val="008000"/>
                <w:w w:val="93"/>
                <w:vertAlign w:val="superscript"/>
              </w:rPr>
              <w:t>(6)</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gridSpan w:val="2"/>
            <w:vMerge w:val="restart"/>
          </w:tcPr>
          <w:p>
            <w:pPr>
              <w:jc w:val="center"/>
              <w:ind w:left="22"/>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29</w:t>
            </w:r>
          </w:p>
        </w:tc>
        <w:tc>
          <w:tcPr>
            <w:tcW w:w="1520" w:type="dxa"/>
            <w:vAlign w:val="bottom"/>
            <w:gridSpan w:val="3"/>
            <w:vMerge w:val="restart"/>
          </w:tcPr>
          <w:p>
            <w:pPr>
              <w:jc w:val="center"/>
              <w:ind w:right="365"/>
              <w:spacing w:after="0"/>
              <w:rPr>
                <w:sz w:val="20"/>
                <w:szCs w:val="20"/>
                <w:color w:val="auto"/>
              </w:rPr>
            </w:pPr>
            <w:r>
              <w:rPr>
                <w:rFonts w:ascii="Times New Roman" w:cs="Times New Roman" w:eastAsia="Times New Roman" w:hAnsi="Times New Roman"/>
                <w:sz w:val="16"/>
                <w:szCs w:val="16"/>
                <w:color w:val="0000FF"/>
                <w:w w:val="97"/>
              </w:rPr>
              <w:t>145,924,924</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J</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1,549,243</w:t>
            </w:r>
            <w:r>
              <w:rPr>
                <w:rFonts w:ascii="Times New Roman" w:cs="Times New Roman" w:eastAsia="Times New Roman" w:hAnsi="Times New Roman"/>
                <w:sz w:val="20"/>
                <w:szCs w:val="20"/>
                <w:color w:val="008000"/>
                <w:w w:val="92"/>
                <w:vertAlign w:val="superscript"/>
              </w:rPr>
              <w:t>(7)</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480" w:type="dxa"/>
            <w:vAlign w:val="bottom"/>
            <w:vMerge w:val="restart"/>
          </w:tcPr>
          <w:p>
            <w:pPr>
              <w:jc w:val="center"/>
              <w:ind w:left="222"/>
              <w:spacing w:after="0"/>
              <w:rPr>
                <w:sz w:val="20"/>
                <w:szCs w:val="20"/>
                <w:color w:val="auto"/>
              </w:rPr>
            </w:pPr>
            <w:r>
              <w:rPr>
                <w:rFonts w:ascii="Times New Roman" w:cs="Times New Roman" w:eastAsia="Times New Roman" w:hAnsi="Times New Roman"/>
                <w:sz w:val="10"/>
                <w:szCs w:val="10"/>
                <w:color w:val="008000"/>
              </w:rPr>
              <w:t>(7)</w:t>
            </w:r>
          </w:p>
        </w:tc>
        <w:tc>
          <w:tcPr>
            <w:tcW w:w="200" w:type="dxa"/>
            <w:vAlign w:val="bottom"/>
          </w:tcPr>
          <w:p>
            <w:pPr>
              <w:spacing w:after="0"/>
              <w:rPr>
                <w:sz w:val="19"/>
                <w:szCs w:val="19"/>
                <w:color w:val="auto"/>
              </w:rPr>
            </w:pPr>
          </w:p>
        </w:tc>
        <w:tc>
          <w:tcPr>
            <w:tcW w:w="1520" w:type="dxa"/>
            <w:vAlign w:val="bottom"/>
            <w:gridSpan w:val="3"/>
            <w:vMerge w:val="restart"/>
          </w:tcPr>
          <w:p>
            <w:pPr>
              <w:jc w:val="center"/>
              <w:ind w:right="365"/>
              <w:spacing w:after="0"/>
              <w:rPr>
                <w:sz w:val="20"/>
                <w:szCs w:val="20"/>
                <w:color w:val="auto"/>
              </w:rPr>
            </w:pPr>
            <w:r>
              <w:rPr>
                <w:rFonts w:ascii="Times New Roman" w:cs="Times New Roman" w:eastAsia="Times New Roman" w:hAnsi="Times New Roman"/>
                <w:sz w:val="16"/>
                <w:szCs w:val="16"/>
                <w:color w:val="0000FF"/>
                <w:w w:val="97"/>
              </w:rPr>
              <w:t>144,375,681</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4"/>
              </w:rPr>
              <w:t>footnotes</w:t>
            </w:r>
            <w:r>
              <w:rPr>
                <w:rFonts w:ascii="Times New Roman" w:cs="Times New Roman" w:eastAsia="Times New Roman" w:hAnsi="Times New Roman"/>
                <w:sz w:val="20"/>
                <w:szCs w:val="20"/>
                <w:color w:val="008000"/>
                <w:w w:val="94"/>
                <w:vertAlign w:val="superscript"/>
              </w:rPr>
              <w:t>(3)(4)(8)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2"/>
            <w:vMerge w:val="continue"/>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0" w:type="dxa"/>
            <w:vAlign w:val="bottom"/>
            <w:gridSpan w:val="19"/>
          </w:tcPr>
          <w:p>
            <w:pPr>
              <w:jc w:val="center"/>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20" w:type="dxa"/>
            <w:vAlign w:val="bottom"/>
            <w:gridSpan w:val="16"/>
          </w:tcPr>
          <w:p>
            <w:pPr>
              <w:jc w:val="center"/>
              <w:ind w:right="10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5"/>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3"/>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3"/>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6"/>
              </w:rPr>
              <w:t>Form:</w:t>
            </w:r>
          </w:p>
        </w:tc>
        <w:tc>
          <w:tcPr>
            <w:tcW w:w="380" w:type="dxa"/>
            <w:vAlign w:val="bottom"/>
          </w:tcPr>
          <w:p>
            <w:pPr>
              <w:spacing w:after="0"/>
              <w:rPr>
                <w:sz w:val="10"/>
                <w:szCs w:val="10"/>
                <w:color w:val="auto"/>
              </w:rPr>
            </w:pP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gridSpan w:val="5"/>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2"/>
                <w:szCs w:val="12"/>
                <w:color w:val="0000FF"/>
              </w:rPr>
              <w:t>12/18/2025</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2"/>
                <w:szCs w:val="12"/>
                <w:color w:val="0000FF"/>
                <w:w w:val="94"/>
              </w:rPr>
              <w:t>6,815,617</w:t>
            </w:r>
            <w:r>
              <w:rPr>
                <w:rFonts w:ascii="Times New Roman" w:cs="Times New Roman" w:eastAsia="Times New Roman" w:hAnsi="Times New Roman"/>
                <w:sz w:val="20"/>
                <w:szCs w:val="20"/>
                <w:color w:val="008000"/>
                <w:w w:val="94"/>
                <w:vertAlign w:val="superscript"/>
              </w:rPr>
              <w:t>(1)</w:t>
            </w:r>
          </w:p>
        </w:tc>
        <w:tc>
          <w:tcPr>
            <w:tcW w:w="740" w:type="dxa"/>
            <w:vAlign w:val="bottom"/>
            <w:vMerge w:val="restart"/>
          </w:tcPr>
          <w:p>
            <w:pPr>
              <w:jc w:val="center"/>
              <w:ind w:left="44"/>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6"/>
              </w:rPr>
              <w:t>6,815,617</w:t>
            </w:r>
          </w:p>
        </w:tc>
        <w:tc>
          <w:tcPr>
            <w:tcW w:w="740" w:type="dxa"/>
            <w:vAlign w:val="bottom"/>
            <w:gridSpan w:val="2"/>
            <w:vMerge w:val="restart"/>
          </w:tcPr>
          <w:p>
            <w:pPr>
              <w:jc w:val="right"/>
              <w:ind w:right="2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70,927,355</w:t>
            </w:r>
          </w:p>
        </w:tc>
        <w:tc>
          <w:tcPr>
            <w:tcW w:w="420" w:type="dxa"/>
            <w:vAlign w:val="bottom"/>
            <w:vMerge w:val="restart"/>
          </w:tcPr>
          <w:p>
            <w:pPr>
              <w:ind w:left="380"/>
              <w:spacing w:after="0"/>
              <w:rPr>
                <w:sz w:val="20"/>
                <w:szCs w:val="20"/>
                <w:color w:val="auto"/>
              </w:rPr>
            </w:pPr>
            <w:r>
              <w:rPr>
                <w:rFonts w:ascii="Times New Roman" w:cs="Times New Roman" w:eastAsia="Times New Roman" w:hAnsi="Times New Roman"/>
                <w:sz w:val="8"/>
                <w:szCs w:val="8"/>
                <w:color w:val="0000FF"/>
                <w:w w:val="73"/>
              </w:rPr>
              <w:t>I</w:t>
            </w:r>
          </w:p>
        </w:tc>
        <w:tc>
          <w:tcPr>
            <w:tcW w:w="380" w:type="dxa"/>
            <w:vAlign w:val="bottom"/>
          </w:tcPr>
          <w:p>
            <w:pPr>
              <w:spacing w:after="0"/>
              <w:rPr>
                <w:sz w:val="16"/>
                <w:szCs w:val="16"/>
                <w:color w:val="auto"/>
              </w:rPr>
            </w:pPr>
          </w:p>
        </w:tc>
        <w:tc>
          <w:tcPr>
            <w:tcW w:w="780" w:type="dxa"/>
            <w:vAlign w:val="bottom"/>
          </w:tcPr>
          <w:p>
            <w:pPr>
              <w:spacing w:after="0" w:line="194" w:lineRule="exact"/>
              <w:rPr>
                <w:sz w:val="20"/>
                <w:szCs w:val="20"/>
                <w:color w:val="auto"/>
              </w:rPr>
            </w:pPr>
            <w:r>
              <w:rPr>
                <w:rFonts w:ascii="Times New Roman" w:cs="Times New Roman" w:eastAsia="Times New Roman" w:hAnsi="Times New Roman"/>
                <w:sz w:val="12"/>
                <w:szCs w:val="12"/>
                <w:color w:val="0000FF"/>
                <w:w w:val="94"/>
              </w:rPr>
              <w:t>See footnotes</w:t>
            </w:r>
            <w:r>
              <w:rPr>
                <w:rFonts w:ascii="Times New Roman" w:cs="Times New Roman" w:eastAsia="Times New Roman" w:hAnsi="Times New Roman"/>
                <w:sz w:val="20"/>
                <w:szCs w:val="20"/>
                <w:color w:val="008000"/>
                <w:w w:val="94"/>
                <w:vertAlign w:val="superscript"/>
              </w:rPr>
              <w:t>(3)</w:t>
            </w: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660" w:type="dxa"/>
            <w:vAlign w:val="bottom"/>
            <w:gridSpan w:val="3"/>
          </w:tcPr>
          <w:p>
            <w:pPr>
              <w:ind w:left="60"/>
              <w:spacing w:after="0" w:line="86"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line="86" w:lineRule="exact"/>
              <w:rPr>
                <w:sz w:val="20"/>
                <w:szCs w:val="20"/>
                <w:color w:val="auto"/>
              </w:rPr>
            </w:pPr>
            <w:r>
              <w:rPr>
                <w:rFonts w:ascii="Times New Roman" w:cs="Times New Roman" w:eastAsia="Times New Roman" w:hAnsi="Times New Roman"/>
                <w:sz w:val="9"/>
                <w:szCs w:val="9"/>
                <w:color w:val="008000"/>
              </w:rPr>
              <w:t>(4)(8)</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ind w:right="111"/>
              <w:spacing w:after="0" w:line="120" w:lineRule="exact"/>
              <w:rPr>
                <w:sz w:val="20"/>
                <w:szCs w:val="20"/>
                <w:color w:val="auto"/>
              </w:rPr>
            </w:pPr>
            <w:r>
              <w:rPr>
                <w:rFonts w:ascii="Times New Roman" w:cs="Times New Roman" w:eastAsia="Times New Roman" w:hAnsi="Times New Roman"/>
                <w:sz w:val="12"/>
                <w:szCs w:val="12"/>
                <w:color w:val="0000FF"/>
                <w:w w:val="94"/>
              </w:rPr>
              <w:t>Stock</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gridSpan w:val="7"/>
          </w:tcPr>
          <w:p>
            <w:pPr>
              <w:ind w:left="60"/>
              <w:spacing w:after="0" w:line="21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320" w:type="dxa"/>
            <w:vAlign w:val="bottom"/>
            <w:gridSpan w:val="6"/>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TC Group VII S1, L.L.C.</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C/O THE CARLYLE GROUP INC.</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2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DC</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940" w:type="dxa"/>
            <w:vAlign w:val="bottom"/>
          </w:tcPr>
          <w:p>
            <w:pPr>
              <w:ind w:left="5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320" w:type="dxa"/>
            <w:vAlign w:val="bottom"/>
            <w:gridSpan w:val="6"/>
          </w:tcPr>
          <w:p>
            <w:pPr>
              <w:spacing w:after="0" w:line="206"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TC Group VII S1, L.P.</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C/O THE CARLYLE GROUP INC.</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2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DC</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940" w:type="dxa"/>
            <w:vAlign w:val="bottom"/>
          </w:tcPr>
          <w:p>
            <w:pPr>
              <w:ind w:left="5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7020560</wp:posOffset>
            </wp:positionH>
            <wp:positionV relativeFrom="paragraph">
              <wp:posOffset>-4869180</wp:posOffset>
            </wp:positionV>
            <wp:extent cx="27940" cy="1677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1677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sz w:val="1"/>
          <w:szCs w:val="1"/>
          <w:color w:val="auto"/>
        </w:rPr>
        <w:drawing>
          <wp:inline distT="0" distB="0" distL="0" distR="0">
            <wp:extent cx="33020" cy="204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020" cy="204470"/>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40" w:orient="portrait"/>
          <w:cols w:equalWidth="0" w:num="1">
            <w:col w:w="11100"/>
          </w:cols>
          <w:pgMar w:left="440" w:top="211" w:right="359" w:bottom="0" w:gutter="0" w:footer="0" w:header="0"/>
          <w:type w:val="continuous"/>
        </w:sectPr>
      </w:pPr>
    </w:p>
    <w:bookmarkStart w:id="1" w:name="page2"/>
    <w:bookmarkEnd w:id="1"/>
    <w:p>
      <w:pPr>
        <w:spacing w:after="0" w:line="7"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8">
        <w:r>
          <w:rPr>
            <w:rFonts w:ascii="Times New Roman" w:cs="Times New Roman" w:eastAsia="Times New Roman" w:hAnsi="Times New Roman"/>
            <w:sz w:val="19"/>
            <w:szCs w:val="19"/>
            <w:u w:val="single" w:color="auto"/>
            <w:color w:val="0000EE"/>
          </w:rPr>
          <w:t>TC Group VIII,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-122555</wp:posOffset>
            </wp:positionV>
            <wp:extent cx="2814320" cy="783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4320" cy="783399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THE CARLYLE GROUP INC.</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r>
      <w:tr>
        <w:trPr>
          <w:trHeight w:val="138"/>
        </w:trPr>
        <w:tc>
          <w:tcPr>
            <w:tcW w:w="120" w:type="dxa"/>
            <w:vAlign w:val="bottom"/>
            <w:gridSpan w:val="2"/>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4"/>
        </w:trPr>
        <w:tc>
          <w:tcPr>
            <w:tcW w:w="13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DC</w:t>
            </w:r>
          </w:p>
        </w:tc>
        <w:tc>
          <w:tcPr>
            <w:tcW w:w="16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20004-2505</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2560" w:type="dxa"/>
            <w:vAlign w:val="bottom"/>
            <w:gridSpan w:val="4"/>
          </w:tcPr>
          <w:p>
            <w:pPr>
              <w:spacing w:after="0" w:line="206"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TC Group VIII, L.P.</w:t>
              </w:r>
            </w:hyperlink>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THE CARLYLE GROUP INC.</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1001 PENNSYLVANIA AVE. NW SUITE 220 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DC</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20004-2505</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7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2600" w:type="dxa"/>
            <w:vAlign w:val="bottom"/>
            <w:gridSpan w:val="6"/>
          </w:tcPr>
          <w:p>
            <w:pPr>
              <w:spacing w:after="0" w:line="206"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TC Group VII Lux GP, S.a.r.l.</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THE CARLYLE GROUP 2,</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AVENUE CHARLES DE GAULLE,</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8"/>
        </w:trPr>
        <w:tc>
          <w:tcPr>
            <w:tcW w:w="120" w:type="dxa"/>
            <w:vAlign w:val="bottom"/>
            <w:gridSpan w:val="2"/>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4"/>
        </w:trPr>
        <w:tc>
          <w:tcPr>
            <w:tcW w:w="14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LUXEMBOURG,</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L-1653</w:t>
            </w:r>
          </w:p>
        </w:tc>
      </w:tr>
      <w:tr>
        <w:trPr>
          <w:trHeight w:val="138"/>
        </w:trPr>
        <w:tc>
          <w:tcPr>
            <w:tcW w:w="100" w:type="dxa"/>
            <w:vAlign w:val="bottom"/>
          </w:tcPr>
          <w:p>
            <w:pPr>
              <w:spacing w:after="0"/>
              <w:rPr>
                <w:sz w:val="11"/>
                <w:szCs w:val="11"/>
                <w:color w:val="auto"/>
              </w:rPr>
            </w:pPr>
          </w:p>
        </w:tc>
        <w:tc>
          <w:tcPr>
            <w:tcW w:w="1200" w:type="dxa"/>
            <w:vAlign w:val="bottom"/>
            <w:tcBorders>
              <w:bottom w:val="single" w:sz="8" w:color="9A9A9A"/>
            </w:tcBorders>
            <w:gridSpan w:val="2"/>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5"/>
        </w:trPr>
        <w:tc>
          <w:tcPr>
            <w:tcW w:w="1300" w:type="dxa"/>
            <w:vAlign w:val="bottom"/>
            <w:tcBorders>
              <w:bottom w:val="single" w:sz="8" w:color="2C2C2C"/>
            </w:tcBorders>
            <w:gridSpan w:val="3"/>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7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2600" w:type="dxa"/>
            <w:vAlign w:val="bottom"/>
            <w:gridSpan w:val="6"/>
          </w:tcPr>
          <w:p>
            <w:pPr>
              <w:spacing w:after="0" w:line="206"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TC Group VIII Lux GP, S.a.r.l.</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9, RUE DE BITBOURG,</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6"/>
        </w:trPr>
        <w:tc>
          <w:tcPr>
            <w:tcW w:w="120" w:type="dxa"/>
            <w:vAlign w:val="bottom"/>
            <w:gridSpan w:val="2"/>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14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LUXEMBOURG,</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L-1273</w:t>
            </w:r>
          </w:p>
        </w:tc>
      </w:tr>
      <w:tr>
        <w:trPr>
          <w:trHeight w:val="138"/>
        </w:trPr>
        <w:tc>
          <w:tcPr>
            <w:tcW w:w="100" w:type="dxa"/>
            <w:vAlign w:val="bottom"/>
          </w:tcPr>
          <w:p>
            <w:pPr>
              <w:spacing w:after="0"/>
              <w:rPr>
                <w:sz w:val="11"/>
                <w:szCs w:val="11"/>
                <w:color w:val="auto"/>
              </w:rPr>
            </w:pPr>
          </w:p>
        </w:tc>
        <w:tc>
          <w:tcPr>
            <w:tcW w:w="1200" w:type="dxa"/>
            <w:vAlign w:val="bottom"/>
            <w:tcBorders>
              <w:bottom w:val="single" w:sz="8" w:color="9A9A9A"/>
            </w:tcBorders>
            <w:gridSpan w:val="2"/>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5"/>
        </w:trPr>
        <w:tc>
          <w:tcPr>
            <w:tcW w:w="1300" w:type="dxa"/>
            <w:vAlign w:val="bottom"/>
            <w:tcBorders>
              <w:bottom w:val="single" w:sz="8" w:color="2C2C2C"/>
            </w:tcBorders>
            <w:gridSpan w:val="3"/>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7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1300" w:type="dxa"/>
            <w:vAlign w:val="bottom"/>
            <w:gridSpan w:val="3"/>
          </w:tcPr>
          <w:p>
            <w:pPr>
              <w:spacing w:after="0" w:line="206" w:lineRule="exact"/>
              <w:rPr>
                <w:rFonts w:ascii="Times New Roman" w:cs="Times New Roman" w:eastAsia="Times New Roman" w:hAnsi="Times New Roman"/>
                <w:sz w:val="19"/>
                <w:szCs w:val="19"/>
                <w:color w:val="0000EE"/>
              </w:rPr>
            </w:pPr>
            <w:hyperlink r:id="rId23">
              <w:r>
                <w:rPr>
                  <w:rFonts w:ascii="Times New Roman" w:cs="Times New Roman" w:eastAsia="Times New Roman" w:hAnsi="Times New Roman"/>
                  <w:sz w:val="19"/>
                  <w:szCs w:val="19"/>
                  <w:color w:val="0000EE"/>
                </w:rPr>
                <w:t>CPEP GP, LLC</w:t>
              </w:r>
            </w:hyperlink>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THE CARLYLE GROUP INC.</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1001 PENNSYLVANIA AVE. NW SUITE 220 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DC</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20004-2505</w:t>
            </w:r>
          </w:p>
        </w:tc>
      </w:tr>
      <w:tr>
        <w:trPr>
          <w:trHeight w:val="138"/>
        </w:trPr>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8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060" w:type="dxa"/>
            <w:vAlign w:val="bottom"/>
          </w:tcPr>
          <w:p>
            <w:pPr>
              <w:ind w:left="16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exchange of common units of Medline Holdings, LP ("Common Units") to an equivalent number of shares of the Issuer's Class A common stock ("Class A Common Stock") held by CP Circle Holdings, L.P.</w:t>
      </w:r>
    </w:p>
    <w:p>
      <w:pPr>
        <w:spacing w:after="0" w:line="43" w:lineRule="exact"/>
        <w:rPr>
          <w:rFonts w:ascii="Times New Roman" w:cs="Times New Roman" w:eastAsia="Times New Roman" w:hAnsi="Times New Roman"/>
          <w:sz w:val="12"/>
          <w:szCs w:val="12"/>
          <w:color w:val="008000"/>
        </w:rPr>
      </w:pPr>
    </w:p>
    <w:p>
      <w:pPr>
        <w:ind w:left="40" w:right="1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9" w:lineRule="exact"/>
        <w:rPr>
          <w:rFonts w:ascii="Times New Roman" w:cs="Times New Roman" w:eastAsia="Times New Roman" w:hAnsi="Times New Roman"/>
          <w:sz w:val="12"/>
          <w:szCs w:val="12"/>
          <w:color w:val="008000"/>
        </w:rPr>
      </w:pPr>
    </w:p>
    <w:p>
      <w:pPr>
        <w:ind w:left="40" w:right="2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24" w:lineRule="exact"/>
        <w:rPr>
          <w:rFonts w:ascii="Times New Roman" w:cs="Times New Roman" w:eastAsia="Times New Roman" w:hAnsi="Times New Roman"/>
          <w:sz w:val="12"/>
          <w:szCs w:val="12"/>
          <w:color w:val="008000"/>
        </w:rPr>
      </w:pPr>
    </w:p>
    <w:p>
      <w:pPr>
        <w:ind w:left="40" w:right="16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 and the managing member of CPEP GP, LLC, which is the general partner of CPEP Circle Holdings L.P.</w:t>
      </w:r>
    </w:p>
    <w:p>
      <w:pPr>
        <w:spacing w:after="0" w:line="24" w:lineRule="exact"/>
        <w:rPr>
          <w:rFonts w:ascii="Times New Roman" w:cs="Times New Roman" w:eastAsia="Times New Roman" w:hAnsi="Times New Roman"/>
          <w:sz w:val="12"/>
          <w:szCs w:val="12"/>
          <w:color w:val="008000"/>
        </w:rPr>
      </w:pPr>
    </w:p>
    <w:p>
      <w:pPr>
        <w:jc w:val="both"/>
        <w:ind w:left="4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cancellation of shares of the Issuer's Class B common stock ("Class B Common Stock") held by CP Circle Holdings, L.P. as a result of an exchange of an equivalent number of Common Units to shares of Class A Common Stock. 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9" w:lineRule="exact"/>
        <w:rPr>
          <w:rFonts w:ascii="Times New Roman" w:cs="Times New Roman" w:eastAsia="Times New Roman" w:hAnsi="Times New Roman"/>
          <w:sz w:val="12"/>
          <w:szCs w:val="12"/>
          <w:color w:val="008000"/>
        </w:rPr>
      </w:pPr>
    </w:p>
    <w:p>
      <w:pPr>
        <w:ind w:left="40" w:right="14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following shares of Class A Common Stock sold: (i) 3,175,460 shares by Carlyle Mozart Coinvestment Holdings, L.P., (ii) 234,453 shares by CP VII Circle AIF Holdings, S.C.Sp., (iii) 5,607,937 shares by CP VII Circle Holdings, L.P., (iv) 25,788 shares of Class A Common Stock held by CP VII Circle Holdings - A, L.P., (v) 635,559 shares by CP VIII Circle AIF Holdings, S.C.Sp., (vi) 2,560,958 shares by CP VIII Circle Holdings, L.P., (vii) 80,561 shares by CPEP Circle Holdings L.P. and (viii) 6,815,617 shares by CP Circle Holdings, L.P.</w:t>
      </w:r>
    </w:p>
    <w:p>
      <w:pPr>
        <w:spacing w:after="0" w:line="19" w:lineRule="exact"/>
        <w:rPr>
          <w:rFonts w:ascii="Times New Roman" w:cs="Times New Roman" w:eastAsia="Times New Roman" w:hAnsi="Times New Roman"/>
          <w:sz w:val="12"/>
          <w:szCs w:val="12"/>
          <w:color w:val="008000"/>
        </w:rPr>
      </w:pPr>
    </w:p>
    <w:p>
      <w:pPr>
        <w:ind w:left="40" w:right="12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pro-rata distribution for no consideration by Carlyle Mozart Coinvestment Holdings, L.P. to its limited partner. Pursuant to the terms of a lock-up agreement, the limited partner is bound to certain restrictions on the shares distributed, as set forth therein.</w:t>
      </w:r>
    </w:p>
    <w:p>
      <w:pPr>
        <w:spacing w:after="0" w:line="9" w:lineRule="exact"/>
        <w:rPr>
          <w:rFonts w:ascii="Times New Roman" w:cs="Times New Roman" w:eastAsia="Times New Roman" w:hAnsi="Times New Roman"/>
          <w:sz w:val="12"/>
          <w:szCs w:val="12"/>
          <w:color w:val="008000"/>
        </w:rPr>
      </w:pPr>
    </w:p>
    <w:p>
      <w:pPr>
        <w:ind w:left="40" w:right="14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in this Form 4, includes (i) 49,176,441 shares of Class A Common Stock held by Carlyle Mozart Coinvestment Holdings, L.P., (ii) 2,440,275 shares of Class A Common Stock held by CP VII Circle AIF Holdings, S.C.Sp., (iii) 58,369,466 shares of Class A Common Stock held by CP VII Circle Holdings, L.P., (iv) 268,411 shares of Class A Common Stock held by CP VII Circle Holdings - A, L.P., (v) 6,615,133 shares of Class A Common Stock held by CP VIII Circle AIF Holdings, S.C.Sp., (vi) 26,655,381 shares of Class A Common Stock held by CP VIII Circle Holdings, L.P., (vii) 838,505 shares of Class A Common Stock held by CPEP Circle Holdings L.P. and (viii) 12,069 shares of Class A Common Stock and 70,927,355 Common Units and shares of Class B Common Stock held by CP Circle Holdings, L.P.</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45" w:orient="portrait"/>
          <w:cols w:equalWidth="0" w:num="1">
            <w:col w:w="10940"/>
          </w:cols>
          <w:pgMar w:left="460" w:top="115" w:right="499" w:bottom="0" w:gutter="0" w:footer="0" w:header="0"/>
        </w:sectPr>
      </w:pPr>
    </w:p>
    <w:p>
      <w:pPr>
        <w:spacing w:after="0" w:line="46" w:lineRule="exact"/>
        <w:rPr>
          <w:sz w:val="20"/>
          <w:szCs w:val="20"/>
          <w:color w:val="auto"/>
        </w:rPr>
      </w:pPr>
    </w:p>
    <w:p>
      <w:pPr>
        <w:ind w:left="40" w:right="180"/>
        <w:spacing w:after="0" w:line="265" w:lineRule="auto"/>
        <w:rPr>
          <w:sz w:val="20"/>
          <w:szCs w:val="20"/>
          <w:color w:val="auto"/>
        </w:rPr>
      </w:pPr>
      <w:r>
        <w:rPr>
          <w:rFonts w:ascii="Times New Roman" w:cs="Times New Roman" w:eastAsia="Times New Roman" w:hAnsi="Times New Roman"/>
          <w:sz w:val="12"/>
          <w:szCs w:val="12"/>
          <w:color w:val="008000"/>
        </w:rPr>
        <w:t>Due to the limitations of the electronic filing system, The Carlyle Group Inc., Carlyle Holdings I GP Inc., Carlyle Holdings I GP Sub L.L.C., Carlyle Holdings I L.P., CG Subsidiary Holdings L.L.C., TC Group, L.L.C., TC Group Sub L.P., Carlyle Mozart Coinvestment Holdings, L.P., CP VII Circle AIF Holdings, S.C.Sp., CP VII Circle Holdings, L.P., CP VII Circle Holdings - A, L.P., CP VIII Circle AIF Holdings, S.C.Sp., CP VIII Circle</w:t>
      </w:r>
    </w:p>
    <w:p>
      <w:pPr>
        <w:sectPr>
          <w:pgSz w:w="11900" w:h="16845" w:orient="portrait"/>
          <w:cols w:equalWidth="0" w:num="1">
            <w:col w:w="10940"/>
          </w:cols>
          <w:pgMar w:left="460" w:top="115" w:right="499" w:bottom="0" w:gutter="0" w:footer="0" w:header="0"/>
          <w:type w:val="continuous"/>
        </w:sectPr>
      </w:pPr>
    </w:p>
    <w:bookmarkStart w:id="2" w:name="page3"/>
    <w:bookmarkEnd w:id="2"/>
    <w:p>
      <w:pPr>
        <w:ind w:left="7"/>
        <w:spacing w:after="0"/>
        <w:rPr>
          <w:sz w:val="20"/>
          <w:szCs w:val="20"/>
          <w:color w:val="auto"/>
        </w:rPr>
      </w:pPr>
      <w:r>
        <w:rPr>
          <w:rFonts w:ascii="Times New Roman" w:cs="Times New Roman" w:eastAsia="Times New Roman" w:hAnsi="Times New Roman"/>
          <w:sz w:val="11"/>
          <w:szCs w:val="11"/>
          <w:color w:val="008000"/>
        </w:rPr>
        <w:t>Holdings, L.P., CPEP Circle Holdings L.P. and CP Circle Holdings, L.P. are filing a separate Form 4.</w:t>
      </w:r>
    </w:p>
    <w:p>
      <w:pPr>
        <w:sectPr>
          <w:pgSz w:w="11900" w:h="16838" w:orient="portrait"/>
          <w:cols w:equalWidth="0" w:num="1">
            <w:col w:w="9966"/>
          </w:cols>
          <w:pgMar w:left="493" w:top="127" w:right="1440" w:bottom="1440" w:gutter="0" w:footer="0" w:header="0"/>
        </w:sectPr>
      </w:pPr>
    </w:p>
    <w:p>
      <w:pPr>
        <w:spacing w:after="0" w:line="79"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TC Group VII S1, L.L.C.,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620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spacing w:after="0" w:line="14"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Group Sub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791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7919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member, TC Group,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388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general partner,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9829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98298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950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VII S1,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541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5412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Group VII S1,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3258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partner, 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414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4142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managing member,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249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L.L.C.,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747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7475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0788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VIII, L.L.C.,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763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Subsidiary Holdings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515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sole member,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3271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7626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6263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VIII,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1569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5697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Group VIII,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287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partner, 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3106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1064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L.L.C., its sole member,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3277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950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VII Lux GP,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87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By: TC Group Sub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0820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managing member,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249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L.L.C.,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747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7475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0788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VIII Lux GP,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623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6238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By: 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512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L.L.C., its manager,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582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950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CPEP GP, LLC,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9766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Subsidiary Holdings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515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manager,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582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7626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626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8707" w:space="60"/>
            <w:col w:w="1199"/>
          </w:cols>
          <w:pgMar w:left="493" w:top="127" w:right="1440" w:bottom="1440" w:gutter="0" w:footer="0" w:header="0"/>
          <w:type w:val="continuous"/>
        </w:sectPr>
      </w:pPr>
    </w:p>
    <w:p>
      <w:pPr>
        <w:ind w:left="6567"/>
        <w:spacing w:after="0"/>
        <w:tabs>
          <w:tab w:leader="none" w:pos="8747"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7" w:right="2979" w:hanging="7"/>
        <w:spacing w:after="0" w:line="31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6"/>
      </w:cols>
      <w:pgMar w:left="493"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13" Type="http://schemas.openxmlformats.org/officeDocument/2006/relationships/hyperlink" Target="http://www.sec.gov/cgi-bin/browse-edgar?action=getcompany&amp;CIK=0001772672"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1772631" TargetMode="External"/><Relationship Id="rId18" Type="http://schemas.openxmlformats.org/officeDocument/2006/relationships/hyperlink" Target="http://www.sec.gov/cgi-bin/browse-edgar?action=getcompany&amp;CIK=0002091280" TargetMode="External"/><Relationship Id="rId20" Type="http://schemas.openxmlformats.org/officeDocument/2006/relationships/hyperlink" Target="http://www.sec.gov/cgi-bin/browse-edgar?action=getcompany&amp;CIK=0002092095" TargetMode="External"/><Relationship Id="rId21" Type="http://schemas.openxmlformats.org/officeDocument/2006/relationships/hyperlink" Target="http://www.sec.gov/cgi-bin/browse-edgar?action=getcompany&amp;CIK=0002091290" TargetMode="External"/><Relationship Id="rId22" Type="http://schemas.openxmlformats.org/officeDocument/2006/relationships/hyperlink" Target="http://www.sec.gov/cgi-bin/browse-edgar?action=getcompany&amp;CIK=0002091295" TargetMode="External"/><Relationship Id="rId23" Type="http://schemas.openxmlformats.org/officeDocument/2006/relationships/hyperlink" Target="http://www.sec.gov/cgi-bin/browse-edgar?action=getcompany&amp;CIK=00021007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2025-12-22T15:37:59Z</dcterms:created>
  <dcterms:modified xsi:type="dcterms:W3CDTF">2025-12-22T15:37:59Z</dcterms:modified>
</cp:coreProperties>
</file>