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-602615</wp:posOffset>
            </wp:positionV>
            <wp:extent cx="57150" cy="615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639445</wp:posOffset>
            </wp:positionV>
            <wp:extent cx="7049135" cy="6786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678624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vMerge w:val="restart"/>
          </w:tcPr>
          <w:p>
            <w:pPr>
              <w:spacing w:after="0" w:line="228"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Laabs Amanda H.</w:t>
              </w:r>
            </w:hyperlink>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ind w:left="60"/>
              <w:spacing w:after="0" w:line="161"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Medline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MDLN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tcBorders>
              <w:bottom w:val="single" w:sz="8" w:color="0000EE"/>
            </w:tcBorders>
            <w:gridSpan w:val="3"/>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2"/>
                <w:szCs w:val="12"/>
                <w:color w:val="auto"/>
              </w:rPr>
              <w:t>10% Owner</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gridSpan w:val="3"/>
          </w:tcPr>
          <w:p>
            <w:pPr>
              <w:spacing w:after="0"/>
              <w:rPr>
                <w:sz w:val="4"/>
                <w:szCs w:val="4"/>
                <w:color w:val="auto"/>
              </w:rPr>
            </w:pPr>
          </w:p>
        </w:tc>
        <w:tc>
          <w:tcPr>
            <w:tcW w:w="9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140"/>
              <w:spacing w:after="0" w:line="116" w:lineRule="exact"/>
              <w:rPr>
                <w:sz w:val="20"/>
                <w:szCs w:val="20"/>
                <w:color w:val="auto"/>
              </w:rPr>
            </w:pPr>
            <w:r>
              <w:rPr>
                <w:rFonts w:ascii="Arial" w:cs="Arial" w:eastAsia="Arial" w:hAnsi="Arial"/>
                <w:sz w:val="12"/>
                <w:szCs w:val="12"/>
                <w:color w:val="auto"/>
              </w:rPr>
              <w:t>Officer (give title</w:t>
            </w:r>
          </w:p>
        </w:tc>
        <w:tc>
          <w:tcPr>
            <w:tcW w:w="240" w:type="dxa"/>
            <w:vAlign w:val="bottom"/>
          </w:tcPr>
          <w:p>
            <w:pPr>
              <w:spacing w:after="0"/>
              <w:rPr>
                <w:sz w:val="10"/>
                <w:szCs w:val="10"/>
                <w:color w:val="auto"/>
              </w:rPr>
            </w:pPr>
          </w:p>
        </w:tc>
        <w:tc>
          <w:tcPr>
            <w:tcW w:w="1200" w:type="dxa"/>
            <w:vAlign w:val="bottom"/>
            <w:gridSpan w:val="2"/>
          </w:tcPr>
          <w:p>
            <w:pPr>
              <w:ind w:left="260"/>
              <w:spacing w:after="0" w:line="116" w:lineRule="exact"/>
              <w:rPr>
                <w:sz w:val="20"/>
                <w:szCs w:val="20"/>
                <w:color w:val="auto"/>
              </w:rPr>
            </w:pPr>
            <w:r>
              <w:rPr>
                <w:rFonts w:ascii="Arial" w:cs="Arial" w:eastAsia="Arial" w:hAnsi="Arial"/>
                <w:sz w:val="12"/>
                <w:szCs w:val="12"/>
                <w:color w:val="auto"/>
              </w:rPr>
              <w:t>Other (specify</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1800" w:type="dxa"/>
            <w:vAlign w:val="bottom"/>
            <w:tcBorders>
              <w:top w:val="single" w:sz="8" w:color="EEEEEE"/>
              <w:bottom w:val="single" w:sz="8" w:color="EEEEEE"/>
            </w:tcBorders>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tcBorders>
              <w:top w:val="single" w:sz="8" w:color="EEEEEE"/>
              <w:bottom w:val="single" w:sz="8" w:color="EEEEEE"/>
            </w:tcBorders>
            <w:vMerge w:val="restart"/>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Borders>
              <w:top w:val="single" w:sz="8" w:color="EEEEEE"/>
            </w:tcBorders>
          </w:tcPr>
          <w:p>
            <w:pPr>
              <w:spacing w:after="0"/>
              <w:rPr>
                <w:sz w:val="12"/>
                <w:szCs w:val="12"/>
                <w:color w:val="auto"/>
              </w:rPr>
            </w:pPr>
          </w:p>
        </w:tc>
        <w:tc>
          <w:tcPr>
            <w:tcW w:w="26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40"/>
              <w:spacing w:after="0" w:line="114"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ind w:left="260"/>
              <w:spacing w:after="0" w:line="114" w:lineRule="exact"/>
              <w:rPr>
                <w:sz w:val="20"/>
                <w:szCs w:val="20"/>
                <w:color w:val="auto"/>
              </w:rPr>
            </w:pPr>
            <w:r>
              <w:rPr>
                <w:rFonts w:ascii="Arial" w:cs="Arial" w:eastAsia="Arial" w:hAnsi="Arial"/>
                <w:sz w:val="12"/>
                <w:szCs w:val="12"/>
                <w:color w:val="auto"/>
              </w:rPr>
              <w:t>below)</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gridSpan w:val="4"/>
            <w:vMerge w:val="restart"/>
          </w:tcPr>
          <w:p>
            <w:pPr>
              <w:ind w:left="500"/>
              <w:spacing w:after="0" w:line="179" w:lineRule="exact"/>
              <w:rPr>
                <w:sz w:val="20"/>
                <w:szCs w:val="20"/>
                <w:color w:val="auto"/>
              </w:rPr>
            </w:pPr>
            <w:r>
              <w:rPr>
                <w:rFonts w:ascii="Times New Roman" w:cs="Times New Roman" w:eastAsia="Times New Roman" w:hAnsi="Times New Roman"/>
                <w:sz w:val="16"/>
                <w:szCs w:val="16"/>
                <w:color w:val="0000FF"/>
              </w:rPr>
              <w:t>Chief Product Officer</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MEDLINE INC.</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7"/>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12/16/2025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3 LAKES DRIVE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500" w:type="dxa"/>
            <w:vAlign w:val="bottom"/>
            <w:tcBorders>
              <w:bottom w:val="single" w:sz="8" w:color="808080"/>
            </w:tcBorders>
            <w:gridSpan w:val="4"/>
          </w:tcPr>
          <w:p>
            <w:pPr>
              <w:spacing w:after="0"/>
              <w:rPr>
                <w:sz w:val="17"/>
                <w:szCs w:val="17"/>
                <w:color w:val="auto"/>
              </w:rPr>
            </w:pPr>
          </w:p>
        </w:tc>
        <w:tc>
          <w:tcPr>
            <w:tcW w:w="1780" w:type="dxa"/>
            <w:vAlign w:val="bottom"/>
            <w:tcBorders>
              <w:bottom w:val="single" w:sz="8" w:color="808080"/>
            </w:tcBorders>
            <w:gridSpan w:val="3"/>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gridSpan w:val="2"/>
          </w:tcPr>
          <w:p>
            <w:pPr>
              <w:spacing w:after="0"/>
              <w:rPr>
                <w:sz w:val="17"/>
                <w:szCs w:val="17"/>
                <w:color w:val="auto"/>
              </w:rPr>
            </w:pPr>
          </w:p>
        </w:tc>
        <w:tc>
          <w:tcPr>
            <w:tcW w:w="2840" w:type="dxa"/>
            <w:vAlign w:val="bottom"/>
            <w:tcBorders>
              <w:bottom w:val="single" w:sz="8" w:color="808080"/>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328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NORTHFIELD   IL</w:t>
            </w: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60093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gridSpan w:val="8"/>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9"/>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6"/>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60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12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Securities</w:t>
            </w:r>
          </w:p>
        </w:tc>
        <w:tc>
          <w:tcPr>
            <w:tcW w:w="60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60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jc w:val="right"/>
              <w:ind w:right="98"/>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8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120"/>
              <w:spacing w:after="0"/>
              <w:rPr>
                <w:sz w:val="20"/>
                <w:szCs w:val="20"/>
                <w:color w:val="auto"/>
              </w:rPr>
            </w:pPr>
            <w:r>
              <w:rPr>
                <w:rFonts w:ascii="Times New Roman" w:cs="Times New Roman" w:eastAsia="Times New Roman" w:hAnsi="Times New Roman"/>
                <w:sz w:val="16"/>
                <w:szCs w:val="16"/>
                <w:color w:val="0000FF"/>
                <w:w w:val="98"/>
              </w:rPr>
              <w:t>12/16/2025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0000FF"/>
              </w:rPr>
              <w:t>251,070</w:t>
            </w:r>
            <w:r>
              <w:rPr>
                <w:rFonts w:ascii="Times New Roman" w:cs="Times New Roman" w:eastAsia="Times New Roman" w:hAnsi="Times New Roman"/>
                <w:sz w:val="20"/>
                <w:szCs w:val="20"/>
                <w:color w:val="008000"/>
                <w:vertAlign w:val="superscript"/>
              </w:rPr>
              <w:t>(2)</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A</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jc w:val="right"/>
              <w:ind w:right="78"/>
              <w:spacing w:after="0"/>
              <w:rPr>
                <w:sz w:val="20"/>
                <w:szCs w:val="20"/>
                <w:color w:val="auto"/>
              </w:rPr>
            </w:pPr>
            <w:r>
              <w:rPr>
                <w:rFonts w:ascii="Times New Roman" w:cs="Times New Roman" w:eastAsia="Times New Roman" w:hAnsi="Times New Roman"/>
                <w:sz w:val="10"/>
                <w:szCs w:val="10"/>
                <w:color w:val="008000"/>
              </w:rPr>
              <w:t>(1)</w:t>
            </w:r>
          </w:p>
        </w:tc>
        <w:tc>
          <w:tcPr>
            <w:tcW w:w="132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251,070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120"/>
              <w:spacing w:after="0"/>
              <w:rPr>
                <w:sz w:val="20"/>
                <w:szCs w:val="20"/>
                <w:color w:val="auto"/>
              </w:rPr>
            </w:pPr>
            <w:r>
              <w:rPr>
                <w:rFonts w:ascii="Times New Roman" w:cs="Times New Roman" w:eastAsia="Times New Roman" w:hAnsi="Times New Roman"/>
                <w:sz w:val="16"/>
                <w:szCs w:val="16"/>
                <w:color w:val="0000FF"/>
                <w:w w:val="98"/>
              </w:rPr>
              <w:t>03/05/2026</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(3)</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0000FF"/>
              </w:rPr>
              <w:t>25,788</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A</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2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25,788</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8"/>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20" w:type="dxa"/>
            <w:vAlign w:val="bottom"/>
            <w:gridSpan w:val="16"/>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5"/>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0"/>
                <w:szCs w:val="10"/>
                <w:color w:val="auto"/>
              </w:rPr>
            </w:pPr>
          </w:p>
        </w:tc>
        <w:tc>
          <w:tcPr>
            <w:tcW w:w="14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5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10"/>
                <w:szCs w:val="10"/>
                <w:color w:val="auto"/>
              </w:rPr>
            </w:pPr>
          </w:p>
        </w:tc>
        <w:tc>
          <w:tcPr>
            <w:tcW w:w="14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Disposed of</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5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(Instr. 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(Instr. 3, 4</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2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2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4"/>
          </w:tcPr>
          <w:p>
            <w:pPr>
              <w:ind w:left="10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vMerge w:val="restart"/>
          </w:tcPr>
          <w:p>
            <w:pPr>
              <w:ind w:left="100"/>
              <w:spacing w:after="0" w:line="273"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1"/>
                <w:szCs w:val="11"/>
                <w:color w:val="auto"/>
              </w:rPr>
            </w:pPr>
          </w:p>
        </w:tc>
        <w:tc>
          <w:tcPr>
            <w:tcW w:w="68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6"/>
                <w:szCs w:val="16"/>
                <w:color w:val="0000FF"/>
              </w:rPr>
              <w:t>251,070</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251,070</w:t>
            </w: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jc w:val="center"/>
              <w:ind w:left="122"/>
              <w:spacing w:after="0" w:line="137" w:lineRule="exact"/>
              <w:rPr>
                <w:sz w:val="20"/>
                <w:szCs w:val="20"/>
                <w:color w:val="auto"/>
              </w:rPr>
            </w:pPr>
            <w:r>
              <w:rPr>
                <w:rFonts w:ascii="Times New Roman" w:cs="Times New Roman" w:eastAsia="Times New Roman" w:hAnsi="Times New Roman"/>
                <w:sz w:val="12"/>
                <w:szCs w:val="12"/>
                <w:color w:val="0000FF"/>
              </w:rPr>
              <w:t>251,070</w:t>
            </w:r>
          </w:p>
        </w:tc>
        <w:tc>
          <w:tcPr>
            <w:tcW w:w="240" w:type="dxa"/>
            <w:vAlign w:val="bottom"/>
          </w:tcPr>
          <w:p>
            <w:pPr>
              <w:spacing w:after="0"/>
              <w:rPr>
                <w:sz w:val="6"/>
                <w:szCs w:val="6"/>
                <w:color w:val="auto"/>
              </w:rPr>
            </w:pPr>
          </w:p>
        </w:tc>
        <w:tc>
          <w:tcPr>
            <w:tcW w:w="70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500" w:type="dxa"/>
            <w:vAlign w:val="bottom"/>
            <w:vMerge w:val="continue"/>
          </w:tcPr>
          <w:p>
            <w:pPr>
              <w:spacing w:after="0"/>
              <w:rPr>
                <w:sz w:val="6"/>
                <w:szCs w:val="6"/>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Footnote</w:t>
            </w:r>
          </w:p>
        </w:tc>
        <w:tc>
          <w:tcPr>
            <w:tcW w:w="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000000"/>
                <w:w w:val="85"/>
                <w:vertAlign w:val="subscript"/>
              </w:rPr>
              <w:t>$</w:t>
            </w:r>
            <w:r>
              <w:rPr>
                <w:rFonts w:ascii="Times New Roman" w:cs="Times New Roman" w:eastAsia="Times New Roman" w:hAnsi="Times New Roman"/>
                <w:sz w:val="24"/>
                <w:szCs w:val="24"/>
                <w:color w:val="0000FF"/>
                <w:w w:val="85"/>
                <w:vertAlign w:val="subscript"/>
              </w:rPr>
              <w:t>15.42</w:t>
            </w:r>
            <w:r>
              <w:rPr>
                <w:rFonts w:ascii="Times New Roman" w:cs="Times New Roman" w:eastAsia="Times New Roman" w:hAnsi="Times New Roman"/>
                <w:sz w:val="10"/>
                <w:szCs w:val="10"/>
                <w:color w:val="008000"/>
                <w:w w:val="85"/>
              </w:rPr>
              <w:t>(5)(6)</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(5)(6)(7)</w:t>
            </w: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(5)(6)(7)</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1,242,391</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1,242,391</w:t>
            </w: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20" w:type="dxa"/>
            <w:vAlign w:val="bottom"/>
            <w:gridSpan w:val="4"/>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1,242,391</w:t>
            </w: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0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(5)(6)</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000000"/>
                <w:w w:val="85"/>
                <w:vertAlign w:val="subscript"/>
              </w:rPr>
              <w:t>$</w:t>
            </w:r>
            <w:r>
              <w:rPr>
                <w:rFonts w:ascii="Times New Roman" w:cs="Times New Roman" w:eastAsia="Times New Roman" w:hAnsi="Times New Roman"/>
                <w:sz w:val="24"/>
                <w:szCs w:val="24"/>
                <w:color w:val="0000FF"/>
                <w:w w:val="85"/>
                <w:vertAlign w:val="subscript"/>
              </w:rPr>
              <w:t>15.23</w:t>
            </w:r>
            <w:r>
              <w:rPr>
                <w:rFonts w:ascii="Times New Roman" w:cs="Times New Roman" w:eastAsia="Times New Roman" w:hAnsi="Times New Roman"/>
                <w:sz w:val="10"/>
                <w:szCs w:val="10"/>
                <w:color w:val="008000"/>
                <w:w w:val="85"/>
              </w:rPr>
              <w:t>(5)(6)</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(5)(6)(8)</w:t>
            </w: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(5)(6)(8)</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1"/>
                <w:szCs w:val="11"/>
                <w:color w:val="auto"/>
              </w:rPr>
            </w:pPr>
          </w:p>
        </w:tc>
        <w:tc>
          <w:tcPr>
            <w:tcW w:w="68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6"/>
                <w:szCs w:val="16"/>
                <w:color w:val="0000FF"/>
              </w:rPr>
              <w:t>189,352</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189,352</w:t>
            </w: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jc w:val="center"/>
              <w:ind w:left="122"/>
              <w:spacing w:after="0"/>
              <w:rPr>
                <w:sz w:val="20"/>
                <w:szCs w:val="20"/>
                <w:color w:val="auto"/>
              </w:rPr>
            </w:pPr>
            <w:r>
              <w:rPr>
                <w:rFonts w:ascii="Times New Roman" w:cs="Times New Roman" w:eastAsia="Times New Roman" w:hAnsi="Times New Roman"/>
                <w:sz w:val="12"/>
                <w:szCs w:val="12"/>
                <w:color w:val="0000FF"/>
              </w:rPr>
              <w:t>189,352</w:t>
            </w:r>
          </w:p>
        </w:tc>
        <w:tc>
          <w:tcPr>
            <w:tcW w:w="240" w:type="dxa"/>
            <w:vAlign w:val="bottom"/>
          </w:tcPr>
          <w:p>
            <w:pPr>
              <w:spacing w:after="0"/>
              <w:rPr>
                <w:sz w:val="6"/>
                <w:szCs w:val="6"/>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0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(5)(6)</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19.01</w:t>
            </w:r>
            <w:r>
              <w:rPr>
                <w:rFonts w:ascii="Times New Roman" w:cs="Times New Roman" w:eastAsia="Times New Roman" w:hAnsi="Times New Roman"/>
                <w:sz w:val="20"/>
                <w:szCs w:val="20"/>
                <w:color w:val="008000"/>
                <w:w w:val="90"/>
                <w:vertAlign w:val="superscript"/>
              </w:rPr>
              <w:t>(5)(6)</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(5)(6)(9)</w:t>
            </w: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(5)(6)(9)</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1"/>
                <w:szCs w:val="11"/>
                <w:color w:val="auto"/>
              </w:rPr>
            </w:pPr>
          </w:p>
        </w:tc>
        <w:tc>
          <w:tcPr>
            <w:tcW w:w="68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6"/>
                <w:szCs w:val="16"/>
                <w:color w:val="0000FF"/>
              </w:rPr>
              <w:t>132,771</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132,771</w:t>
            </w: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jc w:val="center"/>
              <w:ind w:left="122"/>
              <w:spacing w:after="0"/>
              <w:rPr>
                <w:sz w:val="20"/>
                <w:szCs w:val="20"/>
                <w:color w:val="auto"/>
              </w:rPr>
            </w:pPr>
            <w:r>
              <w:rPr>
                <w:rFonts w:ascii="Times New Roman" w:cs="Times New Roman" w:eastAsia="Times New Roman" w:hAnsi="Times New Roman"/>
                <w:sz w:val="12"/>
                <w:szCs w:val="12"/>
                <w:color w:val="0000FF"/>
              </w:rPr>
              <w:t>132,771</w:t>
            </w:r>
          </w:p>
        </w:tc>
        <w:tc>
          <w:tcPr>
            <w:tcW w:w="240" w:type="dxa"/>
            <w:vAlign w:val="bottom"/>
          </w:tcPr>
          <w:p>
            <w:pPr>
              <w:spacing w:after="0"/>
              <w:rPr>
                <w:sz w:val="6"/>
                <w:szCs w:val="6"/>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0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(5)(6)</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line="273" w:lineRule="exact"/>
              <w:rPr>
                <w:sz w:val="20"/>
                <w:szCs w:val="20"/>
                <w:color w:val="auto"/>
              </w:rPr>
            </w:pPr>
            <w:r>
              <w:rPr>
                <w:rFonts w:ascii="Arial" w:cs="Arial" w:eastAsia="Arial" w:hAnsi="Arial"/>
                <w:sz w:val="22"/>
                <w:szCs w:val="22"/>
                <w:color w:val="000000"/>
                <w:w w:val="85"/>
                <w:vertAlign w:val="subscript"/>
              </w:rPr>
              <w:t>$</w:t>
            </w:r>
            <w:r>
              <w:rPr>
                <w:rFonts w:ascii="Times New Roman" w:cs="Times New Roman" w:eastAsia="Times New Roman" w:hAnsi="Times New Roman"/>
                <w:sz w:val="24"/>
                <w:szCs w:val="24"/>
                <w:color w:val="0000FF"/>
                <w:w w:val="85"/>
                <w:vertAlign w:val="subscript"/>
              </w:rPr>
              <w:t>27.68</w:t>
            </w:r>
            <w:r>
              <w:rPr>
                <w:rFonts w:ascii="Times New Roman" w:cs="Times New Roman" w:eastAsia="Times New Roman" w:hAnsi="Times New Roman"/>
                <w:sz w:val="10"/>
                <w:szCs w:val="10"/>
                <w:color w:val="008000"/>
                <w:w w:val="85"/>
              </w:rPr>
              <w:t>(5)(6)</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vMerge w:val="restart"/>
          </w:tcPr>
          <w:p>
            <w:pPr>
              <w:ind w:left="100"/>
              <w:spacing w:after="0" w:line="273"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vMerge w:val="restart"/>
          </w:tcPr>
          <w:p>
            <w:pPr>
              <w:jc w:val="center"/>
              <w:ind w:right="46"/>
              <w:spacing w:after="0"/>
              <w:rPr>
                <w:sz w:val="20"/>
                <w:szCs w:val="20"/>
                <w:color w:val="auto"/>
              </w:rPr>
            </w:pPr>
            <w:r>
              <w:rPr>
                <w:rFonts w:ascii="Times New Roman" w:cs="Times New Roman" w:eastAsia="Times New Roman" w:hAnsi="Times New Roman"/>
                <w:sz w:val="10"/>
                <w:szCs w:val="10"/>
                <w:color w:val="008000"/>
              </w:rPr>
              <w:t>(5)(6)(10)</w:t>
            </w: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0"/>
                <w:szCs w:val="10"/>
                <w:color w:val="008000"/>
              </w:rPr>
              <w:t>(5)(6)(10)</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1"/>
                <w:szCs w:val="11"/>
                <w:color w:val="auto"/>
              </w:rPr>
            </w:pPr>
          </w:p>
        </w:tc>
        <w:tc>
          <w:tcPr>
            <w:tcW w:w="68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6"/>
                <w:szCs w:val="16"/>
                <w:color w:val="0000FF"/>
              </w:rPr>
              <w:t>220,813</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220,813</w:t>
            </w: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jc w:val="center"/>
              <w:ind w:left="122"/>
              <w:spacing w:after="0" w:line="137" w:lineRule="exact"/>
              <w:rPr>
                <w:sz w:val="20"/>
                <w:szCs w:val="20"/>
                <w:color w:val="auto"/>
              </w:rPr>
            </w:pPr>
            <w:r>
              <w:rPr>
                <w:rFonts w:ascii="Times New Roman" w:cs="Times New Roman" w:eastAsia="Times New Roman" w:hAnsi="Times New Roman"/>
                <w:sz w:val="12"/>
                <w:szCs w:val="12"/>
                <w:color w:val="0000FF"/>
              </w:rPr>
              <w:t>220,813</w:t>
            </w:r>
          </w:p>
        </w:tc>
        <w:tc>
          <w:tcPr>
            <w:tcW w:w="240" w:type="dxa"/>
            <w:vAlign w:val="bottom"/>
          </w:tcPr>
          <w:p>
            <w:pPr>
              <w:spacing w:after="0"/>
              <w:rPr>
                <w:sz w:val="6"/>
                <w:szCs w:val="6"/>
                <w:color w:val="auto"/>
              </w:rPr>
            </w:pPr>
          </w:p>
        </w:tc>
        <w:tc>
          <w:tcPr>
            <w:tcW w:w="70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50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(5)(6)</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LP</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220" w:hanging="4"/>
        <w:spacing w:after="0" w:line="27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were acquired in connection with the reclassification of the interests of Medline Holdings, LP prior to the Issuer's initial public offering (as more fully described in the Registration Statement on Form S-1). These securities were previously reported on the Reporting Person's Form 3 filed on December 17, 2025.</w:t>
      </w:r>
    </w:p>
    <w:p>
      <w:pPr>
        <w:spacing w:after="0" w:line="4" w:lineRule="exact"/>
        <w:rPr>
          <w:rFonts w:ascii="Times New Roman" w:cs="Times New Roman" w:eastAsia="Times New Roman" w:hAnsi="Times New Roman"/>
          <w:sz w:val="12"/>
          <w:szCs w:val="12"/>
          <w:color w:val="008000"/>
        </w:rPr>
      </w:pPr>
    </w:p>
    <w:p>
      <w:pPr>
        <w:ind w:left="40" w:right="220" w:hanging="4"/>
        <w:spacing w:after="0" w:line="25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1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grant of restricted stock units ("RSUs"), of which 25% vest on June 15, 2026 and the remaining 75% vest in three equal annual installments beginning on March 1, 2027.</w:t>
      </w:r>
    </w:p>
    <w:p>
      <w:pPr>
        <w:spacing w:after="0" w:line="47" w:lineRule="exact"/>
        <w:rPr>
          <w:rFonts w:ascii="Times New Roman" w:cs="Times New Roman" w:eastAsia="Times New Roman" w:hAnsi="Times New Roman"/>
          <w:sz w:val="12"/>
          <w:szCs w:val="12"/>
          <w:color w:val="008000"/>
        </w:rPr>
      </w:pPr>
    </w:p>
    <w:p>
      <w:pPr>
        <w:ind w:left="40" w:right="300" w:hanging="4"/>
        <w:spacing w:after="0" w:line="25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(the "Exchange Agreement"), holders have the right to exchange their Common Units for shares of the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pacing w:after="0" w:line="17" w:lineRule="exact"/>
        <w:rPr>
          <w:rFonts w:ascii="Times New Roman" w:cs="Times New Roman" w:eastAsia="Times New Roman" w:hAnsi="Times New Roman"/>
          <w:sz w:val="12"/>
          <w:szCs w:val="12"/>
          <w:color w:val="008000"/>
        </w:rPr>
      </w:pPr>
    </w:p>
    <w:p>
      <w:pPr>
        <w:jc w:val="both"/>
        <w:ind w:left="40" w:right="240" w:hanging="4"/>
        <w:spacing w:after="0" w:line="250"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19" w:lineRule="exact"/>
        <w:rPr>
          <w:rFonts w:ascii="Times New Roman" w:cs="Times New Roman" w:eastAsia="Times New Roman" w:hAnsi="Times New Roman"/>
          <w:sz w:val="12"/>
          <w:szCs w:val="12"/>
          <w:color w:val="008000"/>
        </w:rPr>
      </w:pPr>
    </w:p>
    <w:p>
      <w:pPr>
        <w:ind w:left="40" w:right="400" w:hanging="4"/>
        <w:spacing w:after="0" w:line="27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4"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80% of these Incentive Units have vested, and the remaining 20% vest on October 21, 2026.</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40% of these Incentive Units have vested, and the remaining 60% vest in three equal annual installments beginning on April 1, 2026.</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20% of these Incentive Units have vested, and the remaining 80% vest in four equal annual installments beginning on March 29, 2026.</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2"/>
          <w:szCs w:val="12"/>
          <w:color w:val="008000"/>
        </w:rPr>
        <w:t>10. These Incentive Units vest in five equal annual installments beginning on March 28, 2026.</w:t>
      </w:r>
    </w:p>
    <w:p>
      <w:pPr>
        <w:spacing w:after="0" w:line="7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 Nicole Fritz, Attorney-in-Fact 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8669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44" w:lineRule="exact"/>
        <w:rPr>
          <w:sz w:val="20"/>
          <w:szCs w:val="20"/>
          <w:color w:val="auto"/>
        </w:rPr>
      </w:pPr>
    </w:p>
    <w:p>
      <w:pPr>
        <w:ind w:left="6564"/>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819" w:hanging="4"/>
        <w:spacing w:after="0" w:line="323"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266"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2026-03-06T15:38:09Z</dcterms:created>
  <dcterms:modified xsi:type="dcterms:W3CDTF">2026-03-06T15:38:09Z</dcterms:modified>
</cp:coreProperties>
</file>