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905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905625"/>
                    </a:xfrm>
                    <a:prstGeom prst="rect">
                      <a:avLst/>
                    </a:prstGeom>
                    <a:noFill/>
                  </pic:spPr>
                </pic:pic>
              </a:graphicData>
            </a:graphic>
          </wp:anchor>
        </w:drawing>
      </w:r>
    </w:p>
    <w:p>
      <w:pPr>
        <w:sectPr>
          <w:pgSz w:w="11900" w:h="1684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Golwas Douglas 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40"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40"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5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465,864</w:t>
            </w:r>
            <w:r>
              <w:rPr>
                <w:rFonts w:ascii="Times New Roman" w:cs="Times New Roman" w:eastAsia="Times New Roman" w:hAnsi="Times New Roman"/>
                <w:sz w:val="25"/>
                <w:szCs w:val="25"/>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4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5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940" w:type="dxa"/>
            <w:vAlign w:val="bottom"/>
            <w:gridSpan w:val="7"/>
          </w:tcPr>
          <w:p>
            <w:pPr>
              <w:ind w:left="30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60" w:type="dxa"/>
            <w:vAlign w:val="bottom"/>
            <w:tcBorders>
              <w:bottom w:val="single" w:sz="8" w:color="2C2C2C"/>
            </w:tcBorders>
            <w:gridSpan w:val="2"/>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20" w:type="dxa"/>
            <w:vAlign w:val="bottom"/>
            <w:gridSpan w:val="2"/>
          </w:tcPr>
          <w:p>
            <w:pPr>
              <w:ind w:left="1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2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480" w:type="dxa"/>
            <w:vAlign w:val="bottom"/>
            <w:gridSpan w:val="2"/>
            <w:vMerge w:val="restart"/>
          </w:tcPr>
          <w:p>
            <w:pPr>
              <w:jc w:val="center"/>
              <w:ind w:left="432"/>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465,864</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80" w:type="dxa"/>
            <w:vAlign w:val="bottom"/>
            <w:gridSpan w:val="2"/>
            <w:vMerge w:val="restart"/>
          </w:tcPr>
          <w:p>
            <w:pPr>
              <w:jc w:val="center"/>
              <w:ind w:left="412"/>
              <w:spacing w:after="0"/>
              <w:rPr>
                <w:sz w:val="20"/>
                <w:szCs w:val="20"/>
                <w:color w:val="auto"/>
              </w:rPr>
            </w:pPr>
            <w:r>
              <w:rPr>
                <w:rFonts w:ascii="Times New Roman" w:cs="Times New Roman" w:eastAsia="Times New Roman" w:hAnsi="Times New Roman"/>
                <w:sz w:val="13"/>
                <w:szCs w:val="13"/>
                <w:color w:val="008000"/>
                <w:w w:val="96"/>
              </w:rPr>
              <w:t>(4)(5)(6)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(4)(5)(6)</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948,597</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15.42</w:t>
            </w:r>
            <w:r>
              <w:rPr>
                <w:rFonts w:ascii="Times New Roman" w:cs="Times New Roman" w:eastAsia="Times New Roman" w:hAnsi="Times New Roman"/>
                <w:sz w:val="13"/>
                <w:szCs w:val="13"/>
                <w:color w:val="008000"/>
                <w:w w:val="81"/>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80" w:type="dxa"/>
            <w:vAlign w:val="bottom"/>
            <w:gridSpan w:val="2"/>
            <w:vMerge w:val="restart"/>
          </w:tcPr>
          <w:p>
            <w:pPr>
              <w:jc w:val="center"/>
              <w:ind w:left="412"/>
              <w:spacing w:after="0"/>
              <w:rPr>
                <w:sz w:val="20"/>
                <w:szCs w:val="20"/>
                <w:color w:val="auto"/>
              </w:rPr>
            </w:pPr>
            <w:r>
              <w:rPr>
                <w:rFonts w:ascii="Times New Roman" w:cs="Times New Roman" w:eastAsia="Times New Roman" w:hAnsi="Times New Roman"/>
                <w:sz w:val="13"/>
                <w:szCs w:val="13"/>
                <w:color w:val="008000"/>
                <w:w w:val="96"/>
              </w:rPr>
              <w:t>(4)(5)(7)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(4)(5)(7)</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w w:val="98"/>
              </w:rPr>
              <w:t>463,211</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15.42</w:t>
            </w:r>
            <w:r>
              <w:rPr>
                <w:rFonts w:ascii="Times New Roman" w:cs="Times New Roman" w:eastAsia="Times New Roman" w:hAnsi="Times New Roman"/>
                <w:sz w:val="13"/>
                <w:szCs w:val="13"/>
                <w:color w:val="008000"/>
                <w:w w:val="81"/>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80" w:type="dxa"/>
            <w:vAlign w:val="bottom"/>
            <w:gridSpan w:val="2"/>
          </w:tcPr>
          <w:p>
            <w:pPr>
              <w:ind w:left="80"/>
              <w:spacing w:after="0" w:line="284" w:lineRule="exact"/>
              <w:rPr>
                <w:sz w:val="20"/>
                <w:szCs w:val="20"/>
                <w:color w:val="auto"/>
              </w:rPr>
            </w:pPr>
            <w:r>
              <w:rPr>
                <w:rFonts w:ascii="Times New Roman" w:cs="Times New Roman" w:eastAsia="Times New Roman" w:hAnsi="Times New Roman"/>
                <w:sz w:val="20"/>
                <w:szCs w:val="20"/>
                <w:color w:val="0000FF"/>
                <w:w w:val="97"/>
              </w:rPr>
              <w:t>See Footnotes</w:t>
            </w:r>
            <w:r>
              <w:rPr>
                <w:rFonts w:ascii="Times New Roman" w:cs="Times New Roman" w:eastAsia="Times New Roman" w:hAnsi="Times New Roman"/>
                <w:sz w:val="25"/>
                <w:szCs w:val="25"/>
                <w:color w:val="008000"/>
                <w:w w:val="97"/>
                <w:vertAlign w:val="superscript"/>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80" w:type="dxa"/>
            <w:vAlign w:val="bottom"/>
            <w:gridSpan w:val="2"/>
            <w:vMerge w:val="restart"/>
          </w:tcPr>
          <w:p>
            <w:pPr>
              <w:jc w:val="center"/>
              <w:ind w:left="412"/>
              <w:spacing w:after="0"/>
              <w:rPr>
                <w:sz w:val="20"/>
                <w:szCs w:val="20"/>
                <w:color w:val="auto"/>
              </w:rPr>
            </w:pPr>
            <w:r>
              <w:rPr>
                <w:rFonts w:ascii="Times New Roman" w:cs="Times New Roman" w:eastAsia="Times New Roman" w:hAnsi="Times New Roman"/>
                <w:sz w:val="13"/>
                <w:szCs w:val="13"/>
                <w:color w:val="008000"/>
                <w:w w:val="96"/>
              </w:rPr>
              <w:t>(4)(5)(8)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(4)(5)(8)</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212,755</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15.23</w:t>
            </w:r>
            <w:r>
              <w:rPr>
                <w:rFonts w:ascii="Times New Roman" w:cs="Times New Roman" w:eastAsia="Times New Roman" w:hAnsi="Times New Roman"/>
                <w:sz w:val="13"/>
                <w:szCs w:val="13"/>
                <w:color w:val="008000"/>
                <w:w w:val="81"/>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80" w:type="dxa"/>
            <w:vAlign w:val="bottom"/>
            <w:gridSpan w:val="2"/>
            <w:vMerge w:val="restart"/>
          </w:tcPr>
          <w:p>
            <w:pPr>
              <w:jc w:val="center"/>
              <w:ind w:left="412"/>
              <w:spacing w:after="0"/>
              <w:rPr>
                <w:sz w:val="20"/>
                <w:szCs w:val="20"/>
                <w:color w:val="auto"/>
              </w:rPr>
            </w:pPr>
            <w:r>
              <w:rPr>
                <w:rFonts w:ascii="Times New Roman" w:cs="Times New Roman" w:eastAsia="Times New Roman" w:hAnsi="Times New Roman"/>
                <w:sz w:val="13"/>
                <w:szCs w:val="13"/>
                <w:color w:val="008000"/>
                <w:w w:val="96"/>
              </w:rPr>
              <w:t>(4)(5)(9)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(4)(5)(9)</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157,800</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19.01</w:t>
            </w:r>
            <w:r>
              <w:rPr>
                <w:rFonts w:ascii="Times New Roman" w:cs="Times New Roman" w:eastAsia="Times New Roman" w:hAnsi="Times New Roman"/>
                <w:sz w:val="13"/>
                <w:szCs w:val="13"/>
                <w:color w:val="008000"/>
                <w:w w:val="81"/>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80" w:type="dxa"/>
            <w:vAlign w:val="bottom"/>
            <w:gridSpan w:val="2"/>
            <w:vMerge w:val="restart"/>
          </w:tcPr>
          <w:p>
            <w:pPr>
              <w:jc w:val="center"/>
              <w:ind w:left="432"/>
              <w:spacing w:after="0"/>
              <w:rPr>
                <w:sz w:val="20"/>
                <w:szCs w:val="20"/>
                <w:color w:val="auto"/>
              </w:rPr>
            </w:pPr>
            <w:r>
              <w:rPr>
                <w:rFonts w:ascii="Times New Roman" w:cs="Times New Roman" w:eastAsia="Times New Roman" w:hAnsi="Times New Roman"/>
                <w:sz w:val="13"/>
                <w:szCs w:val="13"/>
                <w:color w:val="008000"/>
                <w:w w:val="96"/>
              </w:rPr>
              <w:t>(4)(5)(10)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(4)(5)(10)</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149,005</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27.68</w:t>
            </w:r>
            <w:r>
              <w:rPr>
                <w:rFonts w:ascii="Times New Roman" w:cs="Times New Roman" w:eastAsia="Times New Roman" w:hAnsi="Times New Roman"/>
                <w:sz w:val="13"/>
                <w:szCs w:val="13"/>
                <w:color w:val="008000"/>
                <w:w w:val="81"/>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by a trust, of which the Reporting Person is a trustee.</w:t>
      </w:r>
    </w:p>
    <w:p>
      <w:pPr>
        <w:spacing w:after="0" w:line="52" w:lineRule="exact"/>
        <w:rPr>
          <w:rFonts w:ascii="Times New Roman" w:cs="Times New Roman" w:eastAsia="Times New Roman" w:hAnsi="Times New Roman"/>
          <w:sz w:val="15"/>
          <w:szCs w:val="15"/>
          <w:color w:val="008000"/>
        </w:rPr>
      </w:pPr>
    </w:p>
    <w:p>
      <w:pPr>
        <w:jc w:val="both"/>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(the "Exchange Agreement"), holders have the right to exchange their Common Units for shares of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pacing w:after="0" w:line="29" w:lineRule="exact"/>
        <w:rPr>
          <w:rFonts w:ascii="Times New Roman" w:cs="Times New Roman" w:eastAsia="Times New Roman" w:hAnsi="Times New Roman"/>
          <w:sz w:val="15"/>
          <w:szCs w:val="15"/>
          <w:color w:val="008000"/>
        </w:rPr>
      </w:pPr>
    </w:p>
    <w:p>
      <w:pPr>
        <w:ind w:left="40" w:right="8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 incentive units of Medline Holdings, LP ("Incentive Units"), which are "profit interests" having economic characteristics similar to stock appreciation rights. Vested 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33" w:lineRule="exact"/>
        <w:rPr>
          <w:rFonts w:ascii="Times New Roman" w:cs="Times New Roman" w:eastAsia="Times New Roman" w:hAnsi="Times New Roman"/>
          <w:sz w:val="15"/>
          <w:szCs w:val="15"/>
          <w:color w:val="008000"/>
        </w:rPr>
      </w:pPr>
    </w:p>
    <w:p>
      <w:pPr>
        <w:ind w:left="40" w:right="6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4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70% of these Incentive Units have vested, and the remaining 30% vest on October 21, 2026.</w:t>
      </w:r>
    </w:p>
    <w:p>
      <w:pPr>
        <w:sectPr>
          <w:pgSz w:w="11900" w:h="16840" w:orient="portrait"/>
          <w:cols w:equalWidth="0" w:num="1">
            <w:col w:w="10940"/>
          </w:cols>
          <w:pgMar w:left="480" w:top="230" w:right="479" w:bottom="0" w:gutter="0" w:footer="0" w:header="0"/>
          <w:type w:val="continuous"/>
        </w:sectPr>
      </w:pPr>
    </w:p>
    <w:bookmarkStart w:id="1" w:name="page2"/>
    <w:bookmarkEnd w:id="1"/>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Incentive Units are fully vested.</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40% of these Incentive Units have vested, and the remaining 60% vest in three equal annual installments beginning on April 1, 2026.</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these Incentive Units have vested, and the remaining 80% vest in four equal annual installments beginning on March 29, 2026.</w:t>
      </w:r>
    </w:p>
    <w:p>
      <w:pPr>
        <w:spacing w:after="0" w:line="52" w:lineRule="exact"/>
        <w:rPr>
          <w:rFonts w:ascii="Times New Roman" w:cs="Times New Roman" w:eastAsia="Times New Roman" w:hAnsi="Times New Roman"/>
          <w:sz w:val="15"/>
          <w:szCs w:val="15"/>
          <w:color w:val="008000"/>
        </w:rPr>
      </w:pPr>
    </w:p>
    <w:p>
      <w:pPr>
        <w:ind w:left="240" w:hanging="235"/>
        <w:spacing w:after="0"/>
        <w:tabs>
          <w:tab w:leader="none" w:pos="24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Incentive Units vest in five equal annual installments beginning on March 28, 2026.</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jc w:val="center"/>
              <w:ind w:right="2380"/>
              <w:spacing w:after="0"/>
              <w:rPr>
                <w:sz w:val="20"/>
                <w:szCs w:val="20"/>
                <w:color w:val="auto"/>
              </w:rPr>
            </w:pPr>
            <w:r>
              <w:rPr>
                <w:rFonts w:ascii="Times New Roman" w:cs="Times New Roman" w:eastAsia="Times New Roman" w:hAnsi="Times New Roman"/>
                <w:sz w:val="24"/>
                <w:szCs w:val="24"/>
                <w:color w:val="auto"/>
              </w:rPr>
              <w:t>/s/ Douglas P. Golwas</w:t>
            </w:r>
          </w:p>
        </w:tc>
      </w:tr>
      <w:tr>
        <w:trPr>
          <w:trHeight w:val="313"/>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4"/>
                <w:szCs w:val="24"/>
                <w:color w:val="auto"/>
              </w:rPr>
            </w:pPr>
          </w:p>
        </w:tc>
        <w:tc>
          <w:tcPr>
            <w:tcW w:w="4700" w:type="dxa"/>
            <w:vAlign w:val="bottom"/>
            <w:tcBorders>
              <w:top w:val="single" w:sz="8" w:color="auto"/>
            </w:tcBorders>
          </w:tcPr>
          <w:p>
            <w:pPr>
              <w:jc w:val="center"/>
              <w:ind w:right="2420"/>
              <w:spacing w:after="0"/>
              <w:rPr>
                <w:sz w:val="20"/>
                <w:szCs w:val="20"/>
                <w:color w:val="auto"/>
              </w:rPr>
            </w:pPr>
            <w:r>
              <w:rPr>
                <w:rFonts w:ascii="Times New Roman" w:cs="Times New Roman" w:eastAsia="Times New Roman" w:hAnsi="Times New Roman"/>
                <w:sz w:val="24"/>
                <w:szCs w:val="24"/>
                <w:b w:val="1"/>
                <w:bCs w:val="1"/>
                <w:color w:val="auto"/>
              </w:rPr>
              <w:t>Douglas P. Golwas</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1308100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15240</wp:posOffset>
            </wp:positionV>
            <wp:extent cx="165798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657985"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7"/>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61504"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2025-12-17T18:19:17Z</dcterms:created>
  <dcterms:modified xsi:type="dcterms:W3CDTF">2025-12-17T18:19:17Z</dcterms:modified>
</cp:coreProperties>
</file>