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GALANTI RICHARD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4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11,005</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11,005 restricted stock units ("RSUs"). Subject to the terms and conditions of the applicable award agreement, these RSUs are scheduled to settle in the Issuer's Class A common stock 100% on March 30, 2027.</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040" w:type="dxa"/>
        <w:tblCellMar>
          <w:top w:w="0" w:type="dxa"/>
          <w:left w:w="0" w:type="dxa"/>
          <w:bottom w:w="0" w:type="dxa"/>
          <w:right w:w="0" w:type="dxa"/>
        </w:tblCellMar>
      </w:tblPr>
      <w:tr>
        <w:trPr>
          <w:trHeight w:val="300"/>
        </w:trPr>
        <w:tc>
          <w:tcPr>
            <w:tcW w:w="74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/s/ Richard A. Galanti</w:t>
            </w:r>
          </w:p>
        </w:tc>
      </w:tr>
      <w:tr>
        <w:trPr>
          <w:trHeight w:val="313"/>
        </w:trPr>
        <w:tc>
          <w:tcPr>
            <w:tcW w:w="74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100" w:type="dxa"/>
            <w:vAlign w:val="bottom"/>
          </w:tcPr>
          <w:p>
            <w:pPr>
              <w:spacing w:after="0"/>
              <w:rPr>
                <w:sz w:val="24"/>
                <w:szCs w:val="24"/>
                <w:color w:val="auto"/>
              </w:rPr>
            </w:pPr>
          </w:p>
        </w:tc>
        <w:tc>
          <w:tcPr>
            <w:tcW w:w="5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Richard A. Galanti</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993775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184493"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2025-12-17T18:20:04Z</dcterms:created>
  <dcterms:modified xsi:type="dcterms:W3CDTF">2025-12-17T18:20:04Z</dcterms:modified>
</cp:coreProperties>
</file>