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60"/>
        <w:spacing w:after="0" w:line="274"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-181610</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3" w:lineRule="exact"/>
        <w:rPr>
          <w:sz w:val="24"/>
          <w:szCs w:val="24"/>
          <w:color w:val="auto"/>
        </w:rPr>
      </w:pPr>
    </w:p>
    <w:p>
      <w:pPr>
        <w:ind w:left="320"/>
        <w:spacing w:after="0" w:line="23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-532765</wp:posOffset>
            </wp:positionV>
            <wp:extent cx="113030" cy="113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0"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5124450</wp:posOffset>
            </wp:positionH>
            <wp:positionV relativeFrom="paragraph">
              <wp:posOffset>-577215</wp:posOffset>
            </wp:positionV>
            <wp:extent cx="55245"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90550"/>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-577215</wp:posOffset>
            </wp:positionV>
            <wp:extent cx="55245" cy="59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905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607060</wp:posOffset>
            </wp:positionV>
            <wp:extent cx="7004050" cy="889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050" cy="8898255"/>
                    </a:xfrm>
                    <a:prstGeom prst="rect">
                      <a:avLst/>
                    </a:prstGeom>
                    <a:noFill/>
                  </pic:spPr>
                </pic:pic>
              </a:graphicData>
            </a:graphic>
          </wp:anchor>
        </w:drawing>
      </w:r>
    </w:p>
    <w:p>
      <w:pPr>
        <w:spacing w:after="0" w:line="971" w:lineRule="exact"/>
        <w:rPr>
          <w:sz w:val="24"/>
          <w:szCs w:val="24"/>
          <w:color w:val="auto"/>
        </w:rPr>
      </w:pPr>
    </w:p>
    <w:p>
      <w:pPr>
        <w:sectPr>
          <w:pgSz w:w="11900" w:h="16838" w:orient="portrait"/>
          <w:cols w:equalWidth="0" w:num="2">
            <w:col w:w="2320" w:space="480"/>
            <w:col w:w="8280"/>
          </w:cols>
          <w:pgMar w:left="460" w:top="209"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5"/>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gridSpan w:val="8"/>
          </w:tcPr>
          <w:p>
            <w:pPr>
              <w:ind w:left="2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0" w:type="dxa"/>
            <w:vAlign w:val="bottom"/>
            <w:gridSpan w:val="8"/>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Carlyle Mozart Coinvestment Holdings, L.P.</w:t>
              </w:r>
            </w:hyperlink>
          </w:p>
        </w:tc>
        <w:tc>
          <w:tcPr>
            <w:tcW w:w="1880" w:type="dxa"/>
            <w:vAlign w:val="bottom"/>
            <w:gridSpan w:val="7"/>
          </w:tcPr>
          <w:p>
            <w:pPr>
              <w:spacing w:after="0" w:line="95"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Medline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MDLN</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color w:val="auto"/>
                <w:w w:val="95"/>
              </w:rPr>
              <w:t>(Check all applicable)</w:t>
            </w: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restart"/>
          </w:tcPr>
          <w:p>
            <w:pPr>
              <w:ind w:left="500"/>
              <w:spacing w:after="0"/>
              <w:rPr>
                <w:sz w:val="20"/>
                <w:szCs w:val="20"/>
                <w:color w:val="auto"/>
              </w:rPr>
            </w:pPr>
            <w:r>
              <w:rPr>
                <w:rFonts w:ascii="Arial" w:cs="Arial" w:eastAsia="Arial" w:hAnsi="Arial"/>
                <w:sz w:val="12"/>
                <w:szCs w:val="12"/>
                <w:color w:val="auto"/>
              </w:rPr>
              <w:t>Director</w:t>
            </w: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60" w:type="dxa"/>
            <w:vAlign w:val="bottom"/>
            <w:gridSpan w:val="3"/>
            <w:vMerge w:val="restart"/>
          </w:tcPr>
          <w:p>
            <w:pPr>
              <w:ind w:left="500"/>
              <w:spacing w:after="0"/>
              <w:rPr>
                <w:sz w:val="20"/>
                <w:szCs w:val="20"/>
                <w:color w:val="auto"/>
              </w:rPr>
            </w:pPr>
            <w:r>
              <w:rPr>
                <w:rFonts w:ascii="Arial" w:cs="Arial" w:eastAsia="Arial" w:hAnsi="Arial"/>
                <w:sz w:val="12"/>
                <w:szCs w:val="12"/>
                <w:color w:val="auto"/>
              </w:rPr>
              <w:t>Officer (give title</w:t>
            </w:r>
          </w:p>
        </w:tc>
        <w:tc>
          <w:tcPr>
            <w:tcW w:w="480" w:type="dxa"/>
            <w:vAlign w:val="bottom"/>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00" w:type="dxa"/>
            <w:vAlign w:val="bottom"/>
            <w:gridSpan w:val="2"/>
            <w:vMerge w:val="restart"/>
          </w:tcPr>
          <w:p>
            <w:pPr>
              <w:ind w:left="500"/>
              <w:spacing w:after="0"/>
              <w:rPr>
                <w:sz w:val="20"/>
                <w:szCs w:val="20"/>
                <w:color w:val="auto"/>
              </w:rPr>
            </w:pPr>
            <w:r>
              <w:rPr>
                <w:rFonts w:ascii="Arial" w:cs="Arial" w:eastAsia="Arial" w:hAnsi="Arial"/>
                <w:sz w:val="12"/>
                <w:szCs w:val="12"/>
                <w:color w:val="auto"/>
              </w:rPr>
              <w:t>below)</w:t>
            </w: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580" w:type="dxa"/>
            <w:vAlign w:val="bottom"/>
            <w:gridSpan w:val="8"/>
            <w:vMerge w:val="restart"/>
          </w:tcPr>
          <w:p>
            <w:pPr>
              <w:spacing w:after="0"/>
              <w:rPr>
                <w:sz w:val="20"/>
                <w:szCs w:val="20"/>
                <w:color w:val="auto"/>
              </w:rPr>
            </w:pPr>
            <w:r>
              <w:rPr>
                <w:rFonts w:ascii="Arial" w:cs="Arial" w:eastAsia="Arial" w:hAnsi="Arial"/>
                <w:sz w:val="12"/>
                <w:szCs w:val="12"/>
                <w:color w:val="auto"/>
                <w:w w:val="98"/>
              </w:rPr>
              <w:t>3. Date of Earliest Transaction (Month/Day/Year)</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8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03/04/2026</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20" w:type="dxa"/>
            <w:vAlign w:val="bottom"/>
            <w:tcBorders>
              <w:bottom w:val="single" w:sz="8" w:color="2C2C2C"/>
            </w:tcBorders>
            <w:gridSpan w:val="5"/>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360" w:type="dxa"/>
            <w:vAlign w:val="bottom"/>
            <w:gridSpan w:val="8"/>
            <w:vMerge w:val="restart"/>
          </w:tcPr>
          <w:p>
            <w:pPr>
              <w:jc w:val="center"/>
              <w:ind w:right="300"/>
              <w:spacing w:after="0"/>
              <w:rPr>
                <w:sz w:val="20"/>
                <w:szCs w:val="20"/>
                <w:color w:val="auto"/>
              </w:rPr>
            </w:pPr>
            <w:r>
              <w:rPr>
                <w:rFonts w:ascii="Arial" w:cs="Arial" w:eastAsia="Arial" w:hAnsi="Arial"/>
                <w:sz w:val="12"/>
                <w:szCs w:val="12"/>
                <w:color w:val="auto"/>
                <w:w w:val="98"/>
              </w:rPr>
              <w:t>6. Individual or Joint/Group Filing (Check Applicable Line)</w:t>
            </w:r>
          </w:p>
        </w:tc>
        <w:tc>
          <w:tcPr>
            <w:tcW w:w="0" w:type="dxa"/>
            <w:vAlign w:val="bottom"/>
          </w:tcPr>
          <w:p>
            <w:pPr>
              <w:spacing w:after="0"/>
              <w:rPr>
                <w:sz w:val="1"/>
                <w:szCs w:val="1"/>
                <w:color w:val="auto"/>
              </w:rPr>
            </w:pPr>
          </w:p>
        </w:tc>
      </w:tr>
      <w:tr>
        <w:trPr>
          <w:trHeight w:val="145"/>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40" w:type="dxa"/>
            <w:vAlign w:val="bottom"/>
            <w:gridSpan w:val="10"/>
            <w:vMerge w:val="continue"/>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320" w:type="dxa"/>
            <w:vAlign w:val="bottom"/>
            <w:gridSpan w:val="7"/>
            <w:vMerge w:val="restart"/>
          </w:tcPr>
          <w:p>
            <w:pPr>
              <w:ind w:left="5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DC</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0000FF"/>
              </w:rPr>
              <w:t>20004-2505</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3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20" w:type="dxa"/>
            <w:vAlign w:val="bottom"/>
            <w:gridSpan w:val="7"/>
            <w:vMerge w:val="restart"/>
          </w:tcPr>
          <w:p>
            <w:pPr>
              <w:ind w:left="5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18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82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060" w:type="dxa"/>
            <w:vAlign w:val="bottom"/>
            <w:tcBorders>
              <w:top w:val="single" w:sz="8" w:color="2C2C2C"/>
            </w:tcBorders>
            <w:gridSpan w:val="20"/>
          </w:tcPr>
          <w:p>
            <w:pPr>
              <w:ind w:left="1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2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228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3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20" w:type="dxa"/>
            <w:vAlign w:val="bottom"/>
            <w:gridSpan w:val="5"/>
          </w:tcPr>
          <w:p>
            <w:pPr>
              <w:ind w:left="720"/>
              <w:spacing w:after="0"/>
              <w:rPr>
                <w:sz w:val="20"/>
                <w:szCs w:val="20"/>
                <w:color w:val="auto"/>
              </w:rPr>
            </w:pPr>
            <w:r>
              <w:rPr>
                <w:rFonts w:ascii="Arial" w:cs="Arial" w:eastAsia="Arial" w:hAnsi="Arial"/>
                <w:sz w:val="11"/>
                <w:szCs w:val="11"/>
                <w:b w:val="1"/>
                <w:bCs w:val="1"/>
                <w:color w:val="auto"/>
              </w:rPr>
              <w:t>2. Transaction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2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ind w:left="720"/>
              <w:spacing w:after="0" w:line="119"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80" w:type="dxa"/>
            <w:vAlign w:val="bottom"/>
            <w:gridSpan w:val="7"/>
          </w:tcPr>
          <w:p>
            <w:pPr>
              <w:jc w:val="center"/>
              <w:ind w:left="555"/>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Beneficially Owned</w:t>
            </w:r>
          </w:p>
        </w:tc>
        <w:tc>
          <w:tcPr>
            <w:tcW w:w="840" w:type="dxa"/>
            <w:vAlign w:val="bottom"/>
            <w:gridSpan w:val="2"/>
          </w:tcPr>
          <w:p>
            <w:pPr>
              <w:jc w:val="center"/>
              <w:ind w:right="38"/>
              <w:spacing w:after="0" w:line="119" w:lineRule="exact"/>
              <w:rPr>
                <w:sz w:val="20"/>
                <w:szCs w:val="20"/>
                <w:color w:val="auto"/>
              </w:rPr>
            </w:pPr>
            <w:r>
              <w:rPr>
                <w:rFonts w:ascii="Arial" w:cs="Arial" w:eastAsia="Arial" w:hAnsi="Arial"/>
                <w:sz w:val="11"/>
                <w:szCs w:val="11"/>
                <w:b w:val="1"/>
                <w:bCs w:val="1"/>
                <w:color w:val="auto"/>
                <w:w w:val="96"/>
              </w:rPr>
              <w:t>(D) or Indirect</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Following Reported</w:t>
            </w:r>
          </w:p>
        </w:tc>
        <w:tc>
          <w:tcPr>
            <w:tcW w:w="8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3"/>
            <w:vMerge w:val="restart"/>
          </w:tcPr>
          <w:p>
            <w:pPr>
              <w:ind w:left="40"/>
              <w:spacing w:after="0" w:line="119"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1520" w:type="dxa"/>
            <w:vAlign w:val="bottom"/>
            <w:gridSpan w:val="5"/>
          </w:tcPr>
          <w:p>
            <w:pPr>
              <w:jc w:val="center"/>
              <w:ind w:left="715"/>
              <w:spacing w:after="0"/>
              <w:rPr>
                <w:sz w:val="20"/>
                <w:szCs w:val="20"/>
                <w:color w:val="auto"/>
              </w:rPr>
            </w:pPr>
            <w:r>
              <w:rPr>
                <w:rFonts w:ascii="Times New Roman" w:cs="Times New Roman" w:eastAsia="Times New Roman" w:hAnsi="Times New Roman"/>
                <w:sz w:val="15"/>
                <w:szCs w:val="15"/>
                <w:color w:val="0000FF"/>
              </w:rPr>
              <w:t>03/04/2026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8,085,116</w:t>
            </w:r>
            <w:r>
              <w:rPr>
                <w:rFonts w:ascii="Times New Roman" w:cs="Times New Roman" w:eastAsia="Times New Roman" w:hAnsi="Times New Roman"/>
                <w:sz w:val="19"/>
                <w:szCs w:val="19"/>
                <w:color w:val="008000"/>
                <w:w w:val="98"/>
                <w:vertAlign w:val="superscript"/>
              </w:rPr>
              <w:t>(1)</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152,460,797</w:t>
            </w:r>
          </w:p>
        </w:tc>
        <w:tc>
          <w:tcPr>
            <w:tcW w:w="360" w:type="dxa"/>
            <w:vAlign w:val="bottom"/>
          </w:tcPr>
          <w:p>
            <w:pPr>
              <w:spacing w:after="0"/>
              <w:rPr>
                <w:sz w:val="21"/>
                <w:szCs w:val="21"/>
                <w:color w:val="auto"/>
              </w:rPr>
            </w:pPr>
          </w:p>
        </w:tc>
        <w:tc>
          <w:tcPr>
            <w:tcW w:w="480" w:type="dxa"/>
            <w:vAlign w:val="bottom"/>
          </w:tcPr>
          <w:p>
            <w:pPr>
              <w:jc w:val="center"/>
              <w:ind w:right="338"/>
              <w:spacing w:after="0"/>
              <w:rPr>
                <w:sz w:val="20"/>
                <w:szCs w:val="20"/>
                <w:color w:val="auto"/>
              </w:rPr>
            </w:pPr>
            <w:r>
              <w:rPr>
                <w:rFonts w:ascii="Times New Roman" w:cs="Times New Roman" w:eastAsia="Times New Roman" w:hAnsi="Times New Roman"/>
                <w:sz w:val="15"/>
                <w:szCs w:val="15"/>
                <w:color w:val="0000FF"/>
                <w:w w:val="79"/>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r>
              <w:rPr>
                <w:rFonts w:ascii="Times New Roman" w:cs="Times New Roman" w:eastAsia="Times New Roman" w:hAnsi="Times New Roman"/>
                <w:sz w:val="19"/>
                <w:szCs w:val="19"/>
                <w:color w:val="008000"/>
                <w:vertAlign w:val="superscript"/>
              </w:rPr>
              <w:t>(7)</w:t>
            </w:r>
          </w:p>
        </w:tc>
        <w:tc>
          <w:tcPr>
            <w:tcW w:w="1520" w:type="dxa"/>
            <w:vAlign w:val="bottom"/>
            <w:gridSpan w:val="5"/>
          </w:tcPr>
          <w:p>
            <w:pPr>
              <w:jc w:val="center"/>
              <w:ind w:left="715"/>
              <w:spacing w:after="0"/>
              <w:rPr>
                <w:sz w:val="20"/>
                <w:szCs w:val="20"/>
                <w:color w:val="auto"/>
              </w:rPr>
            </w:pPr>
            <w:r>
              <w:rPr>
                <w:rFonts w:ascii="Times New Roman" w:cs="Times New Roman" w:eastAsia="Times New Roman" w:hAnsi="Times New Roman"/>
                <w:sz w:val="15"/>
                <w:szCs w:val="15"/>
                <w:color w:val="0000FF"/>
              </w:rPr>
              <w:t>03/04/2026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J</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8,085,116</w:t>
            </w:r>
            <w:r>
              <w:rPr>
                <w:rFonts w:ascii="Times New Roman" w:cs="Times New Roman" w:eastAsia="Times New Roman" w:hAnsi="Times New Roman"/>
                <w:sz w:val="19"/>
                <w:szCs w:val="19"/>
                <w:color w:val="008000"/>
                <w:w w:val="98"/>
                <w:vertAlign w:val="superscript"/>
              </w:rPr>
              <w:t>(8)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62,842,239</w:t>
            </w:r>
          </w:p>
        </w:tc>
        <w:tc>
          <w:tcPr>
            <w:tcW w:w="360" w:type="dxa"/>
            <w:vAlign w:val="bottom"/>
          </w:tcPr>
          <w:p>
            <w:pPr>
              <w:spacing w:after="0"/>
              <w:rPr>
                <w:sz w:val="21"/>
                <w:szCs w:val="21"/>
                <w:color w:val="auto"/>
              </w:rPr>
            </w:pPr>
          </w:p>
        </w:tc>
        <w:tc>
          <w:tcPr>
            <w:tcW w:w="480" w:type="dxa"/>
            <w:vAlign w:val="bottom"/>
          </w:tcPr>
          <w:p>
            <w:pPr>
              <w:jc w:val="center"/>
              <w:ind w:right="338"/>
              <w:spacing w:after="0"/>
              <w:rPr>
                <w:sz w:val="20"/>
                <w:szCs w:val="20"/>
                <w:color w:val="auto"/>
              </w:rPr>
            </w:pPr>
            <w:r>
              <w:rPr>
                <w:rFonts w:ascii="Times New Roman" w:cs="Times New Roman" w:eastAsia="Times New Roman" w:hAnsi="Times New Roman"/>
                <w:sz w:val="15"/>
                <w:szCs w:val="15"/>
                <w:color w:val="0000FF"/>
                <w:w w:val="79"/>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1520" w:type="dxa"/>
            <w:vAlign w:val="bottom"/>
            <w:gridSpan w:val="5"/>
          </w:tcPr>
          <w:p>
            <w:pPr>
              <w:jc w:val="center"/>
              <w:ind w:left="715"/>
              <w:spacing w:after="0"/>
              <w:rPr>
                <w:sz w:val="20"/>
                <w:szCs w:val="20"/>
                <w:color w:val="auto"/>
              </w:rPr>
            </w:pPr>
            <w:r>
              <w:rPr>
                <w:rFonts w:ascii="Times New Roman" w:cs="Times New Roman" w:eastAsia="Times New Roman" w:hAnsi="Times New Roman"/>
                <w:sz w:val="15"/>
                <w:szCs w:val="15"/>
                <w:color w:val="0000FF"/>
              </w:rPr>
              <w:t>03/05/2026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1,212,767</w:t>
            </w:r>
            <w:r>
              <w:rPr>
                <w:rFonts w:ascii="Times New Roman" w:cs="Times New Roman" w:eastAsia="Times New Roman" w:hAnsi="Times New Roman"/>
                <w:sz w:val="19"/>
                <w:szCs w:val="19"/>
                <w:color w:val="008000"/>
                <w:w w:val="98"/>
                <w:vertAlign w:val="superscript"/>
              </w:rPr>
              <w:t>(9)</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153,673,564</w:t>
            </w:r>
          </w:p>
        </w:tc>
        <w:tc>
          <w:tcPr>
            <w:tcW w:w="360" w:type="dxa"/>
            <w:vAlign w:val="bottom"/>
          </w:tcPr>
          <w:p>
            <w:pPr>
              <w:spacing w:after="0"/>
              <w:rPr>
                <w:sz w:val="21"/>
                <w:szCs w:val="21"/>
                <w:color w:val="auto"/>
              </w:rPr>
            </w:pPr>
          </w:p>
        </w:tc>
        <w:tc>
          <w:tcPr>
            <w:tcW w:w="480" w:type="dxa"/>
            <w:vAlign w:val="bottom"/>
          </w:tcPr>
          <w:p>
            <w:pPr>
              <w:jc w:val="center"/>
              <w:ind w:right="338"/>
              <w:spacing w:after="0"/>
              <w:rPr>
                <w:sz w:val="20"/>
                <w:szCs w:val="20"/>
                <w:color w:val="auto"/>
              </w:rPr>
            </w:pPr>
            <w:r>
              <w:rPr>
                <w:rFonts w:ascii="Times New Roman" w:cs="Times New Roman" w:eastAsia="Times New Roman" w:hAnsi="Times New Roman"/>
                <w:sz w:val="15"/>
                <w:szCs w:val="15"/>
                <w:color w:val="0000FF"/>
                <w:w w:val="79"/>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38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r>
              <w:rPr>
                <w:rFonts w:ascii="Times New Roman" w:cs="Times New Roman" w:eastAsia="Times New Roman" w:hAnsi="Times New Roman"/>
                <w:sz w:val="19"/>
                <w:szCs w:val="19"/>
                <w:color w:val="008000"/>
                <w:vertAlign w:val="superscript"/>
              </w:rPr>
              <w:t>(7)</w:t>
            </w:r>
          </w:p>
        </w:tc>
        <w:tc>
          <w:tcPr>
            <w:tcW w:w="1520" w:type="dxa"/>
            <w:vAlign w:val="bottom"/>
            <w:gridSpan w:val="5"/>
          </w:tcPr>
          <w:p>
            <w:pPr>
              <w:jc w:val="center"/>
              <w:ind w:left="715"/>
              <w:spacing w:after="0"/>
              <w:rPr>
                <w:sz w:val="20"/>
                <w:szCs w:val="20"/>
                <w:color w:val="auto"/>
              </w:rPr>
            </w:pPr>
            <w:r>
              <w:rPr>
                <w:rFonts w:ascii="Times New Roman" w:cs="Times New Roman" w:eastAsia="Times New Roman" w:hAnsi="Times New Roman"/>
                <w:sz w:val="15"/>
                <w:szCs w:val="15"/>
                <w:color w:val="0000FF"/>
              </w:rPr>
              <w:t>03/05/2026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J</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1,212,767</w:t>
            </w:r>
            <w:r>
              <w:rPr>
                <w:rFonts w:ascii="Times New Roman" w:cs="Times New Roman" w:eastAsia="Times New Roman" w:hAnsi="Times New Roman"/>
                <w:sz w:val="19"/>
                <w:szCs w:val="19"/>
                <w:color w:val="008000"/>
                <w:w w:val="98"/>
                <w:vertAlign w:val="superscript"/>
              </w:rPr>
              <w:t>(8)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center"/>
              <w:ind w:right="26"/>
              <w:spacing w:after="0"/>
              <w:rPr>
                <w:sz w:val="20"/>
                <w:szCs w:val="20"/>
                <w:color w:val="auto"/>
              </w:rPr>
            </w:pPr>
            <w:r>
              <w:rPr>
                <w:rFonts w:ascii="Times New Roman" w:cs="Times New Roman" w:eastAsia="Times New Roman" w:hAnsi="Times New Roman"/>
                <w:sz w:val="15"/>
                <w:szCs w:val="15"/>
                <w:color w:val="0000FF"/>
              </w:rPr>
              <w:t>61,629,472</w:t>
            </w:r>
          </w:p>
        </w:tc>
        <w:tc>
          <w:tcPr>
            <w:tcW w:w="360" w:type="dxa"/>
            <w:vAlign w:val="bottom"/>
          </w:tcPr>
          <w:p>
            <w:pPr>
              <w:spacing w:after="0"/>
              <w:rPr>
                <w:sz w:val="21"/>
                <w:szCs w:val="21"/>
                <w:color w:val="auto"/>
              </w:rPr>
            </w:pPr>
          </w:p>
        </w:tc>
        <w:tc>
          <w:tcPr>
            <w:tcW w:w="480" w:type="dxa"/>
            <w:vAlign w:val="bottom"/>
          </w:tcPr>
          <w:p>
            <w:pPr>
              <w:jc w:val="center"/>
              <w:ind w:right="338"/>
              <w:spacing w:after="0"/>
              <w:rPr>
                <w:sz w:val="20"/>
                <w:szCs w:val="20"/>
                <w:color w:val="auto"/>
              </w:rPr>
            </w:pPr>
            <w:r>
              <w:rPr>
                <w:rFonts w:ascii="Times New Roman" w:cs="Times New Roman" w:eastAsia="Times New Roman" w:hAnsi="Times New Roman"/>
                <w:sz w:val="15"/>
                <w:szCs w:val="15"/>
                <w:color w:val="0000FF"/>
                <w:w w:val="79"/>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60" w:type="dxa"/>
            <w:vAlign w:val="bottom"/>
            <w:gridSpan w:val="20"/>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60" w:type="dxa"/>
            <w:vAlign w:val="bottom"/>
            <w:gridSpan w:val="17"/>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380" w:type="dxa"/>
            <w:vAlign w:val="bottom"/>
            <w:tcBorders>
              <w:right w:val="single" w:sz="8" w:color="2C2C2C"/>
            </w:tcBorders>
            <w:gridSpan w:val="3"/>
          </w:tcPr>
          <w:p>
            <w:pPr>
              <w:ind w:left="3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6"/>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Ownership  Indirect Beneficial</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6"/>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380" w:type="dxa"/>
            <w:vAlign w:val="bottom"/>
            <w:tcBorders>
              <w:right w:val="single" w:sz="8" w:color="2C2C2C"/>
            </w:tcBorders>
            <w:gridSpan w:val="3"/>
          </w:tcPr>
          <w:p>
            <w:pPr>
              <w:ind w:left="300"/>
              <w:spacing w:after="0" w:line="119"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4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Direct (D)</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w w:val="96"/>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Following</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03/04/2026</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2"/>
                <w:szCs w:val="12"/>
                <w:color w:val="0000FF"/>
                <w:w w:val="74"/>
              </w:rPr>
              <w:t>C</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2"/>
                <w:szCs w:val="12"/>
                <w:color w:val="0000FF"/>
                <w:w w:val="89"/>
              </w:rPr>
              <w:t>8,085,116</w:t>
            </w:r>
            <w:r>
              <w:rPr>
                <w:rFonts w:ascii="Times New Roman" w:cs="Times New Roman" w:eastAsia="Times New Roman" w:hAnsi="Times New Roman"/>
                <w:sz w:val="19"/>
                <w:szCs w:val="19"/>
                <w:color w:val="008000"/>
                <w:w w:val="89"/>
                <w:vertAlign w:val="superscript"/>
              </w:rPr>
              <w:t>(1)</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8,085,116</w:t>
            </w: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62,842,239</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380" w:type="dxa"/>
            <w:vAlign w:val="bottom"/>
            <w:tcBorders>
              <w:right w:val="single" w:sz="8" w:color="2C2C2C"/>
            </w:tcBorders>
            <w:gridSpan w:val="3"/>
          </w:tcPr>
          <w:p>
            <w:pPr>
              <w:ind w:left="300"/>
              <w:spacing w:after="0" w:line="189" w:lineRule="exact"/>
              <w:rPr>
                <w:sz w:val="20"/>
                <w:szCs w:val="20"/>
                <w:color w:val="auto"/>
              </w:rPr>
            </w:pPr>
            <w:r>
              <w:rPr>
                <w:rFonts w:ascii="Times New Roman" w:cs="Times New Roman" w:eastAsia="Times New Roman" w:hAnsi="Times New Roman"/>
                <w:sz w:val="12"/>
                <w:szCs w:val="12"/>
                <w:color w:val="0000FF"/>
                <w:w w:val="95"/>
              </w:rPr>
              <w:t>See footnotes</w:t>
            </w:r>
            <w:r>
              <w:rPr>
                <w:rFonts w:ascii="Times New Roman" w:cs="Times New Roman" w:eastAsia="Times New Roman" w:hAnsi="Times New Roman"/>
                <w:sz w:val="19"/>
                <w:szCs w:val="19"/>
                <w:color w:val="008000"/>
                <w:w w:val="95"/>
                <w:vertAlign w:val="superscript"/>
              </w:rPr>
              <w:t>(3)(4)(5)</w:t>
            </w: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gridSpan w:val="2"/>
          </w:tcPr>
          <w:p>
            <w:pPr>
              <w:ind w:left="40"/>
              <w:spacing w:after="0" w:line="85"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3"/>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80" w:type="dxa"/>
            <w:vAlign w:val="bottom"/>
          </w:tcPr>
          <w:p>
            <w:pPr>
              <w:ind w:left="300"/>
              <w:spacing w:after="0" w:line="85" w:lineRule="exact"/>
              <w:rPr>
                <w:sz w:val="20"/>
                <w:szCs w:val="20"/>
                <w:color w:val="auto"/>
              </w:rPr>
            </w:pPr>
            <w:r>
              <w:rPr>
                <w:rFonts w:ascii="Times New Roman" w:cs="Times New Roman" w:eastAsia="Times New Roman" w:hAnsi="Times New Roman"/>
                <w:sz w:val="9"/>
                <w:szCs w:val="9"/>
                <w:color w:val="008000"/>
              </w:rPr>
              <w:t>(6)</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93"/>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03/05/2026</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2"/>
                <w:szCs w:val="12"/>
                <w:color w:val="0000FF"/>
                <w:w w:val="74"/>
              </w:rPr>
              <w:t>C</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2"/>
                <w:szCs w:val="12"/>
                <w:color w:val="0000FF"/>
                <w:w w:val="89"/>
              </w:rPr>
              <w:t>1,212,767</w:t>
            </w:r>
            <w:r>
              <w:rPr>
                <w:rFonts w:ascii="Times New Roman" w:cs="Times New Roman" w:eastAsia="Times New Roman" w:hAnsi="Times New Roman"/>
                <w:sz w:val="19"/>
                <w:szCs w:val="19"/>
                <w:color w:val="008000"/>
                <w:w w:val="89"/>
                <w:vertAlign w:val="superscript"/>
              </w:rPr>
              <w:t>(9)</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1,212,767</w:t>
            </w: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61,629,472</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380" w:type="dxa"/>
            <w:vAlign w:val="bottom"/>
            <w:tcBorders>
              <w:right w:val="single" w:sz="8" w:color="2C2C2C"/>
            </w:tcBorders>
            <w:gridSpan w:val="3"/>
          </w:tcPr>
          <w:p>
            <w:pPr>
              <w:ind w:left="300"/>
              <w:spacing w:after="0" w:line="189" w:lineRule="exact"/>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gridSpan w:val="2"/>
          </w:tcPr>
          <w:p>
            <w:pPr>
              <w:ind w:left="40"/>
              <w:spacing w:after="0" w:line="85"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3"/>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80" w:type="dxa"/>
            <w:vAlign w:val="bottom"/>
          </w:tcPr>
          <w:p>
            <w:pPr>
              <w:ind w:left="300"/>
              <w:spacing w:after="0" w:line="85" w:lineRule="exact"/>
              <w:rPr>
                <w:sz w:val="20"/>
                <w:szCs w:val="20"/>
                <w:color w:val="auto"/>
              </w:rPr>
            </w:pPr>
            <w:r>
              <w:rPr>
                <w:rFonts w:ascii="Times New Roman" w:cs="Times New Roman" w:eastAsia="Times New Roman" w:hAnsi="Times New Roman"/>
                <w:sz w:val="9"/>
                <w:szCs w:val="9"/>
                <w:color w:val="008000"/>
              </w:rPr>
              <w:t>(10)(11)</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93"/>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gridSpan w:val="2"/>
          </w:tcPr>
          <w:p>
            <w:pPr>
              <w:spacing w:after="0"/>
              <w:rPr>
                <w:sz w:val="6"/>
                <w:szCs w:val="6"/>
                <w:color w:val="auto"/>
              </w:rPr>
            </w:pPr>
          </w:p>
        </w:tc>
        <w:tc>
          <w:tcPr>
            <w:tcW w:w="2280" w:type="dxa"/>
            <w:vAlign w:val="bottom"/>
            <w:tcBorders>
              <w:bottom w:val="single" w:sz="8" w:color="2C2C2C"/>
            </w:tcBorders>
            <w:gridSpan w:val="3"/>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380" w:type="dxa"/>
            <w:vAlign w:val="bottom"/>
            <w:gridSpan w:val="5"/>
          </w:tcPr>
          <w:p>
            <w:pPr>
              <w:ind w:left="60"/>
              <w:spacing w:after="0" w:line="208"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gridSpan w:val="8"/>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Carlyle Mozart Coinvestment Holdings, L.P.</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DC</w:t>
            </w:r>
          </w:p>
        </w:tc>
        <w:tc>
          <w:tcPr>
            <w:tcW w:w="138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980" w:type="dxa"/>
            <w:vAlign w:val="bottom"/>
          </w:tcPr>
          <w:p>
            <w:pPr>
              <w:ind w:left="54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gridSpan w:val="2"/>
          </w:tcPr>
          <w:p>
            <w:pPr>
              <w:spacing w:after="0"/>
              <w:rPr>
                <w:sz w:val="6"/>
                <w:szCs w:val="6"/>
                <w:color w:val="auto"/>
              </w:rPr>
            </w:pPr>
          </w:p>
        </w:tc>
        <w:tc>
          <w:tcPr>
            <w:tcW w:w="2280" w:type="dxa"/>
            <w:vAlign w:val="bottom"/>
            <w:tcBorders>
              <w:bottom w:val="single" w:sz="8" w:color="2C2C2C"/>
            </w:tcBorders>
            <w:gridSpan w:val="3"/>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80" w:type="dxa"/>
            <w:vAlign w:val="bottom"/>
            <w:gridSpan w:val="5"/>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0"/>
          </w:tcPr>
          <w:p>
            <w:pPr>
              <w:spacing w:after="0" w:line="204"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Carlyle Mozart Coinvestment UNLV Holdco, L.P.</w:t>
              </w:r>
            </w:hyperlink>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8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DC</w:t>
            </w:r>
          </w:p>
        </w:tc>
        <w:tc>
          <w:tcPr>
            <w:tcW w:w="138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-4993005</wp:posOffset>
            </wp:positionV>
            <wp:extent cx="2794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2135505"/>
                    </a:xfrm>
                    <a:prstGeom prst="rect">
                      <a:avLst/>
                    </a:prstGeom>
                    <a:noFill/>
                  </pic:spPr>
                </pic:pic>
              </a:graphicData>
            </a:graphic>
          </wp:anchor>
        </w:drawing>
      </w:r>
    </w:p>
    <w:p>
      <w:pPr>
        <w:sectPr>
          <w:pgSz w:w="11900" w:h="16838" w:orient="portrait"/>
          <w:cols w:equalWidth="0" w:num="1">
            <w:col w:w="11080"/>
          </w:cols>
          <w:pgMar w:left="460" w:top="209" w:right="359" w:bottom="0" w:gutter="0" w:footer="0" w:header="0"/>
          <w:type w:val="continuous"/>
        </w:sectPr>
      </w:pPr>
    </w:p>
    <w:p>
      <w:pPr>
        <w:spacing w:after="0" w:line="276"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0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-125730</wp:posOffset>
            </wp:positionV>
            <wp:extent cx="2813685" cy="475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3685" cy="4752975"/>
                    </a:xfrm>
                    <a:prstGeom prst="rect">
                      <a:avLst/>
                    </a:prstGeom>
                    <a:noFill/>
                  </pic:spPr>
                </pic:pic>
              </a:graphicData>
            </a:graphic>
          </wp:anchor>
        </w:drawing>
      </w:r>
    </w:p>
    <w:p>
      <w:pPr>
        <w:ind w:left="100"/>
        <w:spacing w:after="0"/>
        <w:rPr>
          <w:rFonts w:ascii="Times New Roman" w:cs="Times New Roman" w:eastAsia="Times New Roman" w:hAnsi="Times New Roman"/>
          <w:sz w:val="19"/>
          <w:szCs w:val="19"/>
          <w:u w:val="single" w:color="auto"/>
          <w:color w:val="0000EE"/>
        </w:rPr>
      </w:pPr>
      <w:hyperlink r:id="rId18">
        <w:r>
          <w:rPr>
            <w:rFonts w:ascii="Times New Roman" w:cs="Times New Roman" w:eastAsia="Times New Roman" w:hAnsi="Times New Roman"/>
            <w:sz w:val="19"/>
            <w:szCs w:val="19"/>
            <w:u w:val="single" w:color="auto"/>
            <w:color w:val="0000EE"/>
          </w:rPr>
          <w:t>CP Circle UNLV Holdco, L.P.</w:t>
        </w:r>
      </w:hyperlink>
    </w:p>
    <w:p>
      <w:pPr>
        <w:spacing w:after="0" w:line="272"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2"/>
                <w:szCs w:val="12"/>
                <w:color w:val="auto"/>
              </w:rPr>
              <w:t>(City)</w:t>
            </w:r>
          </w:p>
        </w:tc>
        <w:tc>
          <w:tcPr>
            <w:tcW w:w="1220" w:type="dxa"/>
            <w:vAlign w:val="bottom"/>
          </w:tcPr>
          <w:p>
            <w:pPr>
              <w:ind w:left="10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gridSpan w:val="2"/>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1300" w:type="dxa"/>
            <w:vAlign w:val="bottom"/>
            <w:gridSpan w:val="2"/>
          </w:tcPr>
          <w:p>
            <w:pPr>
              <w:spacing w:after="0" w:line="204"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CPEP GP, LLC</w:t>
              </w:r>
            </w:hyperlink>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2"/>
                <w:szCs w:val="12"/>
                <w:color w:val="auto"/>
              </w:rPr>
              <w:t>(Last)</w:t>
            </w:r>
          </w:p>
        </w:tc>
        <w:tc>
          <w:tcPr>
            <w:tcW w:w="1220" w:type="dxa"/>
            <w:vAlign w:val="bottom"/>
          </w:tcPr>
          <w:p>
            <w:pPr>
              <w:ind w:left="10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520" w:type="dxa"/>
            <w:vAlign w:val="bottom"/>
            <w:gridSpan w:val="3"/>
          </w:tcPr>
          <w:p>
            <w:pPr>
              <w:spacing w:after="0" w:line="204"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CPEP Circle Holdings L.P.</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5"/>
        </w:trPr>
        <w:tc>
          <w:tcPr>
            <w:tcW w:w="10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66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40" w:right="420" w:hanging="9"/>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following exchange of common units of Medline Holdings, LP ("Common Units") to an equivalent number of shares of the Issuer's Class A common stock ("Class A Common Stock") on March 4, 2026: (i) 1,752,046 Common Units to Class A Common Stock held by CP Circle UNLV Holdco, L.P. and (ii) 6,333,070 Common Units to Class A Common Stock held by CP Circle ML-1 Holdco, L.P.</w:t>
      </w:r>
    </w:p>
    <w:p>
      <w:pPr>
        <w:spacing w:after="0" w:line="16" w:lineRule="exact"/>
        <w:rPr>
          <w:rFonts w:ascii="Times New Roman" w:cs="Times New Roman" w:eastAsia="Times New Roman" w:hAnsi="Times New Roman"/>
          <w:sz w:val="12"/>
          <w:szCs w:val="12"/>
          <w:color w:val="008000"/>
        </w:rPr>
      </w:pPr>
    </w:p>
    <w:p>
      <w:pPr>
        <w:ind w:left="40" w:right="360" w:hanging="9"/>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rFonts w:ascii="Times New Roman" w:cs="Times New Roman" w:eastAsia="Times New Roman" w:hAnsi="Times New Roman"/>
          <w:sz w:val="12"/>
          <w:szCs w:val="12"/>
          <w:color w:val="008000"/>
        </w:rPr>
      </w:pPr>
    </w:p>
    <w:p>
      <w:pPr>
        <w:ind w:left="40" w:right="60" w:hanging="9"/>
        <w:spacing w:after="0" w:line="23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CG Subsidiary Holdings L.L.C. is also the managing member of CPEP GP, LLC, which is the general partner of CPEP Circle Holdings L.P.</w:t>
      </w:r>
    </w:p>
    <w:p>
      <w:pPr>
        <w:spacing w:after="0" w:line="24" w:lineRule="exact"/>
        <w:rPr>
          <w:rFonts w:ascii="Times New Roman" w:cs="Times New Roman" w:eastAsia="Times New Roman" w:hAnsi="Times New Roman"/>
          <w:sz w:val="12"/>
          <w:szCs w:val="12"/>
          <w:color w:val="008000"/>
        </w:rPr>
      </w:pPr>
    </w:p>
    <w:p>
      <w:pPr>
        <w:ind w:left="40" w:right="80" w:hanging="9"/>
        <w:spacing w:after="0" w:line="23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p>
      <w:pPr>
        <w:spacing w:after="0" w:line="24" w:lineRule="exact"/>
        <w:rPr>
          <w:rFonts w:ascii="Times New Roman" w:cs="Times New Roman" w:eastAsia="Times New Roman" w:hAnsi="Times New Roman"/>
          <w:sz w:val="12"/>
          <w:szCs w:val="12"/>
          <w:color w:val="008000"/>
        </w:rPr>
      </w:pPr>
    </w:p>
    <w:p>
      <w:pPr>
        <w:ind w:left="40" w:hanging="9"/>
        <w:spacing w:after="0" w:line="23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on March 4, 2026, reflects (i) 16,125,094 shares of Class A Common Stock held by Carlyle Mozart Coinvestment Holdings, L.P., (ii) 15,414,514 shares of Class A Common Stock held by Carlyle Mozart Coinvestment UNLV Holdco, L.P., (iii) 838,505 shares of Class A Common Stock held by CPEP Circle Holdings L.P., (iv) 17,636,833 shares of Class A Common Stock held by CP Circle ML-7 Holdco, L.P., (v) 2,440,275 shares of Class A Common Stock held by CP Circle ML-6 Holdco, L.P., (vi) 6,615,133 shares of Class A Common Stock held by CP Circle ML-5 Holdco, L.P., (vii) 26,655,381 shares of Class A Common Stock held by CP Circle ML-4 Holdco, L.P., (viii) 58,369,466 shares of Class A Common Stock held by CP Circle ML-3 Holdco, L.P., (ix) 268,411 shares of Class A Common Stock held by CP Circle ML-2 Holdco, L.P., (continued in footnote 6)</w:t>
      </w:r>
    </w:p>
    <w:p>
      <w:pPr>
        <w:spacing w:after="0" w:line="24" w:lineRule="exact"/>
        <w:rPr>
          <w:rFonts w:ascii="Times New Roman" w:cs="Times New Roman" w:eastAsia="Times New Roman" w:hAnsi="Times New Roman"/>
          <w:sz w:val="12"/>
          <w:szCs w:val="12"/>
          <w:color w:val="008000"/>
        </w:rPr>
      </w:pPr>
    </w:p>
    <w:p>
      <w:pPr>
        <w:ind w:left="40" w:right="220" w:hanging="9"/>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(x) 1,754,661 shares of Class A Common Stock and 13,617,928 Common Units and shares of Class B Common Stock held by CP Circle UNLV Holdco, L.P. and (xi) 6,342,524 shares of Class A Common Stock and 49,224,311 Common Units and shares of Class B Common Stock held by CP Circle ML-1 Holdco, L.P.</w:t>
      </w:r>
    </w:p>
    <w:p>
      <w:pPr>
        <w:spacing w:after="0" w:line="16" w:lineRule="exact"/>
        <w:rPr>
          <w:rFonts w:ascii="Times New Roman" w:cs="Times New Roman" w:eastAsia="Times New Roman" w:hAnsi="Times New Roman"/>
          <w:sz w:val="12"/>
          <w:szCs w:val="12"/>
          <w:color w:val="008000"/>
        </w:rPr>
      </w:pPr>
    </w:p>
    <w:p>
      <w:pPr>
        <w:ind w:left="40" w:right="100" w:hanging="9"/>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p>
      <w:pPr>
        <w:spacing w:after="0" w:line="16" w:lineRule="exact"/>
        <w:rPr>
          <w:rFonts w:ascii="Times New Roman" w:cs="Times New Roman" w:eastAsia="Times New Roman" w:hAnsi="Times New Roman"/>
          <w:sz w:val="12"/>
          <w:szCs w:val="12"/>
          <w:color w:val="008000"/>
        </w:rPr>
      </w:pPr>
    </w:p>
    <w:p>
      <w:pPr>
        <w:ind w:left="40" w:right="60" w:hanging="9"/>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cancellation of shares of Class B Common Stock held by CP Circle UNLV Holdco, L.P. and CP Circle ML-1 Holdco, L.P. as a result of an exchange of an equivalent number of Common Units to shares of Class A Common Stock.</w:t>
      </w:r>
    </w:p>
    <w:p>
      <w:pPr>
        <w:spacing w:after="0" w:line="16" w:lineRule="exact"/>
        <w:rPr>
          <w:rFonts w:ascii="Times New Roman" w:cs="Times New Roman" w:eastAsia="Times New Roman" w:hAnsi="Times New Roman"/>
          <w:sz w:val="12"/>
          <w:szCs w:val="12"/>
          <w:color w:val="008000"/>
        </w:rPr>
      </w:pPr>
    </w:p>
    <w:p>
      <w:pPr>
        <w:ind w:left="40" w:right="60" w:hanging="9"/>
        <w:spacing w:after="0" w:line="254"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following exchange of Common Units to an equivalent number of shares of Class A Common Stock on March 5, 2026: (i) 262,807 Common Units to Class A Common Stock held by CP Circle UNLV Holdco, L.P. and (ii) 949,960 Common Units to Class A Common Stock held by CP Circle ML-1 Holdco, L.P.</w:t>
      </w:r>
    </w:p>
    <w:p>
      <w:pPr>
        <w:spacing w:after="0" w:line="16" w:lineRule="exact"/>
        <w:rPr>
          <w:rFonts w:ascii="Times New Roman" w:cs="Times New Roman" w:eastAsia="Times New Roman" w:hAnsi="Times New Roman"/>
          <w:sz w:val="12"/>
          <w:szCs w:val="12"/>
          <w:color w:val="008000"/>
        </w:rPr>
      </w:pPr>
    </w:p>
    <w:p>
      <w:pPr>
        <w:jc w:val="both"/>
        <w:ind w:left="40" w:hanging="9"/>
        <w:spacing w:after="0" w:line="235" w:lineRule="auto"/>
        <w:tabs>
          <w:tab w:leader="none" w:pos="21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on March 5, 2026, reflects (i) 16,125,094 shares of Class A Common Stock held by Carlyle Mozart Coinvestment Holdings, L.P., (ii) 15,414,514 shares of Class A Common Stock held by Carlyle Mozart Coinvestment UNLV Holdco, L.P., (iii) 838,505 shares of Class A Common Stock held by CPEP Circle Holdings L.P., (iv) 17,636,833 shares of Class A Common Stock held by CP Circle ML-7 Holdco, L.P., (v) 2,440,275 shares of Class A Common Stock held by CP Circle ML-6 Holdco, L.P., (vi) 6,615,133 shares of Class A Common Stock held by CP Circle ML-5 Holdco, L.P., (vii) 26,655,381 shares of Class A Common Stock held by CP Circle ML-4 Holdco, L.P., (viii) 58,369,466 shares of Class A Common Stock held by CP Circle ML-3 Holdco, L.P., (ix) 268,411 shares of Class A Common Stock held by CP Circle ML-2 Holdco, L.P., (continued in footnote 11)</w:t>
      </w:r>
    </w:p>
    <w:p>
      <w:pPr>
        <w:spacing w:after="0" w:line="24" w:lineRule="exact"/>
        <w:rPr>
          <w:rFonts w:ascii="Times New Roman" w:cs="Times New Roman" w:eastAsia="Times New Roman" w:hAnsi="Times New Roman"/>
          <w:sz w:val="12"/>
          <w:szCs w:val="12"/>
          <w:color w:val="008000"/>
        </w:rPr>
      </w:pPr>
    </w:p>
    <w:p>
      <w:pPr>
        <w:ind w:left="40" w:right="100" w:hanging="9"/>
        <w:spacing w:after="0" w:line="254" w:lineRule="auto"/>
        <w:tabs>
          <w:tab w:leader="none" w:pos="21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10) (x) 2,017,468 shares of Class A Common Stock and 13,355,121 Common Units and shares of Class B Common Stock held by CP Circle UNLV Holdco, L.P. and (xi) 7,292,484 shares of Class A Common Stock and 48,274,351 Common Units and shares of Class B Common Stock held by CP Circle ML-1 Holdco, L.P.</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55" w:lineRule="exact"/>
        <w:rPr>
          <w:sz w:val="20"/>
          <w:szCs w:val="20"/>
          <w:color w:val="auto"/>
        </w:rPr>
      </w:pPr>
    </w:p>
    <w:p>
      <w:pPr>
        <w:ind w:left="40" w:right="20"/>
        <w:spacing w:after="0" w:line="237" w:lineRule="auto"/>
        <w:rPr>
          <w:sz w:val="20"/>
          <w:szCs w:val="20"/>
          <w:color w:val="auto"/>
        </w:rPr>
      </w:pPr>
      <w:r>
        <w:rPr>
          <w:rFonts w:ascii="Times New Roman" w:cs="Times New Roman" w:eastAsia="Times New Roman" w:hAnsi="Times New Roman"/>
          <w:sz w:val="12"/>
          <w:szCs w:val="12"/>
          <w:color w:val="008000"/>
        </w:rPr>
        <w:t>Due to the limitations of the electronic filing system, The Carlyle Group Inc., Carlyle Holdings I GP Inc., Carlyle Holdings I GP Sub L.L.C., Carlyle Holdings I L.P., TC Group, L.L.C., TC Group Sub L.P., TC Group VII S1, L.L.C., TC Group VII S1, L.P., Carlyle Holdings II GP L.L.C., Carlyle Holdings II L.L.C., TC Group Cayman Investment Holdings, L.P., TC Group Cayman Investment Holdings Sub L.P., TC Group VII, L.L.C., TC Group VII, L.P., CP Circle ML-1 Holdco GP, LLC, CP Circle ML-1 Holdco, L.P., CP Circle ML Holdco GP, LLC, CP Circle ML-2 Holdco, L.P., CP Circle ML-3 Holdco, L.P., CP Circle ML-4 Holdco, L.P., CP Circle ML-5 Holdco, L.P., CP Circle ML-6 Holdco, L.P. and CP Circle ML-7 Holdco, L.P. are filing a separate Form 4.</w:t>
      </w:r>
    </w:p>
    <w:p>
      <w:pPr>
        <w:sectPr>
          <w:pgSz w:w="11900" w:h="16838" w:orient="portrait"/>
          <w:cols w:equalWidth="0" w:num="1">
            <w:col w:w="10940"/>
          </w:cols>
          <w:pgMar w:left="460" w:top="120" w:right="499" w:bottom="0" w:gutter="0" w:footer="0" w:header="0"/>
        </w:sectPr>
      </w:pPr>
    </w:p>
    <w:p>
      <w:pPr>
        <w:spacing w:after="0" w:line="4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Carlyle Mozart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-3810</wp:posOffset>
            </wp:positionV>
            <wp:extent cx="11645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4590"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Holdings, L.P., By: TC Group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3360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S1,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2477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477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TC Group VII S1,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1372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372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2014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9982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Carlyle Mozart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-3810</wp:posOffset>
            </wp:positionV>
            <wp:extent cx="11645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64590"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UNLV Holdco,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1176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176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Group VII S1,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1944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944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partner, By: TC Group VII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2014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3182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Jeremy 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3055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3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CP Circle UNLV Holdco,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-3810</wp:posOffset>
            </wp:positionV>
            <wp:extent cx="1210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By: TC Group VII S1,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1976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9761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general partner, By: TC Group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3614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ectPr>
          <w:pgSz w:w="11900" w:h="16838" w:orient="portrait"/>
          <w:cols w:equalWidth="0" w:num="2">
            <w:col w:w="8740" w:space="60"/>
            <w:col w:w="2140"/>
          </w:cols>
          <w:pgMar w:left="460" w:top="120" w:right="499" w:bottom="0" w:gutter="0" w:footer="0" w:header="0"/>
          <w:type w:val="continuous"/>
        </w:sectPr>
      </w:pPr>
    </w:p>
    <w:bookmarkStart w:id="2" w:name="page3"/>
    <w:bookmarkEnd w:id="2"/>
    <w:p>
      <w:pPr>
        <w:ind w:left="6569"/>
        <w:spacing w:after="0"/>
        <w:rPr>
          <w:sz w:val="20"/>
          <w:szCs w:val="20"/>
          <w:color w:val="auto"/>
        </w:rPr>
      </w:pPr>
      <w:r>
        <w:rPr>
          <w:rFonts w:ascii="Times New Roman" w:cs="Times New Roman" w:eastAsia="Times New Roman" w:hAnsi="Times New Roman"/>
          <w:sz w:val="15"/>
          <w:szCs w:val="15"/>
          <w:color w:val="0000FF"/>
        </w:rPr>
        <w:t>S1, 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538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3314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3314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3644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6449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CPEP GP, LLC,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223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2237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9982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CPEP Circle 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4904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CPEP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610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6108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partner, By: /s/ Jeremy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56832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68325" cy="7620"/>
                    </a:xfrm>
                    <a:prstGeom prst="rect">
                      <a:avLst/>
                    </a:prstGeom>
                    <a:noFill/>
                  </pic:spPr>
                </pic:pic>
              </a:graphicData>
            </a:graphic>
          </wp:anchor>
        </w:drawing>
      </w:r>
    </w:p>
    <w:p>
      <w:pPr>
        <w:spacing w:after="0" w:line="36" w:lineRule="exact"/>
        <w:rPr>
          <w:sz w:val="20"/>
          <w:szCs w:val="20"/>
          <w:color w:val="auto"/>
        </w:rPr>
      </w:pPr>
    </w:p>
    <w:p>
      <w:pPr>
        <w:ind w:left="6569"/>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0" w:lineRule="exact"/>
        <w:rPr>
          <w:sz w:val="20"/>
          <w:szCs w:val="20"/>
          <w:color w:val="auto"/>
        </w:rPr>
      </w:pPr>
    </w:p>
    <w:p>
      <w:pPr>
        <w:sectPr>
          <w:pgSz w:w="11900" w:h="16838" w:orient="portrait"/>
          <w:cols w:equalWidth="0" w:num="2">
            <w:col w:w="8689" w:space="80"/>
            <w:col w:w="1199"/>
          </w:cols>
          <w:pgMar w:left="491" w:top="128" w:right="1440" w:bottom="1440" w:gutter="0" w:footer="0" w:header="0"/>
        </w:sect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3119" w:hanging="9"/>
        <w:spacing w:after="0" w:line="335"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9"/>
      </w:cols>
      <w:pgMar w:left="491" w:top="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13" Type="http://schemas.openxmlformats.org/officeDocument/2006/relationships/hyperlink" Target="http://www.sec.gov/cgi-bin/browse-edgar?action=getcompany&amp;CIK=0001878065"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2108739" TargetMode="External"/><Relationship Id="rId18" Type="http://schemas.openxmlformats.org/officeDocument/2006/relationships/hyperlink" Target="http://www.sec.gov/cgi-bin/browse-edgar?action=getcompany&amp;CIK=0002108756" TargetMode="External"/><Relationship Id="rId19" Type="http://schemas.openxmlformats.org/officeDocument/2006/relationships/hyperlink" Target="http://www.sec.gov/cgi-bin/browse-edgar?action=getcompany&amp;CIK=0002100740" TargetMode="External"/><Relationship Id="rId20" Type="http://schemas.openxmlformats.org/officeDocument/2006/relationships/hyperlink" Target="http://www.sec.gov/cgi-bin/browse-edgar?action=getcompany&amp;CIK=00021007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2026-03-06T17:56:32Z</dcterms:created>
  <dcterms:modified xsi:type="dcterms:W3CDTF">2026-03-06T17:56:32Z</dcterms:modified>
</cp:coreProperties>
</file>