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As confidentially submitted to the Securities and Exchange Commission on February 9, 2026.</w:t>
      </w:r>
    </w:p>
    <w:p>
      <w:pPr>
        <w:spacing w:after="0" w:line="7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88265</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130810</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0"/>
          <w:szCs w:val="30"/>
          <w:b w:val="1"/>
          <w:bCs w:val="1"/>
          <w:color w:val="auto"/>
        </w:rPr>
        <w:t>UNITED STATES</w:t>
      </w:r>
    </w:p>
    <w:p>
      <w:pPr>
        <w:spacing w:after="0" w:line="4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109220</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8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9"/>
          <w:szCs w:val="29"/>
          <w:b w:val="1"/>
          <w:bCs w:val="1"/>
          <w:color w:val="auto"/>
        </w:rPr>
        <w:t>FORM S-1</w:t>
      </w:r>
    </w:p>
    <w:p>
      <w:pPr>
        <w:spacing w:after="0" w:line="3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114300</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7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43"/>
          <w:szCs w:val="43"/>
          <w:b w:val="1"/>
          <w:bCs w:val="1"/>
          <w:color w:val="auto"/>
        </w:rPr>
        <w:t>Medline Inc.</w:t>
      </w:r>
    </w:p>
    <w:p>
      <w:pPr>
        <w:spacing w:after="0" w:line="5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122555</wp:posOffset>
            </wp:positionV>
            <wp:extent cx="1460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64" w:lineRule="exact"/>
        <w:rPr>
          <w:sz w:val="24"/>
          <w:szCs w:val="24"/>
          <w:color w:val="auto"/>
        </w:rPr>
      </w:pPr>
    </w:p>
    <w:tbl>
      <w:tblPr>
        <w:tblLayout w:type="fixed"/>
        <w:tblInd w:w="1080" w:type="dxa"/>
        <w:tblCellMar>
          <w:top w:w="0" w:type="dxa"/>
          <w:left w:w="0" w:type="dxa"/>
          <w:bottom w:w="0" w:type="dxa"/>
          <w:right w:w="0" w:type="dxa"/>
        </w:tblCellMar>
      </w:tblPr>
      <w:tr>
        <w:trPr>
          <w:trHeight w:val="192"/>
        </w:trPr>
        <w:tc>
          <w:tcPr>
            <w:tcW w:w="2820" w:type="dxa"/>
            <w:vAlign w:val="bottom"/>
          </w:tcPr>
          <w:p>
            <w:pPr>
              <w:jc w:val="center"/>
              <w:ind w:right="866"/>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820" w:type="dxa"/>
            <w:vAlign w:val="bottom"/>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w w:val="99"/>
              </w:rPr>
              <w:t>3841</w:t>
            </w:r>
          </w:p>
        </w:tc>
        <w:tc>
          <w:tcPr>
            <w:tcW w:w="2180" w:type="dxa"/>
            <w:vAlign w:val="bottom"/>
          </w:tcPr>
          <w:p>
            <w:pPr>
              <w:jc w:val="center"/>
              <w:ind w:left="966"/>
              <w:spacing w:after="0"/>
              <w:rPr>
                <w:sz w:val="20"/>
                <w:szCs w:val="20"/>
                <w:color w:val="auto"/>
              </w:rPr>
            </w:pPr>
            <w:r>
              <w:rPr>
                <w:rFonts w:ascii="Times New Roman" w:cs="Times New Roman" w:eastAsia="Times New Roman" w:hAnsi="Times New Roman"/>
                <w:sz w:val="16"/>
                <w:szCs w:val="16"/>
                <w:b w:val="1"/>
                <w:bCs w:val="1"/>
                <w:color w:val="auto"/>
              </w:rPr>
              <w:t>33-1845288</w:t>
            </w:r>
          </w:p>
        </w:tc>
      </w:tr>
      <w:tr>
        <w:trPr>
          <w:trHeight w:val="147"/>
        </w:trPr>
        <w:tc>
          <w:tcPr>
            <w:tcW w:w="2820" w:type="dxa"/>
            <w:vAlign w:val="bottom"/>
          </w:tcPr>
          <w:p>
            <w:pPr>
              <w:jc w:val="center"/>
              <w:ind w:right="866"/>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20" w:type="dxa"/>
            <w:vAlign w:val="bottom"/>
          </w:tcPr>
          <w:p>
            <w:pPr>
              <w:jc w:val="center"/>
              <w:ind w:right="66"/>
              <w:spacing w:after="0" w:line="147"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180" w:type="dxa"/>
            <w:vAlign w:val="bottom"/>
          </w:tcPr>
          <w:p>
            <w:pPr>
              <w:jc w:val="center"/>
              <w:ind w:left="966"/>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2820" w:type="dxa"/>
            <w:vAlign w:val="bottom"/>
          </w:tcPr>
          <w:p>
            <w:pPr>
              <w:jc w:val="center"/>
              <w:ind w:right="86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20" w:type="dxa"/>
            <w:vAlign w:val="bottom"/>
          </w:tcPr>
          <w:p>
            <w:pPr>
              <w:jc w:val="center"/>
              <w:ind w:right="66"/>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180" w:type="dxa"/>
            <w:vAlign w:val="bottom"/>
          </w:tcPr>
          <w:p>
            <w:pPr>
              <w:jc w:val="center"/>
              <w:ind w:left="986"/>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3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3 Lakes Drive</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Northfield, Illinois 60093</w:t>
      </w:r>
    </w:p>
    <w:p>
      <w:pPr>
        <w:spacing w:after="0" w:line="1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Telephone: (847) 949-5500</w:t>
      </w:r>
    </w:p>
    <w:p>
      <w:pPr>
        <w:spacing w:after="0" w:line="1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114300</wp:posOffset>
            </wp:positionV>
            <wp:extent cx="146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1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James Boyle</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1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Medline Inc.</w:t>
      </w:r>
    </w:p>
    <w:p>
      <w:pPr>
        <w:spacing w:after="0" w:line="1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3 Lakes Drive</w:t>
      </w:r>
    </w:p>
    <w:p>
      <w:pPr>
        <w:spacing w:after="0" w:line="1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Northfield, Illinois 60093</w:t>
      </w:r>
    </w:p>
    <w:p>
      <w:pPr>
        <w:spacing w:after="0" w:line="1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Telephone: (847) 949-5500</w:t>
      </w:r>
    </w:p>
    <w:p>
      <w:pPr>
        <w:spacing w:after="0" w:line="1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106045</wp:posOffset>
            </wp:positionV>
            <wp:extent cx="1460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9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0" w:lineRule="exact"/>
        <w:rPr>
          <w:sz w:val="24"/>
          <w:szCs w:val="24"/>
          <w:color w:val="auto"/>
        </w:rPr>
      </w:pPr>
    </w:p>
    <w:tbl>
      <w:tblPr>
        <w:tblLayout w:type="fixed"/>
        <w:tblInd w:w="860" w:type="dxa"/>
        <w:tblCellMar>
          <w:top w:w="0" w:type="dxa"/>
          <w:left w:w="0" w:type="dxa"/>
          <w:bottom w:w="0" w:type="dxa"/>
          <w:right w:w="0" w:type="dxa"/>
        </w:tblCellMar>
      </w:tblPr>
      <w:tr>
        <w:trPr>
          <w:trHeight w:val="184"/>
        </w:trPr>
        <w:tc>
          <w:tcPr>
            <w:tcW w:w="3140" w:type="dxa"/>
            <w:vAlign w:val="bottom"/>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rPr>
              <w:t>Joshua Ford Bonnie</w:t>
            </w: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Alex Liberman</w:t>
            </w:r>
          </w:p>
        </w:tc>
        <w:tc>
          <w:tcPr>
            <w:tcW w:w="2700" w:type="dxa"/>
            <w:vAlign w:val="bottom"/>
          </w:tcPr>
          <w:p>
            <w:pPr>
              <w:jc w:val="center"/>
              <w:ind w:left="820"/>
              <w:spacing w:after="0"/>
              <w:rPr>
                <w:sz w:val="20"/>
                <w:szCs w:val="20"/>
                <w:color w:val="auto"/>
              </w:rPr>
            </w:pPr>
            <w:r>
              <w:rPr>
                <w:rFonts w:ascii="Times New Roman" w:cs="Times New Roman" w:eastAsia="Times New Roman" w:hAnsi="Times New Roman"/>
                <w:sz w:val="16"/>
                <w:szCs w:val="16"/>
                <w:b w:val="1"/>
                <w:bCs w:val="1"/>
                <w:color w:val="auto"/>
              </w:rPr>
              <w:t>Jason M. Licht</w:t>
            </w:r>
          </w:p>
        </w:tc>
      </w:tr>
      <w:tr>
        <w:trPr>
          <w:trHeight w:val="201"/>
        </w:trPr>
        <w:tc>
          <w:tcPr>
            <w:tcW w:w="3140" w:type="dxa"/>
            <w:vAlign w:val="bottom"/>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rPr>
              <w:t>Jonathan R. Ozner</w:t>
            </w: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Chief Legal Officer</w:t>
            </w:r>
          </w:p>
        </w:tc>
        <w:tc>
          <w:tcPr>
            <w:tcW w:w="2700" w:type="dxa"/>
            <w:vAlign w:val="bottom"/>
          </w:tcPr>
          <w:p>
            <w:pPr>
              <w:jc w:val="center"/>
              <w:ind w:left="820"/>
              <w:spacing w:after="0"/>
              <w:rPr>
                <w:sz w:val="20"/>
                <w:szCs w:val="20"/>
                <w:color w:val="auto"/>
              </w:rPr>
            </w:pPr>
            <w:r>
              <w:rPr>
                <w:rFonts w:ascii="Times New Roman" w:cs="Times New Roman" w:eastAsia="Times New Roman" w:hAnsi="Times New Roman"/>
                <w:sz w:val="16"/>
                <w:szCs w:val="16"/>
                <w:b w:val="1"/>
                <w:bCs w:val="1"/>
                <w:color w:val="auto"/>
              </w:rPr>
              <w:t>Patrick H. Shannon</w:t>
            </w:r>
          </w:p>
        </w:tc>
      </w:tr>
      <w:tr>
        <w:trPr>
          <w:trHeight w:val="201"/>
        </w:trPr>
        <w:tc>
          <w:tcPr>
            <w:tcW w:w="3140" w:type="dxa"/>
            <w:vAlign w:val="bottom"/>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rPr>
              <w:t>Katharine L. Thompson</w:t>
            </w: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Medline Inc.</w:t>
            </w:r>
          </w:p>
        </w:tc>
        <w:tc>
          <w:tcPr>
            <w:tcW w:w="2700" w:type="dxa"/>
            <w:vAlign w:val="bottom"/>
          </w:tcPr>
          <w:p>
            <w:pPr>
              <w:jc w:val="center"/>
              <w:ind w:left="800"/>
              <w:spacing w:after="0"/>
              <w:rPr>
                <w:sz w:val="20"/>
                <w:szCs w:val="20"/>
                <w:color w:val="auto"/>
              </w:rPr>
            </w:pPr>
            <w:r>
              <w:rPr>
                <w:rFonts w:ascii="Times New Roman" w:cs="Times New Roman" w:eastAsia="Times New Roman" w:hAnsi="Times New Roman"/>
                <w:sz w:val="16"/>
                <w:szCs w:val="16"/>
                <w:b w:val="1"/>
                <w:bCs w:val="1"/>
                <w:color w:val="auto"/>
              </w:rPr>
              <w:t>Cathy A. Birkeland</w:t>
            </w:r>
          </w:p>
        </w:tc>
      </w:tr>
      <w:tr>
        <w:trPr>
          <w:trHeight w:val="201"/>
        </w:trPr>
        <w:tc>
          <w:tcPr>
            <w:tcW w:w="3140" w:type="dxa"/>
            <w:vAlign w:val="bottom"/>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rPr>
              <w:t>Simpson Thacher &amp; Bartlett LLP</w:t>
            </w: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3 Lakes Drive</w:t>
            </w:r>
          </w:p>
        </w:tc>
        <w:tc>
          <w:tcPr>
            <w:tcW w:w="2700" w:type="dxa"/>
            <w:vAlign w:val="bottom"/>
          </w:tcPr>
          <w:p>
            <w:pPr>
              <w:jc w:val="center"/>
              <w:ind w:left="820"/>
              <w:spacing w:after="0"/>
              <w:rPr>
                <w:sz w:val="20"/>
                <w:szCs w:val="20"/>
                <w:color w:val="auto"/>
              </w:rPr>
            </w:pPr>
            <w:r>
              <w:rPr>
                <w:rFonts w:ascii="Times New Roman" w:cs="Times New Roman" w:eastAsia="Times New Roman" w:hAnsi="Times New Roman"/>
                <w:sz w:val="16"/>
                <w:szCs w:val="16"/>
                <w:b w:val="1"/>
                <w:bCs w:val="1"/>
                <w:color w:val="auto"/>
                <w:w w:val="99"/>
              </w:rPr>
              <w:t>Latham &amp; Watkins LLP</w:t>
            </w:r>
          </w:p>
        </w:tc>
      </w:tr>
      <w:tr>
        <w:trPr>
          <w:trHeight w:val="201"/>
        </w:trPr>
        <w:tc>
          <w:tcPr>
            <w:tcW w:w="3140" w:type="dxa"/>
            <w:vAlign w:val="bottom"/>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w w:val="99"/>
              </w:rPr>
              <w:t>900 G Street, N.W.</w:t>
            </w: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Northfield, Illinois 60093</w:t>
            </w:r>
          </w:p>
        </w:tc>
        <w:tc>
          <w:tcPr>
            <w:tcW w:w="2700" w:type="dxa"/>
            <w:vAlign w:val="bottom"/>
          </w:tcPr>
          <w:p>
            <w:pPr>
              <w:jc w:val="center"/>
              <w:ind w:left="820"/>
              <w:spacing w:after="0"/>
              <w:rPr>
                <w:sz w:val="20"/>
                <w:szCs w:val="20"/>
                <w:color w:val="auto"/>
              </w:rPr>
            </w:pPr>
            <w:r>
              <w:rPr>
                <w:rFonts w:ascii="Times New Roman" w:cs="Times New Roman" w:eastAsia="Times New Roman" w:hAnsi="Times New Roman"/>
                <w:sz w:val="16"/>
                <w:szCs w:val="16"/>
                <w:b w:val="1"/>
                <w:bCs w:val="1"/>
                <w:color w:val="auto"/>
                <w:w w:val="99"/>
              </w:rPr>
              <w:t>555 Eleventh Street, N.W.</w:t>
            </w:r>
          </w:p>
        </w:tc>
      </w:tr>
      <w:tr>
        <w:trPr>
          <w:trHeight w:val="201"/>
        </w:trPr>
        <w:tc>
          <w:tcPr>
            <w:tcW w:w="3140" w:type="dxa"/>
            <w:vAlign w:val="bottom"/>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w w:val="98"/>
              </w:rPr>
              <w:t>Washington, D.C. 20001</w:t>
            </w: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Telephone: (847) 949-5500</w:t>
            </w:r>
          </w:p>
        </w:tc>
        <w:tc>
          <w:tcPr>
            <w:tcW w:w="2700" w:type="dxa"/>
            <w:vAlign w:val="bottom"/>
          </w:tcPr>
          <w:p>
            <w:pPr>
              <w:jc w:val="center"/>
              <w:ind w:left="800"/>
              <w:spacing w:after="0"/>
              <w:rPr>
                <w:sz w:val="20"/>
                <w:szCs w:val="20"/>
                <w:color w:val="auto"/>
              </w:rPr>
            </w:pPr>
            <w:r>
              <w:rPr>
                <w:rFonts w:ascii="Times New Roman" w:cs="Times New Roman" w:eastAsia="Times New Roman" w:hAnsi="Times New Roman"/>
                <w:sz w:val="16"/>
                <w:szCs w:val="16"/>
                <w:b w:val="1"/>
                <w:bCs w:val="1"/>
                <w:color w:val="auto"/>
              </w:rPr>
              <w:t>Washington, D.C. 20004</w:t>
            </w:r>
          </w:p>
        </w:tc>
      </w:tr>
      <w:tr>
        <w:trPr>
          <w:trHeight w:val="211"/>
        </w:trPr>
        <w:tc>
          <w:tcPr>
            <w:tcW w:w="3140" w:type="dxa"/>
            <w:vAlign w:val="bottom"/>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w w:val="99"/>
              </w:rPr>
              <w:t>Telephone: (202) 636-5500</w:t>
            </w:r>
          </w:p>
        </w:tc>
        <w:tc>
          <w:tcPr>
            <w:tcW w:w="3540" w:type="dxa"/>
            <w:vAlign w:val="bottom"/>
          </w:tcPr>
          <w:p>
            <w:pPr>
              <w:spacing w:after="0"/>
              <w:rPr>
                <w:sz w:val="18"/>
                <w:szCs w:val="18"/>
                <w:color w:val="auto"/>
              </w:rPr>
            </w:pPr>
          </w:p>
        </w:tc>
        <w:tc>
          <w:tcPr>
            <w:tcW w:w="2700" w:type="dxa"/>
            <w:vAlign w:val="bottom"/>
          </w:tcPr>
          <w:p>
            <w:pPr>
              <w:jc w:val="center"/>
              <w:ind w:left="820"/>
              <w:spacing w:after="0"/>
              <w:rPr>
                <w:sz w:val="20"/>
                <w:szCs w:val="20"/>
                <w:color w:val="auto"/>
              </w:rPr>
            </w:pPr>
            <w:r>
              <w:rPr>
                <w:rFonts w:ascii="Times New Roman" w:cs="Times New Roman" w:eastAsia="Times New Roman" w:hAnsi="Times New Roman"/>
                <w:sz w:val="16"/>
                <w:szCs w:val="16"/>
                <w:b w:val="1"/>
                <w:bCs w:val="1"/>
                <w:color w:val="auto"/>
                <w:w w:val="99"/>
              </w:rPr>
              <w:t>Telephone: (202) 637-2200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122555</wp:posOffset>
            </wp:positionV>
            <wp:extent cx="1460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24" w:lineRule="exact"/>
        <w:rPr>
          <w:sz w:val="24"/>
          <w:szCs w:val="24"/>
          <w:color w:val="auto"/>
        </w:rPr>
      </w:pPr>
    </w:p>
    <w:p>
      <w:pPr>
        <w:ind w:left="160" w:right="160" w:firstLine="436"/>
        <w:spacing w:after="0" w:line="296" w:lineRule="auto"/>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the proposed sale of the securities to the public: </w:t>
      </w:r>
      <w:r>
        <w:rPr>
          <w:rFonts w:ascii="Times New Roman" w:cs="Times New Roman" w:eastAsia="Times New Roman" w:hAnsi="Times New Roman"/>
          <w:sz w:val="16"/>
          <w:szCs w:val="16"/>
          <w:color w:val="auto"/>
        </w:rPr>
        <w:t>As soon as practicable after the Registration Statement is declared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effective.</w:t>
      </w:r>
    </w:p>
    <w:p>
      <w:pPr>
        <w:spacing w:after="0" w:line="3" w:lineRule="exact"/>
        <w:rPr>
          <w:sz w:val="24"/>
          <w:szCs w:val="24"/>
          <w:color w:val="auto"/>
        </w:rPr>
      </w:pPr>
    </w:p>
    <w:p>
      <w:pPr>
        <w:ind w:left="160" w:right="340" w:firstLine="436"/>
        <w:spacing w:after="0" w:line="218"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19" w:lineRule="exact"/>
        <w:rPr>
          <w:sz w:val="24"/>
          <w:szCs w:val="24"/>
          <w:color w:val="auto"/>
        </w:rPr>
      </w:pPr>
    </w:p>
    <w:p>
      <w:pPr>
        <w:ind w:left="160" w:right="260" w:firstLine="436"/>
        <w:spacing w:after="0" w:line="218"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9" w:lineRule="exact"/>
        <w:rPr>
          <w:sz w:val="24"/>
          <w:szCs w:val="24"/>
          <w:color w:val="auto"/>
        </w:rPr>
      </w:pPr>
    </w:p>
    <w:p>
      <w:pPr>
        <w:ind w:left="160" w:right="160" w:firstLine="436"/>
        <w:spacing w:after="0" w:line="218"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9" w:lineRule="exact"/>
        <w:rPr>
          <w:sz w:val="24"/>
          <w:szCs w:val="24"/>
          <w:color w:val="auto"/>
        </w:rPr>
      </w:pPr>
    </w:p>
    <w:p>
      <w:pPr>
        <w:ind w:left="160" w:right="160" w:firstLine="436"/>
        <w:spacing w:after="0" w:line="218"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9" w:lineRule="exact"/>
        <w:rPr>
          <w:sz w:val="24"/>
          <w:szCs w:val="24"/>
          <w:color w:val="auto"/>
        </w:rPr>
      </w:pPr>
    </w:p>
    <w:p>
      <w:pPr>
        <w:ind w:left="160" w:right="40" w:firstLine="436"/>
        <w:spacing w:after="0" w:line="27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160" w:type="dxa"/>
        <w:tblCellMar>
          <w:top w:w="0" w:type="dxa"/>
          <w:left w:w="0" w:type="dxa"/>
          <w:bottom w:w="0" w:type="dxa"/>
          <w:right w:w="0" w:type="dxa"/>
        </w:tblCellMar>
      </w:tblPr>
      <w:tr>
        <w:trPr>
          <w:trHeight w:val="271"/>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360"/>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08"/>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3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08"/>
        </w:trPr>
        <w:tc>
          <w:tcPr>
            <w:tcW w:w="16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80" w:type="dxa"/>
            <w:vAlign w:val="bottom"/>
          </w:tcPr>
          <w:p>
            <w:pPr>
              <w:ind w:left="3360"/>
              <w:spacing w:after="0"/>
              <w:rPr>
                <w:sz w:val="20"/>
                <w:szCs w:val="20"/>
                <w:color w:val="auto"/>
              </w:rPr>
            </w:pPr>
            <w:r>
              <w:rPr>
                <w:rFonts w:ascii="Times New Roman" w:cs="Times New Roman" w:eastAsia="Times New Roman" w:hAnsi="Times New Roman"/>
                <w:sz w:val="16"/>
                <w:szCs w:val="16"/>
                <w:color w:val="auto"/>
              </w:rPr>
              <w:t>Emerging growth company</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9" w:lineRule="exact"/>
        <w:rPr>
          <w:sz w:val="24"/>
          <w:szCs w:val="24"/>
          <w:color w:val="auto"/>
        </w:rPr>
      </w:pPr>
    </w:p>
    <w:p>
      <w:pPr>
        <w:ind w:left="160" w:right="380" w:firstLine="436"/>
        <w:spacing w:after="0" w:line="21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106045</wp:posOffset>
            </wp:positionV>
            <wp:extent cx="1460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98" w:lineRule="exact"/>
        <w:rPr>
          <w:sz w:val="24"/>
          <w:szCs w:val="24"/>
          <w:color w:val="auto"/>
        </w:rPr>
      </w:pPr>
    </w:p>
    <w:p>
      <w:pPr>
        <w:ind w:left="160" w:right="60" w:firstLine="436"/>
        <w:spacing w:after="0" w:line="273"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115570</wp:posOffset>
            </wp:positionV>
            <wp:extent cx="6929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40"/>
          </w:cols>
          <w:pgMar w:left="320" w:top="224" w:right="539" w:bottom="441"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41"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ectPr>
          <w:pgSz w:w="11900" w:h="16838" w:orient="portrait"/>
          <w:cols w:equalWidth="0" w:num="1">
            <w:col w:w="10140"/>
          </w:cols>
          <w:pgMar w:left="320" w:top="451" w:right="1439" w:bottom="1440" w:gutter="0" w:footer="0" w:header="0"/>
        </w:sectPr>
      </w:pP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1159"/>
        </w:trPr>
        <w:tc>
          <w:tcPr>
            <w:tcW w:w="380" w:type="dxa"/>
            <w:vAlign w:val="bottom"/>
            <w:gridSpan w:val="2"/>
            <w:textDirection w:val="btLr"/>
          </w:tcPr>
          <w:p>
            <w:pPr>
              <w:ind w:left="173"/>
              <w:spacing w:after="0"/>
              <w:rPr>
                <w:sz w:val="20"/>
                <w:szCs w:val="20"/>
                <w:color w:val="auto"/>
              </w:rPr>
            </w:pPr>
            <w:r>
              <w:rPr>
                <w:rFonts w:ascii="Arial" w:cs="Arial" w:eastAsia="Arial" w:hAnsi="Arial"/>
                <w:sz w:val="18"/>
                <w:szCs w:val="18"/>
                <w:b w:val="1"/>
                <w:bCs w:val="1"/>
                <w:color w:val="FF4338"/>
                <w:w w:val="70"/>
              </w:rPr>
              <w:t>theseprospectus is</w:t>
            </w:r>
          </w:p>
        </w:tc>
        <w:tc>
          <w:tcPr>
            <w:tcW w:w="380" w:type="dxa"/>
            <w:vAlign w:val="bottom"/>
            <w:textDirection w:val="btLr"/>
          </w:tcPr>
          <w:p>
            <w:pPr>
              <w:ind w:left="48"/>
              <w:spacing w:after="0"/>
              <w:rPr>
                <w:sz w:val="20"/>
                <w:szCs w:val="20"/>
                <w:color w:val="auto"/>
              </w:rPr>
            </w:pPr>
            <w:r>
              <w:rPr>
                <w:rFonts w:ascii="Arial" w:cs="Arial" w:eastAsia="Arial" w:hAnsi="Arial"/>
                <w:sz w:val="18"/>
                <w:szCs w:val="18"/>
                <w:b w:val="1"/>
                <w:bCs w:val="1"/>
                <w:color w:val="FF4338"/>
                <w:w w:val="99"/>
              </w:rPr>
              <w:t>or sale is not</w:t>
            </w:r>
          </w:p>
        </w:tc>
      </w:tr>
      <w:tr>
        <w:trPr>
          <w:trHeight w:val="8816"/>
        </w:trPr>
        <w:tc>
          <w:tcPr>
            <w:tcW w:w="180" w:type="dxa"/>
            <w:vAlign w:val="bottom"/>
            <w:textDirection w:val="btLr"/>
          </w:tcPr>
          <w:p>
            <w:pPr>
              <w:spacing w:after="0"/>
              <w:rPr>
                <w:sz w:val="20"/>
                <w:szCs w:val="20"/>
                <w:color w:val="auto"/>
              </w:rPr>
            </w:pPr>
            <w:r>
              <w:rPr>
                <w:rFonts w:ascii="Arial" w:cs="Arial" w:eastAsia="Arial" w:hAnsi="Arial"/>
                <w:sz w:val="18"/>
                <w:szCs w:val="18"/>
                <w:b w:val="1"/>
                <w:bCs w:val="1"/>
                <w:color w:val="FF4338"/>
                <w:w w:val="99"/>
              </w:rPr>
              <w:t>this preliminary prospectus is not complete and may be changed. The selling stockholders may not sell</w:t>
            </w:r>
          </w:p>
        </w:tc>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F4338"/>
                <w:w w:val="99"/>
              </w:rPr>
              <w:t>registration statement filed with the Securities and Exchange Commission is effective. This preliminary</w:t>
            </w:r>
          </w:p>
        </w:tc>
        <w:tc>
          <w:tcPr>
            <w:tcW w:w="380" w:type="dxa"/>
            <w:vAlign w:val="bottom"/>
            <w:textDirection w:val="btLr"/>
          </w:tcPr>
          <w:p>
            <w:pPr>
              <w:ind w:left="48"/>
              <w:spacing w:after="0"/>
              <w:rPr>
                <w:sz w:val="20"/>
                <w:szCs w:val="20"/>
                <w:color w:val="auto"/>
              </w:rPr>
            </w:pPr>
            <w:r>
              <w:rPr>
                <w:rFonts w:ascii="Arial" w:cs="Arial" w:eastAsia="Arial" w:hAnsi="Arial"/>
                <w:sz w:val="18"/>
                <w:szCs w:val="18"/>
                <w:b w:val="1"/>
                <w:bCs w:val="1"/>
                <w:color w:val="FF4338"/>
                <w:w w:val="98"/>
              </w:rPr>
              <w:t>these securities and it is not soliciting an offer to buy these securities in any jurisdiction where the offer</w:t>
            </w:r>
          </w:p>
        </w:tc>
      </w:tr>
      <w:tr>
        <w:trPr>
          <w:trHeight w:val="1594"/>
        </w:trPr>
        <w:tc>
          <w:tcPr>
            <w:tcW w:w="180" w:type="dxa"/>
            <w:vAlign w:val="bottom"/>
            <w:textDirection w:val="btLr"/>
          </w:tcPr>
          <w:p>
            <w:pPr>
              <w:spacing w:after="0"/>
              <w:rPr>
                <w:sz w:val="20"/>
                <w:szCs w:val="20"/>
                <w:color w:val="auto"/>
              </w:rPr>
            </w:pPr>
            <w:r>
              <w:rPr>
                <w:rFonts w:ascii="Arial" w:cs="Arial" w:eastAsia="Arial" w:hAnsi="Arial"/>
                <w:sz w:val="18"/>
                <w:szCs w:val="18"/>
                <w:b w:val="1"/>
                <w:bCs w:val="1"/>
                <w:color w:val="FF4338"/>
                <w:w w:val="99"/>
              </w:rPr>
              <w:t>The information in</w:t>
            </w:r>
          </w:p>
        </w:tc>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F4338"/>
                <w:w w:val="99"/>
              </w:rPr>
              <w:t>securities until the</w:t>
            </w:r>
          </w:p>
        </w:tc>
        <w:tc>
          <w:tcPr>
            <w:tcW w:w="380" w:type="dxa"/>
            <w:vAlign w:val="bottom"/>
            <w:textDirection w:val="btLr"/>
          </w:tcPr>
          <w:p>
            <w:pPr>
              <w:ind w:left="196"/>
              <w:spacing w:after="0"/>
              <w:rPr>
                <w:sz w:val="20"/>
                <w:szCs w:val="20"/>
                <w:color w:val="auto"/>
              </w:rPr>
            </w:pPr>
            <w:r>
              <w:rPr>
                <w:rFonts w:ascii="Arial" w:cs="Arial" w:eastAsia="Arial" w:hAnsi="Arial"/>
                <w:sz w:val="16"/>
                <w:szCs w:val="16"/>
                <w:b w:val="1"/>
                <w:bCs w:val="1"/>
                <w:color w:val="FF4338"/>
                <w:w w:val="71"/>
              </w:rPr>
              <w:t>not an offer to sellpermitted.</w:t>
            </w:r>
          </w:p>
        </w:tc>
      </w:tr>
    </w:tbl>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FF4338"/>
        </w:rPr>
        <w:t>SUBJECT TO COMPLETION, FEBRUARY 9, 2026</w:t>
      </w:r>
    </w:p>
    <w:p>
      <w:pPr>
        <w:spacing w:after="0" w:line="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FF4338"/>
        </w:rPr>
        <w:t>PRELIMINARY PROSPECTUS</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2677160</wp:posOffset>
            </wp:positionH>
            <wp:positionV relativeFrom="paragraph">
              <wp:posOffset>151765</wp:posOffset>
            </wp:positionV>
            <wp:extent cx="492760" cy="4927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2760" cy="492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Medline Inc.</w:t>
      </w:r>
    </w:p>
    <w:p>
      <w:pPr>
        <w:spacing w:after="0" w:line="1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241935</wp:posOffset>
            </wp:positionV>
            <wp:extent cx="12230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2301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right="100" w:firstLine="368"/>
        <w:spacing w:after="0" w:line="278" w:lineRule="auto"/>
        <w:rPr>
          <w:sz w:val="20"/>
          <w:szCs w:val="20"/>
          <w:color w:val="auto"/>
        </w:rPr>
      </w:pPr>
      <w:r>
        <w:rPr>
          <w:rFonts w:ascii="Times New Roman" w:cs="Times New Roman" w:eastAsia="Times New Roman" w:hAnsi="Times New Roman"/>
          <w:sz w:val="18"/>
          <w:szCs w:val="18"/>
          <w:color w:val="auto"/>
        </w:rPr>
        <w:t>The selling stockholders named in this prospectus are offering         shares of our Class A common stock. Our shares of Class A common stock are listed on the Nasdaq Global Select Market (“Nasdaq”) under the trading symbol “MDLN.”</w:t>
      </w:r>
    </w:p>
    <w:p>
      <w:pPr>
        <w:spacing w:after="0" w:line="162" w:lineRule="exact"/>
        <w:rPr>
          <w:sz w:val="20"/>
          <w:szCs w:val="20"/>
          <w:color w:val="auto"/>
        </w:rPr>
      </w:pPr>
    </w:p>
    <w:p>
      <w:pPr>
        <w:ind w:firstLine="368"/>
        <w:spacing w:after="0" w:line="255" w:lineRule="auto"/>
        <w:rPr>
          <w:sz w:val="20"/>
          <w:szCs w:val="20"/>
          <w:color w:val="auto"/>
        </w:rPr>
      </w:pPr>
      <w:r>
        <w:rPr>
          <w:rFonts w:ascii="Times New Roman" w:cs="Times New Roman" w:eastAsia="Times New Roman" w:hAnsi="Times New Roman"/>
          <w:sz w:val="18"/>
          <w:szCs w:val="18"/>
          <w:color w:val="auto"/>
        </w:rPr>
        <w:t>On February 6, 2026, the closing sales price of our shares of Class A common stock as reported on Nasdaq was $47.30 per share. We will not receive any proceeds from the sale of shares of our Class A common stock by the selling stockholders. Prior to the consummation of this offering, certain of the selling stockholders will exchange Common Units (as defined herein) for shares of our Class A common stock to be sold by them in the offering. See “Principal and Selling Stockholders,” “Certain Relationships and Related Person Transactions—Exchange Agreement” and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213360</wp:posOffset>
            </wp:positionV>
            <wp:extent cx="12230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2301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right="220" w:firstLine="368"/>
        <w:spacing w:after="0" w:line="282" w:lineRule="auto"/>
        <w:rPr>
          <w:sz w:val="20"/>
          <w:szCs w:val="20"/>
          <w:color w:val="auto"/>
        </w:rPr>
      </w:pPr>
      <w:r>
        <w:rPr>
          <w:rFonts w:ascii="Times New Roman" w:cs="Times New Roman" w:eastAsia="Times New Roman" w:hAnsi="Times New Roman"/>
          <w:sz w:val="18"/>
          <w:szCs w:val="18"/>
          <w:b w:val="1"/>
          <w:bCs w:val="1"/>
          <w:color w:val="auto"/>
        </w:rPr>
        <w:t>Investing in shares of our Class A common stock involves risks. See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32 to read about factors you should consider before buying shares of the Class A common stock.</w:t>
      </w:r>
    </w:p>
    <w:p>
      <w:pPr>
        <w:spacing w:after="0" w:line="156" w:lineRule="exact"/>
        <w:rPr>
          <w:sz w:val="20"/>
          <w:szCs w:val="20"/>
          <w:color w:val="auto"/>
        </w:rPr>
      </w:pPr>
    </w:p>
    <w:p>
      <w:pPr>
        <w:ind w:right="200" w:firstLine="368"/>
        <w:spacing w:after="0" w:line="265"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95" w:lineRule="exact"/>
        <w:rPr>
          <w:sz w:val="20"/>
          <w:szCs w:val="20"/>
          <w:color w:val="auto"/>
        </w:rPr>
      </w:pPr>
    </w:p>
    <w:tbl>
      <w:tblPr>
        <w:tblLayout w:type="fixed"/>
        <w:tblInd w:w="1120" w:type="dxa"/>
        <w:tblCellMar>
          <w:top w:w="0" w:type="dxa"/>
          <w:left w:w="0" w:type="dxa"/>
          <w:bottom w:w="0" w:type="dxa"/>
          <w:right w:w="0" w:type="dxa"/>
        </w:tblCellMar>
      </w:tblPr>
      <w:tr>
        <w:trPr>
          <w:trHeight w:val="172"/>
        </w:trPr>
        <w:tc>
          <w:tcPr>
            <w:tcW w:w="4760" w:type="dxa"/>
            <w:vAlign w:val="bottom"/>
          </w:tcPr>
          <w:p>
            <w:pPr>
              <w:spacing w:after="0"/>
              <w:rPr>
                <w:sz w:val="14"/>
                <w:szCs w:val="14"/>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7"/>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Borders>
              <w:top w:val="single" w:sz="8" w:color="CCEEFF"/>
            </w:tcBorders>
            <w:shd w:val="clear" w:color="auto" w:fill="CCEEFF"/>
          </w:tcPr>
          <w:p>
            <w:pPr>
              <w:spacing w:after="0"/>
              <w:rPr>
                <w:sz w:val="18"/>
                <w:szCs w:val="18"/>
                <w:color w:val="auto"/>
              </w:rPr>
            </w:pPr>
          </w:p>
        </w:tc>
      </w:tr>
      <w:tr>
        <w:trPr>
          <w:trHeight w:val="214"/>
        </w:trPr>
        <w:tc>
          <w:tcPr>
            <w:tcW w:w="4760" w:type="dxa"/>
            <w:vAlign w:val="bottom"/>
          </w:tcPr>
          <w:p>
            <w:pPr>
              <w:spacing w:after="0" w:line="214" w:lineRule="exact"/>
              <w:rPr>
                <w:sz w:val="20"/>
                <w:szCs w:val="20"/>
                <w:color w:val="auto"/>
              </w:rPr>
            </w:pPr>
            <w:r>
              <w:rPr>
                <w:rFonts w:ascii="Times New Roman" w:cs="Times New Roman" w:eastAsia="Times New Roman" w:hAnsi="Times New Roman"/>
                <w:sz w:val="17"/>
                <w:szCs w:val="17"/>
                <w:color w:val="auto"/>
              </w:rPr>
              <w:t>Underwriting discounts and commissions</w:t>
            </w:r>
            <w:r>
              <w:rPr>
                <w:rFonts w:ascii="Times New Roman" w:cs="Times New Roman" w:eastAsia="Times New Roman" w:hAnsi="Times New Roman"/>
                <w:sz w:val="24"/>
                <w:szCs w:val="24"/>
                <w:color w:val="auto"/>
                <w:vertAlign w:val="superscript"/>
              </w:rPr>
              <w:t>(1)</w:t>
            </w: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the selling stockholders</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93345</wp:posOffset>
            </wp:positionV>
            <wp:extent cx="64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5160" cy="8255"/>
                    </a:xfrm>
                    <a:prstGeom prst="rect">
                      <a:avLst/>
                    </a:prstGeom>
                    <a:noFill/>
                  </pic:spPr>
                </pic:pic>
              </a:graphicData>
            </a:graphic>
          </wp:anchor>
        </w:drawing>
      </w:r>
    </w:p>
    <w:p>
      <w:pPr>
        <w:spacing w:after="0" w:line="158" w:lineRule="exact"/>
        <w:rPr>
          <w:sz w:val="20"/>
          <w:szCs w:val="20"/>
          <w:color w:val="auto"/>
        </w:rPr>
      </w:pPr>
    </w:p>
    <w:p>
      <w:pPr>
        <w:ind w:left="360" w:hanging="357"/>
        <w:spacing w:after="0"/>
        <w:tabs>
          <w:tab w:leader="none" w:pos="3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Please see the section entitled “Underwriting” for a description of compensation payable to the underwriters.</w:t>
      </w:r>
    </w:p>
    <w:p>
      <w:pPr>
        <w:spacing w:after="0" w:line="204" w:lineRule="exact"/>
        <w:rPr>
          <w:sz w:val="20"/>
          <w:szCs w:val="20"/>
          <w:color w:val="auto"/>
        </w:rPr>
      </w:pPr>
    </w:p>
    <w:p>
      <w:pPr>
        <w:jc w:val="both"/>
        <w:ind w:firstLine="368"/>
        <w:spacing w:after="0" w:line="263" w:lineRule="auto"/>
        <w:rPr>
          <w:sz w:val="20"/>
          <w:szCs w:val="20"/>
          <w:color w:val="auto"/>
        </w:rPr>
      </w:pPr>
      <w:r>
        <w:rPr>
          <w:rFonts w:ascii="Times New Roman" w:cs="Times New Roman" w:eastAsia="Times New Roman" w:hAnsi="Times New Roman"/>
          <w:sz w:val="18"/>
          <w:szCs w:val="18"/>
          <w:color w:val="auto"/>
        </w:rPr>
        <w:t>To the extent that the underwriters sell more than         shares of our Class A common stock, the underwriters have the option to purchase up to an additional         shares of our Class A common stock from the selling stockholders at the public offering price less the underwriting discounts and commissions within 30 days from the date of this prospectus.</w:t>
      </w:r>
    </w:p>
    <w:p>
      <w:pPr>
        <w:spacing w:after="0" w:line="175" w:lineRule="exact"/>
        <w:rPr>
          <w:sz w:val="20"/>
          <w:szCs w:val="20"/>
          <w:color w:val="auto"/>
        </w:rPr>
      </w:pPr>
    </w:p>
    <w:p>
      <w:pPr>
        <w:jc w:val="both"/>
        <w:ind w:firstLine="368"/>
        <w:spacing w:after="0" w:line="278" w:lineRule="auto"/>
        <w:rPr>
          <w:sz w:val="20"/>
          <w:szCs w:val="20"/>
          <w:color w:val="auto"/>
        </w:rPr>
      </w:pPr>
      <w:r>
        <w:rPr>
          <w:rFonts w:ascii="Times New Roman" w:cs="Times New Roman" w:eastAsia="Times New Roman" w:hAnsi="Times New Roman"/>
          <w:sz w:val="18"/>
          <w:szCs w:val="18"/>
          <w:color w:val="auto"/>
        </w:rPr>
        <w:t>The underwriters expect to deliver the shares of our Class A common stock against payment in New York, New York on or about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200025</wp:posOffset>
            </wp:positionV>
            <wp:extent cx="12230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23010"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date of this prospectus is             , 2026.</w:t>
      </w:r>
    </w:p>
    <w:p>
      <w:pPr>
        <w:sectPr>
          <w:pgSz w:w="11900" w:h="16838" w:orient="portrait"/>
          <w:cols w:equalWidth="0" w:num="2">
            <w:col w:w="920" w:space="100"/>
            <w:col w:w="9120"/>
          </w:cols>
          <w:pgMar w:left="320" w:top="451" w:right="14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4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97790</wp:posOffset>
            </wp:positionV>
            <wp:extent cx="7094855" cy="9171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4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97790</wp:posOffset>
            </wp:positionV>
            <wp:extent cx="7094855" cy="9171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4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97790</wp:posOffset>
            </wp:positionV>
            <wp:extent cx="6114415" cy="8152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14415" cy="8152765"/>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1054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color w:val="0000EE"/>
              </w:rPr>
              <w:t>Summary</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7"/>
        </w:trPr>
        <w:tc>
          <w:tcPr>
            <w:tcW w:w="10540" w:type="dxa"/>
            <w:vAlign w:val="bottom"/>
            <w:gridSpan w:val="23"/>
            <w:vMerge w:val="continue"/>
          </w:tcPr>
          <w:p>
            <w:pPr>
              <w:spacing w:after="0"/>
              <w:rPr>
                <w:sz w:val="14"/>
                <w:szCs w:val="14"/>
                <w:color w:val="auto"/>
              </w:rPr>
            </w:pPr>
          </w:p>
        </w:tc>
        <w:tc>
          <w:tcPr>
            <w:tcW w:w="32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54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Risk Factors</w:t>
            </w: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54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Forward-Looking Statements</w:t>
            </w: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00" w:type="dxa"/>
            <w:vAlign w:val="bottom"/>
            <w:tcBorders>
              <w:top w:val="single" w:sz="8" w:color="0000EE"/>
            </w:tcBorders>
            <w:gridSpan w:val="13"/>
          </w:tcPr>
          <w:p>
            <w:pPr>
              <w:spacing w:after="0" w:line="194" w:lineRule="exact"/>
              <w:rPr>
                <w:sz w:val="20"/>
                <w:szCs w:val="20"/>
                <w:color w:val="auto"/>
              </w:rPr>
            </w:pPr>
            <w:r>
              <w:rPr>
                <w:rFonts w:ascii="Times New Roman" w:cs="Times New Roman" w:eastAsia="Times New Roman" w:hAnsi="Times New Roman"/>
                <w:sz w:val="18"/>
                <w:szCs w:val="18"/>
                <w:color w:val="0000EE"/>
              </w:rPr>
              <w:t>Market and Industry Data</w:t>
            </w:r>
          </w:p>
        </w:tc>
        <w:tc>
          <w:tcPr>
            <w:tcW w:w="8440" w:type="dxa"/>
            <w:vAlign w:val="bottom"/>
            <w:gridSpan w:val="10"/>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320" w:type="dxa"/>
            <w:vAlign w:val="bottom"/>
            <w:tcBorders>
              <w:bottom w:val="single" w:sz="8" w:color="0000EE"/>
            </w:tcBorders>
            <w:gridSpan w:val="18"/>
          </w:tcPr>
          <w:p>
            <w:pPr>
              <w:spacing w:after="0" w:line="194" w:lineRule="exact"/>
              <w:rPr>
                <w:sz w:val="20"/>
                <w:szCs w:val="20"/>
                <w:color w:val="auto"/>
              </w:rPr>
            </w:pPr>
            <w:r>
              <w:rPr>
                <w:rFonts w:ascii="Times New Roman" w:cs="Times New Roman" w:eastAsia="Times New Roman" w:hAnsi="Times New Roman"/>
                <w:sz w:val="18"/>
                <w:szCs w:val="18"/>
                <w:color w:val="0000EE"/>
                <w:w w:val="98"/>
              </w:rPr>
              <w:t>Trademarks, Trade Names, and Service Marks</w:t>
            </w:r>
          </w:p>
        </w:tc>
        <w:tc>
          <w:tcPr>
            <w:tcW w:w="7220" w:type="dxa"/>
            <w:vAlign w:val="bottom"/>
            <w:gridSpan w:val="5"/>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54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Organizational Structure</w:t>
            </w: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60" w:type="dxa"/>
            <w:vAlign w:val="bottom"/>
            <w:tcBorders>
              <w:top w:val="single" w:sz="8" w:color="0000EE"/>
            </w:tcBorders>
            <w:gridSpan w:val="10"/>
          </w:tcPr>
          <w:p>
            <w:pPr>
              <w:spacing w:after="0" w:line="194" w:lineRule="exact"/>
              <w:rPr>
                <w:sz w:val="20"/>
                <w:szCs w:val="20"/>
                <w:color w:val="auto"/>
              </w:rPr>
            </w:pPr>
            <w:r>
              <w:rPr>
                <w:rFonts w:ascii="Times New Roman" w:cs="Times New Roman" w:eastAsia="Times New Roman" w:hAnsi="Times New Roman"/>
                <w:sz w:val="18"/>
                <w:szCs w:val="18"/>
                <w:color w:val="0000EE"/>
              </w:rPr>
              <w:t>Use of Proceeds</w:t>
            </w:r>
          </w:p>
        </w:tc>
        <w:tc>
          <w:tcPr>
            <w:tcW w:w="8780" w:type="dxa"/>
            <w:vAlign w:val="bottom"/>
            <w:gridSpan w:val="13"/>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180" w:type="dxa"/>
            <w:vAlign w:val="bottom"/>
            <w:tcBorders>
              <w:bottom w:val="single" w:sz="8" w:color="0000EE"/>
            </w:tcBorders>
            <w:gridSpan w:val="9"/>
          </w:tcPr>
          <w:p>
            <w:pPr>
              <w:spacing w:after="0" w:line="194" w:lineRule="exact"/>
              <w:rPr>
                <w:sz w:val="20"/>
                <w:szCs w:val="20"/>
                <w:color w:val="auto"/>
              </w:rPr>
            </w:pPr>
            <w:r>
              <w:rPr>
                <w:rFonts w:ascii="Times New Roman" w:cs="Times New Roman" w:eastAsia="Times New Roman" w:hAnsi="Times New Roman"/>
                <w:sz w:val="18"/>
                <w:szCs w:val="18"/>
                <w:color w:val="0000EE"/>
                <w:w w:val="98"/>
              </w:rPr>
              <w:t>Dividend Policy</w:t>
            </w:r>
          </w:p>
        </w:tc>
        <w:tc>
          <w:tcPr>
            <w:tcW w:w="9360" w:type="dxa"/>
            <w:vAlign w:val="bottom"/>
            <w:gridSpan w:val="14"/>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20" w:type="dxa"/>
            <w:vAlign w:val="bottom"/>
            <w:tcBorders>
              <w:bottom w:val="single" w:sz="8" w:color="0000EE"/>
            </w:tcBorders>
            <w:gridSpan w:val="7"/>
          </w:tcPr>
          <w:p>
            <w:pPr>
              <w:spacing w:after="0" w:line="194" w:lineRule="exact"/>
              <w:rPr>
                <w:sz w:val="20"/>
                <w:szCs w:val="20"/>
                <w:color w:val="auto"/>
              </w:rPr>
            </w:pPr>
            <w:r>
              <w:rPr>
                <w:rFonts w:ascii="Times New Roman" w:cs="Times New Roman" w:eastAsia="Times New Roman" w:hAnsi="Times New Roman"/>
                <w:sz w:val="18"/>
                <w:szCs w:val="18"/>
                <w:color w:val="0000EE"/>
                <w:w w:val="98"/>
              </w:rPr>
              <w:t>Capitalization</w:t>
            </w:r>
          </w:p>
        </w:tc>
        <w:tc>
          <w:tcPr>
            <w:tcW w:w="9520" w:type="dxa"/>
            <w:vAlign w:val="bottom"/>
            <w:gridSpan w:val="16"/>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80" w:type="dxa"/>
            <w:vAlign w:val="bottom"/>
            <w:tcBorders>
              <w:bottom w:val="single" w:sz="8" w:color="0000EE"/>
            </w:tcBorders>
            <w:gridSpan w:val="21"/>
          </w:tcPr>
          <w:p>
            <w:pPr>
              <w:spacing w:after="0" w:line="194" w:lineRule="exact"/>
              <w:rPr>
                <w:sz w:val="20"/>
                <w:szCs w:val="20"/>
                <w:color w:val="auto"/>
              </w:rPr>
            </w:pPr>
            <w:r>
              <w:rPr>
                <w:rFonts w:ascii="Times New Roman" w:cs="Times New Roman" w:eastAsia="Times New Roman" w:hAnsi="Times New Roman"/>
                <w:sz w:val="18"/>
                <w:szCs w:val="18"/>
                <w:color w:val="0000EE"/>
                <w:w w:val="98"/>
              </w:rPr>
              <w:t>Unaudited Pro Forma Condensed Consolidated Financial Information</w:t>
            </w:r>
          </w:p>
        </w:tc>
        <w:tc>
          <w:tcPr>
            <w:tcW w:w="5560" w:type="dxa"/>
            <w:vAlign w:val="bottom"/>
            <w:gridSpan w:val="2"/>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54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4"/>
        </w:trPr>
        <w:tc>
          <w:tcPr>
            <w:tcW w:w="6400" w:type="dxa"/>
            <w:vAlign w:val="bottom"/>
            <w:tcBorders>
              <w:top w:val="single" w:sz="8" w:color="0000EE"/>
            </w:tcBorders>
            <w:gridSpan w:val="22"/>
          </w:tcPr>
          <w:p>
            <w:pPr>
              <w:spacing w:after="0" w:line="194" w:lineRule="exact"/>
              <w:rPr>
                <w:sz w:val="20"/>
                <w:szCs w:val="20"/>
                <w:color w:val="auto"/>
              </w:rPr>
            </w:pPr>
            <w:r>
              <w:rPr>
                <w:rFonts w:ascii="Times New Roman" w:cs="Times New Roman" w:eastAsia="Times New Roman" w:hAnsi="Times New Roman"/>
                <w:sz w:val="18"/>
                <w:szCs w:val="18"/>
                <w:color w:val="0000EE"/>
              </w:rPr>
              <w:t>Business</w:t>
            </w:r>
          </w:p>
        </w:tc>
        <w:tc>
          <w:tcPr>
            <w:tcW w:w="4140" w:type="dxa"/>
            <w:vAlign w:val="bottom"/>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40" w:type="dxa"/>
            <w:vAlign w:val="bottom"/>
            <w:tcBorders>
              <w:bottom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7"/>
              </w:rPr>
              <w:t>Management</w:t>
            </w:r>
          </w:p>
        </w:tc>
        <w:tc>
          <w:tcPr>
            <w:tcW w:w="9600" w:type="dxa"/>
            <w:vAlign w:val="bottom"/>
            <w:gridSpan w:val="19"/>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194"/>
        </w:trPr>
        <w:tc>
          <w:tcPr>
            <w:tcW w:w="3920" w:type="dxa"/>
            <w:vAlign w:val="bottom"/>
            <w:tcBorders>
              <w:bottom w:val="single" w:sz="8" w:color="0000EE"/>
            </w:tcBorders>
            <w:gridSpan w:val="19"/>
          </w:tcPr>
          <w:p>
            <w:pPr>
              <w:spacing w:after="0" w:line="194" w:lineRule="exact"/>
              <w:rPr>
                <w:sz w:val="20"/>
                <w:szCs w:val="20"/>
                <w:color w:val="auto"/>
              </w:rPr>
            </w:pPr>
            <w:r>
              <w:rPr>
                <w:rFonts w:ascii="Times New Roman" w:cs="Times New Roman" w:eastAsia="Times New Roman" w:hAnsi="Times New Roman"/>
                <w:sz w:val="18"/>
                <w:szCs w:val="18"/>
                <w:color w:val="0000EE"/>
                <w:w w:val="98"/>
              </w:rPr>
              <w:t>Certain Relationships and Related Person Transactions</w:t>
            </w:r>
          </w:p>
        </w:tc>
        <w:tc>
          <w:tcPr>
            <w:tcW w:w="6620" w:type="dxa"/>
            <w:vAlign w:val="bottom"/>
            <w:gridSpan w:val="4"/>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194"/>
        </w:trPr>
        <w:tc>
          <w:tcPr>
            <w:tcW w:w="2480" w:type="dxa"/>
            <w:vAlign w:val="bottom"/>
            <w:tcBorders>
              <w:bottom w:val="single" w:sz="8" w:color="0000EE"/>
            </w:tcBorders>
            <w:gridSpan w:val="15"/>
          </w:tcPr>
          <w:p>
            <w:pPr>
              <w:spacing w:after="0" w:line="194" w:lineRule="exact"/>
              <w:rPr>
                <w:sz w:val="20"/>
                <w:szCs w:val="20"/>
                <w:color w:val="auto"/>
              </w:rPr>
            </w:pPr>
            <w:r>
              <w:rPr>
                <w:rFonts w:ascii="Times New Roman" w:cs="Times New Roman" w:eastAsia="Times New Roman" w:hAnsi="Times New Roman"/>
                <w:sz w:val="18"/>
                <w:szCs w:val="18"/>
                <w:color w:val="0000EE"/>
                <w:w w:val="98"/>
              </w:rPr>
              <w:t>Principal and Selling Stockholders</w:t>
            </w:r>
          </w:p>
        </w:tc>
        <w:tc>
          <w:tcPr>
            <w:tcW w:w="8060" w:type="dxa"/>
            <w:vAlign w:val="bottom"/>
            <w:gridSpan w:val="8"/>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194"/>
        </w:trPr>
        <w:tc>
          <w:tcPr>
            <w:tcW w:w="2580" w:type="dxa"/>
            <w:vAlign w:val="bottom"/>
            <w:tcBorders>
              <w:bottom w:val="single" w:sz="8" w:color="0000EE"/>
            </w:tcBorders>
            <w:gridSpan w:val="16"/>
          </w:tcPr>
          <w:p>
            <w:pPr>
              <w:spacing w:after="0" w:line="194" w:lineRule="exact"/>
              <w:rPr>
                <w:sz w:val="20"/>
                <w:szCs w:val="20"/>
                <w:color w:val="auto"/>
              </w:rPr>
            </w:pPr>
            <w:r>
              <w:rPr>
                <w:rFonts w:ascii="Times New Roman" w:cs="Times New Roman" w:eastAsia="Times New Roman" w:hAnsi="Times New Roman"/>
                <w:sz w:val="18"/>
                <w:szCs w:val="18"/>
                <w:color w:val="0000EE"/>
                <w:w w:val="98"/>
              </w:rPr>
              <w:t>Description of Certain Indebtedness</w:t>
            </w:r>
          </w:p>
        </w:tc>
        <w:tc>
          <w:tcPr>
            <w:tcW w:w="7960" w:type="dxa"/>
            <w:vAlign w:val="bottom"/>
            <w:gridSpan w:val="7"/>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194"/>
        </w:trPr>
        <w:tc>
          <w:tcPr>
            <w:tcW w:w="1054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56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54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Certain U.S. Federal Income Tax Consequences to Non-U.S. Holders</w:t>
            </w:r>
          </w:p>
        </w:tc>
        <w:tc>
          <w:tcPr>
            <w:tcW w:w="3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194"/>
        </w:trPr>
        <w:tc>
          <w:tcPr>
            <w:tcW w:w="4940" w:type="dxa"/>
            <w:vAlign w:val="bottom"/>
            <w:tcBorders>
              <w:top w:val="single" w:sz="8" w:color="0000EE"/>
            </w:tcBorders>
            <w:gridSpan w:val="20"/>
          </w:tcPr>
          <w:p>
            <w:pPr>
              <w:spacing w:after="0" w:line="194" w:lineRule="exact"/>
              <w:rPr>
                <w:sz w:val="20"/>
                <w:szCs w:val="20"/>
                <w:color w:val="auto"/>
              </w:rPr>
            </w:pPr>
            <w:r>
              <w:rPr>
                <w:rFonts w:ascii="Times New Roman" w:cs="Times New Roman" w:eastAsia="Times New Roman" w:hAnsi="Times New Roman"/>
                <w:sz w:val="18"/>
                <w:szCs w:val="18"/>
                <w:color w:val="0000EE"/>
              </w:rPr>
              <w:t>Underwriting</w:t>
            </w:r>
          </w:p>
        </w:tc>
        <w:tc>
          <w:tcPr>
            <w:tcW w:w="5600" w:type="dxa"/>
            <w:vAlign w:val="bottom"/>
            <w:gridSpan w:val="3"/>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770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54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Legal Matters</w:t>
            </w:r>
          </w:p>
        </w:tc>
        <w:tc>
          <w:tcPr>
            <w:tcW w:w="3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194"/>
        </w:trPr>
        <w:tc>
          <w:tcPr>
            <w:tcW w:w="560" w:type="dxa"/>
            <w:vAlign w:val="bottom"/>
            <w:tcBorders>
              <w:top w:val="single" w:sz="8" w:color="0000EE"/>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8"/>
              </w:rPr>
              <w:t>Experts</w:t>
            </w:r>
          </w:p>
        </w:tc>
        <w:tc>
          <w:tcPr>
            <w:tcW w:w="440" w:type="dxa"/>
            <w:vAlign w:val="bottom"/>
            <w:tcBorders>
              <w:top w:val="single" w:sz="8" w:color="0000EE"/>
            </w:tcBorders>
            <w:gridSpan w:val="5"/>
          </w:tcPr>
          <w:p>
            <w:pPr>
              <w:spacing w:after="0"/>
              <w:rPr>
                <w:sz w:val="16"/>
                <w:szCs w:val="16"/>
                <w:color w:val="auto"/>
              </w:rPr>
            </w:pPr>
          </w:p>
        </w:tc>
        <w:tc>
          <w:tcPr>
            <w:tcW w:w="9540" w:type="dxa"/>
            <w:vAlign w:val="bottom"/>
            <w:gridSpan w:val="17"/>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194"/>
        </w:trPr>
        <w:tc>
          <w:tcPr>
            <w:tcW w:w="1054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194"/>
        </w:trPr>
        <w:tc>
          <w:tcPr>
            <w:tcW w:w="2140" w:type="dxa"/>
            <w:vAlign w:val="bottom"/>
            <w:tcBorders>
              <w:top w:val="single" w:sz="8" w:color="0000EE"/>
              <w:bottom w:val="single" w:sz="8" w:color="0000EE"/>
            </w:tcBorders>
            <w:gridSpan w:val="14"/>
          </w:tcPr>
          <w:p>
            <w:pPr>
              <w:spacing w:after="0" w:line="194" w:lineRule="exact"/>
              <w:rPr>
                <w:sz w:val="20"/>
                <w:szCs w:val="20"/>
                <w:color w:val="auto"/>
              </w:rPr>
            </w:pPr>
            <w:r>
              <w:rPr>
                <w:rFonts w:ascii="Times New Roman" w:cs="Times New Roman" w:eastAsia="Times New Roman" w:hAnsi="Times New Roman"/>
                <w:sz w:val="18"/>
                <w:szCs w:val="18"/>
                <w:color w:val="0000EE"/>
                <w:w w:val="98"/>
              </w:rPr>
              <w:t>Index to Financial Statements</w:t>
            </w:r>
          </w:p>
        </w:tc>
        <w:tc>
          <w:tcPr>
            <w:tcW w:w="700" w:type="dxa"/>
            <w:vAlign w:val="bottom"/>
            <w:tcBorders>
              <w:top w:val="single" w:sz="8" w:color="0000EE"/>
            </w:tcBorders>
            <w:gridSpan w:val="3"/>
          </w:tcPr>
          <w:p>
            <w:pPr>
              <w:spacing w:after="0"/>
              <w:rPr>
                <w:sz w:val="16"/>
                <w:szCs w:val="16"/>
                <w:color w:val="auto"/>
              </w:rPr>
            </w:pPr>
          </w:p>
        </w:tc>
        <w:tc>
          <w:tcPr>
            <w:tcW w:w="7700" w:type="dxa"/>
            <w:vAlign w:val="bottom"/>
            <w:gridSpan w:val="6"/>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Neither we, the selling stockholders, nor the underwriters have authorized anyone to provide you with information different from that contained in this prospectus, any amendment or supplement to this prospectus, or any free writing prospectus prepared by us or authorized to be provided on our behalf. Neither we, the selling stockholders, nor the underwriters take any responsibility for, or can provide any assurance as to the reliability of, any information other than the information in this prospectus, any amendment or supplement to this prospectus, or any free writing prospectus prepared by us or authorized to be provided on our behalf. You should assume that the information appearing in this prospectus is accurate only as of the date of this prospectus, regardless of the time of delivery of this prospectus or any sale of shares of our Class A common stock. Our business, financial condition, results of operations, and prospects may have changed since that date.</w:t>
      </w:r>
    </w:p>
    <w:p>
      <w:pPr>
        <w:spacing w:after="0" w:line="184" w:lineRule="exact"/>
        <w:rPr>
          <w:sz w:val="20"/>
          <w:szCs w:val="20"/>
          <w:color w:val="auto"/>
        </w:rPr>
      </w:pPr>
    </w:p>
    <w:p>
      <w:pPr>
        <w:ind w:left="160" w:right="60" w:firstLine="436"/>
        <w:spacing w:after="0" w:line="255" w:lineRule="auto"/>
        <w:rPr>
          <w:sz w:val="20"/>
          <w:szCs w:val="20"/>
          <w:color w:val="auto"/>
        </w:rPr>
      </w:pPr>
      <w:r>
        <w:rPr>
          <w:rFonts w:ascii="Times New Roman" w:cs="Times New Roman" w:eastAsia="Times New Roman" w:hAnsi="Times New Roman"/>
          <w:sz w:val="18"/>
          <w:szCs w:val="18"/>
          <w:color w:val="auto"/>
        </w:rPr>
        <w:t>We, the selling stockholders, and the underwriters are offering to sell, and seeking offers to buy, shares of our Class A common stock only in jurisdictions where offers and sales are permitted. Neither we, the selling stockholders,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Class A common stock and the distribution of this prospectus outside of the United States.</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40"/>
          </w:cols>
          <w:pgMar w:left="320" w:top="451" w:right="5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5" w:lineRule="exact"/>
        <w:rPr>
          <w:sz w:val="20"/>
          <w:szCs w:val="20"/>
          <w:color w:val="auto"/>
        </w:rPr>
      </w:pPr>
    </w:p>
    <w:p>
      <w:pPr>
        <w:ind w:left="160" w:right="80" w:firstLine="436"/>
        <w:spacing w:after="0" w:line="268" w:lineRule="auto"/>
        <w:rPr>
          <w:sz w:val="20"/>
          <w:szCs w:val="20"/>
          <w:color w:val="auto"/>
        </w:rPr>
      </w:pPr>
      <w:r>
        <w:rPr>
          <w:rFonts w:ascii="Times New Roman" w:cs="Times New Roman" w:eastAsia="Times New Roman" w:hAnsi="Times New Roman"/>
          <w:sz w:val="17"/>
          <w:szCs w:val="17"/>
          <w:color w:val="auto"/>
        </w:rPr>
        <w:t>Following the IPO Transactions (as defined below), Medline Holdings, LP (“Medline Holdings”) became the predecessor of Medline Inc. for financial reporting purposes. Medline Inc. is a holding company, and its sole material assets are its equity interests held directly or indirectly through wholly owned subsidiaries in Medline Holdings. As the general partner of Medline Holdings, Medline Inc. operates and controls all of the business and affairs of Medline Holdings and, through Medline Holdings and its subsidiaries, conducts our business. The Reorganization Transactions (as defined herein) lacked economic substance and therefore were accounted for in a manner consistent with a reorganization of entities under common control. As a result, the consolidated financial statements of Medline Inc. recognize the assets and liabilities received in the Reorganization Transactions at their historical carrying amounts, as reflected in the historical financial statements of Medline Holdings. Medline Inc. consolidates Medline Holdings on its consolidated financial statements and records a non-controlling interest related to the Units (as defined herein) held by the Continuing Unitholders (as defined herein) on its consolidated balance sheet and statement of comprehensive income. See “Organizational Structure.”</w:t>
      </w:r>
    </w:p>
    <w:p>
      <w:pPr>
        <w:spacing w:after="0" w:line="175" w:lineRule="exact"/>
        <w:rPr>
          <w:sz w:val="20"/>
          <w:szCs w:val="20"/>
          <w:color w:val="auto"/>
        </w:rPr>
      </w:pPr>
    </w:p>
    <w:p>
      <w:pPr>
        <w:ind w:left="160" w:right="60" w:firstLine="436"/>
        <w:spacing w:after="0" w:line="278" w:lineRule="auto"/>
        <w:rPr>
          <w:sz w:val="20"/>
          <w:szCs w:val="20"/>
          <w:color w:val="auto"/>
        </w:rPr>
      </w:pPr>
      <w:r>
        <w:rPr>
          <w:rFonts w:ascii="Times New Roman" w:cs="Times New Roman" w:eastAsia="Times New Roman" w:hAnsi="Times New Roman"/>
          <w:sz w:val="18"/>
          <w:szCs w:val="18"/>
          <w:color w:val="auto"/>
        </w:rPr>
        <w:t>Medline Inc. had no significant business transactions or activities prior to the Reorganization Transactions, and, as a result, the historical financial information prior to the completion of the Reorganization Transactions reflects that of Medline Holdings.</w:t>
      </w:r>
    </w:p>
    <w:p>
      <w:pPr>
        <w:spacing w:after="0" w:line="162"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Certain monetary amounts, percentages, and other figures included in this prospectus have been subject to rounding adjustments. Percentage amounts included in this prospectus have been calculated, in some cases, not on the basis of such rounded figures, but on the basis of such amounts prior to rounding. For this reason, percentage amounts in this prospectus may vary from those obtained by performing the same calculations using the figures, on the face of our consolidated financial statements included elsewhere in this prospectus. Certain other amounts that appear in this prospectus may not sum due to rounding.</w:t>
      </w:r>
    </w:p>
    <w:p>
      <w:pPr>
        <w:spacing w:after="0" w:line="184" w:lineRule="exact"/>
        <w:rPr>
          <w:sz w:val="20"/>
          <w:szCs w:val="20"/>
          <w:color w:val="auto"/>
        </w:rPr>
      </w:pPr>
    </w:p>
    <w:p>
      <w:pPr>
        <w:ind w:left="160" w:right="60" w:firstLine="436"/>
        <w:spacing w:after="0" w:line="277" w:lineRule="auto"/>
        <w:rPr>
          <w:sz w:val="20"/>
          <w:szCs w:val="20"/>
          <w:color w:val="auto"/>
        </w:rPr>
      </w:pPr>
      <w:r>
        <w:rPr>
          <w:rFonts w:ascii="Times New Roman" w:cs="Times New Roman" w:eastAsia="Times New Roman" w:hAnsi="Times New Roman"/>
          <w:sz w:val="17"/>
          <w:szCs w:val="17"/>
          <w:color w:val="auto"/>
        </w:rPr>
        <w:t>In December 2024, we changed the name of Medline Holdings from Mozart Holdings, LP to Medline Holdings, LP. We will not distinguish between the prior and current name of Medline Holdings and will refer to the current name of Medline Holdings throughout this prospectus. References in this prospectus to “Medline,” the “Company,” “we,” “us,” and “our” refer (1) prior to the consummation of the IPO Transactions (as defined herein), to Medline Holdings, LP and its consolidated subsidiaries and (2) after the IPO Transactions to Medline Inc. and its consolidated subsidiaries.</w:t>
      </w:r>
    </w:p>
    <w:p>
      <w:pPr>
        <w:spacing w:after="0" w:line="2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As used in this prospectus, unless otherwise noted or the context requires otherwise:</w:t>
      </w:r>
    </w:p>
    <w:p>
      <w:pPr>
        <w:spacing w:after="0" w:line="127" w:lineRule="exact"/>
        <w:rPr>
          <w:sz w:val="20"/>
          <w:szCs w:val="20"/>
          <w:color w:val="auto"/>
        </w:rPr>
      </w:pPr>
    </w:p>
    <w:p>
      <w:pPr>
        <w:ind w:left="1140" w:hanging="438"/>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“Blackstone” refers to investment funds associated with Blackstone Inc.</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refers to investment funds associated with The Carlyle Group Inc.</w:t>
      </w:r>
    </w:p>
    <w:p>
      <w:pPr>
        <w:spacing w:after="0" w:line="127" w:lineRule="exact"/>
        <w:rPr>
          <w:rFonts w:ascii="Times New Roman" w:cs="Times New Roman" w:eastAsia="Times New Roman" w:hAnsi="Times New Roman"/>
          <w:sz w:val="18"/>
          <w:szCs w:val="18"/>
          <w:color w:val="auto"/>
        </w:rPr>
      </w:pPr>
    </w:p>
    <w:p>
      <w:pPr>
        <w:ind w:left="1140" w:right="140" w:hanging="438"/>
        <w:spacing w:after="0" w:line="285" w:lineRule="auto"/>
        <w:tabs>
          <w:tab w:leader="none" w:pos="11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A Units” refers to the interests in Medline Holdings called “Class A Units” that were outstanding prior to the Reclassification. In connection with the Reclassification, (i) Class A Units held by Continuing Common Unitholders were converted into Common Units and (ii) Class A Units held by Exchanging Class A Unitholders were directly or indirectly exchanged for shares of Class A common stock.</w:t>
      </w:r>
    </w:p>
    <w:p>
      <w:pPr>
        <w:spacing w:after="0" w:line="65" w:lineRule="exact"/>
        <w:rPr>
          <w:rFonts w:ascii="Times New Roman" w:cs="Times New Roman" w:eastAsia="Times New Roman" w:hAnsi="Times New Roman"/>
          <w:sz w:val="17"/>
          <w:szCs w:val="17"/>
          <w:color w:val="auto"/>
        </w:rPr>
      </w:pPr>
    </w:p>
    <w:p>
      <w:pPr>
        <w:ind w:left="1140" w:right="140" w:hanging="438"/>
        <w:spacing w:after="0" w:line="255" w:lineRule="auto"/>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Units” refers to the interests in Medline Holdings called “Class B Units” that were outstanding prior to the Reclassification, and does not include CUPI Units. In connection with the Reclassification, (i) Class B Units held by Continuing Incentive Unitholders were converted into Incentive Units and (ii) Class B Units held by Exchanging Class B Unitholders were directly or indirectly exchanged for shares of Class A common stock (in the case of vested Class B Units) and/or restricted shares of Class A common stock (in the case of unvested Class B Units).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60"/>
          </w:cols>
          <w:pgMar w:left="320" w:top="451" w:right="5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140" w:right="180" w:hanging="438"/>
        <w:spacing w:after="0" w:line="278"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Units” refers to the new class of units of Medline Holdings created by the Reclassification as described under “Organizational Structure” and does not include Incentive Units.</w:t>
      </w:r>
    </w:p>
    <w:p>
      <w:pPr>
        <w:spacing w:after="0" w:line="68" w:lineRule="exact"/>
        <w:rPr>
          <w:rFonts w:ascii="Times New Roman" w:cs="Times New Roman" w:eastAsia="Times New Roman" w:hAnsi="Times New Roman"/>
          <w:sz w:val="18"/>
          <w:szCs w:val="18"/>
          <w:color w:val="auto"/>
        </w:rPr>
      </w:pPr>
    </w:p>
    <w:p>
      <w:pPr>
        <w:ind w:left="1140" w:right="600" w:hanging="438"/>
        <w:spacing w:after="0" w:line="278"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Common Unitholders” refers to certain pre-IPO holders of Class A Units and/or CUPI Units who hold Common Units following the Reclassification, as described under “Organizational Structure.”</w:t>
      </w:r>
    </w:p>
    <w:p>
      <w:pPr>
        <w:spacing w:after="0" w:line="68" w:lineRule="exact"/>
        <w:rPr>
          <w:rFonts w:ascii="Times New Roman" w:cs="Times New Roman" w:eastAsia="Times New Roman" w:hAnsi="Times New Roman"/>
          <w:sz w:val="18"/>
          <w:szCs w:val="18"/>
          <w:color w:val="auto"/>
        </w:rPr>
      </w:pPr>
    </w:p>
    <w:p>
      <w:pPr>
        <w:ind w:left="1140" w:right="980" w:hanging="438"/>
        <w:spacing w:after="0" w:line="278"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Incentive Unitholders” refers to certain pre-IPO holders of Class B Units who hold Incentive Units following the Reclassification, as described under “Organizational Structure.”</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Unitholders” refers collectively to Continuing Common Unitholders and Continuing Incentive Unitholders.</w:t>
      </w:r>
    </w:p>
    <w:p>
      <w:pPr>
        <w:spacing w:after="0" w:line="127" w:lineRule="exact"/>
        <w:rPr>
          <w:rFonts w:ascii="Times New Roman" w:cs="Times New Roman" w:eastAsia="Times New Roman" w:hAnsi="Times New Roman"/>
          <w:sz w:val="18"/>
          <w:szCs w:val="18"/>
          <w:color w:val="auto"/>
        </w:rPr>
      </w:pPr>
    </w:p>
    <w:p>
      <w:pPr>
        <w:ind w:left="1140" w:hanging="438"/>
        <w:spacing w:after="0" w:line="258"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“CUPI Units” refers to the interests in Medline Holdings that are designated as “Catch-Up Class B Units” and were outstanding prior to the Reclassification. In connection with the Reclassification, (i) CUPI Units held by Continuing Common Unitholders were converted into Common Units and (ii) CUPI Units held by Exchanging CUPI Unitholders were directly or indirectly exchanged for shares of Class A common stock.</w:t>
      </w:r>
    </w:p>
    <w:p>
      <w:pPr>
        <w:spacing w:after="0" w:line="86" w:lineRule="exact"/>
        <w:rPr>
          <w:rFonts w:ascii="Times New Roman" w:cs="Times New Roman" w:eastAsia="Times New Roman" w:hAnsi="Times New Roman"/>
          <w:sz w:val="18"/>
          <w:szCs w:val="18"/>
          <w:color w:val="auto"/>
        </w:rPr>
      </w:pPr>
    </w:p>
    <w:p>
      <w:pPr>
        <w:ind w:left="1140" w:right="840" w:hanging="438"/>
        <w:spacing w:after="0" w:line="308" w:lineRule="auto"/>
        <w:tabs>
          <w:tab w:leader="none" w:pos="11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“Designating Stockholder” refers to each of our Principal Stockholders with whom we are party to separate director nomination agreements, as described in “Certain Relationships and Related Person Transactions—Director Nomination Agreements.”</w:t>
      </w:r>
    </w:p>
    <w:p>
      <w:pPr>
        <w:spacing w:after="0" w:line="46" w:lineRule="exact"/>
        <w:rPr>
          <w:rFonts w:ascii="Times New Roman" w:cs="Times New Roman" w:eastAsia="Times New Roman" w:hAnsi="Times New Roman"/>
          <w:sz w:val="17"/>
          <w:szCs w:val="17"/>
          <w:color w:val="auto"/>
        </w:rPr>
      </w:pPr>
    </w:p>
    <w:p>
      <w:pPr>
        <w:ind w:left="1140" w:hanging="438"/>
        <w:spacing w:after="0" w:line="278"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“Exchanging Class A Unitholder” refers to pre-IPO holders of Class A Units whose Class A Units were directly or indirectly exchanged for shares of Class A common stock following the Reclassification, as described under “Organizational Structure.”</w:t>
      </w:r>
    </w:p>
    <w:p>
      <w:pPr>
        <w:spacing w:after="0" w:line="68" w:lineRule="exact"/>
        <w:rPr>
          <w:rFonts w:ascii="Times New Roman" w:cs="Times New Roman" w:eastAsia="Times New Roman" w:hAnsi="Times New Roman"/>
          <w:sz w:val="18"/>
          <w:szCs w:val="18"/>
          <w:color w:val="auto"/>
        </w:rPr>
      </w:pPr>
    </w:p>
    <w:p>
      <w:pPr>
        <w:ind w:left="1140" w:hanging="438"/>
        <w:spacing w:after="0" w:line="263"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“Exchanging Class B Unitholder” refers to pre-IPO holders of Class B Units whose Class B Units were directly or indirectly exchanged for shares of Class A common stock (in the case of vested Class B Units) and/or restricted shares of Class A common stock (in the case of unvested Class B Units) following the Reclassification, as described under “Organizational Structure.”</w:t>
      </w:r>
    </w:p>
    <w:p>
      <w:pPr>
        <w:spacing w:after="0" w:line="81" w:lineRule="exact"/>
        <w:rPr>
          <w:rFonts w:ascii="Times New Roman" w:cs="Times New Roman" w:eastAsia="Times New Roman" w:hAnsi="Times New Roman"/>
          <w:sz w:val="18"/>
          <w:szCs w:val="18"/>
          <w:color w:val="auto"/>
        </w:rPr>
      </w:pPr>
    </w:p>
    <w:p>
      <w:pPr>
        <w:ind w:left="1140" w:right="440" w:hanging="438"/>
        <w:spacing w:after="0" w:line="278"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“Exchanging CUPI Unitholder” refers to pre-IPO holders of CUPI Units whose CUPI Units were directly or indirectly exchanged for shares of Class A common stock following the Reclassification, as described under “Organizational Structure.”</w:t>
      </w:r>
    </w:p>
    <w:p>
      <w:pPr>
        <w:spacing w:after="0" w:line="68" w:lineRule="exact"/>
        <w:rPr>
          <w:rFonts w:ascii="Times New Roman" w:cs="Times New Roman" w:eastAsia="Times New Roman" w:hAnsi="Times New Roman"/>
          <w:sz w:val="18"/>
          <w:szCs w:val="18"/>
          <w:color w:val="auto"/>
        </w:rPr>
      </w:pPr>
    </w:p>
    <w:p>
      <w:pPr>
        <w:ind w:left="1140" w:right="60" w:hanging="438"/>
        <w:spacing w:after="0" w:line="278"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“Exchanging Unitholders” refers collectively to Exchanging Class A Unitholders, Exchanging CUPI Unitholders, and Exchanging Class B Unitholders.</w:t>
      </w:r>
    </w:p>
    <w:p>
      <w:pPr>
        <w:spacing w:after="0" w:line="68" w:lineRule="exact"/>
        <w:rPr>
          <w:rFonts w:ascii="Times New Roman" w:cs="Times New Roman" w:eastAsia="Times New Roman" w:hAnsi="Times New Roman"/>
          <w:sz w:val="18"/>
          <w:szCs w:val="18"/>
          <w:color w:val="auto"/>
        </w:rPr>
      </w:pPr>
    </w:p>
    <w:p>
      <w:pPr>
        <w:ind w:left="1140" w:right="60" w:hanging="438"/>
        <w:spacing w:after="0" w:line="278"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owners” or “pre-IPO owners” refer to our Principal Stockholders, our Other Pre-IPO Investors and management and other equity holders who were the owners of Medline Holdings immediately prior to the Reorganization Transactions.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“H&amp;F” refers to investment funds associated with Hellman &amp; Friedman LLC.</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“Hux” refers to Hux Investment Pte. Ltd.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“IDNs” refers to integrated delivery networks.</w:t>
      </w:r>
    </w:p>
    <w:p>
      <w:pPr>
        <w:spacing w:after="0" w:line="127" w:lineRule="exact"/>
        <w:rPr>
          <w:rFonts w:ascii="Times New Roman" w:cs="Times New Roman" w:eastAsia="Times New Roman" w:hAnsi="Times New Roman"/>
          <w:sz w:val="18"/>
          <w:szCs w:val="18"/>
          <w:color w:val="auto"/>
        </w:rPr>
      </w:pPr>
    </w:p>
    <w:p>
      <w:pPr>
        <w:ind w:left="1140" w:right="140" w:hanging="438"/>
        <w:spacing w:after="0" w:line="255"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Units” refers to the new class of units of Medline Holdings created by the reclassification of the Class B Units in the Reclassification as described under “Organizational Structure.” The Incentive Units are “profit interests” having economic characteristics similar to stock appreciation rights and having the right to share in any equity value of Medline Holdings above specified participation thresholds. Vested Incentive Units may be converted to Common Units and be subsequently exchanged for shares of Class A common stock, as described under “Organizational Structure.”</w:t>
      </w:r>
    </w:p>
    <w:p>
      <w:pPr>
        <w:spacing w:after="0" w:line="90"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“IPO” refers to the initial public offering of our Class A common stock, which closed on December 18, 2025.</w:t>
      </w:r>
    </w:p>
    <w:p>
      <w:pPr>
        <w:spacing w:after="0" w:line="127" w:lineRule="exact"/>
        <w:rPr>
          <w:rFonts w:ascii="Times New Roman" w:cs="Times New Roman" w:eastAsia="Times New Roman" w:hAnsi="Times New Roman"/>
          <w:sz w:val="18"/>
          <w:szCs w:val="18"/>
          <w:color w:val="auto"/>
        </w:rPr>
      </w:pPr>
    </w:p>
    <w:p>
      <w:pPr>
        <w:ind w:left="1140" w:right="1120" w:hanging="438"/>
        <w:spacing w:after="0" w:line="278"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“IPO Transactions” refers to the offering of Class A common stock in our IPO and certain related transactions, as defined in “Organizational Structure—IPO Transactions.”</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80"/>
          </w:cols>
          <w:pgMar w:left="320" w:top="451"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both"/>
        <w:ind w:left="1140" w:right="880" w:hanging="438"/>
        <w:spacing w:after="0" w:line="285" w:lineRule="auto"/>
        <w:tabs>
          <w:tab w:leader="none" w:pos="11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“Medline,” the “Company,” “we,” “us,” and “our” refer (1) prior to the consummation of the IPO Transactions described under “Organizational Structure—IPO Transactions,” to Medline Holdings, LP and its consolidated subsidiaries and (2) after the IPO Transactions described under “Organizational Structure—IPO Transactions,” to Medline Inc. and its consolidated subsidiaries.</w:t>
      </w:r>
    </w:p>
    <w:p>
      <w:pPr>
        <w:spacing w:after="0" w:line="65" w:lineRule="exact"/>
        <w:rPr>
          <w:rFonts w:ascii="Times New Roman" w:cs="Times New Roman" w:eastAsia="Times New Roman" w:hAnsi="Times New Roman"/>
          <w:sz w:val="17"/>
          <w:szCs w:val="17"/>
          <w:color w:val="auto"/>
        </w:rPr>
      </w:pPr>
    </w:p>
    <w:p>
      <w:pPr>
        <w:ind w:left="1140" w:right="500" w:hanging="438"/>
        <w:spacing w:after="0" w:line="263"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“Medline Brand” or “MB” refers to products manufactured by Medline, sourced by Medline and sold under a Medline trademark, or certain third-party products distributed by Medline that drive value for our customers, which we also refer to as “Medline Preferred Products.” Medline Brand is one of our two reportable segments.</w:t>
      </w:r>
    </w:p>
    <w:p>
      <w:pPr>
        <w:spacing w:after="0" w:line="81" w:lineRule="exact"/>
        <w:rPr>
          <w:rFonts w:ascii="Times New Roman" w:cs="Times New Roman" w:eastAsia="Times New Roman" w:hAnsi="Times New Roman"/>
          <w:sz w:val="18"/>
          <w:szCs w:val="18"/>
          <w:color w:val="auto"/>
        </w:rPr>
      </w:pPr>
    </w:p>
    <w:p>
      <w:pPr>
        <w:ind w:left="1140" w:right="120" w:hanging="438"/>
        <w:spacing w:after="0" w:line="278"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“Mills Family” refers to the holders of equity interests of Medline Holdings immediately prior to the Reorganization Transactions that are affiliated with members of the Mills family.</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Pre-IPO Investors” refers collectively to Hux and Platinum Falcon.</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“Platinum Falcon” refers to Platinum Falcon B 2018 RSC Limited.</w:t>
      </w:r>
    </w:p>
    <w:p>
      <w:pPr>
        <w:spacing w:after="0" w:line="127" w:lineRule="exact"/>
        <w:rPr>
          <w:rFonts w:ascii="Times New Roman" w:cs="Times New Roman" w:eastAsia="Times New Roman" w:hAnsi="Times New Roman"/>
          <w:sz w:val="18"/>
          <w:szCs w:val="18"/>
          <w:color w:val="auto"/>
        </w:rPr>
      </w:pPr>
    </w:p>
    <w:p>
      <w:pPr>
        <w:ind w:left="1140" w:right="100" w:hanging="438"/>
        <w:spacing w:after="0" w:line="278"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“Pre-IPO Stockholders” refers to certain of our pre-IPO owners that received shares of Class A common stock of Medline Inc. pursuant to the Blocker Transfers as defined and described in “Organizational Structure—Blocker Transfers.”</w:t>
      </w:r>
    </w:p>
    <w:p>
      <w:pPr>
        <w:spacing w:after="0" w:line="68" w:lineRule="exact"/>
        <w:rPr>
          <w:rFonts w:ascii="Times New Roman" w:cs="Times New Roman" w:eastAsia="Times New Roman" w:hAnsi="Times New Roman"/>
          <w:sz w:val="18"/>
          <w:szCs w:val="18"/>
          <w:color w:val="auto"/>
        </w:rPr>
      </w:pPr>
    </w:p>
    <w:p>
      <w:pPr>
        <w:ind w:left="1140" w:right="200" w:hanging="438"/>
        <w:spacing w:after="0" w:line="278"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“Prime Vendor” refers to a relationship for which there is a multi-year distribution agreement between Medline and a customer, whereby the customer agrees to use Medline for the vast majority of its med-surg product needs.</w:t>
      </w:r>
    </w:p>
    <w:p>
      <w:pPr>
        <w:spacing w:after="0" w:line="55" w:lineRule="exact"/>
        <w:rPr>
          <w:rFonts w:ascii="Times New Roman" w:cs="Times New Roman" w:eastAsia="Times New Roman" w:hAnsi="Times New Roman"/>
          <w:sz w:val="18"/>
          <w:szCs w:val="18"/>
          <w:color w:val="auto"/>
        </w:rPr>
      </w:pPr>
    </w:p>
    <w:p>
      <w:pPr>
        <w:jc w:val="both"/>
        <w:ind w:left="1140" w:right="20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Prime Vendor model began in the acute care channel and, as these hospitals expanded into other sites of care, we have extended this model into the non-acute space to include those affiliated sites of care (“acute affiliated”). For purposes of the Prime Vendor data within this prospectus, we are only including those customers that are acute and acute affiliated.</w:t>
      </w:r>
    </w:p>
    <w:p>
      <w:pPr>
        <w:spacing w:after="0" w:line="68" w:lineRule="exact"/>
        <w:rPr>
          <w:rFonts w:ascii="Times New Roman" w:cs="Times New Roman" w:eastAsia="Times New Roman" w:hAnsi="Times New Roman"/>
          <w:sz w:val="18"/>
          <w:szCs w:val="18"/>
          <w:color w:val="auto"/>
        </w:rPr>
      </w:pPr>
    </w:p>
    <w:p>
      <w:pPr>
        <w:ind w:left="1140" w:right="200"/>
        <w:spacing w:after="0" w:line="30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Over time, we have also entered into Prime Vendor agreements with facilities that are non-acute and not affiliated with a hospital system (i.e., not acute affiliated). Data in this prospectus does not include Prime Vendor relationships outside of acute and acute affiliated.</w:t>
      </w:r>
    </w:p>
    <w:p>
      <w:pPr>
        <w:spacing w:after="0" w:line="46" w:lineRule="exact"/>
        <w:rPr>
          <w:rFonts w:ascii="Times New Roman" w:cs="Times New Roman" w:eastAsia="Times New Roman" w:hAnsi="Times New Roman"/>
          <w:sz w:val="18"/>
          <w:szCs w:val="18"/>
          <w:color w:val="auto"/>
        </w:rPr>
      </w:pPr>
    </w:p>
    <w:p>
      <w:pPr>
        <w:ind w:left="1140" w:hanging="438"/>
        <w:spacing w:after="0" w:line="255"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“Prime Vendor retention rate” is calculated as (x)(i) the net sales for the prior fiscal year from Prime Vendor customers as of the end of such fiscal year (the “Prior Period Prime Vendor Customers”) less (ii) the Retention Change, divided by (y) the net sales for the prior fiscal year from the Prior Period Prime Vendor Customers. “Retention Change” is defined as the decrease in net sales from the prior fiscal year as compared to the current fiscal year attributable to Prior Period Prime Vendor Customers whose agreement end date occurred during the current fiscal year and was not renewed.</w:t>
      </w:r>
    </w:p>
    <w:p>
      <w:pPr>
        <w:spacing w:after="0" w:line="90"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Stockholders” refers collectively to Blackstone, Carlyle, H&amp;F, and the Mills Family.</w:t>
      </w:r>
    </w:p>
    <w:p>
      <w:pPr>
        <w:spacing w:after="0" w:line="127" w:lineRule="exact"/>
        <w:rPr>
          <w:rFonts w:ascii="Times New Roman" w:cs="Times New Roman" w:eastAsia="Times New Roman" w:hAnsi="Times New Roman"/>
          <w:sz w:val="18"/>
          <w:szCs w:val="18"/>
          <w:color w:val="auto"/>
        </w:rPr>
      </w:pPr>
    </w:p>
    <w:p>
      <w:pPr>
        <w:ind w:left="1140" w:right="320" w:hanging="438"/>
        <w:spacing w:after="0" w:line="263"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refers to the reclassification of the partnership interests of Medline Holdings, as described in “Summary—Our Structure” and “Organizational Structure—Reclassification and Amendment and Restatement of the Limited Partnership Agreement of Medline Holdings.”</w:t>
      </w:r>
    </w:p>
    <w:p>
      <w:pPr>
        <w:spacing w:after="0" w:line="81" w:lineRule="exact"/>
        <w:rPr>
          <w:rFonts w:ascii="Times New Roman" w:cs="Times New Roman" w:eastAsia="Times New Roman" w:hAnsi="Times New Roman"/>
          <w:sz w:val="18"/>
          <w:szCs w:val="18"/>
          <w:color w:val="auto"/>
        </w:rPr>
      </w:pPr>
    </w:p>
    <w:p>
      <w:pPr>
        <w:ind w:left="1140" w:right="60" w:hanging="438"/>
        <w:spacing w:after="0" w:line="278"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 Transactions” refers to the transactions described under “Organizational Structure—Reclassification and Amendment and Restatement of the Limited Partnership Agreement of Medline Holdings.”</w:t>
      </w:r>
    </w:p>
    <w:p>
      <w:pPr>
        <w:spacing w:after="0" w:line="68"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Acquisition” refers to the acquisition on October 21, 2021 by our Sponsors of a majority interest in Medline Holdings and certain transactions related thereto.</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“Sponsors” refers collectively to Blackstone, Carlyle, and H&amp;F.</w:t>
      </w:r>
    </w:p>
    <w:p>
      <w:pPr>
        <w:spacing w:after="0" w:line="127" w:lineRule="exact"/>
        <w:rPr>
          <w:rFonts w:ascii="Times New Roman" w:cs="Times New Roman" w:eastAsia="Times New Roman" w:hAnsi="Times New Roman"/>
          <w:sz w:val="18"/>
          <w:szCs w:val="18"/>
          <w:color w:val="auto"/>
        </w:rPr>
      </w:pPr>
    </w:p>
    <w:p>
      <w:pPr>
        <w:ind w:left="1140" w:right="80" w:hanging="438"/>
        <w:spacing w:after="0" w:line="258"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Solutions” or “SCS” refers to products distributed by Medline from third-party suppliers that are not included in the Medline Brand segment and supply chain optimization services such as consulting engagements, outsourced warehouse and technology management, put-away-ready packaging, third-party logistics, inventory rationalization and route planning. Supply Chain Solutions is one of our two reportable segments.</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080"/>
          </w:cols>
          <w:pgMar w:left="320" w:top="451"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140" w:right="460" w:hanging="438"/>
        <w:spacing w:after="0" w:line="278"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customer signings” refers to the estimated annual contract value of all new contracts entered into during a given year by new customers or by existing customers who are expanding their relationship with Medline, excluding renewals and extensions.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refers collectively to Common Units and Incentive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236855</wp:posOffset>
            </wp:positionV>
            <wp:extent cx="1460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Unless indicated otherwise, the information included in this prospectus assumes no exercise by the underwriters of their option to purchase up to an additional         shares of Class A common stock from the selling stockholders.</w:t>
      </w:r>
    </w:p>
    <w:p>
      <w:pPr>
        <w:spacing w:after="0" w:line="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920"/>
          </w:cols>
          <w:pgMar w:left="320" w:top="451" w:right="6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6637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34200" cy="6637020"/>
                    </a:xfrm>
                    <a:prstGeom prst="rect">
                      <a:avLst/>
                    </a:prstGeom>
                    <a:noFill/>
                  </pic:spPr>
                </pic:pic>
              </a:graphicData>
            </a:graphic>
          </wp:anchor>
        </w:drawing>
      </w:r>
    </w:p>
    <w:p>
      <w:pPr>
        <w:spacing w:after="0" w:line="28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3" w:lineRule="exact"/>
        <w:rPr>
          <w:sz w:val="20"/>
          <w:szCs w:val="20"/>
          <w:color w:val="auto"/>
        </w:rPr>
      </w:pPr>
    </w:p>
    <w:p>
      <w:pPr>
        <w:ind w:left="340" w:right="60" w:firstLine="422"/>
        <w:spacing w:after="0" w:line="278" w:lineRule="auto"/>
        <w:rPr>
          <w:sz w:val="20"/>
          <w:szCs w:val="20"/>
          <w:color w:val="auto"/>
        </w:rPr>
      </w:pPr>
      <w:r>
        <w:rPr>
          <w:rFonts w:ascii="Times New Roman" w:cs="Times New Roman" w:eastAsia="Times New Roman" w:hAnsi="Times New Roman"/>
          <w:sz w:val="17"/>
          <w:szCs w:val="17"/>
          <w:i w:val="1"/>
          <w:iCs w:val="1"/>
          <w:color w:val="auto"/>
        </w:rPr>
        <w:t>This summary highlights information contained elsewhere in this prospectus and does not contain all of the information you should consider before investing in shares of our Class A common stock. You should read this entire prospectus carefully, including the sections entitled “Risk Factors” and “Management’s Discussion and Analysis of Financial Condition and Results of Operations” as well as the consolidated financial statements and the related notes thereto included elsewhere in this prospectus before you decide to invest in shares of our Class A common stock.</w:t>
      </w:r>
    </w:p>
    <w:p>
      <w:pPr>
        <w:spacing w:after="0" w:line="37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2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Our mission is to make healthcare run better by delivering improved clinical, financial, and operational outcomes.</w:t>
      </w:r>
    </w:p>
    <w:p>
      <w:pPr>
        <w:spacing w:after="0" w:line="200" w:lineRule="exact"/>
        <w:rPr>
          <w:sz w:val="20"/>
          <w:szCs w:val="20"/>
          <w:color w:val="auto"/>
        </w:rPr>
      </w:pPr>
    </w:p>
    <w:p>
      <w:pPr>
        <w:spacing w:after="0" w:line="2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ind w:left="340" w:firstLine="422"/>
        <w:spacing w:after="0" w:line="251" w:lineRule="auto"/>
        <w:rPr>
          <w:sz w:val="20"/>
          <w:szCs w:val="20"/>
          <w:color w:val="auto"/>
        </w:rPr>
      </w:pPr>
      <w:r>
        <w:rPr>
          <w:rFonts w:ascii="Times New Roman" w:cs="Times New Roman" w:eastAsia="Times New Roman" w:hAnsi="Times New Roman"/>
          <w:sz w:val="18"/>
          <w:szCs w:val="18"/>
          <w:color w:val="auto"/>
        </w:rPr>
        <w:t>We are the largest provider of medical-surgical (“med-surg”) products and supply chain solutions serving all points of care, based on total net sales of med-surg products. We deliver mission-critical products used daily across the full range of care settings, from hospitals and surgery centers to physician offices and post-acute facilities. Through our two segments, Medline Brand and Supply Chain Solutions, we offer approximately 335,000 med-surg products, including surgical and procedural kits, gloves and protective apparel, urological and incontinence care, wound care, and consumable lab and diagnostics products. We hold the leading position across several of our end markets and many of our key product families. We distribute these products through our expansive network of 69 global distribution facilities, spanning over 29 million square feet of warehouse space, and our owned fleet of over 2,000 MedTrans trucks, enabling us to provide next-day delivery to 95% of our U.S. customers. Our integrated business model and customer-centric culture drives lower costs and better value for our stakeholders. This is the foundation for our durable recurring revenue base, with our net sales having grown every year since inception of the Company at a compound annual growth rate (“CAGR”) of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i w:val="1"/>
          <w:iCs w:val="1"/>
          <w:color w:val="auto"/>
        </w:rPr>
        <w:t>Note: Amounts were calculated in accordance with the historical accounting standards applicable to the Company in the relevant period.</w:t>
      </w:r>
    </w:p>
    <w:p>
      <w:pPr>
        <w:spacing w:after="0" w:line="32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860"/>
          </w:cols>
          <w:pgMar w:left="320" w:top="451" w:right="7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62458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34200" cy="6245860"/>
                    </a:xfrm>
                    <a:prstGeom prst="rect">
                      <a:avLst/>
                    </a:prstGeom>
                    <a:noFill/>
                  </pic:spPr>
                </pic:pic>
              </a:graphicData>
            </a:graphic>
          </wp:anchor>
        </w:drawing>
      </w:r>
    </w:p>
    <w:p>
      <w:pPr>
        <w:spacing w:after="0" w:line="289" w:lineRule="exact"/>
        <w:rPr>
          <w:sz w:val="20"/>
          <w:szCs w:val="20"/>
          <w:color w:val="auto"/>
        </w:rPr>
      </w:pPr>
    </w:p>
    <w:p>
      <w:pPr>
        <w:ind w:left="340" w:firstLine="422"/>
        <w:spacing w:after="0" w:line="251" w:lineRule="auto"/>
        <w:rPr>
          <w:sz w:val="20"/>
          <w:szCs w:val="20"/>
          <w:color w:val="auto"/>
        </w:rPr>
      </w:pPr>
      <w:r>
        <w:rPr>
          <w:rFonts w:ascii="Times New Roman" w:cs="Times New Roman" w:eastAsia="Times New Roman" w:hAnsi="Times New Roman"/>
          <w:sz w:val="18"/>
          <w:szCs w:val="18"/>
          <w:color w:val="auto"/>
        </w:rPr>
        <w:t>We were founded in 1966 as a med-surg product manufacturer serving the hospital and nursing home sites of care. Through our deep engagement with customers, we recognized a significant gap in the market—our customers were underserved by a fragmented supplier base and faced challenges navigating a complex supply chain. We identified their need for a supply chain partner that was fully integrated, cost-effective, high-quality, and resilient. Our vision was to create a differentiated model that solved these pain points through an integrated company that combined both manufacturing and distribution capabilities and would become a trusted partner to our customers. Twenty-eight years ago, we began augmenting our platform to bring this vision to life: we invested in our distribution capabilities, continued to expand our product portfolio, and adopted the Prime Vendor model. This enabled us to serve a more diverse customer base across multiple end markets, while lowering costs and delivering superior service levels. As a result, Medline is now the largest provider of med-surg products and supply chain solutions serving all points of care, based on total net sales of med-surg products.</w:t>
      </w:r>
    </w:p>
    <w:p>
      <w:pPr>
        <w:spacing w:after="0" w:line="192" w:lineRule="exact"/>
        <w:rPr>
          <w:sz w:val="20"/>
          <w:szCs w:val="20"/>
          <w:color w:val="auto"/>
        </w:rPr>
      </w:pPr>
    </w:p>
    <w:p>
      <w:pPr>
        <w:ind w:left="340" w:right="20" w:firstLine="422"/>
        <w:spacing w:after="0" w:line="254" w:lineRule="auto"/>
        <w:rPr>
          <w:sz w:val="20"/>
          <w:szCs w:val="20"/>
          <w:color w:val="auto"/>
        </w:rPr>
      </w:pPr>
      <w:r>
        <w:rPr>
          <w:rFonts w:ascii="Times New Roman" w:cs="Times New Roman" w:eastAsia="Times New Roman" w:hAnsi="Times New Roman"/>
          <w:sz w:val="18"/>
          <w:szCs w:val="18"/>
          <w:color w:val="auto"/>
        </w:rPr>
        <w:t>The combination of our expansive product portfolio and our differentiated supply chain creates a force multiplier for our business. Our Medline Brand segment offers approximately 190,000 products, including those manufactured in our 33 facilities, as well as those sourced from our more than 500 global partners. Our Supply Chain Solutions segment offers approximately 145,000 third-party products and provides customized supply chain optimization services. Our entire product portfolio across our segments is supported by differentiated logistics capabilities and a dedicated and tenured U.S. commercial team of approximately 3,800 people. These capabilities and our compelling value proposition allow us to serve as a long-term strategic partner to our customers and expand the scope of our relationships over time.</w:t>
      </w:r>
    </w:p>
    <w:p>
      <w:pPr>
        <w:spacing w:after="0" w:line="184" w:lineRule="exact"/>
        <w:rPr>
          <w:sz w:val="20"/>
          <w:szCs w:val="20"/>
          <w:color w:val="auto"/>
        </w:rPr>
      </w:pPr>
    </w:p>
    <w:p>
      <w:pPr>
        <w:ind w:left="340" w:firstLine="422"/>
        <w:spacing w:after="0" w:line="269" w:lineRule="auto"/>
        <w:rPr>
          <w:sz w:val="20"/>
          <w:szCs w:val="20"/>
          <w:color w:val="auto"/>
        </w:rPr>
      </w:pPr>
      <w:r>
        <w:rPr>
          <w:rFonts w:ascii="Times New Roman" w:cs="Times New Roman" w:eastAsia="Times New Roman" w:hAnsi="Times New Roman"/>
          <w:sz w:val="17"/>
          <w:szCs w:val="17"/>
          <w:color w:val="auto"/>
        </w:rPr>
        <w:t>Our Prime Vendor relationships demonstrate our role as a trusted partner to our customers. In these relationships, we enter into long-term agreements to act as the consolidated distributor and logistics provider for these customers’ med-surg product needs. These partnerships give us visibility into our customers’ purchasing behaviors and demand dynamics, which allows us to anticipate their needs and deliver industry-leading service levels. As these relationships mature, we believe customers increasingly choose Medline Brand products for their superior value. Our Prime Vendor model is reinforced by the flywheel effect within our business where we drive cost savings for Prime Vendor customers, which, over time, supports incremental purchasing of our Medline Brand products and increases our scale. This dynamic allows us to drive further efficiencies by offering superior or similar quality to third-party products at a more cost-effective price. Due to the higher margin we earn on Medline Brand products compared to sales of comparable third-party products, we are able to reinvest in customer value while increasing our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320" w:top="452" w:right="6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44456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34200" cy="4445635"/>
                    </a:xfrm>
                    <a:prstGeom prst="rect">
                      <a:avLst/>
                    </a:prstGeom>
                    <a:noFill/>
                  </pic:spPr>
                </pic:pic>
              </a:graphicData>
            </a:graphic>
          </wp:anchor>
        </w:drawing>
      </w:r>
    </w:p>
    <w:p>
      <w:pPr>
        <w:spacing w:after="0" w:line="289" w:lineRule="exact"/>
        <w:rPr>
          <w:sz w:val="20"/>
          <w:szCs w:val="20"/>
          <w:color w:val="auto"/>
        </w:rPr>
      </w:pPr>
    </w:p>
    <w:p>
      <w:pPr>
        <w:ind w:left="340" w:firstLine="422"/>
        <w:spacing w:after="0" w:line="254" w:lineRule="auto"/>
        <w:rPr>
          <w:sz w:val="20"/>
          <w:szCs w:val="20"/>
          <w:color w:val="auto"/>
        </w:rPr>
      </w:pPr>
      <w:r>
        <w:rPr>
          <w:rFonts w:ascii="Times New Roman" w:cs="Times New Roman" w:eastAsia="Times New Roman" w:hAnsi="Times New Roman"/>
          <w:sz w:val="18"/>
          <w:szCs w:val="18"/>
          <w:color w:val="auto"/>
        </w:rPr>
        <w:t>Since our founding, we have invested in building a unique customer-centric culture with an entrepreneurial spirit. Our employees are committed to deeply understanding how our customers operate, what challenges they face, and how Medline can better support them. They also understand that relationships are rooted in trust and that we must earn the right to serve our customers every day. We focus on problem solving across the continuum of care and we deploy a team of dedicated customer success representatives to learn the complex needs of our customers. Our creative and collaborative culture consistently earns Medline recognition as a preferred employer, including Newsweek’s Greatest Workplaces, Forbes’ America’s Best Large Employers, and a Chicago Tribune Top Workplace.</w:t>
      </w:r>
    </w:p>
    <w:p>
      <w:pPr>
        <w:spacing w:after="0" w:line="184" w:lineRule="exact"/>
        <w:rPr>
          <w:sz w:val="20"/>
          <w:szCs w:val="20"/>
          <w:color w:val="auto"/>
        </w:rPr>
      </w:pPr>
    </w:p>
    <w:p>
      <w:pPr>
        <w:ind w:left="340" w:right="20" w:firstLine="422"/>
        <w:spacing w:after="0" w:line="254" w:lineRule="auto"/>
        <w:rPr>
          <w:sz w:val="20"/>
          <w:szCs w:val="20"/>
          <w:color w:val="auto"/>
        </w:rPr>
      </w:pPr>
      <w:r>
        <w:rPr>
          <w:rFonts w:ascii="Times New Roman" w:cs="Times New Roman" w:eastAsia="Times New Roman" w:hAnsi="Times New Roman"/>
          <w:sz w:val="18"/>
          <w:szCs w:val="18"/>
          <w:color w:val="auto"/>
        </w:rPr>
        <w:t>We have grown our net sales every year by retaining existing customers while gaining share with new and existing customers, with CAGRs of 18% since our founding and approximately 14% over the past 10 years. Notably, nearly 90% of our growth during the past 10 years has been organic. Our product portfolio predominantly consists of consumables, such that approximately 90% of our Medline Brand net sales were recurring for the year ended December 31, 2024. Our business is uniquely resilient during market downturns, as evidenced by our growth through every recession since our founding and during global healthcare crises. For example, our net sales grew at approximately 17% during the 2008-2009 financial crisis and at approximately 11% CAGR during the 2020-2022 COVID-19 pandemic.</w:t>
      </w:r>
    </w:p>
    <w:p>
      <w:pPr>
        <w:spacing w:after="0" w:line="184" w:lineRule="exact"/>
        <w:rPr>
          <w:sz w:val="20"/>
          <w:szCs w:val="20"/>
          <w:color w:val="auto"/>
        </w:rPr>
      </w:pPr>
    </w:p>
    <w:p>
      <w:pPr>
        <w:ind w:left="340" w:right="60" w:firstLine="422"/>
        <w:spacing w:after="0" w:line="255" w:lineRule="auto"/>
        <w:rPr>
          <w:sz w:val="20"/>
          <w:szCs w:val="20"/>
          <w:color w:val="auto"/>
        </w:rPr>
      </w:pPr>
      <w:r>
        <w:rPr>
          <w:rFonts w:ascii="Times New Roman" w:cs="Times New Roman" w:eastAsia="Times New Roman" w:hAnsi="Times New Roman"/>
          <w:sz w:val="18"/>
          <w:szCs w:val="18"/>
          <w:color w:val="auto"/>
        </w:rPr>
        <w:t>Not only does our business have a strong track record of results, but we also see significant runway for future sales and earnings growth. We are positioned to grow with our customers as healthcare utilization increases, as they build and acquire new sites, and as they further consolidate med-surg spend with Medline. In addition, we intend to further extend our leading position by adding new Prime Vendor relationships, increasing the number of non-Prime Vendor customers that choose Medline Brand, continuing our channel expansion, developing new products, executing on selective M&amp;A opportunities, and scaling our international footprint.</w:t>
      </w:r>
    </w:p>
    <w:p>
      <w:pPr>
        <w:spacing w:after="0" w:line="184" w:lineRule="exact"/>
        <w:rPr>
          <w:sz w:val="20"/>
          <w:szCs w:val="20"/>
          <w:color w:val="auto"/>
        </w:rPr>
      </w:pPr>
    </w:p>
    <w:p>
      <w:pPr>
        <w:ind w:left="340" w:firstLine="422"/>
        <w:spacing w:after="0" w:line="251" w:lineRule="auto"/>
        <w:rPr>
          <w:sz w:val="20"/>
          <w:szCs w:val="20"/>
          <w:color w:val="auto"/>
        </w:rPr>
      </w:pPr>
      <w:r>
        <w:rPr>
          <w:rFonts w:ascii="Times New Roman" w:cs="Times New Roman" w:eastAsia="Times New Roman" w:hAnsi="Times New Roman"/>
          <w:sz w:val="18"/>
          <w:szCs w:val="18"/>
          <w:color w:val="auto"/>
        </w:rPr>
        <w:t>For the nine months ended September 27, 2025, we generated net sales of $20.6 billion, net income of $1.0 billion, and Adjusted EBITDA of $2.7 billion, representing a net income margin of 4.7% and an Adjusted EBITDA Margin of 12.9%. During that period, 48.4% of total net sales and 81.2% of Segment Adjusted EBITDA were generated from our Medline Brand segment, while 51.6% of total net sales and 18.8% of Segment Adjusted EBITDA were generated from our Supply Chain Solutions segment. For the year ended December 31, 2024, we generated net sales of $25.5 billion, net income of $1.2 billion, and Adjusted EBITDA of $3.4 billion, representing a net income margin of 4.7% and an Adjusted EBITDA Margin of 13.2%. During that period, 49.1% of total net sales and 83.5% of Segment Adjusted EBITDA were generated from our Medline Brand segment, while 50.9% of total net sales and 16.5% of Segment Adjusted EBITDA were generated from our Supply Chain Solutions segment. For a reconciliation of Adjusted EBITDA and Adjusted EBITDA Margin to the most directly comparable financial measures that are presented in accordance with generally accepted accounting principles in the United States (“GAAP”), information about why we consider Adjusted EBITDA and Adjusted EBITDA Margin useful, and a discussion of the material risks and limitations of these measures, see “Management’s Discussion and Analysis of Financial Condition and Results of Operations—Non-GAAP Financial Information.”</w:t>
      </w:r>
    </w:p>
    <w:p>
      <w:pPr>
        <w:spacing w:after="0" w:line="30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320" w:top="451" w:right="6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66624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34200" cy="6662420"/>
                    </a:xfrm>
                    <a:prstGeom prst="rect">
                      <a:avLst/>
                    </a:prstGeom>
                    <a:noFill/>
                  </pic:spPr>
                </pic:pic>
              </a:graphicData>
            </a:graphic>
          </wp:anchor>
        </w:drawing>
      </w:r>
    </w:p>
    <w:p>
      <w:pPr>
        <w:spacing w:after="0" w:line="28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225" w:lineRule="exact"/>
        <w:rPr>
          <w:sz w:val="20"/>
          <w:szCs w:val="20"/>
          <w:color w:val="auto"/>
        </w:rPr>
      </w:pPr>
    </w:p>
    <w:p>
      <w:pPr>
        <w:ind w:left="340" w:firstLine="422"/>
        <w:spacing w:after="0" w:line="308" w:lineRule="auto"/>
        <w:rPr>
          <w:sz w:val="20"/>
          <w:szCs w:val="20"/>
          <w:color w:val="auto"/>
        </w:rPr>
      </w:pPr>
      <w:r>
        <w:rPr>
          <w:rFonts w:ascii="Times New Roman" w:cs="Times New Roman" w:eastAsia="Times New Roman" w:hAnsi="Times New Roman"/>
          <w:sz w:val="17"/>
          <w:szCs w:val="17"/>
          <w:color w:val="auto"/>
        </w:rPr>
        <w:t>The combination of our Medline Brand and Supply Chain Solutions segments addresses critical needs in the market through a comprehensive solution. Both segments are supported by our Prime Vendor model, differentiated distribution network, and robust commercial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left="340" w:right="160" w:firstLine="42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Medline Brand</w:t>
      </w:r>
      <w:r>
        <w:rPr>
          <w:rFonts w:ascii="Times New Roman" w:cs="Times New Roman" w:eastAsia="Times New Roman" w:hAnsi="Times New Roman"/>
          <w:sz w:val="18"/>
          <w:szCs w:val="18"/>
          <w:color w:val="auto"/>
        </w:rPr>
        <w:t>. We offer our customers approximately 190,000 med-surg products through our Medline Brand segment. We have leading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positions across many key product families within the approximately $75 billion serviceable addressable market (“SAM”) for our Medline Brand products. See “Market and Industry Data” for how we define our SAM. Our Medline Brand products are organized into three product categories: Front Line Care, Surgical Solutions, and Laboratory and Diagnostics.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 w:right="280" w:firstLine="422"/>
        <w:spacing w:after="0" w:line="258" w:lineRule="auto"/>
        <w:rPr>
          <w:sz w:val="20"/>
          <w:szCs w:val="20"/>
          <w:color w:val="auto"/>
        </w:rPr>
      </w:pPr>
      <w:r>
        <w:rPr>
          <w:rFonts w:ascii="Times New Roman" w:cs="Times New Roman" w:eastAsia="Times New Roman" w:hAnsi="Times New Roman"/>
          <w:sz w:val="18"/>
          <w:szCs w:val="18"/>
          <w:color w:val="auto"/>
        </w:rPr>
        <w:t>We produce approximately one-third of Medline Brand products, which are primarily Class I and II medical devices, through our 33 manufacturing facilities, of which 26 are in North America. We focus our manufacturing capabilities on products where we can leverage technology and automation to drive higher quality and lower costs to better serve our customers. For the vast majority of the other two-thirds of Medline Brand products, we utilize a network of more than 500 global partners across a diversified set of approximately 40 countries, with</w:t>
      </w:r>
    </w:p>
    <w:p>
      <w:pPr>
        <w:spacing w:after="0" w:line="28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320" w:top="451" w:right="6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55327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34200" cy="5532755"/>
                    </a:xfrm>
                    <a:prstGeom prst="rect">
                      <a:avLst/>
                    </a:prstGeom>
                    <a:noFill/>
                  </pic:spPr>
                </pic:pic>
              </a:graphicData>
            </a:graphic>
          </wp:anchor>
        </w:drawing>
      </w:r>
    </w:p>
    <w:p>
      <w:pPr>
        <w:spacing w:after="0" w:line="289" w:lineRule="exact"/>
        <w:rPr>
          <w:sz w:val="20"/>
          <w:szCs w:val="20"/>
          <w:color w:val="auto"/>
        </w:rPr>
      </w:pPr>
    </w:p>
    <w:p>
      <w:pPr>
        <w:ind w:left="340" w:right="120"/>
        <w:spacing w:after="0" w:line="255" w:lineRule="auto"/>
        <w:rPr>
          <w:sz w:val="20"/>
          <w:szCs w:val="20"/>
          <w:color w:val="auto"/>
        </w:rPr>
      </w:pPr>
      <w:r>
        <w:rPr>
          <w:rFonts w:ascii="Times New Roman" w:cs="Times New Roman" w:eastAsia="Times New Roman" w:hAnsi="Times New Roman"/>
          <w:sz w:val="18"/>
          <w:szCs w:val="18"/>
          <w:color w:val="auto"/>
        </w:rPr>
        <w:t>approximately 300 of these relationships being exclusive to us. Our relationships with these Medline Brand partners are exceptionally strong, with some originating nearly 30 years ago. The breadth of our partnerships also provides global diversification and strengthens our resiliency, with no single sourcing partner accounting for more than 4% of total spend as of December 31, 2024. Taken together, our self-manufacturing capabilities and differentiated global sourcing relationships result in high-quality products while allowing us to manage costs. This network also enables us to achieve a highly efficient and geographically diversified supply base, which ensures our resiliency during market disruptions.</w:t>
      </w:r>
    </w:p>
    <w:p>
      <w:pPr>
        <w:spacing w:after="0" w:line="184" w:lineRule="exact"/>
        <w:rPr>
          <w:sz w:val="20"/>
          <w:szCs w:val="20"/>
          <w:color w:val="auto"/>
        </w:rPr>
      </w:pPr>
    </w:p>
    <w:p>
      <w:pPr>
        <w:ind w:left="340" w:right="140" w:firstLine="422"/>
        <w:spacing w:after="0" w:line="258" w:lineRule="auto"/>
        <w:rPr>
          <w:sz w:val="20"/>
          <w:szCs w:val="20"/>
          <w:color w:val="auto"/>
        </w:rPr>
      </w:pPr>
      <w:r>
        <w:rPr>
          <w:rFonts w:ascii="Times New Roman" w:cs="Times New Roman" w:eastAsia="Times New Roman" w:hAnsi="Times New Roman"/>
          <w:sz w:val="18"/>
          <w:szCs w:val="18"/>
          <w:color w:val="auto"/>
        </w:rPr>
        <w:t>Our ability to identify and address customer needs through the introduction of new products was honed over decades of feedback from customers. Challenging our team to listen intently to customers’ pain points and thoughtfully craft product innovation solutions has been a critical growth lever and retention driver for our business. The execution of this model is core to our strategy—we have successfully launched 268 new products over the last three years and will continue to innovate as a trusted thought partner to our customer base.</w:t>
      </w:r>
    </w:p>
    <w:p>
      <w:pPr>
        <w:spacing w:after="0" w:line="180" w:lineRule="exact"/>
        <w:rPr>
          <w:sz w:val="20"/>
          <w:szCs w:val="20"/>
          <w:color w:val="auto"/>
        </w:rPr>
      </w:pPr>
    </w:p>
    <w:p>
      <w:pPr>
        <w:ind w:left="340" w:right="40" w:firstLine="422"/>
        <w:spacing w:after="0" w:line="258" w:lineRule="auto"/>
        <w:rPr>
          <w:sz w:val="20"/>
          <w:szCs w:val="20"/>
          <w:color w:val="auto"/>
        </w:rPr>
      </w:pPr>
      <w:r>
        <w:rPr>
          <w:rFonts w:ascii="Times New Roman" w:cs="Times New Roman" w:eastAsia="Times New Roman" w:hAnsi="Times New Roman"/>
          <w:sz w:val="18"/>
          <w:szCs w:val="18"/>
          <w:color w:val="auto"/>
        </w:rPr>
        <w:t>We are committed to delivering products of the highest standard, which is reflected by our robust quality team of over 2,400 employees. Our quality control team is integrated and embedded across our manufacturing and sourcing locations. Their expertise ensures that every product bearing the Medline brand meets both our rigorous quality standards and our customers’ expectations, as evidenced by our over 99.99% complaint-free rate.</w:t>
      </w:r>
    </w:p>
    <w:p>
      <w:pPr>
        <w:spacing w:after="0" w:line="180" w:lineRule="exact"/>
        <w:rPr>
          <w:sz w:val="20"/>
          <w:szCs w:val="20"/>
          <w:color w:val="auto"/>
        </w:rPr>
      </w:pPr>
    </w:p>
    <w:p>
      <w:pPr>
        <w:ind w:left="340" w:right="180" w:firstLine="422"/>
        <w:spacing w:after="0" w:line="255" w:lineRule="auto"/>
        <w:rPr>
          <w:sz w:val="20"/>
          <w:szCs w:val="20"/>
          <w:color w:val="auto"/>
        </w:rPr>
      </w:pPr>
      <w:r>
        <w:rPr>
          <w:rFonts w:ascii="Times New Roman" w:cs="Times New Roman" w:eastAsia="Times New Roman" w:hAnsi="Times New Roman"/>
          <w:sz w:val="18"/>
          <w:szCs w:val="18"/>
          <w:color w:val="auto"/>
        </w:rPr>
        <w:t>Our combination of value, quality, and service has allowed our Medline Brand products to hold the leading position across many of our key product families. Medline Brand products are used by the 100 largest health systems and hospitals across the country, as identified by Becker’s Hospital Review as of December 31, 2024, measured by number of hospitals and beds, respectively. Furthermore, we generated $1.2 billion of Medline Brand net sales for fiscal year 2024 through other distributors. These relationships allow us to highlight the value proposition of our Medline Brand and distribution network, which over time creates opportunities to earn Prime Vendor agreements for those customers.</w:t>
      </w:r>
    </w:p>
    <w:p>
      <w:pPr>
        <w:spacing w:after="0" w:line="180" w:lineRule="exact"/>
        <w:rPr>
          <w:sz w:val="20"/>
          <w:szCs w:val="20"/>
          <w:color w:val="auto"/>
        </w:rPr>
      </w:pPr>
    </w:p>
    <w:p>
      <w:pPr>
        <w:ind w:left="340" w:firstLine="42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Supply Chain Solutions. </w:t>
      </w:r>
      <w:r>
        <w:rPr>
          <w:rFonts w:ascii="Times New Roman" w:cs="Times New Roman" w:eastAsia="Times New Roman" w:hAnsi="Times New Roman"/>
          <w:sz w:val="18"/>
          <w:szCs w:val="18"/>
          <w:color w:val="auto"/>
        </w:rPr>
        <w:t>We offer approximately 145,000 med-surg products from over 1,250 third-party suppliers, including nearly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leading national brands, through our Supply Chain Solutions segment. As a scaled service provider that sells and delivers to the entire continuum of care, Medline is a highly desirable partner to these brands. We also provide our customers with supply chain optimization services such as consulting engagements, outsourced warehouse and technology management, put-away-ready packaging, third-party logistics, inventory rationalization, and route planning. Supply Chain Solutions contracts include contractual distributor mark-ups, which may differ by customer agreement. Our supply chain expertise allows us to provide additional service offerings to optimize our customers’ supply chain and inventory workflows, helping these customers cost-effectively manage their supply chain while building strong relationships and enhancing retention.</w:t>
      </w:r>
    </w:p>
    <w:p>
      <w:pPr>
        <w:spacing w:after="0" w:line="188" w:lineRule="exact"/>
        <w:rPr>
          <w:sz w:val="20"/>
          <w:szCs w:val="20"/>
          <w:color w:val="auto"/>
        </w:rPr>
      </w:pPr>
    </w:p>
    <w:p>
      <w:pPr>
        <w:ind w:left="340" w:right="120" w:firstLine="422"/>
        <w:spacing w:after="0" w:line="258" w:lineRule="auto"/>
        <w:rPr>
          <w:sz w:val="20"/>
          <w:szCs w:val="20"/>
          <w:color w:val="auto"/>
        </w:rPr>
      </w:pPr>
      <w:r>
        <w:rPr>
          <w:rFonts w:ascii="Times New Roman" w:cs="Times New Roman" w:eastAsia="Times New Roman" w:hAnsi="Times New Roman"/>
          <w:sz w:val="18"/>
          <w:szCs w:val="18"/>
          <w:color w:val="auto"/>
        </w:rPr>
        <w:t>Additionally, we continue to bolster our supply chain offerings to better serve our customers. For example, in October 2024 we announced a partnership with Microsoft to design an innovative healthcare supply chain resiliency solution, leveraging artificial intelligence (“AI”)–generated insights to provide integrated inventory management. This will combine customer and supplier data to develop better insights into customer purchasing patterns and optimize service levels, among other capabilities.</w:t>
      </w:r>
    </w:p>
    <w:p>
      <w:pPr>
        <w:spacing w:after="0" w:line="176" w:lineRule="exact"/>
        <w:rPr>
          <w:sz w:val="20"/>
          <w:szCs w:val="20"/>
          <w:color w:val="auto"/>
        </w:rPr>
      </w:pPr>
    </w:p>
    <w:p>
      <w:pPr>
        <w:ind w:left="340" w:right="120" w:firstLine="42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Prime Vendor Model. </w:t>
      </w:r>
      <w:r>
        <w:rPr>
          <w:rFonts w:ascii="Times New Roman" w:cs="Times New Roman" w:eastAsia="Times New Roman" w:hAnsi="Times New Roman"/>
          <w:sz w:val="18"/>
          <w:szCs w:val="18"/>
          <w:color w:val="auto"/>
        </w:rPr>
        <w:t>In our Prime Vendor relationships, we enter into long-term agreements, typically structured with five-year terms,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act as the primary consolidated logistics partner for these customers’ med-surg product needs. These agreements have been and will continue to be a key contributor to our growth. Our customers realize efficiencies by partnering with one supply chain partner to consolidate their med-surg purchase volume. Prior to the market adoption of the Prime Vendor model, customers sourced such products individually</w:t>
      </w:r>
    </w:p>
    <w:p>
      <w:pPr>
        <w:spacing w:after="0" w:line="30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320" w:top="451" w:right="6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4581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34200" cy="4581525"/>
                    </a:xfrm>
                    <a:prstGeom prst="rect">
                      <a:avLst/>
                    </a:prstGeom>
                    <a:noFill/>
                  </pic:spPr>
                </pic:pic>
              </a:graphicData>
            </a:graphic>
          </wp:anchor>
        </w:drawing>
      </w:r>
    </w:p>
    <w:p>
      <w:pPr>
        <w:spacing w:after="0" w:line="289" w:lineRule="exact"/>
        <w:rPr>
          <w:sz w:val="20"/>
          <w:szCs w:val="20"/>
          <w:color w:val="auto"/>
        </w:rPr>
      </w:pPr>
    </w:p>
    <w:p>
      <w:pPr>
        <w:ind w:left="340" w:right="580"/>
        <w:spacing w:after="0" w:line="278" w:lineRule="auto"/>
        <w:rPr>
          <w:sz w:val="20"/>
          <w:szCs w:val="20"/>
          <w:color w:val="auto"/>
        </w:rPr>
      </w:pPr>
      <w:r>
        <w:rPr>
          <w:rFonts w:ascii="Times New Roman" w:cs="Times New Roman" w:eastAsia="Times New Roman" w:hAnsi="Times New Roman"/>
          <w:sz w:val="18"/>
          <w:szCs w:val="18"/>
          <w:color w:val="auto"/>
        </w:rPr>
        <w:t>from a highly fragmented base of suppliers. The Prime Vendor model instead centralizes procurement and distribution, which in turn drives efficiency and higher service levels.</w:t>
      </w:r>
    </w:p>
    <w:p>
      <w:pPr>
        <w:spacing w:after="0" w:line="162" w:lineRule="exact"/>
        <w:rPr>
          <w:sz w:val="20"/>
          <w:szCs w:val="20"/>
          <w:color w:val="auto"/>
        </w:rPr>
      </w:pPr>
    </w:p>
    <w:p>
      <w:pPr>
        <w:ind w:left="340" w:firstLine="422"/>
        <w:spacing w:after="0" w:line="251" w:lineRule="auto"/>
        <w:rPr>
          <w:sz w:val="20"/>
          <w:szCs w:val="20"/>
          <w:color w:val="auto"/>
        </w:rPr>
      </w:pPr>
      <w:r>
        <w:rPr>
          <w:rFonts w:ascii="Times New Roman" w:cs="Times New Roman" w:eastAsia="Times New Roman" w:hAnsi="Times New Roman"/>
          <w:sz w:val="18"/>
          <w:szCs w:val="18"/>
          <w:color w:val="auto"/>
        </w:rPr>
        <w:t>As Prime Vendor, we drive significant cost savings to our customers. Our scale allows us to deliver consistently lower prices and better service levels on Medline Brand products relative to third-party alternatives, while also lowering the distribution cost for delivery of the full range of med-surg products. This often motivates customers to purchase more Medline Brand products over time. For example, in the acute care sector, at the beginning of a Prime Vendor relationship, Medline Brand products typically represent approximately 10% of a customer’s product mix but has the potential to reach approximately 60% Medline Brand over time. The opportunity is even greater in certain non-acute settings, where we sell a more focused product portfolio. Our Prime Vendor model is reinforced by the flywheel effect within our business where we drive cost savings for Prime Vendor customers, which, over time, supports incremental purchasing of our Medline Brand products and increases our scale. This dynamic allows us to drive further efficiencies by offering superior or similar quality to third-party products at a more cost-effective price. Due to the higher margin we earn on Medline Brand products compared to sales of comparable third-party products, we are able to reinvest in customer value while increasing our profitability. This compelling value proposition and supply chain relationship with our customers supports our greater than 98% average Prime Vendor retention rate over the past five years.</w:t>
      </w:r>
    </w:p>
    <w:p>
      <w:pPr>
        <w:spacing w:after="0" w:line="187" w:lineRule="exact"/>
        <w:rPr>
          <w:sz w:val="20"/>
          <w:szCs w:val="20"/>
          <w:color w:val="auto"/>
        </w:rPr>
      </w:pPr>
    </w:p>
    <w:p>
      <w:pPr>
        <w:ind w:left="340" w:right="60" w:firstLine="422"/>
        <w:spacing w:after="0" w:line="249" w:lineRule="auto"/>
        <w:rPr>
          <w:sz w:val="20"/>
          <w:szCs w:val="20"/>
          <w:color w:val="auto"/>
        </w:rPr>
      </w:pPr>
      <w:r>
        <w:rPr>
          <w:rFonts w:ascii="Times New Roman" w:cs="Times New Roman" w:eastAsia="Times New Roman" w:hAnsi="Times New Roman"/>
          <w:sz w:val="18"/>
          <w:szCs w:val="18"/>
          <w:color w:val="auto"/>
        </w:rPr>
        <w:t>Our differentiated capabilities have enabled us to grow and scale our Prime Vendor model over time. Over just the past six years, we have signed new Prime Vendor agreements representing approximately $8 billion of annual contract value and have over 1,300 Prime Vendor relationships as of December 31, 2024, representing $16.0 billion of net sales for the year ended December 31, 2024. Our Prime Vendor relationships, combined with our strong customer retention, supports a highly recurring business model. Today, our Prime Vendor agreements have an approximate average mix of 65% Supply Chain Solutions and 35% Medline Brand, presenting a significant opportunity to drive customer savings through further Medline Brand adoption in the years ahead. Supply Chain Solutions products for which like-for-like Medline Brand products are available represented approximately $4.0 billion in net sales to existing Prime Vendor customers as of December 31, 2024. Assuming historical margins, if 100% of such products were converted to available like-for-like Medline Brand products, the incremental gross profit opportunity associated with such conversion would be approximately $1.0 billion. Conversion of 100% of this opportunity is not immediately achievable, and we cannot provide any assurance regarding the timing or extent of any such conversions. While we historically have earned higher margins upon conversion from third-party national brand products to like-for-like Medline Brand products, because of the lower average prices for Medline Brand products, there is typically a negative impact on net sales upon the conversion of Supply Chain Solutions products to like-for-like Medline Brand products if volume is assumed to be constant. We believe that the average margins for Supply Chain Solutions products converted to Medline Brand products have not significantly differed from those that have not been converted. Similarly, the average margins of products converted to Medline Brand do not vary materially from their unconverted counterparts. Therefore, we assume our historical estimates will continue with future conversions. For further information on potential risks relating to this conversion opportunity, please refer to “Risk Factors— Risks Related to Our</w:t>
      </w:r>
    </w:p>
    <w:p>
      <w:pPr>
        <w:spacing w:after="0" w:line="32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0"/>
          </w:cols>
          <w:pgMar w:left="320" w:top="452" w:right="6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49129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34200" cy="4912995"/>
                    </a:xfrm>
                    <a:prstGeom prst="rect">
                      <a:avLst/>
                    </a:prstGeom>
                    <a:noFill/>
                  </pic:spPr>
                </pic:pic>
              </a:graphicData>
            </a:graphic>
          </wp:anchor>
        </w:drawing>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Business, Industry and Operations—Our failure to establish and maintain Prime Vendor relationships may cause our revenue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Note: Data represents average Medline Brand net sales percentage mix across cohorts 2014 – 2023.</w:t>
      </w:r>
    </w:p>
    <w:p>
      <w:pPr>
        <w:spacing w:after="0" w:line="93" w:lineRule="exact"/>
        <w:rPr>
          <w:sz w:val="20"/>
          <w:szCs w:val="20"/>
          <w:color w:val="auto"/>
        </w:rPr>
      </w:pPr>
    </w:p>
    <w:p>
      <w:pPr>
        <w:ind w:left="340" w:firstLine="422"/>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Distribution Network. </w:t>
      </w:r>
      <w:r>
        <w:rPr>
          <w:rFonts w:ascii="Times New Roman" w:cs="Times New Roman" w:eastAsia="Times New Roman" w:hAnsi="Times New Roman"/>
          <w:sz w:val="18"/>
          <w:szCs w:val="18"/>
          <w:color w:val="auto"/>
        </w:rPr>
        <w:t>We have a differentiated network of 69 global distribution centers, 45 of which are in the United States.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centers are strategically located to provide next-day delivery to 95% of our U.S. customer base. With over 26 million square feet in the United States, they are expertly designed to optimize distribution logistics and maximize utilization. The products we distribute are packaged to meet each customer’s individual needs and to be “put-away-ready,” which streamlines the customer’s unloading and shelving process. We utilize AI and robotics technology in our distribution centers to drive efficiency and reduce costs. Our technologically advanced distribution centers allow us to extend cutoff times, expand our product offering, and better service our expanding customer base. We also operate our own fleet of more than 2,000 MedTrans trucks that deliver our products across care settings within the United States. Our $4.5 billion of global inventory as of December 31, 2024, and our market-leading supply chain capabilities drive our ability to fulfill customer orders with service levels of 99% and support our high customer satisfaction levels. Over the last five years, we have invested $1.6 billion in total capital expenditures within our distribution network. As of</w:t>
      </w:r>
    </w:p>
    <w:p>
      <w:pPr>
        <w:spacing w:after="0" w:line="30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40"/>
          </w:cols>
          <w:pgMar w:left="320" w:top="451" w:right="7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6101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34200" cy="6101715"/>
                    </a:xfrm>
                    <a:prstGeom prst="rect">
                      <a:avLst/>
                    </a:prstGeom>
                    <a:noFill/>
                  </pic:spPr>
                </pic:pic>
              </a:graphicData>
            </a:graphic>
          </wp:anchor>
        </w:drawing>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December 31, 2024, we had approximately 25% in excess capacity across our platform to support our long-term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0" w:firstLine="42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Commercial Platform. </w:t>
      </w:r>
      <w:r>
        <w:rPr>
          <w:rFonts w:ascii="Times New Roman" w:cs="Times New Roman" w:eastAsia="Times New Roman" w:hAnsi="Times New Roman"/>
          <w:sz w:val="18"/>
          <w:szCs w:val="18"/>
          <w:color w:val="auto"/>
        </w:rPr>
        <w:t>Our deep connectivity to our customers is driven by the strength of our dedicated and tenured commercial team.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a U.S. commercial team of approximately 3,800 people across all points of care, which includes account managers, product specialists, specialized clinical resources, customer service representatives, supply chain specialists, and Prime Vendor analysts. Our team prides themselves on their deep-rooted customer relationships and the value of their longstanding partnerships. We have created an entrepreneurial environment that empowers our salesforce to work with our product managers and innovate to meet market demand. We have a team devoted to each channel in the United States and each region or country internationally, which allows our salesforce teams to develop market-specific knowledge. Our differentiated customer-focused culture and salesforce empowerment have driven our strong U.S. salesforce retention rate of greater than 85% in 2024.</w:t>
      </w:r>
    </w:p>
    <w:p>
      <w:pPr>
        <w:spacing w:after="0" w:line="39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225" w:lineRule="exact"/>
        <w:rPr>
          <w:sz w:val="20"/>
          <w:szCs w:val="20"/>
          <w:color w:val="auto"/>
        </w:rPr>
      </w:pPr>
    </w:p>
    <w:p>
      <w:pPr>
        <w:ind w:left="340" w:right="180" w:firstLine="422"/>
        <w:spacing w:after="0" w:line="277" w:lineRule="auto"/>
        <w:rPr>
          <w:sz w:val="20"/>
          <w:szCs w:val="20"/>
          <w:color w:val="auto"/>
        </w:rPr>
      </w:pPr>
      <w:r>
        <w:rPr>
          <w:rFonts w:ascii="Times New Roman" w:cs="Times New Roman" w:eastAsia="Times New Roman" w:hAnsi="Times New Roman"/>
          <w:sz w:val="17"/>
          <w:szCs w:val="17"/>
          <w:color w:val="auto"/>
        </w:rPr>
        <w:t>We estimate our total addressable market (“TAM”) to be approximately $375 billion globally. Of this amount, we estimate that the United States represents an approximately $175 billion opportunity, diversified across acute care and non-acute care (including but not limited to surgery centers, dental, animal health, physician offices, and post-acute care). We estimate that international markets represent an approximately $200 billion opportunity, diversified across acute care and non-acute care. See “Market and Industry Data” for how we define our TAM.</w:t>
      </w:r>
    </w:p>
    <w:p>
      <w:pPr>
        <w:spacing w:after="0" w:line="28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320" w:top="451" w:right="6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59404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34200" cy="5940425"/>
                    </a:xfrm>
                    <a:prstGeom prst="rect">
                      <a:avLst/>
                    </a:prstGeom>
                    <a:noFill/>
                  </pic:spPr>
                </pic:pic>
              </a:graphicData>
            </a:graphic>
          </wp:anchor>
        </w:drawing>
      </w:r>
    </w:p>
    <w:p>
      <w:pPr>
        <w:spacing w:after="0" w:line="289" w:lineRule="exact"/>
        <w:rPr>
          <w:sz w:val="20"/>
          <w:szCs w:val="20"/>
          <w:color w:val="auto"/>
        </w:rPr>
      </w:pPr>
    </w:p>
    <w:p>
      <w:pPr>
        <w:ind w:left="340" w:firstLine="422"/>
        <w:spacing w:after="0" w:line="254" w:lineRule="auto"/>
        <w:rPr>
          <w:sz w:val="20"/>
          <w:szCs w:val="20"/>
          <w:color w:val="auto"/>
        </w:rPr>
      </w:pPr>
      <w:r>
        <w:rPr>
          <w:rFonts w:ascii="Times New Roman" w:cs="Times New Roman" w:eastAsia="Times New Roman" w:hAnsi="Times New Roman"/>
          <w:sz w:val="18"/>
          <w:szCs w:val="18"/>
          <w:color w:val="auto"/>
        </w:rPr>
        <w:t>Demand within the overall U.S. healthcare market is largely insulated from macroeconomic events and market cycles due to non-cyclical demand as evidenced by the fact that healthcare spending in the United States has increased every year for the past sixty years according to the Centers for Medicare &amp; Medicaid Services (“CMS”). We expect our market opportunity in the United States will grow over the long-term, driven by secular tailwinds including an aging population and the growing prevalence of chronic conditions, which are expected to drive elevated volumes and increased health expenditures over the long term. Due to these factors, national health expenditures are expected to outpace GDP growth at an annual growth rate of 5.6% from 2023 to 2032 according to CMS.</w:t>
      </w:r>
    </w:p>
    <w:p>
      <w:pPr>
        <w:spacing w:after="0" w:line="184" w:lineRule="exact"/>
        <w:rPr>
          <w:sz w:val="20"/>
          <w:szCs w:val="20"/>
          <w:color w:val="auto"/>
        </w:rPr>
      </w:pPr>
    </w:p>
    <w:p>
      <w:pPr>
        <w:ind w:left="340" w:right="120" w:firstLine="422"/>
        <w:spacing w:after="0" w:line="278" w:lineRule="auto"/>
        <w:rPr>
          <w:sz w:val="20"/>
          <w:szCs w:val="20"/>
          <w:color w:val="auto"/>
        </w:rPr>
      </w:pPr>
      <w:r>
        <w:rPr>
          <w:rFonts w:ascii="Times New Roman" w:cs="Times New Roman" w:eastAsia="Times New Roman" w:hAnsi="Times New Roman"/>
          <w:sz w:val="18"/>
          <w:szCs w:val="18"/>
          <w:color w:val="auto"/>
        </w:rPr>
        <w:t>International markets also represent an attractive opportunity, as net sales outside of the United States represented only 6.9% of our total net sales for the year ended December 31, 2024.</w:t>
      </w:r>
    </w:p>
    <w:p>
      <w:pPr>
        <w:spacing w:after="0" w:line="16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Our market opportunity is enhanced by the following dynamics:</w:t>
      </w:r>
    </w:p>
    <w:p>
      <w:pPr>
        <w:spacing w:after="0" w:line="125" w:lineRule="exact"/>
        <w:rPr>
          <w:sz w:val="20"/>
          <w:szCs w:val="20"/>
          <w:color w:val="auto"/>
        </w:rPr>
      </w:pPr>
    </w:p>
    <w:p>
      <w:pPr>
        <w:ind w:left="1280" w:right="660" w:hanging="410"/>
        <w:spacing w:after="0" w:line="280" w:lineRule="auto"/>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Margin Pressure Across End Markets: </w:t>
      </w:r>
      <w:r>
        <w:rPr>
          <w:rFonts w:ascii="Times New Roman" w:cs="Times New Roman" w:eastAsia="Times New Roman" w:hAnsi="Times New Roman"/>
          <w:sz w:val="18"/>
          <w:szCs w:val="18"/>
          <w:color w:val="auto"/>
        </w:rPr>
        <w:t>Hospitals generally operate at a low margin; given these dynamics, health systems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providers are heavily focused on mitigating costs and increasing the quality of care.</w:t>
      </w:r>
    </w:p>
    <w:p>
      <w:pPr>
        <w:spacing w:after="0" w:line="65" w:lineRule="exact"/>
        <w:rPr>
          <w:rFonts w:ascii="Times New Roman" w:cs="Times New Roman" w:eastAsia="Times New Roman" w:hAnsi="Times New Roman"/>
          <w:sz w:val="18"/>
          <w:szCs w:val="18"/>
          <w:color w:val="auto"/>
        </w:rPr>
      </w:pPr>
    </w:p>
    <w:p>
      <w:pPr>
        <w:ind w:left="1280" w:right="440" w:hanging="410"/>
        <w:spacing w:after="0" w:line="280" w:lineRule="auto"/>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Shift in Volumes Outside of the Hospital: </w:t>
      </w:r>
      <w:r>
        <w:rPr>
          <w:rFonts w:ascii="Times New Roman" w:cs="Times New Roman" w:eastAsia="Times New Roman" w:hAnsi="Times New Roman"/>
          <w:sz w:val="18"/>
          <w:szCs w:val="18"/>
          <w:color w:val="auto"/>
        </w:rPr>
        <w:t>As overall healthcare utilization increases, higher acuity procedures continue to shift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lower-cost sites of care, such as surgery centers and physician offices.</w:t>
      </w:r>
    </w:p>
    <w:p>
      <w:pPr>
        <w:spacing w:after="0" w:line="65" w:lineRule="exact"/>
        <w:rPr>
          <w:rFonts w:ascii="Times New Roman" w:cs="Times New Roman" w:eastAsia="Times New Roman" w:hAnsi="Times New Roman"/>
          <w:sz w:val="18"/>
          <w:szCs w:val="18"/>
          <w:color w:val="auto"/>
        </w:rPr>
      </w:pPr>
    </w:p>
    <w:p>
      <w:pPr>
        <w:ind w:left="1280" w:right="300" w:hanging="410"/>
        <w:spacing w:after="0" w:line="280" w:lineRule="auto"/>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Healthcare Consolidation: </w:t>
      </w:r>
      <w:r>
        <w:rPr>
          <w:rFonts w:ascii="Times New Roman" w:cs="Times New Roman" w:eastAsia="Times New Roman" w:hAnsi="Times New Roman"/>
          <w:sz w:val="18"/>
          <w:szCs w:val="18"/>
          <w:color w:val="auto"/>
        </w:rPr>
        <w:t>Consolidation activity is expected to continue, as hospitals combine to drive scale and create integrated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models to serve the continuum of care.</w:t>
      </w:r>
    </w:p>
    <w:p>
      <w:pPr>
        <w:spacing w:after="0" w:line="65" w:lineRule="exact"/>
        <w:rPr>
          <w:rFonts w:ascii="Times New Roman" w:cs="Times New Roman" w:eastAsia="Times New Roman" w:hAnsi="Times New Roman"/>
          <w:sz w:val="18"/>
          <w:szCs w:val="18"/>
          <w:color w:val="auto"/>
        </w:rPr>
      </w:pPr>
    </w:p>
    <w:p>
      <w:pPr>
        <w:ind w:left="1280" w:right="320" w:hanging="410"/>
        <w:spacing w:after="0" w:line="280" w:lineRule="auto"/>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Supply Chain Resiliency: </w:t>
      </w:r>
      <w:r>
        <w:rPr>
          <w:rFonts w:ascii="Times New Roman" w:cs="Times New Roman" w:eastAsia="Times New Roman" w:hAnsi="Times New Roman"/>
          <w:sz w:val="18"/>
          <w:szCs w:val="18"/>
          <w:color w:val="auto"/>
        </w:rPr>
        <w:t>Supply chain disruptions and shortages have revealed the industry’s need for in-stock products and short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timeframes.</w:t>
      </w:r>
    </w:p>
    <w:p>
      <w:pPr>
        <w:spacing w:after="0" w:line="37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Value Creation for Key Stakeholders</w:t>
      </w:r>
    </w:p>
    <w:p>
      <w:pPr>
        <w:spacing w:after="0" w:line="225" w:lineRule="exact"/>
        <w:rPr>
          <w:sz w:val="20"/>
          <w:szCs w:val="20"/>
          <w:color w:val="auto"/>
        </w:rPr>
      </w:pPr>
    </w:p>
    <w:p>
      <w:pPr>
        <w:ind w:left="340" w:right="100" w:firstLine="422"/>
        <w:spacing w:after="0" w:line="278" w:lineRule="auto"/>
        <w:rPr>
          <w:sz w:val="20"/>
          <w:szCs w:val="20"/>
          <w:color w:val="auto"/>
        </w:rPr>
      </w:pPr>
      <w:r>
        <w:rPr>
          <w:rFonts w:ascii="Times New Roman" w:cs="Times New Roman" w:eastAsia="Times New Roman" w:hAnsi="Times New Roman"/>
          <w:sz w:val="18"/>
          <w:szCs w:val="18"/>
          <w:color w:val="auto"/>
        </w:rPr>
        <w:t>Our integrated business model helps us to address the needs of the market today and enables us to drive value for key constituents across the healthcare system.</w:t>
      </w:r>
    </w:p>
    <w:p>
      <w:pPr>
        <w:spacing w:after="0" w:line="26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rPr>
        <w:t>Healthcare providers:</w:t>
      </w:r>
    </w:p>
    <w:p>
      <w:pPr>
        <w:spacing w:after="0" w:line="129" w:lineRule="exact"/>
        <w:rPr>
          <w:sz w:val="20"/>
          <w:szCs w:val="20"/>
          <w:color w:val="auto"/>
        </w:rPr>
      </w:pPr>
    </w:p>
    <w:p>
      <w:pPr>
        <w:ind w:left="1280" w:right="60" w:hanging="410"/>
        <w:spacing w:after="0" w:line="278"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high-quality, competitively priced Medline Brand products deliver material cost savings to providers, many of whom face margin pressures.</w:t>
      </w:r>
    </w:p>
    <w:p>
      <w:pPr>
        <w:spacing w:after="0" w:line="68" w:lineRule="exact"/>
        <w:rPr>
          <w:rFonts w:ascii="Times New Roman" w:cs="Times New Roman" w:eastAsia="Times New Roman" w:hAnsi="Times New Roman"/>
          <w:sz w:val="18"/>
          <w:szCs w:val="18"/>
          <w:color w:val="auto"/>
        </w:rPr>
      </w:pPr>
    </w:p>
    <w:p>
      <w:pPr>
        <w:ind w:left="1280" w:right="280" w:hanging="410"/>
        <w:spacing w:after="0" w:line="278"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large and efficient supply chain delivers high service levels and rapid delivery of the full spectrum of med-surg products while simplifying operational complexity, ensuring uninterrupted delivery of care, and reducing distribution expenses.</w:t>
      </w:r>
    </w:p>
    <w:p>
      <w:pPr>
        <w:spacing w:after="0" w:line="68"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Prime Vendor model enables the cost-effective management of products, inventory, distribution, and delivery across sites of care.</w:t>
      </w:r>
    </w:p>
    <w:p>
      <w:pPr>
        <w:spacing w:after="0" w:line="138" w:lineRule="exact"/>
        <w:rPr>
          <w:rFonts w:ascii="Times New Roman" w:cs="Times New Roman" w:eastAsia="Times New Roman" w:hAnsi="Times New Roman"/>
          <w:sz w:val="17"/>
          <w:szCs w:val="17"/>
          <w:color w:val="auto"/>
        </w:rPr>
      </w:pPr>
    </w:p>
    <w:p>
      <w:pPr>
        <w:ind w:left="1280" w:right="160" w:hanging="410"/>
        <w:spacing w:after="0" w:line="255"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product education programs pair intelligently designed products along with caregiver training, enabling them to provide optimal care for their patients, ultimately yielding better patient outcomes. The clinical product education that healthcare providers receive is aimed at reducing non-reimbursable occurrences of hospital-acquired conditions and hospital-acquired infections. We support these efforts with our robust staff of in-house clinicians, in conjunction with our Medline University programs, to educate providers on the latest research and best practices for the use of particular products.</w:t>
      </w:r>
    </w:p>
    <w:p>
      <w:pPr>
        <w:spacing w:after="0" w:line="30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0"/>
          </w:cols>
          <w:pgMar w:left="320" w:top="451" w:right="6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51847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34200" cy="5184775"/>
                    </a:xfrm>
                    <a:prstGeom prst="rect">
                      <a:avLst/>
                    </a:prstGeom>
                    <a:noFill/>
                  </pic:spPr>
                </pic:pic>
              </a:graphicData>
            </a:graphic>
          </wp:anchor>
        </w:drawing>
      </w:r>
    </w:p>
    <w:p>
      <w:pPr>
        <w:spacing w:after="0" w:line="28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rPr>
        <w:t>Patients:</w:t>
      </w:r>
    </w:p>
    <w:p>
      <w:pPr>
        <w:spacing w:after="0" w:line="129" w:lineRule="exact"/>
        <w:rPr>
          <w:sz w:val="20"/>
          <w:szCs w:val="20"/>
          <w:color w:val="auto"/>
        </w:rPr>
      </w:pPr>
    </w:p>
    <w:p>
      <w:pPr>
        <w:ind w:left="1280" w:right="20" w:hanging="410"/>
        <w:spacing w:after="0" w:line="308" w:lineRule="auto"/>
        <w:tabs>
          <w:tab w:leader="none" w:pos="12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tools and resources help healthcare providers operate more efficiently, which indirectly benefits patients. This includes everything from supply chain optimization to clinical applications expertise, ensuring that healthcare providers can deliver high-quality care.</w:t>
      </w:r>
    </w:p>
    <w:p>
      <w:pPr>
        <w:spacing w:after="0" w:line="46" w:lineRule="exact"/>
        <w:rPr>
          <w:rFonts w:ascii="Times New Roman" w:cs="Times New Roman" w:eastAsia="Times New Roman" w:hAnsi="Times New Roman"/>
          <w:sz w:val="17"/>
          <w:szCs w:val="17"/>
          <w:color w:val="auto"/>
        </w:rPr>
      </w:pPr>
    </w:p>
    <w:p>
      <w:pPr>
        <w:ind w:left="1280" w:right="220" w:hanging="410"/>
        <w:spacing w:after="0" w:line="278" w:lineRule="auto"/>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educational materials and at-home care kits help patients take an active role in their own care, which improves health outcomes and patient satisfaction.</w:t>
      </w:r>
    </w:p>
    <w:p>
      <w:pPr>
        <w:spacing w:after="0" w:line="68"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focus on thoughtfully designed products and services creates positive patient experiences.</w:t>
      </w:r>
    </w:p>
    <w:p>
      <w:pPr>
        <w:spacing w:after="0" w:line="127"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direct-to-consumer channel increases access to our high-quality, cost-effective products.</w:t>
      </w:r>
    </w:p>
    <w:p>
      <w:pPr>
        <w:spacing w:after="0" w:line="32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rPr>
        <w:t>Product suppliers:</w:t>
      </w:r>
    </w:p>
    <w:p>
      <w:pPr>
        <w:spacing w:after="0" w:line="129" w:lineRule="exact"/>
        <w:rPr>
          <w:sz w:val="20"/>
          <w:szCs w:val="20"/>
          <w:color w:val="auto"/>
        </w:rPr>
      </w:pPr>
    </w:p>
    <w:p>
      <w:pPr>
        <w:ind w:left="1280" w:hanging="410"/>
        <w:spacing w:after="0"/>
        <w:tabs>
          <w:tab w:leader="none" w:pos="12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scaled platform provides third-party product suppliers with access to our commercial team and a large and diverse customer base.</w:t>
      </w:r>
    </w:p>
    <w:p>
      <w:pPr>
        <w:spacing w:after="0" w:line="138" w:lineRule="exact"/>
        <w:rPr>
          <w:rFonts w:ascii="Times New Roman" w:cs="Times New Roman" w:eastAsia="Times New Roman" w:hAnsi="Times New Roman"/>
          <w:sz w:val="17"/>
          <w:szCs w:val="17"/>
          <w:color w:val="auto"/>
        </w:rPr>
      </w:pPr>
    </w:p>
    <w:p>
      <w:pPr>
        <w:ind w:left="1280" w:hanging="410"/>
        <w:spacing w:after="0"/>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service levels ensure that suppliers’ products are delivered reliably and on time.</w:t>
      </w:r>
    </w:p>
    <w:p>
      <w:pPr>
        <w:spacing w:after="0" w:line="127"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presence across the healthcare continuum provides opportunities to serve every site of care.</w:t>
      </w:r>
    </w:p>
    <w:p>
      <w:pPr>
        <w:spacing w:after="0" w:line="200" w:lineRule="exact"/>
        <w:rPr>
          <w:sz w:val="20"/>
          <w:szCs w:val="20"/>
          <w:color w:val="auto"/>
        </w:rPr>
      </w:pPr>
    </w:p>
    <w:p>
      <w:pPr>
        <w:spacing w:after="0" w:line="2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Why We Win</w:t>
      </w:r>
    </w:p>
    <w:p>
      <w:pPr>
        <w:spacing w:after="0" w:line="2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Our ability to earn and retain customers is driven by a number of specific qualities that are critical to our success.</w:t>
      </w:r>
    </w:p>
    <w:p>
      <w:pPr>
        <w:spacing w:after="0" w:line="217" w:lineRule="exact"/>
        <w:rPr>
          <w:sz w:val="20"/>
          <w:szCs w:val="20"/>
          <w:color w:val="auto"/>
        </w:rPr>
      </w:pPr>
    </w:p>
    <w:p>
      <w:pPr>
        <w:ind w:left="340" w:right="120" w:firstLine="42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Customer-Focused Culture. </w:t>
      </w:r>
      <w:r>
        <w:rPr>
          <w:rFonts w:ascii="Times New Roman" w:cs="Times New Roman" w:eastAsia="Times New Roman" w:hAnsi="Times New Roman"/>
          <w:sz w:val="18"/>
          <w:szCs w:val="18"/>
          <w:color w:val="auto"/>
        </w:rPr>
        <w:t>Customers are at the heart of what we do. Our best-in-class business model, entrepreneurial spirit,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compelling value proposition are the result of our customer-focused culture that emphasizes the rapid identification of and response to customer needs. We have evolved alongside our customers over time by expanding our product portfolio and supply chain optimization services, and we have built a large U.S. commercial team of approximately 3,800 people so that customers’ needs would be quickly identified and satisfied. We do what we say we are going to do, we are transparent and direct with our customers, and we empower our employees to advocate for our customers. This has translated into high win rates for new business, strong customer loyalty with consistently high customer satisfaction levels, as demonstrated by our customer retention rates, including a greater than 98% average Prime Vendor retention rate over the past five years, and consistently high employee satisfaction levels, which we measure through our periodic employee engagement surveys and employee retention.</w:t>
      </w:r>
    </w:p>
    <w:p>
      <w:pPr>
        <w:spacing w:after="0" w:line="180" w:lineRule="exact"/>
        <w:rPr>
          <w:sz w:val="20"/>
          <w:szCs w:val="20"/>
          <w:color w:val="auto"/>
        </w:rPr>
      </w:pPr>
    </w:p>
    <w:p>
      <w:pPr>
        <w:ind w:left="340" w:firstLine="42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Medline Platform Advantage. </w:t>
      </w:r>
      <w:r>
        <w:rPr>
          <w:rFonts w:ascii="Times New Roman" w:cs="Times New Roman" w:eastAsia="Times New Roman" w:hAnsi="Times New Roman"/>
          <w:sz w:val="18"/>
          <w:szCs w:val="18"/>
          <w:color w:val="auto"/>
        </w:rPr>
        <w:t>We are the largest provider of med-surg and supply chain solutions serving all points of care, based on total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sales of med-surg products. Our platform is powered by our global procurement network, strategically located distribution centers, high delivery route density, and innovation capabilities informed by proprietary supply chain customer insights. Our vertically integrated business model is designed to deliver the best total value to our customers through a comprehensive set of world-class products, a resilient and highly efficient supply chain, and differentiated clinical solutions. Our ability to provide significant</w:t>
      </w:r>
    </w:p>
    <w:p>
      <w:pPr>
        <w:spacing w:after="0" w:line="30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320" w:top="451" w:right="6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6263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34200" cy="6263005"/>
                    </a:xfrm>
                    <a:prstGeom prst="rect">
                      <a:avLst/>
                    </a:prstGeom>
                    <a:noFill/>
                  </pic:spPr>
                </pic:pic>
              </a:graphicData>
            </a:graphic>
          </wp:anchor>
        </w:drawing>
      </w:r>
    </w:p>
    <w:p>
      <w:pPr>
        <w:spacing w:after="0" w:line="289" w:lineRule="exact"/>
        <w:rPr>
          <w:sz w:val="20"/>
          <w:szCs w:val="20"/>
          <w:color w:val="auto"/>
        </w:rPr>
      </w:pPr>
    </w:p>
    <w:p>
      <w:pPr>
        <w:ind w:left="340" w:right="100"/>
        <w:spacing w:after="0" w:line="278" w:lineRule="auto"/>
        <w:rPr>
          <w:sz w:val="20"/>
          <w:szCs w:val="20"/>
          <w:color w:val="auto"/>
        </w:rPr>
      </w:pPr>
      <w:r>
        <w:rPr>
          <w:rFonts w:ascii="Times New Roman" w:cs="Times New Roman" w:eastAsia="Times New Roman" w:hAnsi="Times New Roman"/>
          <w:sz w:val="18"/>
          <w:szCs w:val="18"/>
          <w:color w:val="auto"/>
        </w:rPr>
        <w:t>savings on our high-quality products and services and our ability to serve across the entire continuum of care aligns us with the evolving needs of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0" w:firstLine="42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Medline Brand Product Portfolio. </w:t>
      </w:r>
      <w:r>
        <w:rPr>
          <w:rFonts w:ascii="Times New Roman" w:cs="Times New Roman" w:eastAsia="Times New Roman" w:hAnsi="Times New Roman"/>
          <w:sz w:val="18"/>
          <w:szCs w:val="18"/>
          <w:color w:val="auto"/>
        </w:rPr>
        <w:t>We offer approximately 190,000 Medline Brand products across our product categories. We have a track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record of successfully bringing new products to market, with more than 2,100 granted patents and more than 400 clearances under Section 510(k) of the Federal Food, Drug and Cosmetic Act (“510(k)”). Over the last three years, we have successfully launched 268 new products. Our vertically integrated platform provides us with unparalleled insights into our customers’ needs, purchasing trends, and potential areas of new, customer-driven product innovation. Our unparalleled scale, the breadth and quality of our product portfolio, and our successful track record of innovation enable us to quickly and cost-effectively address the needs of our customers.</w:t>
      </w:r>
    </w:p>
    <w:p>
      <w:pPr>
        <w:spacing w:after="0" w:line="178" w:lineRule="exact"/>
        <w:rPr>
          <w:sz w:val="20"/>
          <w:szCs w:val="20"/>
          <w:color w:val="auto"/>
        </w:rPr>
      </w:pPr>
    </w:p>
    <w:p>
      <w:pPr>
        <w:ind w:left="340" w:right="20" w:firstLine="42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Unrivaled Distribution Capabilities. </w:t>
      </w:r>
      <w:r>
        <w:rPr>
          <w:rFonts w:ascii="Times New Roman" w:cs="Times New Roman" w:eastAsia="Times New Roman" w:hAnsi="Times New Roman"/>
          <w:sz w:val="18"/>
          <w:szCs w:val="18"/>
          <w:color w:val="auto"/>
        </w:rPr>
        <w:t>Medline’s breadth and footprint today is the result of decades of significant investments,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$1.6 billion in capital expenditures within our distribution network over the last five years. The network has been developed to serve healthcare facilities and providers across the continuum of care. We have a differentiated network of 69 global distribution facilities and a fleet of more than 2,000 MedTrans trucks in the United States that serve the entire continuum of care. Our owned transportation fleet delivers approximately 80% of the products we offer in the United States and leverages a dynamic route planning system to optimize routes by minimizing miles driven and improving trailer utilization. Our extensive supply chain, with a rigorous focus on reducing cost, enables us to deliver products to our customers at the most attractive unit economics and with better service levels than alternatives. As of December 31, 2024, we carried $4.5 billion in global inventory that, combined with our distribution network and capabilities, enables us to have service levels of 99%.</w:t>
      </w:r>
    </w:p>
    <w:p>
      <w:pPr>
        <w:spacing w:after="0" w:line="180" w:lineRule="exact"/>
        <w:rPr>
          <w:sz w:val="20"/>
          <w:szCs w:val="20"/>
          <w:color w:val="auto"/>
        </w:rPr>
      </w:pPr>
    </w:p>
    <w:p>
      <w:pPr>
        <w:ind w:left="340" w:right="260" w:firstLine="422"/>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Our Clinical Solutions. </w:t>
      </w:r>
      <w:r>
        <w:rPr>
          <w:rFonts w:ascii="Times New Roman" w:cs="Times New Roman" w:eastAsia="Times New Roman" w:hAnsi="Times New Roman"/>
          <w:sz w:val="17"/>
          <w:szCs w:val="17"/>
          <w:color w:val="auto"/>
        </w:rPr>
        <w:t>Medline’s clinical solutions empower frontline teams with best practice guidance, education and training, and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system of products to help improve clinical outcomes. Our clinicians support our customers, providing clinical expertise and comprehensive products, education, and other solutions to enable the best care, cost-effectively and efficiently. Our solutions include recommendations on best practices and product features that can help providers correctly use products, reduce care variation, and provide more consistent care.</w:t>
      </w:r>
    </w:p>
    <w:p>
      <w:pPr>
        <w:spacing w:after="0" w:line="161" w:lineRule="exact"/>
        <w:rPr>
          <w:sz w:val="20"/>
          <w:szCs w:val="20"/>
          <w:color w:val="auto"/>
        </w:rPr>
      </w:pPr>
    </w:p>
    <w:p>
      <w:pPr>
        <w:ind w:left="340" w:right="300" w:firstLine="422"/>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Increasing Returns to Scale. </w:t>
      </w:r>
      <w:r>
        <w:rPr>
          <w:rFonts w:ascii="Times New Roman" w:cs="Times New Roman" w:eastAsia="Times New Roman" w:hAnsi="Times New Roman"/>
          <w:sz w:val="18"/>
          <w:szCs w:val="18"/>
          <w:color w:val="auto"/>
        </w:rPr>
        <w:t>As we grow, Medline is uniquely positioned to benefit from our vertically integrated model and over 1,300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active Prime Vendor relationships. Revenue growth in Medline Brand products</w:t>
      </w:r>
    </w:p>
    <w:p>
      <w:pPr>
        <w:spacing w:after="0" w:line="26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20"/>
          </w:cols>
          <w:pgMar w:left="320" w:top="451" w:right="7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57194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34200" cy="5719445"/>
                    </a:xfrm>
                    <a:prstGeom prst="rect">
                      <a:avLst/>
                    </a:prstGeom>
                    <a:noFill/>
                  </pic:spPr>
                </pic:pic>
              </a:graphicData>
            </a:graphic>
          </wp:anchor>
        </w:drawing>
      </w:r>
    </w:p>
    <w:p>
      <w:pPr>
        <w:spacing w:after="0" w:line="289" w:lineRule="exact"/>
        <w:rPr>
          <w:sz w:val="20"/>
          <w:szCs w:val="20"/>
          <w:color w:val="auto"/>
        </w:rPr>
      </w:pPr>
    </w:p>
    <w:p>
      <w:pPr>
        <w:ind w:left="340" w:right="20"/>
        <w:spacing w:after="0" w:line="253" w:lineRule="auto"/>
        <w:rPr>
          <w:sz w:val="20"/>
          <w:szCs w:val="20"/>
          <w:color w:val="auto"/>
        </w:rPr>
      </w:pPr>
      <w:r>
        <w:rPr>
          <w:rFonts w:ascii="Times New Roman" w:cs="Times New Roman" w:eastAsia="Times New Roman" w:hAnsi="Times New Roman"/>
          <w:sz w:val="18"/>
          <w:szCs w:val="18"/>
          <w:color w:val="auto"/>
        </w:rPr>
        <w:t>increases our purchasing power with our global sourcing partners and enables investments to increase the efficiency of our internal manufacturing capabilities, which may reduce the cost of goods sold. Lowering our cost of goods sold on Medline Brand products provides higher value to our customers and improves our competitive pricing. Growing our customer base results in increased transportation route density, which in turn improves efficiency, lowers costs, and increases service levels for our customers. We reinvest these savings in better customer value, which extends our competitive advantage and accelerates our ability to earn new customers. As we add new customers, we gain better insight into their needs and drive investments in product innovation, resulting in greater Medline Brand sales growth. The mutual reinforcement of these dynamics compounds over time—we become an increasingly strategic partner for our customers as they continue to grow and scale.</w:t>
      </w:r>
    </w:p>
    <w:p>
      <w:pPr>
        <w:spacing w:after="0" w:line="3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5" w:lineRule="exact"/>
        <w:rPr>
          <w:sz w:val="20"/>
          <w:szCs w:val="20"/>
          <w:color w:val="auto"/>
        </w:rPr>
      </w:pPr>
    </w:p>
    <w:p>
      <w:pPr>
        <w:ind w:left="340" w:firstLine="422"/>
        <w:spacing w:after="0" w:line="308" w:lineRule="auto"/>
        <w:rPr>
          <w:sz w:val="20"/>
          <w:szCs w:val="20"/>
          <w:color w:val="auto"/>
        </w:rPr>
      </w:pPr>
      <w:r>
        <w:rPr>
          <w:rFonts w:ascii="Times New Roman" w:cs="Times New Roman" w:eastAsia="Times New Roman" w:hAnsi="Times New Roman"/>
          <w:sz w:val="17"/>
          <w:szCs w:val="17"/>
          <w:color w:val="auto"/>
        </w:rPr>
        <w:t>We have a demonstrated track record of delivering consistent growth over more than half a century, irrespective of economic conditions. We expect to continue to grow in excess of the broader med-surg market due to a combination of strategies that drive our net sales and earnings growth.</w:t>
      </w:r>
    </w:p>
    <w:p>
      <w:pPr>
        <w:spacing w:after="0" w:line="14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u w:val="single" w:color="auto"/>
          <w:color w:val="auto"/>
        </w:rPr>
        <w:t>Net Sales Growth</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ind w:left="1280" w:right="180" w:hanging="410"/>
        <w:spacing w:after="0" w:line="258" w:lineRule="auto"/>
        <w:tabs>
          <w:tab w:leader="none" w:pos="1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Growing with our Prime Vendor Customers</w:t>
      </w:r>
      <w:r>
        <w:rPr>
          <w:rFonts w:ascii="Times New Roman" w:cs="Times New Roman" w:eastAsia="Times New Roman" w:hAnsi="Times New Roman"/>
          <w:sz w:val="18"/>
          <w:szCs w:val="18"/>
          <w:color w:val="auto"/>
        </w:rPr>
        <w:t>: We have achieved a greater than 98% average Prime Vendor retention rate over the past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five years. Importantly, we are partnered with many of the largest healthcare systems across the country and are well-positioned to grow with our customers as their patients’ underlying healthcare utilization increases, they build and acquire new sites, and they further consolidate med-surg spend with Medline.</w:t>
      </w:r>
    </w:p>
    <w:p>
      <w:pPr>
        <w:spacing w:after="0" w:line="86" w:lineRule="exact"/>
        <w:rPr>
          <w:rFonts w:ascii="Times New Roman" w:cs="Times New Roman" w:eastAsia="Times New Roman" w:hAnsi="Times New Roman"/>
          <w:sz w:val="18"/>
          <w:szCs w:val="18"/>
          <w:color w:val="auto"/>
        </w:rPr>
      </w:pPr>
    </w:p>
    <w:p>
      <w:pPr>
        <w:ind w:left="1280" w:right="200" w:hanging="410"/>
        <w:spacing w:after="0" w:line="258" w:lineRule="auto"/>
        <w:tabs>
          <w:tab w:leader="none" w:pos="1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Winning New Prime Vendor Customers</w:t>
      </w:r>
      <w:r>
        <w:rPr>
          <w:rFonts w:ascii="Times New Roman" w:cs="Times New Roman" w:eastAsia="Times New Roman" w:hAnsi="Times New Roman"/>
          <w:sz w:val="18"/>
          <w:szCs w:val="18"/>
          <w:color w:val="auto"/>
        </w:rPr>
        <w:t>: We continue to earn new Prime Vendor customers, which has been a key driver of sustained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in both Medline Brand and Supply Chain Solutions. Over the past six years, we have signed new Prime Vendor contracts representing approximately $8 billion of annual contract value. Additionally, we continue to expand the scope of our Prime Vendor relationships in non-acute sites of care.</w:t>
      </w:r>
    </w:p>
    <w:p>
      <w:pPr>
        <w:spacing w:after="0" w:line="86" w:lineRule="exact"/>
        <w:rPr>
          <w:rFonts w:ascii="Times New Roman" w:cs="Times New Roman" w:eastAsia="Times New Roman" w:hAnsi="Times New Roman"/>
          <w:sz w:val="18"/>
          <w:szCs w:val="18"/>
          <w:color w:val="auto"/>
        </w:rPr>
      </w:pPr>
    </w:p>
    <w:p>
      <w:pPr>
        <w:ind w:left="1280" w:right="280" w:hanging="410"/>
        <w:spacing w:after="0" w:line="264" w:lineRule="auto"/>
        <w:tabs>
          <w:tab w:leader="none" w:pos="1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Growing Medline Brand with Non-Prime Vendor Customers</w:t>
      </w:r>
      <w:r>
        <w:rPr>
          <w:rFonts w:ascii="Times New Roman" w:cs="Times New Roman" w:eastAsia="Times New Roman" w:hAnsi="Times New Roman"/>
          <w:sz w:val="18"/>
          <w:szCs w:val="18"/>
          <w:color w:val="auto"/>
        </w:rPr>
        <w:t>: An increasing number of non-Prime Vendor customers are choosing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Medline Brand. We will continue to provide high-quality, cost-effective products that meet their med-surg needs and accelerate our expansion within these customers.</w:t>
      </w:r>
    </w:p>
    <w:p>
      <w:pPr>
        <w:spacing w:after="0" w:line="79" w:lineRule="exact"/>
        <w:rPr>
          <w:rFonts w:ascii="Times New Roman" w:cs="Times New Roman" w:eastAsia="Times New Roman" w:hAnsi="Times New Roman"/>
          <w:sz w:val="18"/>
          <w:szCs w:val="18"/>
          <w:color w:val="auto"/>
        </w:rPr>
      </w:pPr>
    </w:p>
    <w:p>
      <w:pPr>
        <w:ind w:left="1280" w:right="100" w:hanging="410"/>
        <w:spacing w:after="0" w:line="286" w:lineRule="auto"/>
        <w:tabs>
          <w:tab w:leader="none" w:pos="12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Continuous Product Innovation</w:t>
      </w:r>
      <w:r>
        <w:rPr>
          <w:rFonts w:ascii="Times New Roman" w:cs="Times New Roman" w:eastAsia="Times New Roman" w:hAnsi="Times New Roman"/>
          <w:sz w:val="17"/>
          <w:szCs w:val="17"/>
          <w:color w:val="auto"/>
        </w:rPr>
        <w:t>: Innovation is embedded within our product teams, who leverage our salesforce, customer feedback,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our quality and regulatory organizations to develop new Medline Brand products. Our culture of innovation and entrepreneurship and our highly scalable go-to-market model provide us with unique capabilities to bring products to market swiftly.</w:t>
      </w:r>
    </w:p>
    <w:p>
      <w:pPr>
        <w:spacing w:after="0" w:line="63" w:lineRule="exact"/>
        <w:rPr>
          <w:rFonts w:ascii="Times New Roman" w:cs="Times New Roman" w:eastAsia="Times New Roman" w:hAnsi="Times New Roman"/>
          <w:sz w:val="17"/>
          <w:szCs w:val="17"/>
          <w:color w:val="auto"/>
        </w:rPr>
      </w:pPr>
    </w:p>
    <w:p>
      <w:pPr>
        <w:ind w:left="1280" w:right="40" w:hanging="410"/>
        <w:spacing w:after="0" w:line="278" w:lineRule="auto"/>
        <w:tabs>
          <w:tab w:leader="none" w:pos="12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Channel Expansion</w:t>
      </w:r>
      <w:r>
        <w:rPr>
          <w:rFonts w:ascii="Times New Roman" w:cs="Times New Roman" w:eastAsia="Times New Roman" w:hAnsi="Times New Roman"/>
          <w:sz w:val="17"/>
          <w:szCs w:val="17"/>
          <w:color w:val="auto"/>
        </w:rPr>
        <w:t>: We will continue to evaluate new opportunities to expand our TAM and the markets we serve. We currently serve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healthcare providers anywhere a patient, resident, or consumer needs access to medical products. In 2016, we entered the acute care laboratory and diagnostics channel, which we believe is ripe for disruption. Most recently, we expanded into animal health in the United States and dental in Canada. We will continue to evaluate and selectively expand into new channels as opportunities arise.</w:t>
      </w:r>
    </w:p>
    <w:p>
      <w:pPr>
        <w:spacing w:after="0" w:line="70" w:lineRule="exact"/>
        <w:rPr>
          <w:rFonts w:ascii="Times New Roman" w:cs="Times New Roman" w:eastAsia="Times New Roman" w:hAnsi="Times New Roman"/>
          <w:sz w:val="17"/>
          <w:szCs w:val="17"/>
          <w:color w:val="auto"/>
        </w:rPr>
      </w:pPr>
    </w:p>
    <w:p>
      <w:pPr>
        <w:ind w:left="1280" w:hanging="410"/>
        <w:spacing w:after="0"/>
        <w:tabs>
          <w:tab w:leader="none" w:pos="1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Expansion</w:t>
      </w:r>
      <w:r>
        <w:rPr>
          <w:rFonts w:ascii="Times New Roman" w:cs="Times New Roman" w:eastAsia="Times New Roman" w:hAnsi="Times New Roman"/>
          <w:sz w:val="18"/>
          <w:szCs w:val="18"/>
          <w:color w:val="auto"/>
        </w:rPr>
        <w:t>: Our value proposition can help customers across markets internationally, and we expect to tap into the</w:t>
      </w:r>
    </w:p>
    <w:p>
      <w:pPr>
        <w:spacing w:after="0" w:line="27" w:lineRule="exact"/>
        <w:rPr>
          <w:rFonts w:ascii="Times New Roman" w:cs="Times New Roman" w:eastAsia="Times New Roman" w:hAnsi="Times New Roman"/>
          <w:sz w:val="18"/>
          <w:szCs w:val="18"/>
          <w:color w:val="auto"/>
        </w:rPr>
      </w:pPr>
    </w:p>
    <w:p>
      <w:pPr>
        <w:jc w:val="both"/>
        <w:ind w:left="1280" w:right="1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billion international addressable market through both organic and inorganic expansion. We will continue to strategically launch new products and enter new markets and care settings outside the United States. This expansion represents an attractive opportunity, as our International net sales represented only 6.9% of our net sales for the year ended December 31, 2024.</w:t>
      </w:r>
    </w:p>
    <w:p>
      <w:pPr>
        <w:spacing w:after="0" w:line="30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320" w:top="451" w:right="6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55499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34200" cy="5549900"/>
                    </a:xfrm>
                    <a:prstGeom prst="rect">
                      <a:avLst/>
                    </a:prstGeom>
                    <a:noFill/>
                  </pic:spPr>
                </pic:pic>
              </a:graphicData>
            </a:graphic>
          </wp:anchor>
        </w:drawing>
      </w:r>
    </w:p>
    <w:p>
      <w:pPr>
        <w:spacing w:after="0" w:line="287" w:lineRule="exact"/>
        <w:rPr>
          <w:sz w:val="20"/>
          <w:szCs w:val="20"/>
          <w:color w:val="auto"/>
        </w:rPr>
      </w:pPr>
    </w:p>
    <w:p>
      <w:pPr>
        <w:ind w:left="1280" w:right="20" w:hanging="410"/>
        <w:spacing w:after="0" w:line="253"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M&amp;A Execution</w:t>
      </w:r>
      <w:r>
        <w:rPr>
          <w:rFonts w:ascii="Times New Roman" w:cs="Times New Roman" w:eastAsia="Times New Roman" w:hAnsi="Times New Roman"/>
          <w:sz w:val="18"/>
          <w:szCs w:val="18"/>
          <w:color w:val="auto"/>
        </w:rPr>
        <w:t>: Our disciplined, global M&amp;A strategy is focused on pursuing adjacent products and services, as well as expanding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new channels. We have a proven strategy for integrating new acquisitions and achieving significant synergies, which has enabled us to acquire businesses at attractive valuations on a post-synergy basis. The breadth of our product channels and our low-cost manufacturing and sourcing model makes Medline a powerful M&amp;A platform. Recent examples of our M&amp;A strategy include the acquisition of a portion of the global surgical solutions business of Ecolab, Inc. including the industry-leading Microtek product lines (“Microtek”), which provides highly complementary products to our Surgical Solutions product category, as well as the acquisition of Sinclair Dental, further extending our distribution capabilities outside the United States.</w:t>
      </w:r>
    </w:p>
    <w:p>
      <w:pPr>
        <w:spacing w:after="0" w:line="18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u w:val="single" w:color="auto"/>
          <w:color w:val="auto"/>
        </w:rPr>
        <w:t>Earnings Growth</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ind w:left="1280" w:right="80" w:hanging="410"/>
        <w:spacing w:after="0" w:line="266" w:lineRule="auto"/>
        <w:tabs>
          <w:tab w:leader="none" w:pos="12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Medline Brand Conversion Opportunity</w:t>
      </w:r>
      <w:r>
        <w:rPr>
          <w:rFonts w:ascii="Times New Roman" w:cs="Times New Roman" w:eastAsia="Times New Roman" w:hAnsi="Times New Roman"/>
          <w:sz w:val="17"/>
          <w:szCs w:val="17"/>
          <w:color w:val="auto"/>
        </w:rPr>
        <w:t>: To help our customers achieve cost savings, we provide them with Medline Brand products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that offer superior or similar quality to third-party products at a more cost-effective price. Medline earns a higher margin on sales of Medline Brand products compared to sales of comparable third-party products. Supply Chain Solutions products for which like-for-like Medline Brand products are available represented approximately $4.0 billion in net sales to existing Prime Vendor customers as of December 31, 2024. Assuming historical margins, if 100% of such products were converted to available like-for-like Medline Brand products, the incremental gross profit opportunity associated with such conversion would be approximately</w:t>
      </w:r>
    </w:p>
    <w:p>
      <w:pPr>
        <w:spacing w:after="0" w:line="4" w:lineRule="exact"/>
        <w:rPr>
          <w:rFonts w:ascii="Times New Roman" w:cs="Times New Roman" w:eastAsia="Times New Roman" w:hAnsi="Times New Roman"/>
          <w:sz w:val="17"/>
          <w:szCs w:val="17"/>
          <w:color w:val="auto"/>
        </w:rPr>
      </w:pPr>
    </w:p>
    <w:p>
      <w:pPr>
        <w:ind w:left="1280" w:right="160"/>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 billion. Conversion of 100% of this opportunity is not immediately achievable, and we cannot provide any assurance regarding the timing or extent of any such conversions. While we historically have earned higher margins upon conversion from third-party national brand products to like-for-like Medline Brand products, because of the lower average prices for Medline Brand products, there is typically a negative impact on net sales upon the conversion of Supply Chain Solutions products to like-for-like Medline Brand products if volume is assumed to be constant. We believe that the average margins for Supply Chain Solutions products converted to Medline Brand products have not significantly differed from those that have not been converted. Similarly, the average margins of products converted to Medline Brand do not vary materially from their unconverted counterparts. Therefore, we assume our historical estimates will continue with future conversions. For further information on potential risks relating to this conversion opportunity, please refer to “Risk Factors—Risks Related to Our Business, Industry and Operations—Our failure to establish and maintain Prime Vendor relationships may cause our revenue to decline.”</w:t>
      </w:r>
    </w:p>
    <w:p>
      <w:pPr>
        <w:spacing w:after="0" w:line="91" w:lineRule="exact"/>
        <w:rPr>
          <w:rFonts w:ascii="Times New Roman" w:cs="Times New Roman" w:eastAsia="Times New Roman" w:hAnsi="Times New Roman"/>
          <w:sz w:val="17"/>
          <w:szCs w:val="17"/>
          <w:color w:val="auto"/>
        </w:rPr>
      </w:pPr>
    </w:p>
    <w:p>
      <w:pPr>
        <w:jc w:val="both"/>
        <w:ind w:left="1280" w:right="60" w:hanging="410"/>
        <w:spacing w:after="0" w:line="258"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Operational Execution</w:t>
      </w:r>
      <w:r>
        <w:rPr>
          <w:rFonts w:ascii="Times New Roman" w:cs="Times New Roman" w:eastAsia="Times New Roman" w:hAnsi="Times New Roman"/>
          <w:sz w:val="18"/>
          <w:szCs w:val="18"/>
          <w:color w:val="auto"/>
        </w:rPr>
        <w:t>: To strengthen our cost advantage on Medline Brand products, we continuously improve our procurement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sourcing functions to further reduce our spend on key inputs. Our relentless scrutiny on our own costs both in our manufacturing and distribution networks helps us to deliver quality products cost effectively. As we scale, our operating leverage will further expand our margins over time.</w:t>
      </w:r>
    </w:p>
    <w:p>
      <w:pPr>
        <w:spacing w:after="0" w:line="39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Our Culture</w:t>
      </w:r>
    </w:p>
    <w:p>
      <w:pPr>
        <w:spacing w:after="0" w:line="225" w:lineRule="exact"/>
        <w:rPr>
          <w:sz w:val="20"/>
          <w:szCs w:val="20"/>
          <w:color w:val="auto"/>
        </w:rPr>
      </w:pPr>
    </w:p>
    <w:p>
      <w:pPr>
        <w:ind w:left="340" w:firstLine="422"/>
        <w:spacing w:after="0" w:line="255" w:lineRule="auto"/>
        <w:rPr>
          <w:sz w:val="20"/>
          <w:szCs w:val="20"/>
          <w:color w:val="auto"/>
        </w:rPr>
      </w:pPr>
      <w:r>
        <w:rPr>
          <w:rFonts w:ascii="Times New Roman" w:cs="Times New Roman" w:eastAsia="Times New Roman" w:hAnsi="Times New Roman"/>
          <w:sz w:val="18"/>
          <w:szCs w:val="18"/>
          <w:color w:val="auto"/>
        </w:rPr>
        <w:t>Our story is one of customer focus that has led to strong performance and success. Every hour of every day, medical professionals rely on Medline products to help them do their jobs. Our work touches the lives of millions of people, yet we are much more than a supplier of world-class medical solutions: we are here to make healthcare run better. We have delivered consecutive net sales growth every year since our inception and today we employ over 43,000 people and operate across more than 100 countries. The work we do enables healthcare providers to deliver the best quality care, in the most financially sustainable way, across the entire continuum of healthcare.</w:t>
      </w:r>
    </w:p>
    <w:p>
      <w:pPr>
        <w:spacing w:after="0" w:line="30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40"/>
          </w:cols>
          <w:pgMar w:left="320" w:top="451" w:right="7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6483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34200" cy="6483985"/>
                    </a:xfrm>
                    <a:prstGeom prst="rect">
                      <a:avLst/>
                    </a:prstGeom>
                    <a:noFill/>
                  </pic:spPr>
                </pic:pic>
              </a:graphicData>
            </a:graphic>
          </wp:anchor>
        </w:drawing>
      </w:r>
    </w:p>
    <w:p>
      <w:pPr>
        <w:spacing w:after="0" w:line="28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Our culture is guided by our six core values:</w:t>
      </w:r>
    </w:p>
    <w:p>
      <w:pPr>
        <w:spacing w:after="0" w:line="127" w:lineRule="exact"/>
        <w:rPr>
          <w:sz w:val="20"/>
          <w:szCs w:val="20"/>
          <w:color w:val="auto"/>
        </w:rPr>
      </w:pPr>
    </w:p>
    <w:p>
      <w:pPr>
        <w:ind w:left="1280" w:hanging="410"/>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relentless customer focus</w:t>
      </w:r>
    </w:p>
    <w:p>
      <w:pPr>
        <w:spacing w:after="0" w:line="127"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demonstrate agility and flexibility</w:t>
      </w:r>
    </w:p>
    <w:p>
      <w:pPr>
        <w:spacing w:after="0" w:line="127"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gritty problem solvers</w:t>
      </w:r>
    </w:p>
    <w:p>
      <w:pPr>
        <w:spacing w:after="0" w:line="127"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drive to succeed</w:t>
      </w:r>
    </w:p>
    <w:p>
      <w:pPr>
        <w:spacing w:after="0" w:line="127"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practice purposeful candor</w:t>
      </w:r>
    </w:p>
    <w:p>
      <w:pPr>
        <w:spacing w:after="0" w:line="127"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relationships matter</w:t>
      </w:r>
    </w:p>
    <w:p>
      <w:pPr>
        <w:spacing w:after="0" w:line="221" w:lineRule="exact"/>
        <w:rPr>
          <w:sz w:val="20"/>
          <w:szCs w:val="20"/>
          <w:color w:val="auto"/>
        </w:rPr>
      </w:pPr>
    </w:p>
    <w:p>
      <w:pPr>
        <w:ind w:left="340" w:firstLine="422"/>
        <w:spacing w:after="0" w:line="258" w:lineRule="auto"/>
        <w:rPr>
          <w:sz w:val="20"/>
          <w:szCs w:val="20"/>
          <w:color w:val="auto"/>
        </w:rPr>
      </w:pPr>
      <w:r>
        <w:rPr>
          <w:rFonts w:ascii="Times New Roman" w:cs="Times New Roman" w:eastAsia="Times New Roman" w:hAnsi="Times New Roman"/>
          <w:sz w:val="18"/>
          <w:szCs w:val="18"/>
          <w:color w:val="auto"/>
        </w:rPr>
        <w:t>Our team of driven and passionate people brings these values to life. Employees are empowered to make meaningful contributions and work with determination to understand our customers’ needs and deliver exceptional service. We combine our scale with agility to improve healthcare delivery and embrace our customers’ challenges as our own. Medline has been recognized by Forbes as one of America’s Best Large Employers and Best Employers for Women.</w:t>
      </w:r>
    </w:p>
    <w:p>
      <w:pPr>
        <w:spacing w:after="0" w:line="39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Our Structure</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Medline Inc. is a holding company, and its sole material assets are its equity interests held directly or indirectly through wholly owned</w:t>
      </w:r>
    </w:p>
    <w:p>
      <w:pPr>
        <w:spacing w:after="0" w:line="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subsidiaries in Medline Holdings. As the general partner of Medline Holdings, Medline Inc. operates and controls all of the business and affairs of</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Medline Holdings and, through Medline Holdings and its subsidiaries, conduct our business. Prior to the completion of the IPO:</w:t>
      </w:r>
    </w:p>
    <w:p>
      <w:pPr>
        <w:spacing w:after="0" w:line="109" w:lineRule="exact"/>
        <w:rPr>
          <w:sz w:val="20"/>
          <w:szCs w:val="20"/>
          <w:color w:val="auto"/>
        </w:rPr>
      </w:pPr>
    </w:p>
    <w:p>
      <w:pPr>
        <w:ind w:left="1280" w:right="40" w:hanging="517"/>
        <w:spacing w:after="0" w:line="278" w:lineRule="auto"/>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Pre-IPO Stockholders received shares of Class A common stock of Medline Inc. pursuant to the Blocker Transfers as defined and described in “Organizational Structure—Blocker Transfers”;</w:t>
      </w:r>
    </w:p>
    <w:p>
      <w:pPr>
        <w:spacing w:after="0" w:line="68" w:lineRule="exact"/>
        <w:rPr>
          <w:rFonts w:ascii="Times New Roman" w:cs="Times New Roman" w:eastAsia="Times New Roman" w:hAnsi="Times New Roman"/>
          <w:sz w:val="18"/>
          <w:szCs w:val="18"/>
          <w:color w:val="auto"/>
        </w:rPr>
      </w:pPr>
    </w:p>
    <w:p>
      <w:pPr>
        <w:jc w:val="both"/>
        <w:ind w:left="1280" w:right="20" w:hanging="517"/>
        <w:spacing w:after="0" w:line="263" w:lineRule="auto"/>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partnership agreement of Medline Holdings was amended and restated to, among other things, modify its capital structure by reclassifying its interests as follows (as further described under “Organizational Structure—Reclassification and Amendment and Restatement of the Limited Partnership Agreement of Medline Holdings”):</w:t>
      </w:r>
    </w:p>
    <w:p>
      <w:pPr>
        <w:spacing w:after="0" w:line="81" w:lineRule="exact"/>
        <w:rPr>
          <w:rFonts w:ascii="Times New Roman" w:cs="Times New Roman" w:eastAsia="Times New Roman" w:hAnsi="Times New Roman"/>
          <w:sz w:val="18"/>
          <w:szCs w:val="18"/>
          <w:color w:val="auto"/>
        </w:rPr>
      </w:pPr>
    </w:p>
    <w:p>
      <w:pPr>
        <w:ind w:left="1680" w:hanging="289"/>
        <w:spacing w:after="0"/>
        <w:tabs>
          <w:tab w:leader="none" w:pos="16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Units held by Continuing Common Unitholders were converted into Common Units;</w:t>
      </w:r>
    </w:p>
    <w:p>
      <w:pPr>
        <w:spacing w:after="0" w:line="127" w:lineRule="exact"/>
        <w:rPr>
          <w:rFonts w:ascii="Times New Roman" w:cs="Times New Roman" w:eastAsia="Times New Roman" w:hAnsi="Times New Roman"/>
          <w:sz w:val="18"/>
          <w:szCs w:val="18"/>
          <w:color w:val="auto"/>
        </w:rPr>
      </w:pPr>
    </w:p>
    <w:p>
      <w:pPr>
        <w:ind w:left="1680" w:hanging="289"/>
        <w:spacing w:after="0"/>
        <w:tabs>
          <w:tab w:leader="none" w:pos="16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CUPI Units held by Continuing Common Unitholders were converted into Common Units; and</w:t>
      </w:r>
    </w:p>
    <w:p>
      <w:pPr>
        <w:spacing w:after="0" w:line="127" w:lineRule="exact"/>
        <w:rPr>
          <w:rFonts w:ascii="Times New Roman" w:cs="Times New Roman" w:eastAsia="Times New Roman" w:hAnsi="Times New Roman"/>
          <w:sz w:val="18"/>
          <w:szCs w:val="18"/>
          <w:color w:val="auto"/>
        </w:rPr>
      </w:pPr>
    </w:p>
    <w:p>
      <w:pPr>
        <w:ind w:left="1680" w:hanging="289"/>
        <w:spacing w:after="0"/>
        <w:tabs>
          <w:tab w:leader="none" w:pos="16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Units held by Continuing Incentive Unitholders were converted into Incentive Units;</w:t>
      </w:r>
    </w:p>
    <w:p>
      <w:pPr>
        <w:spacing w:after="0" w:line="127" w:lineRule="exact"/>
        <w:rPr>
          <w:rFonts w:ascii="Times New Roman" w:cs="Times New Roman" w:eastAsia="Times New Roman" w:hAnsi="Times New Roman"/>
          <w:sz w:val="18"/>
          <w:szCs w:val="18"/>
          <w:color w:val="auto"/>
        </w:rPr>
      </w:pPr>
    </w:p>
    <w:p>
      <w:pPr>
        <w:ind w:left="1280" w:right="420" w:hanging="517"/>
        <w:spacing w:after="0" w:line="278" w:lineRule="auto"/>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Common Unitholders received the number of shares of Class B common stock of Medline Inc. equivalent to the number of Common Units held by each such Continuing Common Unitholder; and</w:t>
      </w:r>
    </w:p>
    <w:p>
      <w:pPr>
        <w:spacing w:after="0" w:line="68" w:lineRule="exact"/>
        <w:rPr>
          <w:rFonts w:ascii="Times New Roman" w:cs="Times New Roman" w:eastAsia="Times New Roman" w:hAnsi="Times New Roman"/>
          <w:sz w:val="18"/>
          <w:szCs w:val="18"/>
          <w:color w:val="auto"/>
        </w:rPr>
      </w:pPr>
    </w:p>
    <w:p>
      <w:pPr>
        <w:ind w:left="1280" w:hanging="517"/>
        <w:spacing w:after="0"/>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Units, CUPI Units, and Class B Units that are not reclassified as set forth in (2) above were treated as follows:</w:t>
      </w:r>
    </w:p>
    <w:p>
      <w:pPr>
        <w:spacing w:after="0" w:line="127" w:lineRule="exact"/>
        <w:rPr>
          <w:rFonts w:ascii="Times New Roman" w:cs="Times New Roman" w:eastAsia="Times New Roman" w:hAnsi="Times New Roman"/>
          <w:sz w:val="18"/>
          <w:szCs w:val="18"/>
          <w:color w:val="auto"/>
        </w:rPr>
      </w:pPr>
    </w:p>
    <w:p>
      <w:pPr>
        <w:ind w:left="1680" w:right="280" w:hanging="289"/>
        <w:spacing w:after="0" w:line="278" w:lineRule="auto"/>
        <w:tabs>
          <w:tab w:leader="none" w:pos="16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Units held by Exchanging Class A Unitholders were directly or indirectly exchanged for shares of Class A common stock;</w:t>
      </w:r>
    </w:p>
    <w:p>
      <w:pPr>
        <w:spacing w:after="0" w:line="68" w:lineRule="exact"/>
        <w:rPr>
          <w:rFonts w:ascii="Times New Roman" w:cs="Times New Roman" w:eastAsia="Times New Roman" w:hAnsi="Times New Roman"/>
          <w:sz w:val="18"/>
          <w:szCs w:val="18"/>
          <w:color w:val="auto"/>
        </w:rPr>
      </w:pPr>
    </w:p>
    <w:p>
      <w:pPr>
        <w:ind w:left="1680" w:right="100" w:hanging="289"/>
        <w:spacing w:after="0" w:line="278" w:lineRule="auto"/>
        <w:tabs>
          <w:tab w:leader="none" w:pos="16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CUPI Units held by Exchanging CUPI Unitholders were directly or indirectly exchanged for shares of Class A common stock; and</w:t>
      </w:r>
    </w:p>
    <w:p>
      <w:pPr>
        <w:spacing w:after="0" w:line="68" w:lineRule="exact"/>
        <w:rPr>
          <w:rFonts w:ascii="Times New Roman" w:cs="Times New Roman" w:eastAsia="Times New Roman" w:hAnsi="Times New Roman"/>
          <w:sz w:val="18"/>
          <w:szCs w:val="18"/>
          <w:color w:val="auto"/>
        </w:rPr>
      </w:pPr>
    </w:p>
    <w:p>
      <w:pPr>
        <w:ind w:left="1680" w:right="140" w:hanging="289"/>
        <w:spacing w:after="0" w:line="263" w:lineRule="auto"/>
        <w:tabs>
          <w:tab w:leader="none" w:pos="16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Units held by Exchanging Class B Unitholders will be directly or indirectly exchanged for shares of Class A common stock (in the case of vested Class B Units) and/or restricted shares of Class A common stock (in the case of unvested Class B Units).</w:t>
      </w:r>
    </w:p>
    <w:p>
      <w:pPr>
        <w:spacing w:after="0" w:line="29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00"/>
          </w:cols>
          <w:pgMar w:left="320" w:top="451" w:right="7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56686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34200" cy="5668645"/>
                    </a:xfrm>
                    <a:prstGeom prst="rect">
                      <a:avLst/>
                    </a:prstGeom>
                    <a:noFill/>
                  </pic:spPr>
                </pic:pic>
              </a:graphicData>
            </a:graphic>
          </wp:anchor>
        </w:drawing>
      </w:r>
    </w:p>
    <w:p>
      <w:pPr>
        <w:spacing w:after="0" w:line="289" w:lineRule="exact"/>
        <w:rPr>
          <w:sz w:val="20"/>
          <w:szCs w:val="20"/>
          <w:color w:val="auto"/>
        </w:rPr>
      </w:pPr>
    </w:p>
    <w:p>
      <w:pPr>
        <w:ind w:left="340" w:right="20" w:firstLine="422"/>
        <w:spacing w:after="0" w:line="255" w:lineRule="auto"/>
        <w:rPr>
          <w:sz w:val="20"/>
          <w:szCs w:val="20"/>
          <w:color w:val="auto"/>
        </w:rPr>
      </w:pPr>
      <w:r>
        <w:rPr>
          <w:rFonts w:ascii="Times New Roman" w:cs="Times New Roman" w:eastAsia="Times New Roman" w:hAnsi="Times New Roman"/>
          <w:sz w:val="18"/>
          <w:szCs w:val="18"/>
          <w:color w:val="auto"/>
        </w:rPr>
        <w:t>Incentive Units received by Continuing Incentive Unitholders upon conversion of their Class B Units generally vest in equal annual installments over a period of five years from the date of grant, subject to the holder’s continued employment through the applicable vesting date. In addition, certain Incentive Units held by certain of our executive officers vest based on achievement of performance metrics tied to multiples of our Sponsors’ invested capital in Medline Holdings. See “Management—Outstanding Equity Awards at Fiscal Year End.” The Incentive Units are referred to as “Time-Vested Units” and “Performance-Vested Units” in such table.</w:t>
      </w:r>
    </w:p>
    <w:p>
      <w:pPr>
        <w:spacing w:after="0" w:line="184" w:lineRule="exact"/>
        <w:rPr>
          <w:sz w:val="20"/>
          <w:szCs w:val="20"/>
          <w:color w:val="auto"/>
        </w:rPr>
      </w:pPr>
    </w:p>
    <w:p>
      <w:pPr>
        <w:ind w:left="340" w:right="20" w:firstLine="422"/>
        <w:spacing w:after="0" w:line="251" w:lineRule="auto"/>
        <w:rPr>
          <w:sz w:val="20"/>
          <w:szCs w:val="20"/>
          <w:color w:val="auto"/>
        </w:rPr>
      </w:pPr>
      <w:r>
        <w:rPr>
          <w:rFonts w:ascii="Times New Roman" w:cs="Times New Roman" w:eastAsia="Times New Roman" w:hAnsi="Times New Roman"/>
          <w:sz w:val="18"/>
          <w:szCs w:val="18"/>
          <w:color w:val="auto"/>
        </w:rPr>
        <w:t>Subject to certain restrictions, pursuant to the terms of the amended and restated limited partnership agreement of Medline Holdings, the holders of vested Incentive Units have the right to convert their vested Incentive Units into a number of Common Units of Medline Holdings that will generally be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 Common Units received upon conversion are exchangeable on a one-for-one basis for shares of Class A common stock of Medline Inc. in accordance with the terms of the exchange agreement. An unvested Incentive Unit is not exchangeable unless and until such Incentive Unit vests. See “Certain Relationships and Related Person Transactions—Medline Holdings Amended and Restated Limited Partnership Agreement.”</w:t>
      </w:r>
    </w:p>
    <w:p>
      <w:pPr>
        <w:spacing w:after="0" w:line="192" w:lineRule="exact"/>
        <w:rPr>
          <w:sz w:val="20"/>
          <w:szCs w:val="20"/>
          <w:color w:val="auto"/>
        </w:rPr>
      </w:pPr>
    </w:p>
    <w:p>
      <w:pPr>
        <w:ind w:left="340" w:right="20" w:firstLine="422"/>
        <w:spacing w:after="0" w:line="271" w:lineRule="auto"/>
        <w:rPr>
          <w:sz w:val="20"/>
          <w:szCs w:val="20"/>
          <w:color w:val="auto"/>
        </w:rPr>
      </w:pPr>
      <w:r>
        <w:rPr>
          <w:rFonts w:ascii="Times New Roman" w:cs="Times New Roman" w:eastAsia="Times New Roman" w:hAnsi="Times New Roman"/>
          <w:sz w:val="17"/>
          <w:szCs w:val="17"/>
          <w:color w:val="auto"/>
        </w:rPr>
        <w:t>We granted options to purchase shares of Class A common stock under the Omnibus Incentive Plan (as defined herein) to certain Exchanging Class B Unitholders in substitution for a portion of the economic benefit to which the Class B Units were entitled prior to the IPO that was not reflected in the exchange of Class B Units to shares of Class A common stock. In addition, we granted restricted stock units (“RSUs”) in respect of Class A common stock to certain Exchanging Unitholders to compensate them for the loss of opportunity to participate in the tax receivable agreement in which they would have had the opportunity to participate had their units not been exchanged for shares of Class A common stock. See “Organizational Structure—Reclassification and Amendment and Restatement of the Limited Partnership Agreement of Medline Holdings.”</w:t>
      </w:r>
    </w:p>
    <w:p>
      <w:pPr>
        <w:spacing w:after="0" w:line="173" w:lineRule="exact"/>
        <w:rPr>
          <w:sz w:val="20"/>
          <w:szCs w:val="20"/>
          <w:color w:val="auto"/>
        </w:rPr>
      </w:pPr>
    </w:p>
    <w:p>
      <w:pPr>
        <w:ind w:left="340" w:firstLine="422"/>
        <w:spacing w:after="0" w:line="253" w:lineRule="auto"/>
        <w:rPr>
          <w:sz w:val="20"/>
          <w:szCs w:val="20"/>
          <w:color w:val="auto"/>
        </w:rPr>
      </w:pPr>
      <w:r>
        <w:rPr>
          <w:rFonts w:ascii="Times New Roman" w:cs="Times New Roman" w:eastAsia="Times New Roman" w:hAnsi="Times New Roman"/>
          <w:sz w:val="18"/>
          <w:szCs w:val="18"/>
          <w:color w:val="auto"/>
        </w:rPr>
        <w:t>We and the Continuing Unitholders also entered into an exchange agreement under which they (or certain permitted transferees) have the right (subject to the terms of the exchange agreement) to exchange their Common Units (including Common Units issued upon conversion of vested Incentive Units) for shares of our Class A common stock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For a description of the amended and restated limited partnership agreement of Medline Holdings and the exchange agreement, please read “Organizational Structure” and “Certain Relationships and Related Person Transactions.”</w:t>
      </w:r>
    </w:p>
    <w:p>
      <w:pPr>
        <w:spacing w:after="0" w:line="184" w:lineRule="exact"/>
        <w:rPr>
          <w:sz w:val="20"/>
          <w:szCs w:val="20"/>
          <w:color w:val="auto"/>
        </w:rPr>
      </w:pPr>
    </w:p>
    <w:p>
      <w:pPr>
        <w:ind w:left="340" w:right="140" w:firstLine="422"/>
        <w:spacing w:after="0" w:line="251" w:lineRule="auto"/>
        <w:rPr>
          <w:sz w:val="20"/>
          <w:szCs w:val="20"/>
          <w:color w:val="auto"/>
        </w:rPr>
      </w:pPr>
      <w:r>
        <w:rPr>
          <w:rFonts w:ascii="Times New Roman" w:cs="Times New Roman" w:eastAsia="Times New Roman" w:hAnsi="Times New Roman"/>
          <w:sz w:val="18"/>
          <w:szCs w:val="18"/>
          <w:color w:val="auto"/>
        </w:rPr>
        <w:t>Following the IPO, Continuing Common Unitholders held all of the outstanding shares of our Class B common stock, and, upon conversion of vested Incentive Units for Common Units, the converting holders will also receive an equivalent number of shares of Class B common stock. The shares of Class B common stock have no economic rights but entitle each holder to one vote for each share held of record on all matters to be voted on by stockholders generally, with the number of shares of Class B common stock held by each Continuing Unitholder being equivalent to the number of Common Units held by each such Continuing Unitholder. If at any time the ratio at which Common Units are exchangeable for shares of Class A common stock of Medline Inc. changes from one-for-one as described under “Certain Relationships and Related Person Transactions—Exchange Agreement,” the number of votes to which Class B common stockholders are entitled will be adjusted accordingly. Holders of shares of our Class B common stock vote together with holders of our Class A common stock as a single class on all matters on which stockholders are entitled to vote generally, except as otherwise required by law.</w:t>
      </w:r>
    </w:p>
    <w:p>
      <w:pPr>
        <w:spacing w:after="0" w:line="31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00"/>
          </w:cols>
          <w:pgMar w:left="320" w:top="451" w:right="6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52609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34200" cy="5260975"/>
                    </a:xfrm>
                    <a:prstGeom prst="rect">
                      <a:avLst/>
                    </a:prstGeom>
                    <a:noFill/>
                  </pic:spPr>
                </pic:pic>
              </a:graphicData>
            </a:graphic>
          </wp:anchor>
        </w:drawing>
      </w:r>
    </w:p>
    <w:p>
      <w:pPr>
        <w:spacing w:after="0" w:line="289" w:lineRule="exact"/>
        <w:rPr>
          <w:sz w:val="20"/>
          <w:szCs w:val="20"/>
          <w:color w:val="auto"/>
        </w:rPr>
      </w:pPr>
    </w:p>
    <w:p>
      <w:pPr>
        <w:ind w:left="340" w:firstLine="422"/>
        <w:spacing w:after="0" w:line="264" w:lineRule="auto"/>
        <w:rPr>
          <w:sz w:val="20"/>
          <w:szCs w:val="20"/>
          <w:color w:val="auto"/>
        </w:rPr>
      </w:pPr>
      <w:r>
        <w:rPr>
          <w:rFonts w:ascii="Times New Roman" w:cs="Times New Roman" w:eastAsia="Times New Roman" w:hAnsi="Times New Roman"/>
          <w:sz w:val="17"/>
          <w:szCs w:val="17"/>
          <w:color w:val="auto"/>
        </w:rPr>
        <w:t>Prior to the completion of our IPO, we entered into a tax receivable agreement with certain of our pre-IPO owners that provides for the payment by Medline Inc. to such pre-IPO owners of 90% of certain tax benefits, if any, that Medline Inc. actually realizes, or is deemed to realize (calculated using certain assumptions), as a result of (i) Medline Inc.’s allocable share of the existing tax basis in Medline Holdings’ assets acquired in our IPO,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our IPO, including the exchange of Common Units for shares of our Class A common stock by the selling stockholders in connection with this offering, (iii) Medline Inc.’s utilization of certain tax attributes (including any existing tax basis) of certain entities that are taxable as corporations for U.S. federal income tax purposes through which the Pre-IPO Stockholders hold their interests in Medline Holdings prior to the Offering Transactions (the “Blocker Companies”), which Medline Inc. acquired in connection with our IPO as described under “Organizational Structure—Blocker Transfers,” and (iv) certain other tax benefits related to entering into the tax receivable agreement, including tax benefits attributable to payments under the tax receivable agreement. This payment obligation is an obligation of Medline Inc. and not of Medline Holdings. Payments under the tax receivable agreement are generally due annually five business days following finalization of a schedule showing the relevant tax benefit calculations that is required to be delivered by Medline Inc. within 120 calendar days following the due date (including extensions) of its U.S. corporation income tax return, and interest on such payments will accrue from the due date (without extensions) of such tax return. The term of the tax receivable agreement will continue until all such tax benefits have been utilized or expired, and payments thereunder are not conditioned upon continued ownership of us by the pre-IPO owners. Assuming: (i) a price of $        per share of our Class A common stock (the public trading price on         , 2026); (ii) a constant corporate tax rate of       %; (iii) we will have sufficient taxable income to fully utilize the tax benefits; and (iv) no material changes in tax law, if the Continuing Unitholders were to exchange all of the Common Units that they will hold immediately following our IPO and this offering, and, assuming all Incentive Units are converted to Common Units and subsequently exchanged for shares of Class A common stock at a price of $        per share of Class A common stock, we estimate that we would, as a result of the Reorganization Transactions, the IPO Transactions, and this offering and such hypothetical exchange, record a deferred tax asset of approximately $        million and that the aggregate noncurrent liability we would record based on our estimate of the aggregate amount that Medline Inc. would pay under the tax receivable agreement is approximately $        million, generally payable over a 15-year period. These amounts are estimates and have been prepared for informational purposes only. The actual amount of deferred tax assets and related noncurrent liabilities that we will recognize as a result of any such future exchanges will differ based on, among other things: (i) the amount and timing of future exchanges of Common Units (including Common Units issued upon conversion of vested Incentive Units) by Continuing Unitholders, and the extent to which such exchanges are taxable; (ii) the price per share of our Class A common stock at the time of the exchanges;</w:t>
      </w:r>
    </w:p>
    <w:p>
      <w:pPr>
        <w:spacing w:after="0" w:line="206" w:lineRule="exact"/>
        <w:rPr>
          <w:sz w:val="20"/>
          <w:szCs w:val="20"/>
          <w:color w:val="auto"/>
        </w:rPr>
      </w:pPr>
    </w:p>
    <w:p>
      <w:pPr>
        <w:ind w:left="340" w:right="60" w:firstLine="8"/>
        <w:spacing w:after="0" w:line="256" w:lineRule="auto"/>
        <w:tabs>
          <w:tab w:leader="none" w:pos="6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future income against which to offset the tax benefits; and (iv) the tax rates then in effect. See “Certain Relationships and Related Person Transactions—Tax Receivable Agreement.”</w:t>
      </w:r>
    </w:p>
    <w:p>
      <w:pPr>
        <w:spacing w:after="0" w:line="182" w:lineRule="exact"/>
        <w:rPr>
          <w:sz w:val="20"/>
          <w:szCs w:val="20"/>
          <w:color w:val="auto"/>
        </w:rPr>
      </w:pPr>
    </w:p>
    <w:p>
      <w:pPr>
        <w:ind w:left="340" w:right="100" w:firstLine="422"/>
        <w:spacing w:after="0" w:line="253" w:lineRule="auto"/>
        <w:rPr>
          <w:sz w:val="20"/>
          <w:szCs w:val="20"/>
          <w:color w:val="auto"/>
        </w:rPr>
      </w:pPr>
      <w:r>
        <w:rPr>
          <w:rFonts w:ascii="Times New Roman" w:cs="Times New Roman" w:eastAsia="Times New Roman" w:hAnsi="Times New Roman"/>
          <w:sz w:val="18"/>
          <w:szCs w:val="18"/>
          <w:color w:val="auto"/>
        </w:rPr>
        <w:t>Our organizational structure, as described above, is commonly referred to as an umbrella partnership-C-corporation (“UP-C”) structure. This organizational structure allows the Continuing Unitholders to retain their equity ownership in Medline Holdings, an entity that is classified as a partnership for U.S. federal income tax purposes, in the form of Units. Investors in the IPO and this offering, the Pre-IPO Stockholders, and the Exchanging Unitholders, by contrast, hold their equity ownership in Medline Inc., a Delaware corporation that is a domestic corporation for U.S. federal income tax purposes, in the form of shares of Class A common stock. We believe that the Continuing Unitholders generally find it advantageous to continue to hold their equity interests in an entity that is not taxable as a corporation for U.S. federal income tax purposes. We do not believe that our UP-C organizational structure gives rise to any significant business or strategic benefit or detriment to us.</w:t>
      </w:r>
    </w:p>
    <w:p>
      <w:pPr>
        <w:spacing w:after="0" w:line="30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00"/>
          </w:cols>
          <w:pgMar w:left="320" w:top="451" w:right="6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64331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34200" cy="6433185"/>
                    </a:xfrm>
                    <a:prstGeom prst="rect">
                      <a:avLst/>
                    </a:prstGeom>
                    <a:noFill/>
                  </pic:spPr>
                </pic:pic>
              </a:graphicData>
            </a:graphic>
          </wp:anchor>
        </w:drawing>
      </w:r>
    </w:p>
    <w:p>
      <w:pPr>
        <w:spacing w:after="0" w:line="289" w:lineRule="exact"/>
        <w:rPr>
          <w:sz w:val="20"/>
          <w:szCs w:val="20"/>
          <w:color w:val="auto"/>
        </w:rPr>
      </w:pPr>
    </w:p>
    <w:p>
      <w:pPr>
        <w:ind w:left="340" w:right="20" w:firstLine="422"/>
        <w:spacing w:after="0" w:line="255" w:lineRule="auto"/>
        <w:rPr>
          <w:sz w:val="20"/>
          <w:szCs w:val="20"/>
          <w:color w:val="auto"/>
        </w:rPr>
      </w:pPr>
      <w:r>
        <w:rPr>
          <w:rFonts w:ascii="Times New Roman" w:cs="Times New Roman" w:eastAsia="Times New Roman" w:hAnsi="Times New Roman"/>
          <w:sz w:val="18"/>
          <w:szCs w:val="18"/>
          <w:color w:val="auto"/>
        </w:rPr>
        <w:t>The Reorganization Transactions lacked economic substance and therefore were accounted for in a manner consistent with a reorganization of entities under common control. As a result, the consolidated financial statements of Medline Inc. recognize the assets and liabilities received in the reorganization at their historical carrying amounts, as reflected in the historical consolidated financial statements of Medline Holdings. Medline Inc. consolidates Medline Holdings in its consolidated financial statements and records a non-controlling interest related to the Units held by the Continuing Unitholders on its consolidated balance sheet and statement of income.</w:t>
      </w:r>
    </w:p>
    <w:p>
      <w:pPr>
        <w:spacing w:after="0" w:line="184" w:lineRule="exact"/>
        <w:rPr>
          <w:sz w:val="20"/>
          <w:szCs w:val="20"/>
          <w:color w:val="auto"/>
        </w:rPr>
      </w:pPr>
    </w:p>
    <w:p>
      <w:pPr>
        <w:ind w:left="340" w:right="400" w:firstLine="422"/>
        <w:spacing w:after="0" w:line="278" w:lineRule="auto"/>
        <w:rPr>
          <w:sz w:val="20"/>
          <w:szCs w:val="20"/>
          <w:color w:val="auto"/>
        </w:rPr>
      </w:pPr>
      <w:r>
        <w:rPr>
          <w:rFonts w:ascii="Times New Roman" w:cs="Times New Roman" w:eastAsia="Times New Roman" w:hAnsi="Times New Roman"/>
          <w:sz w:val="18"/>
          <w:szCs w:val="18"/>
          <w:color w:val="auto"/>
        </w:rPr>
        <w:t>The simplified diagram below depicts our organizational structure immediately after our IPO and this offering, after giving effect to this offering. For additional detail, see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i w:val="1"/>
          <w:iCs w:val="1"/>
          <w:color w:val="auto"/>
        </w:rPr>
        <w:t>Note: Certain intermediate holding companies that are not material to this offering have been omitted from the structure chart.</w:t>
      </w:r>
    </w:p>
    <w:p>
      <w:pPr>
        <w:spacing w:after="0" w:line="108" w:lineRule="exact"/>
        <w:rPr>
          <w:sz w:val="20"/>
          <w:szCs w:val="20"/>
          <w:color w:val="auto"/>
        </w:rPr>
      </w:pPr>
    </w:p>
    <w:p>
      <w:pPr>
        <w:ind w:left="760" w:right="260" w:hanging="412"/>
        <w:spacing w:after="0" w:line="231" w:lineRule="auto"/>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our Class A common stock and Class B common stock entitles its holder to one vote on all matters to be voted on by the stockholders generally. For additional information, see “Description of Capital Stock—Common Stock.”</w:t>
      </w:r>
    </w:p>
    <w:tbl>
      <w:tblPr>
        <w:tblLayout w:type="fixed"/>
        <w:tblInd w:w="340" w:type="dxa"/>
        <w:tblCellMar>
          <w:top w:w="0" w:type="dxa"/>
          <w:left w:w="0" w:type="dxa"/>
          <w:bottom w:w="0" w:type="dxa"/>
          <w:right w:w="0" w:type="dxa"/>
        </w:tblCellMar>
      </w:tblPr>
      <w:tr>
        <w:trPr>
          <w:trHeight w:val="131"/>
        </w:trPr>
        <w:tc>
          <w:tcPr>
            <w:tcW w:w="300" w:type="dxa"/>
            <w:vAlign w:val="bottom"/>
          </w:tcPr>
          <w:p>
            <w:pPr>
              <w:jc w:val="right"/>
              <w:ind w:right="49"/>
              <w:spacing w:after="0" w:line="131" w:lineRule="exact"/>
              <w:rPr>
                <w:sz w:val="20"/>
                <w:szCs w:val="20"/>
                <w:color w:val="auto"/>
              </w:rPr>
            </w:pPr>
            <w:r>
              <w:rPr>
                <w:rFonts w:ascii="Times New Roman" w:cs="Times New Roman" w:eastAsia="Times New Roman" w:hAnsi="Times New Roman"/>
                <w:sz w:val="14"/>
                <w:szCs w:val="14"/>
                <w:color w:val="auto"/>
                <w:w w:val="97"/>
              </w:rPr>
              <w:t>(2)</w:t>
            </w:r>
          </w:p>
        </w:tc>
        <w:tc>
          <w:tcPr>
            <w:tcW w:w="10240" w:type="dxa"/>
            <w:vAlign w:val="bottom"/>
          </w:tcPr>
          <w:p>
            <w:pPr>
              <w:ind w:left="120"/>
              <w:spacing w:after="0" w:line="131" w:lineRule="exact"/>
              <w:rPr>
                <w:sz w:val="20"/>
                <w:szCs w:val="20"/>
                <w:color w:val="auto"/>
              </w:rPr>
            </w:pPr>
            <w:r>
              <w:rPr>
                <w:rFonts w:ascii="Times New Roman" w:cs="Times New Roman" w:eastAsia="Times New Roman" w:hAnsi="Times New Roman"/>
                <w:sz w:val="14"/>
                <w:szCs w:val="14"/>
                <w:color w:val="auto"/>
              </w:rPr>
              <w:t>As of             , 2026 (assuming the $            closing price per share of our Class A common stock on such date),            shares of Class A common stock would be issuable</w:t>
            </w:r>
          </w:p>
        </w:tc>
      </w:tr>
      <w:tr>
        <w:trPr>
          <w:trHeight w:val="147"/>
        </w:trPr>
        <w:tc>
          <w:tcPr>
            <w:tcW w:w="300" w:type="dxa"/>
            <w:vAlign w:val="bottom"/>
          </w:tcPr>
          <w:p>
            <w:pPr>
              <w:spacing w:after="0"/>
              <w:rPr>
                <w:sz w:val="12"/>
                <w:szCs w:val="12"/>
                <w:color w:val="auto"/>
              </w:rPr>
            </w:pPr>
          </w:p>
        </w:tc>
        <w:tc>
          <w:tcPr>
            <w:tcW w:w="1024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upon the exchange of an equivalent number of Common Units into which Incentive Units held by the Continuing Incentive Unitholders may be converted (assuming such</w:t>
            </w:r>
          </w:p>
        </w:tc>
      </w:tr>
      <w:tr>
        <w:trPr>
          <w:trHeight w:val="147"/>
        </w:trPr>
        <w:tc>
          <w:tcPr>
            <w:tcW w:w="300" w:type="dxa"/>
            <w:vAlign w:val="bottom"/>
          </w:tcPr>
          <w:p>
            <w:pPr>
              <w:spacing w:after="0"/>
              <w:rPr>
                <w:sz w:val="12"/>
                <w:szCs w:val="12"/>
                <w:color w:val="auto"/>
              </w:rPr>
            </w:pPr>
          </w:p>
        </w:tc>
        <w:tc>
          <w:tcPr>
            <w:tcW w:w="1024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Incentive Units are fully vested and converted to Common Units). For additional information, see “Organizational Structure—Reclassification and Amendment and Restatement</w:t>
            </w:r>
          </w:p>
        </w:tc>
      </w:tr>
      <w:tr>
        <w:trPr>
          <w:trHeight w:val="147"/>
        </w:trPr>
        <w:tc>
          <w:tcPr>
            <w:tcW w:w="300" w:type="dxa"/>
            <w:vAlign w:val="bottom"/>
          </w:tcPr>
          <w:p>
            <w:pPr>
              <w:spacing w:after="0"/>
              <w:rPr>
                <w:sz w:val="12"/>
                <w:szCs w:val="12"/>
                <w:color w:val="auto"/>
              </w:rPr>
            </w:pPr>
          </w:p>
        </w:tc>
        <w:tc>
          <w:tcPr>
            <w:tcW w:w="1024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of the Limited Partnership Agreement of Medline Holdings” and “Certain Relationships and Related Person Transactions—Medline Holdings Amended and Restated Limited</w:t>
            </w:r>
          </w:p>
        </w:tc>
      </w:tr>
      <w:tr>
        <w:trPr>
          <w:trHeight w:val="185"/>
        </w:trPr>
        <w:tc>
          <w:tcPr>
            <w:tcW w:w="300" w:type="dxa"/>
            <w:vAlign w:val="bottom"/>
          </w:tcPr>
          <w:p>
            <w:pPr>
              <w:spacing w:after="0"/>
              <w:rPr>
                <w:sz w:val="16"/>
                <w:szCs w:val="16"/>
                <w:color w:val="auto"/>
              </w:rPr>
            </w:pPr>
          </w:p>
        </w:tc>
        <w:tc>
          <w:tcPr>
            <w:tcW w:w="10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Partnership Agreement.”</w:t>
            </w:r>
          </w:p>
        </w:tc>
      </w:tr>
    </w:tbl>
    <w:p>
      <w:pPr>
        <w:spacing w:after="0" w:line="180" w:lineRule="exact"/>
        <w:rPr>
          <w:sz w:val="20"/>
          <w:szCs w:val="20"/>
          <w:color w:val="auto"/>
        </w:rPr>
      </w:pPr>
    </w:p>
    <w:p>
      <w:pPr>
        <w:ind w:left="340" w:right="60" w:firstLine="422"/>
        <w:spacing w:after="0" w:line="255" w:lineRule="auto"/>
        <w:rPr>
          <w:sz w:val="20"/>
          <w:szCs w:val="20"/>
          <w:color w:val="auto"/>
        </w:rPr>
      </w:pPr>
      <w:r>
        <w:rPr>
          <w:rFonts w:ascii="Times New Roman" w:cs="Times New Roman" w:eastAsia="Times New Roman" w:hAnsi="Times New Roman"/>
          <w:sz w:val="18"/>
          <w:szCs w:val="18"/>
          <w:color w:val="auto"/>
        </w:rPr>
        <w:t>After consummation of the Reorganization Transactions and immediately prior to our IPO, our pre-IPO owners held shares and interests that may be exchanged or settled for an aggregate of 1,153,325,829 shares of Class A common stock, which we refer to as the “diluted pre-IPO shares outstanding,” consisting of (i) issued and outstanding shares of Class A common stock held by our Pre-IPO Stockholders and Exchanging Unitholders; (ii) shares of Class A common stock issuable on a one-for-one basis in exchange for Common Units held by our Continuing Common Unitholders; (iii) shares of Class A common stock issuable on a one-for-one basis in</w:t>
      </w:r>
    </w:p>
    <w:p>
      <w:pPr>
        <w:spacing w:after="0" w:line="29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80"/>
          </w:cols>
          <w:pgMar w:left="320" w:top="451" w:right="6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4471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34200" cy="4471035"/>
                    </a:xfrm>
                    <a:prstGeom prst="rect">
                      <a:avLst/>
                    </a:prstGeom>
                    <a:noFill/>
                  </pic:spPr>
                </pic:pic>
              </a:graphicData>
            </a:graphic>
          </wp:anchor>
        </w:drawing>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exchange for Common Units into which outstanding Incentive Units that are held by the Continuing Incentive Unitholders may be converted;</w:t>
      </w:r>
    </w:p>
    <w:p>
      <w:pPr>
        <w:spacing w:after="0" w:line="26" w:lineRule="exact"/>
        <w:rPr>
          <w:sz w:val="20"/>
          <w:szCs w:val="20"/>
          <w:color w:val="auto"/>
        </w:rPr>
      </w:pPr>
    </w:p>
    <w:p>
      <w:pPr>
        <w:ind w:left="340" w:right="80" w:firstLine="8"/>
        <w:spacing w:after="0" w:line="267" w:lineRule="auto"/>
        <w:tabs>
          <w:tab w:leader="none" w:pos="642"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Class A common stock in respect of RSUs granted to certain Exchanging Unitholders to compensate them for the loss of the opportunity to participate in the tax receivable agreement; (v) shares of Class A common stock underlying RSUs held by certain independent non-employee members of our board of directors with respect to RSUs covering Class A Units; and (vi) shares of Class A common stock underlying RSUs having a value of $300,000 based on the initial public offering price per share of Class A common stock in our IPO granted to an independent non-employee member of our board of directors upon appointment to the board of directors in connection with our IPO. The table below sets forth the relative ownership of the diluted pre-IPO shares that were outstanding among our pre-IPO owners at the time of our IPO.</w:t>
      </w:r>
    </w:p>
    <w:p>
      <w:pPr>
        <w:spacing w:after="0" w:line="219" w:lineRule="exact"/>
        <w:rPr>
          <w:sz w:val="20"/>
          <w:szCs w:val="20"/>
          <w:color w:val="auto"/>
        </w:rPr>
      </w:pPr>
    </w:p>
    <w:tbl>
      <w:tblPr>
        <w:tblLayout w:type="fixed"/>
        <w:tblInd w:w="36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Class A common stock held by Pre-IPO Stockholders and Exchanging Unitholders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607,521,662</w:t>
            </w:r>
          </w:p>
        </w:tc>
        <w:tc>
          <w:tcPr>
            <w:tcW w:w="8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Shares of Class A common stock issuable upon exchange of Common Units held by our Continuing Common Unitholders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527,195,560</w:t>
            </w:r>
          </w:p>
        </w:tc>
        <w:tc>
          <w:tcPr>
            <w:tcW w:w="8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91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Shares of Class A common stock issuable upon exchange of as-converted Incentive Units held by Continuing Incentive</w:t>
            </w: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2"/>
        </w:trPr>
        <w:tc>
          <w:tcPr>
            <w:tcW w:w="20" w:type="dxa"/>
            <w:vAlign w:val="bottom"/>
          </w:tcPr>
          <w:p>
            <w:pPr>
              <w:spacing w:after="0"/>
              <w:rPr>
                <w:sz w:val="20"/>
                <w:szCs w:val="20"/>
                <w:color w:val="auto"/>
              </w:rPr>
            </w:pPr>
          </w:p>
        </w:tc>
        <w:tc>
          <w:tcPr>
            <w:tcW w:w="9120" w:type="dxa"/>
            <w:vAlign w:val="bottom"/>
            <w:shd w:val="clear" w:color="auto" w:fill="CCEEFF"/>
          </w:tcPr>
          <w:p>
            <w:pPr>
              <w:ind w:left="160"/>
              <w:spacing w:after="0" w:line="232" w:lineRule="exact"/>
              <w:rPr>
                <w:sz w:val="20"/>
                <w:szCs w:val="20"/>
                <w:color w:val="auto"/>
              </w:rPr>
            </w:pPr>
            <w:r>
              <w:rPr>
                <w:rFonts w:ascii="Times New Roman" w:cs="Times New Roman" w:eastAsia="Times New Roman" w:hAnsi="Times New Roman"/>
                <w:sz w:val="18"/>
                <w:szCs w:val="18"/>
                <w:color w:val="auto"/>
              </w:rPr>
              <w:t>Unitholders</w:t>
            </w:r>
            <w:r>
              <w:rPr>
                <w:rFonts w:ascii="Times New Roman" w:cs="Times New Roman" w:eastAsia="Times New Roman" w:hAnsi="Times New Roman"/>
                <w:sz w:val="26"/>
                <w:szCs w:val="26"/>
                <w:color w:val="auto"/>
                <w:vertAlign w:val="superscript"/>
              </w:rPr>
              <w:t>(1)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18,084,823</w:t>
            </w:r>
          </w:p>
        </w:tc>
        <w:tc>
          <w:tcPr>
            <w:tcW w:w="80" w:type="dxa"/>
            <w:vAlign w:val="bottom"/>
            <w:shd w:val="clear" w:color="auto" w:fill="CCEEFF"/>
          </w:tcPr>
          <w:p>
            <w:pPr>
              <w:spacing w:after="0"/>
              <w:rPr>
                <w:sz w:val="20"/>
                <w:szCs w:val="20"/>
                <w:color w:val="auto"/>
              </w:rPr>
            </w:pPr>
          </w:p>
        </w:tc>
      </w:tr>
      <w:tr>
        <w:trPr>
          <w:trHeight w:val="214"/>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Shares of Class A common stock in respect of RSUs granted to certain Exchanging Unitholders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490,021</w:t>
            </w:r>
          </w:p>
        </w:tc>
        <w:tc>
          <w:tcPr>
            <w:tcW w:w="8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91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Shares of Class A common stock with respect to RSUs held by certain independent non-employee members of our board of</w:t>
            </w: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2"/>
        </w:trPr>
        <w:tc>
          <w:tcPr>
            <w:tcW w:w="20" w:type="dxa"/>
            <w:vAlign w:val="bottom"/>
          </w:tcPr>
          <w:p>
            <w:pPr>
              <w:spacing w:after="0"/>
              <w:rPr>
                <w:sz w:val="20"/>
                <w:szCs w:val="20"/>
                <w:color w:val="auto"/>
              </w:rPr>
            </w:pPr>
          </w:p>
        </w:tc>
        <w:tc>
          <w:tcPr>
            <w:tcW w:w="9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23,418</w:t>
            </w:r>
          </w:p>
        </w:tc>
        <w:tc>
          <w:tcPr>
            <w:tcW w:w="80" w:type="dxa"/>
            <w:vAlign w:val="bottom"/>
            <w:shd w:val="clear" w:color="auto" w:fill="CCEEFF"/>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91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Shares of Class A common stock with respect to RSUs granted to an independent non-employee member of our board of</w:t>
            </w: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9"/>
        </w:trPr>
        <w:tc>
          <w:tcPr>
            <w:tcW w:w="20" w:type="dxa"/>
            <w:vAlign w:val="bottom"/>
          </w:tcPr>
          <w:p>
            <w:pPr>
              <w:spacing w:after="0"/>
              <w:rPr>
                <w:sz w:val="20"/>
                <w:szCs w:val="20"/>
                <w:color w:val="auto"/>
              </w:rPr>
            </w:pP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directors upon appointment to our board of directors in connection with our IPO</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10,345</w:t>
            </w:r>
          </w:p>
        </w:tc>
        <w:tc>
          <w:tcPr>
            <w:tcW w:w="80" w:type="dxa"/>
            <w:vAlign w:val="bottom"/>
          </w:tcPr>
          <w:p>
            <w:pPr>
              <w:spacing w:after="0"/>
              <w:rPr>
                <w:sz w:val="20"/>
                <w:szCs w:val="20"/>
                <w:color w:val="auto"/>
              </w:rPr>
            </w:pPr>
          </w:p>
        </w:tc>
      </w:tr>
      <w:tr>
        <w:trPr>
          <w:trHeight w:val="214"/>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1,153,325,829</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8" w:lineRule="exact"/>
        <w:rPr>
          <w:sz w:val="20"/>
          <w:szCs w:val="20"/>
          <w:color w:val="auto"/>
        </w:rPr>
      </w:pPr>
    </w:p>
    <w:p>
      <w:pPr>
        <w:ind w:left="760" w:hanging="412"/>
        <w:spacing w:after="0"/>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Incentive Unitholders held an aggregate of 42,197,933 participating Incentive Units with a weighted-average participation threshold of $16.57 per Incentive Unit.</w:t>
      </w:r>
    </w:p>
    <w:p>
      <w:pPr>
        <w:spacing w:after="0" w:line="20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diluted pre-IPO shares outstanding presented in the foregoing table do not reflect shares of Class A common stock issuable:</w:t>
      </w:r>
    </w:p>
    <w:p>
      <w:pPr>
        <w:spacing w:after="0" w:line="127" w:lineRule="exact"/>
        <w:rPr>
          <w:sz w:val="20"/>
          <w:szCs w:val="20"/>
          <w:color w:val="auto"/>
        </w:rPr>
      </w:pPr>
    </w:p>
    <w:p>
      <w:pPr>
        <w:jc w:val="both"/>
        <w:ind w:left="1280" w:right="160" w:hanging="410"/>
        <w:spacing w:after="0" w:line="285" w:lineRule="auto"/>
        <w:tabs>
          <w:tab w:leader="none" w:pos="12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exercise of stock options to purchase 6,770,442 shares of Class A common stock. These stock options had an exercise price per share that is equal to or greater than the initial public offering price per share of Class A common stock in our IPO, and the shares of Class A common stock underlying such options are not reflected in the foregoing table because they were not “in the money”; or</w:t>
      </w:r>
    </w:p>
    <w:p>
      <w:pPr>
        <w:spacing w:after="0" w:line="65" w:lineRule="exact"/>
        <w:rPr>
          <w:rFonts w:ascii="Times New Roman" w:cs="Times New Roman" w:eastAsia="Times New Roman" w:hAnsi="Times New Roman"/>
          <w:sz w:val="17"/>
          <w:szCs w:val="17"/>
          <w:color w:val="auto"/>
        </w:rPr>
      </w:pPr>
    </w:p>
    <w:p>
      <w:pPr>
        <w:ind w:left="1280" w:right="180" w:hanging="410"/>
        <w:spacing w:after="0" w:line="255" w:lineRule="auto"/>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grants that may be made to certain employees on or near April 1, 2026 upon fulfillment of certain performance conditions pursuant to awards classified as a liability until the official grant date. As of September 27, 2025, the total fair value of these awards probable to be issued was $15 million. Shares of Class A common stock underlying such future grants are not reflected in the foregoing table because they will not be granted until on or near April 1, 2026. See “Note 12—Stock-Based Compensation— Liability-classified units” of our unaudited condensed consolidated financial statements.</w:t>
      </w:r>
    </w:p>
    <w:p>
      <w:pPr>
        <w:spacing w:after="0" w:line="3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00"/>
          </w:cols>
          <w:pgMar w:left="320" w:top="451" w:right="6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56515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34200" cy="5651500"/>
                    </a:xfrm>
                    <a:prstGeom prst="rect">
                      <a:avLst/>
                    </a:prstGeom>
                    <a:noFill/>
                  </pic:spPr>
                </pic:pic>
              </a:graphicData>
            </a:graphic>
          </wp:anchor>
        </w:drawing>
      </w:r>
    </w:p>
    <w:p>
      <w:pPr>
        <w:spacing w:after="0" w:line="28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Investment Risks</w:t>
      </w:r>
    </w:p>
    <w:p>
      <w:pPr>
        <w:spacing w:after="0" w:line="225" w:lineRule="exact"/>
        <w:rPr>
          <w:sz w:val="20"/>
          <w:szCs w:val="20"/>
          <w:color w:val="auto"/>
        </w:rPr>
      </w:pPr>
    </w:p>
    <w:p>
      <w:pPr>
        <w:ind w:left="340" w:right="40" w:firstLine="422"/>
        <w:spacing w:after="0" w:line="263" w:lineRule="auto"/>
        <w:rPr>
          <w:sz w:val="20"/>
          <w:szCs w:val="20"/>
          <w:color w:val="auto"/>
        </w:rPr>
      </w:pPr>
      <w:r>
        <w:rPr>
          <w:rFonts w:ascii="Times New Roman" w:cs="Times New Roman" w:eastAsia="Times New Roman" w:hAnsi="Times New Roman"/>
          <w:sz w:val="18"/>
          <w:szCs w:val="18"/>
          <w:color w:val="auto"/>
        </w:rPr>
        <w:t>An investment in shares of our Class A common stock involves substantial risks and uncertainties that may materially adversely affect our business, financial condition, and results of operations and cash flows. Some of the more significant challenges and risks relating to an investment in our company include, among other things, the following:</w:t>
      </w:r>
    </w:p>
    <w:p>
      <w:pPr>
        <w:spacing w:after="0" w:line="82" w:lineRule="exact"/>
        <w:rPr>
          <w:sz w:val="20"/>
          <w:szCs w:val="20"/>
          <w:color w:val="auto"/>
        </w:rPr>
      </w:pPr>
    </w:p>
    <w:p>
      <w:pPr>
        <w:ind w:left="1280" w:right="340" w:hanging="410"/>
        <w:spacing w:after="0" w:line="278" w:lineRule="auto"/>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the proper function, security and availability of our information technology systems and data, as well as those of third parties throughout our global supply chain, to operate our business.</w:t>
      </w:r>
    </w:p>
    <w:p>
      <w:pPr>
        <w:spacing w:after="0" w:line="68" w:lineRule="exact"/>
        <w:rPr>
          <w:rFonts w:ascii="Times New Roman" w:cs="Times New Roman" w:eastAsia="Times New Roman" w:hAnsi="Times New Roman"/>
          <w:sz w:val="18"/>
          <w:szCs w:val="18"/>
          <w:color w:val="auto"/>
        </w:rPr>
      </w:pPr>
    </w:p>
    <w:p>
      <w:pPr>
        <w:ind w:left="1280" w:right="520" w:hanging="410"/>
        <w:spacing w:after="0" w:line="278" w:lineRule="auto"/>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global operations are subject to inherent risks that could materially adversely affect our business, results of operations and financial condition.</w:t>
      </w:r>
    </w:p>
    <w:p>
      <w:pPr>
        <w:spacing w:after="0" w:line="68" w:lineRule="exact"/>
        <w:rPr>
          <w:rFonts w:ascii="Times New Roman" w:cs="Times New Roman" w:eastAsia="Times New Roman" w:hAnsi="Times New Roman"/>
          <w:sz w:val="18"/>
          <w:szCs w:val="18"/>
          <w:color w:val="auto"/>
        </w:rPr>
      </w:pPr>
    </w:p>
    <w:p>
      <w:pPr>
        <w:ind w:left="1280" w:right="540" w:hanging="410"/>
        <w:spacing w:after="0" w:line="308" w:lineRule="auto"/>
        <w:tabs>
          <w:tab w:leader="none" w:pos="12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extensive and complex laws and governmental regulations and any adverse regulatory action may materially adversely affect our business, results of operations and financial condition both inside and outside the United States.</w:t>
      </w:r>
    </w:p>
    <w:p>
      <w:pPr>
        <w:spacing w:after="0" w:line="46" w:lineRule="exact"/>
        <w:rPr>
          <w:rFonts w:ascii="Times New Roman" w:cs="Times New Roman" w:eastAsia="Times New Roman" w:hAnsi="Times New Roman"/>
          <w:sz w:val="17"/>
          <w:szCs w:val="17"/>
          <w:color w:val="auto"/>
        </w:rPr>
      </w:pPr>
    </w:p>
    <w:p>
      <w:pPr>
        <w:ind w:left="1280" w:right="780" w:hanging="410"/>
        <w:spacing w:after="0" w:line="278" w:lineRule="auto"/>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environmental, health and safety requirements, and our operations involve hazardous and other environmentally sensitive substances.</w:t>
      </w:r>
    </w:p>
    <w:p>
      <w:pPr>
        <w:spacing w:after="0" w:line="68" w:lineRule="exact"/>
        <w:rPr>
          <w:rFonts w:ascii="Times New Roman" w:cs="Times New Roman" w:eastAsia="Times New Roman" w:hAnsi="Times New Roman"/>
          <w:sz w:val="18"/>
          <w:szCs w:val="18"/>
          <w:color w:val="auto"/>
        </w:rPr>
      </w:pPr>
    </w:p>
    <w:p>
      <w:pPr>
        <w:ind w:left="1280" w:right="580" w:hanging="410"/>
        <w:spacing w:after="0" w:line="278" w:lineRule="auto"/>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derive fully the anticipated benefits from our existing or future acquisitions, joint ventures, investments, dispositions, or other strategic transactions.</w:t>
      </w:r>
    </w:p>
    <w:p>
      <w:pPr>
        <w:spacing w:after="0" w:line="68"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the healthcare industry could have an adverse effect on our business, results of operations and financial condition.</w:t>
      </w:r>
    </w:p>
    <w:p>
      <w:pPr>
        <w:spacing w:after="0" w:line="127"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could have a significant impact on our results of operations.</w:t>
      </w:r>
    </w:p>
    <w:p>
      <w:pPr>
        <w:spacing w:after="0" w:line="127"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profitability and cash flows may be adversely affected by inflationary pressures.</w:t>
      </w:r>
    </w:p>
    <w:p>
      <w:pPr>
        <w:spacing w:after="0" w:line="127" w:lineRule="exact"/>
        <w:rPr>
          <w:rFonts w:ascii="Times New Roman" w:cs="Times New Roman" w:eastAsia="Times New Roman" w:hAnsi="Times New Roman"/>
          <w:sz w:val="18"/>
          <w:szCs w:val="18"/>
          <w:color w:val="auto"/>
        </w:rPr>
      </w:pPr>
    </w:p>
    <w:p>
      <w:pPr>
        <w:ind w:left="1280" w:right="340" w:hanging="410"/>
        <w:spacing w:after="0" w:line="278" w:lineRule="auto"/>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global and domestic macro-economic and political conditions could materially adversely affect our business, results of operations and financial condition.</w:t>
      </w:r>
    </w:p>
    <w:p>
      <w:pPr>
        <w:spacing w:after="0" w:line="68"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industry, with accelerating pricing pressure and changes in technology.</w:t>
      </w:r>
    </w:p>
    <w:p>
      <w:pPr>
        <w:spacing w:after="0" w:line="127" w:lineRule="exact"/>
        <w:rPr>
          <w:rFonts w:ascii="Times New Roman" w:cs="Times New Roman" w:eastAsia="Times New Roman" w:hAnsi="Times New Roman"/>
          <w:sz w:val="18"/>
          <w:szCs w:val="18"/>
          <w:color w:val="auto"/>
        </w:rPr>
      </w:pPr>
    </w:p>
    <w:p>
      <w:pPr>
        <w:ind w:left="1280" w:right="80" w:hanging="410"/>
        <w:spacing w:after="0" w:line="278" w:lineRule="auto"/>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comply with anti-corruption laws or trade restrictions, including economic sanctions, could materially adversely affect our business, results of operations and financial condition and result in civil and/or criminal penalties.</w:t>
      </w:r>
    </w:p>
    <w:p>
      <w:pPr>
        <w:spacing w:after="0" w:line="68"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attract, develop and retain key employees.</w:t>
      </w:r>
    </w:p>
    <w:p>
      <w:pPr>
        <w:spacing w:after="0" w:line="127" w:lineRule="exact"/>
        <w:rPr>
          <w:rFonts w:ascii="Times New Roman" w:cs="Times New Roman" w:eastAsia="Times New Roman" w:hAnsi="Times New Roman"/>
          <w:sz w:val="18"/>
          <w:szCs w:val="18"/>
          <w:color w:val="auto"/>
        </w:rPr>
      </w:pPr>
    </w:p>
    <w:p>
      <w:pPr>
        <w:jc w:val="both"/>
        <w:ind w:left="1280" w:right="140" w:hanging="410"/>
        <w:spacing w:after="0" w:line="263" w:lineRule="auto"/>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 could adversely affect our financial condition, our ability to operate our business or react to changes in the economy or our industry, prevent us from fulfilling our obligations under our debts and divert our cash flow from operations for debt payments.</w:t>
      </w:r>
    </w:p>
    <w:p>
      <w:pPr>
        <w:spacing w:after="0" w:line="81" w:lineRule="exact"/>
        <w:rPr>
          <w:rFonts w:ascii="Times New Roman" w:cs="Times New Roman" w:eastAsia="Times New Roman" w:hAnsi="Times New Roman"/>
          <w:sz w:val="18"/>
          <w:szCs w:val="18"/>
          <w:color w:val="auto"/>
        </w:rPr>
      </w:pPr>
    </w:p>
    <w:p>
      <w:pPr>
        <w:ind w:left="1280" w:right="20" w:hanging="410"/>
        <w:spacing w:after="0" w:line="278" w:lineRule="auto"/>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Designating Stockholders will continue to hold a significant percentage of our stock, and their interests may conflict with ours or yours in the future.</w:t>
      </w:r>
    </w:p>
    <w:p>
      <w:pPr>
        <w:spacing w:after="0" w:line="162" w:lineRule="exact"/>
        <w:rPr>
          <w:sz w:val="20"/>
          <w:szCs w:val="20"/>
          <w:color w:val="auto"/>
        </w:rPr>
      </w:pPr>
    </w:p>
    <w:p>
      <w:pPr>
        <w:ind w:left="340" w:firstLine="422"/>
        <w:spacing w:after="0" w:line="278" w:lineRule="auto"/>
        <w:rPr>
          <w:sz w:val="20"/>
          <w:szCs w:val="20"/>
          <w:color w:val="auto"/>
        </w:rPr>
      </w:pPr>
      <w:r>
        <w:rPr>
          <w:rFonts w:ascii="Times New Roman" w:cs="Times New Roman" w:eastAsia="Times New Roman" w:hAnsi="Times New Roman"/>
          <w:sz w:val="18"/>
          <w:szCs w:val="18"/>
          <w:color w:val="auto"/>
        </w:rPr>
        <w:t>Before you invest in our Class A common stock, you should carefully consider all of the information in this prospectus, including matters set forth under the heading “Risk Factors.”</w:t>
      </w:r>
    </w:p>
    <w:p>
      <w:pPr>
        <w:spacing w:after="0" w:line="28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820"/>
          </w:cols>
          <w:pgMar w:left="320" w:top="451" w:right="7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22713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34200" cy="2271395"/>
                    </a:xfrm>
                    <a:prstGeom prst="rect">
                      <a:avLst/>
                    </a:prstGeom>
                    <a:noFill/>
                  </pic:spPr>
                </pic:pic>
              </a:graphicData>
            </a:graphic>
          </wp:anchor>
        </w:drawing>
      </w:r>
    </w:p>
    <w:p>
      <w:pPr>
        <w:spacing w:after="0" w:line="28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Corporate History and Information</w:t>
      </w:r>
    </w:p>
    <w:p>
      <w:pPr>
        <w:spacing w:after="0" w:line="225" w:lineRule="exact"/>
        <w:rPr>
          <w:sz w:val="20"/>
          <w:szCs w:val="20"/>
          <w:color w:val="auto"/>
        </w:rPr>
      </w:pPr>
    </w:p>
    <w:p>
      <w:pPr>
        <w:ind w:left="340" w:firstLine="422"/>
        <w:spacing w:after="0" w:line="255" w:lineRule="auto"/>
        <w:rPr>
          <w:sz w:val="20"/>
          <w:szCs w:val="20"/>
          <w:color w:val="auto"/>
        </w:rPr>
      </w:pPr>
      <w:r>
        <w:rPr>
          <w:rFonts w:ascii="Times New Roman" w:cs="Times New Roman" w:eastAsia="Times New Roman" w:hAnsi="Times New Roman"/>
          <w:sz w:val="18"/>
          <w:szCs w:val="18"/>
          <w:color w:val="auto"/>
        </w:rPr>
        <w:t>Medline has served customers in the healthcare industry for over 50 years. Medline was founded in 1966 by Jim and Jon Mills in Evanston, Illinois. In 1968, we opened our first manufacturing facility. In 1997, Charles N. Mills, Andrew J. Mills, and James D. Abrams, our previous Chief Executive Officer, President, and Chief Operating Officer, respectively, succeeded Jim and Jon to lead the Company and continue its legacy of family management. In October 2021, we entered into a new chapter of our Company’s history and received a majority investment from a partnership comprised of funds managed by Blackstone, Carlyle, and H&amp;F.</w:t>
      </w:r>
    </w:p>
    <w:p>
      <w:pPr>
        <w:spacing w:after="0" w:line="184" w:lineRule="exact"/>
        <w:rPr>
          <w:sz w:val="20"/>
          <w:szCs w:val="20"/>
          <w:color w:val="auto"/>
        </w:rPr>
      </w:pPr>
    </w:p>
    <w:p>
      <w:pPr>
        <w:ind w:left="340" w:right="160" w:firstLine="422"/>
        <w:spacing w:after="0" w:line="278" w:lineRule="auto"/>
        <w:rPr>
          <w:sz w:val="20"/>
          <w:szCs w:val="20"/>
          <w:color w:val="auto"/>
        </w:rPr>
      </w:pPr>
      <w:r>
        <w:rPr>
          <w:rFonts w:ascii="Times New Roman" w:cs="Times New Roman" w:eastAsia="Times New Roman" w:hAnsi="Times New Roman"/>
          <w:sz w:val="18"/>
          <w:szCs w:val="18"/>
          <w:color w:val="auto"/>
        </w:rPr>
        <w:t>In 2023, as part of a multi-year succession planning process, we elevated Jim Boyle to Chief Executive Officer, with members of the Mills Family continuing to serve on our board.</w:t>
      </w:r>
    </w:p>
    <w:p>
      <w:pPr>
        <w:spacing w:after="0" w:line="162" w:lineRule="exact"/>
        <w:rPr>
          <w:sz w:val="20"/>
          <w:szCs w:val="20"/>
          <w:color w:val="auto"/>
        </w:rPr>
      </w:pPr>
    </w:p>
    <w:p>
      <w:pPr>
        <w:ind w:left="340" w:right="40" w:firstLine="422"/>
        <w:spacing w:after="0" w:line="258" w:lineRule="auto"/>
        <w:rPr>
          <w:sz w:val="20"/>
          <w:szCs w:val="20"/>
          <w:color w:val="auto"/>
        </w:rPr>
      </w:pPr>
      <w:r>
        <w:rPr>
          <w:rFonts w:ascii="Times New Roman" w:cs="Times New Roman" w:eastAsia="Times New Roman" w:hAnsi="Times New Roman"/>
          <w:sz w:val="18"/>
          <w:szCs w:val="18"/>
          <w:color w:val="auto"/>
        </w:rPr>
        <w:t xml:space="preserve">Medline Inc. was incorporated in Delaware on November 6, 2024. Our principal executive offices are located at 3 Lakes Drive, Northfield, Illinois 60093, and our telephone number is (847) 949-5500. We maintain a website at </w:t>
      </w:r>
      <w:r>
        <w:rPr>
          <w:rFonts w:ascii="Times New Roman" w:cs="Times New Roman" w:eastAsia="Times New Roman" w:hAnsi="Times New Roman"/>
          <w:sz w:val="18"/>
          <w:szCs w:val="18"/>
          <w:i w:val="1"/>
          <w:iCs w:val="1"/>
          <w:color w:val="auto"/>
        </w:rPr>
        <w:t>www.medline.com</w:t>
      </w:r>
      <w:r>
        <w:rPr>
          <w:rFonts w:ascii="Times New Roman" w:cs="Times New Roman" w:eastAsia="Times New Roman" w:hAnsi="Times New Roman"/>
          <w:sz w:val="18"/>
          <w:szCs w:val="18"/>
          <w:color w:val="auto"/>
        </w:rPr>
        <w:t xml:space="preserve">. The reference to our website is intended to be an inactive textual reference only. </w:t>
      </w:r>
      <w:r>
        <w:rPr>
          <w:rFonts w:ascii="Times New Roman" w:cs="Times New Roman" w:eastAsia="Times New Roman" w:hAnsi="Times New Roman"/>
          <w:sz w:val="18"/>
          <w:szCs w:val="18"/>
          <w:b w:val="1"/>
          <w:bCs w:val="1"/>
          <w:color w:val="auto"/>
        </w:rPr>
        <w:t>The information contained on, or that can be accessed through, our website is not part of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w:t>
      </w:r>
    </w:p>
    <w:p>
      <w:pPr>
        <w:spacing w:after="0" w:line="30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820"/>
          </w:cols>
          <w:pgMar w:left="320" w:top="451" w:right="7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4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54565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34200" cy="5456555"/>
                    </a:xfrm>
                    <a:prstGeom prst="rect">
                      <a:avLst/>
                    </a:prstGeom>
                    <a:noFill/>
                  </pic:spPr>
                </pic:pic>
              </a:graphicData>
            </a:graphic>
          </wp:anchor>
        </w:drawing>
      </w:r>
    </w:p>
    <w:p>
      <w:pPr>
        <w:spacing w:after="0" w:line="28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880"/>
          </w:cols>
          <w:pgMar w:left="320" w:top="451" w:right="699" w:bottom="1440" w:gutter="0" w:footer="0" w:header="0"/>
        </w:sectPr>
      </w:pPr>
    </w:p>
    <w:p>
      <w:pPr>
        <w:spacing w:after="0" w:line="252" w:lineRule="exact"/>
        <w:rPr>
          <w:sz w:val="20"/>
          <w:szCs w:val="20"/>
          <w:color w:val="auto"/>
        </w:rPr>
      </w:pPr>
    </w:p>
    <w:p>
      <w:pPr>
        <w:ind w:left="420" w:right="420" w:hanging="77"/>
        <w:spacing w:after="0" w:line="278" w:lineRule="auto"/>
        <w:rPr>
          <w:sz w:val="20"/>
          <w:szCs w:val="20"/>
          <w:color w:val="auto"/>
        </w:rPr>
      </w:pPr>
      <w:r>
        <w:rPr>
          <w:rFonts w:ascii="Times New Roman" w:cs="Times New Roman" w:eastAsia="Times New Roman" w:hAnsi="Times New Roman"/>
          <w:sz w:val="18"/>
          <w:szCs w:val="18"/>
          <w:color w:val="auto"/>
        </w:rPr>
        <w:t>Class A common stock offered by the selling stockholders</w:t>
      </w:r>
    </w:p>
    <w:p>
      <w:pPr>
        <w:spacing w:after="0" w:line="203" w:lineRule="exact"/>
        <w:rPr>
          <w:sz w:val="20"/>
          <w:szCs w:val="20"/>
          <w:color w:val="auto"/>
        </w:rPr>
      </w:pPr>
    </w:p>
    <w:p>
      <w:pPr>
        <w:ind w:left="420" w:right="420" w:hanging="77"/>
        <w:spacing w:after="0" w:line="278" w:lineRule="auto"/>
        <w:rPr>
          <w:sz w:val="20"/>
          <w:szCs w:val="20"/>
          <w:color w:val="auto"/>
        </w:rPr>
      </w:pPr>
      <w:r>
        <w:rPr>
          <w:rFonts w:ascii="Times New Roman" w:cs="Times New Roman" w:eastAsia="Times New Roman" w:hAnsi="Times New Roman"/>
          <w:sz w:val="18"/>
          <w:szCs w:val="18"/>
          <w:color w:val="auto"/>
        </w:rPr>
        <w:t>Class A common stock outstanding after this offering</w:t>
      </w:r>
    </w:p>
    <w:p>
      <w:pPr>
        <w:spacing w:after="0" w:line="203" w:lineRule="exact"/>
        <w:rPr>
          <w:sz w:val="20"/>
          <w:szCs w:val="20"/>
          <w:color w:val="auto"/>
        </w:rPr>
      </w:pPr>
    </w:p>
    <w:p>
      <w:pPr>
        <w:ind w:left="420" w:right="360" w:hanging="77"/>
        <w:spacing w:after="0" w:line="258" w:lineRule="auto"/>
        <w:rPr>
          <w:sz w:val="20"/>
          <w:szCs w:val="20"/>
          <w:color w:val="auto"/>
        </w:rPr>
      </w:pPr>
      <w:r>
        <w:rPr>
          <w:rFonts w:ascii="Times New Roman" w:cs="Times New Roman" w:eastAsia="Times New Roman" w:hAnsi="Times New Roman"/>
          <w:sz w:val="18"/>
          <w:szCs w:val="18"/>
          <w:color w:val="auto"/>
        </w:rPr>
        <w:t>Class A common stock outstanding after this offering, assuming exchange of all Common Units held by the Continuing Common Unitholders</w:t>
      </w:r>
    </w:p>
    <w:p>
      <w:pPr>
        <w:spacing w:after="0" w:line="220" w:lineRule="exact"/>
        <w:rPr>
          <w:sz w:val="20"/>
          <w:szCs w:val="20"/>
          <w:color w:val="auto"/>
        </w:rPr>
      </w:pPr>
    </w:p>
    <w:p>
      <w:pPr>
        <w:ind w:left="420" w:right="180" w:hanging="77"/>
        <w:spacing w:after="0" w:line="278" w:lineRule="auto"/>
        <w:rPr>
          <w:sz w:val="20"/>
          <w:szCs w:val="20"/>
          <w:color w:val="auto"/>
        </w:rPr>
      </w:pPr>
      <w:r>
        <w:rPr>
          <w:rFonts w:ascii="Times New Roman" w:cs="Times New Roman" w:eastAsia="Times New Roman" w:hAnsi="Times New Roman"/>
          <w:sz w:val="18"/>
          <w:szCs w:val="18"/>
          <w:color w:val="auto"/>
        </w:rPr>
        <w:t>Class B common stock outstanding, after giving effect to this offering</w:t>
      </w:r>
    </w:p>
    <w:p>
      <w:pPr>
        <w:spacing w:after="0" w:line="200" w:lineRule="exact"/>
        <w:rPr>
          <w:sz w:val="20"/>
          <w:szCs w:val="20"/>
          <w:color w:val="auto"/>
        </w:rPr>
      </w:pPr>
    </w:p>
    <w:p>
      <w:pPr>
        <w:spacing w:after="0" w:line="203" w:lineRule="exact"/>
        <w:rPr>
          <w:sz w:val="20"/>
          <w:szCs w:val="20"/>
          <w:color w:val="auto"/>
        </w:rPr>
      </w:pPr>
    </w:p>
    <w:p>
      <w:pPr>
        <w:ind w:left="420" w:hanging="77"/>
        <w:spacing w:after="0" w:line="278" w:lineRule="auto"/>
        <w:rPr>
          <w:sz w:val="20"/>
          <w:szCs w:val="20"/>
          <w:color w:val="auto"/>
        </w:rPr>
      </w:pPr>
      <w:r>
        <w:rPr>
          <w:rFonts w:ascii="Times New Roman" w:cs="Times New Roman" w:eastAsia="Times New Roman" w:hAnsi="Times New Roman"/>
          <w:sz w:val="18"/>
          <w:szCs w:val="18"/>
          <w:color w:val="auto"/>
        </w:rPr>
        <w:t>Voting power held by investors in the IPO and this offering, after giving effect to this offering</w:t>
      </w:r>
    </w:p>
    <w:p>
      <w:pPr>
        <w:spacing w:after="0" w:line="203" w:lineRule="exact"/>
        <w:rPr>
          <w:sz w:val="20"/>
          <w:szCs w:val="20"/>
          <w:color w:val="auto"/>
        </w:rPr>
      </w:pPr>
    </w:p>
    <w:p>
      <w:pPr>
        <w:ind w:left="420" w:right="200" w:hanging="77"/>
        <w:spacing w:after="0" w:line="278" w:lineRule="auto"/>
        <w:rPr>
          <w:sz w:val="20"/>
          <w:szCs w:val="20"/>
          <w:color w:val="auto"/>
        </w:rPr>
      </w:pPr>
      <w:r>
        <w:rPr>
          <w:rFonts w:ascii="Times New Roman" w:cs="Times New Roman" w:eastAsia="Times New Roman" w:hAnsi="Times New Roman"/>
          <w:sz w:val="18"/>
          <w:szCs w:val="18"/>
          <w:color w:val="auto"/>
        </w:rPr>
        <w:t>Voting power held by our pre-IPO owners, after giving effect to this offering</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Voting rights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0"/>
              </w:rPr>
              <w:t>shares (or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 if the underwriters exercise in full their option to</w:t>
            </w:r>
          </w:p>
        </w:tc>
      </w:tr>
      <w:tr>
        <w:trPr>
          <w:trHeight w:val="233"/>
        </w:trPr>
        <w:tc>
          <w:tcPr>
            <w:tcW w:w="64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purchase additional shares of Class A common stock).</w:t>
            </w:r>
          </w:p>
        </w:tc>
      </w:tr>
      <w:tr>
        <w:trPr>
          <w:trHeight w:val="449"/>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0"/>
              </w:rPr>
              <w:t>shares (or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 if the underwriters exercise in full their option to</w:t>
            </w:r>
          </w:p>
        </w:tc>
      </w:tr>
      <w:tr>
        <w:trPr>
          <w:trHeight w:val="233"/>
        </w:trPr>
        <w:tc>
          <w:tcPr>
            <w:tcW w:w="64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purchase additional shares of Class A common stock).</w:t>
            </w:r>
          </w:p>
        </w:tc>
      </w:tr>
      <w:tr>
        <w:trPr>
          <w:trHeight w:val="449"/>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56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w w:val="99"/>
              </w:rPr>
              <w:t>shares (which does not reflect any shares of Class A common stock issuable in</w:t>
            </w:r>
          </w:p>
        </w:tc>
      </w:tr>
      <w:tr>
        <w:trPr>
          <w:trHeight w:val="233"/>
        </w:trPr>
        <w:tc>
          <w:tcPr>
            <w:tcW w:w="64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exchange for as-converted Incentive Units).</w:t>
            </w:r>
          </w:p>
        </w:tc>
      </w:tr>
      <w:tr>
        <w:trPr>
          <w:trHeight w:val="877"/>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56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shares, all of which will be held by the Continuing Common Unitholders (or</w:t>
            </w:r>
          </w:p>
        </w:tc>
      </w:tr>
      <w:tr>
        <w:trPr>
          <w:trHeight w:val="214"/>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56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shares if the underwriters exercise in full their option to purchase additional</w:t>
            </w:r>
          </w:p>
        </w:tc>
      </w:tr>
      <w:tr>
        <w:trPr>
          <w:trHeight w:val="233"/>
        </w:trPr>
        <w:tc>
          <w:tcPr>
            <w:tcW w:w="64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shares of Class A common stock).</w:t>
            </w:r>
          </w:p>
        </w:tc>
      </w:tr>
      <w:tr>
        <w:trPr>
          <w:trHeight w:val="436"/>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6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82"/>
              </w:rPr>
              <w:t>% (or  </w:t>
            </w:r>
          </w:p>
        </w:tc>
        <w:tc>
          <w:tcPr>
            <w:tcW w:w="568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w w:val="98"/>
              </w:rPr>
              <w:t>% if the underwriters exercise in full their option to purchase additional shares</w:t>
            </w:r>
          </w:p>
        </w:tc>
      </w:tr>
      <w:tr>
        <w:trPr>
          <w:trHeight w:val="233"/>
        </w:trPr>
        <w:tc>
          <w:tcPr>
            <w:tcW w:w="2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of Class A common stock).</w:t>
            </w:r>
          </w:p>
        </w:tc>
        <w:tc>
          <w:tcPr>
            <w:tcW w:w="18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449"/>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6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82"/>
              </w:rPr>
              <w:t>% (or  </w:t>
            </w:r>
          </w:p>
        </w:tc>
        <w:tc>
          <w:tcPr>
            <w:tcW w:w="568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w w:val="98"/>
              </w:rPr>
              <w:t>% if the underwriters exercise in full their option to purchase additional shares</w:t>
            </w:r>
          </w:p>
        </w:tc>
      </w:tr>
      <w:tr>
        <w:trPr>
          <w:trHeight w:val="233"/>
        </w:trPr>
        <w:tc>
          <w:tcPr>
            <w:tcW w:w="2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of Class A common stock).</w:t>
            </w:r>
          </w:p>
        </w:tc>
        <w:tc>
          <w:tcPr>
            <w:tcW w:w="180" w:type="dxa"/>
            <w:vAlign w:val="bottom"/>
          </w:tcPr>
          <w:p>
            <w:pPr>
              <w:spacing w:after="0"/>
              <w:rPr>
                <w:sz w:val="20"/>
                <w:szCs w:val="20"/>
                <w:color w:val="auto"/>
              </w:rPr>
            </w:pPr>
          </w:p>
        </w:tc>
        <w:tc>
          <w:tcPr>
            <w:tcW w:w="4220" w:type="dxa"/>
            <w:vAlign w:val="bottom"/>
          </w:tcPr>
          <w:p>
            <w:pPr>
              <w:spacing w:after="0"/>
              <w:rPr>
                <w:sz w:val="20"/>
                <w:szCs w:val="20"/>
                <w:color w:val="auto"/>
              </w:rPr>
            </w:pPr>
          </w:p>
        </w:tc>
      </w:tr>
    </w:tbl>
    <w:p>
      <w:pPr>
        <w:spacing w:after="0" w:line="235"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8"/>
          <w:szCs w:val="18"/>
          <w:color w:val="auto"/>
        </w:rPr>
        <w:t>We will not receive any proceeds from the sale of the shares of our Class A common stock offered by the selling stockholders (including any sales pursuant to the underwriters’ option to purchase additional shares from the selling stockholders).</w:t>
      </w:r>
    </w:p>
    <w:p>
      <w:pPr>
        <w:spacing w:after="0" w:line="202"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8"/>
          <w:szCs w:val="18"/>
          <w:color w:val="auto"/>
        </w:rPr>
        <w:t>Each share of our Class A common stock entitles its holder to one vote on all matters to be voted on by stockholders generally.</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Continuing Common Unitholders hold all of the initially outstanding shares of our Class B common stock and, upon conversion of vested Incentive Units for Common Units, the converting holders will also receive an equivalent number of shares of Class B common stock. The shares of Class B common stock have no economic rights but entitle each holder to one vote for each share held of record on all matters to be voted on by stockholders generally, with the number of shares of Class B common stock held by each Continuing Unitholder being equivalent to the number of Common</w:t>
      </w:r>
    </w:p>
    <w:p>
      <w:pPr>
        <w:spacing w:after="0" w:line="200" w:lineRule="exact"/>
        <w:rPr>
          <w:sz w:val="20"/>
          <w:szCs w:val="20"/>
          <w:color w:val="auto"/>
        </w:rPr>
      </w:pPr>
    </w:p>
    <w:p>
      <w:pPr>
        <w:sectPr>
          <w:pgSz w:w="11900" w:h="16838" w:orient="portrait"/>
          <w:cols w:equalWidth="0" w:num="2">
            <w:col w:w="3960" w:space="380"/>
            <w:col w:w="6540"/>
          </w:cols>
          <w:pgMar w:left="320" w:top="451" w:right="699" w:bottom="1440" w:gutter="0" w:footer="0" w:header="0"/>
          <w:type w:val="continuous"/>
        </w:sectPr>
      </w:pPr>
    </w:p>
    <w:p>
      <w:pPr>
        <w:spacing w:after="0" w:line="10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880"/>
          </w:cols>
          <w:pgMar w:left="320" w:top="451" w:right="6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0" w:lineRule="exact"/>
        <w:rPr>
          <w:sz w:val="20"/>
          <w:szCs w:val="20"/>
          <w:color w:val="auto"/>
        </w:rPr>
      </w:pPr>
    </w:p>
    <w:tbl>
      <w:tblPr>
        <w:tblLayout w:type="fixed"/>
        <w:tblInd w:w="170" w:type="dxa"/>
        <w:tblCellMar>
          <w:top w:w="0" w:type="dxa"/>
          <w:left w:w="0" w:type="dxa"/>
          <w:bottom w:w="0" w:type="dxa"/>
          <w:right w:w="0" w:type="dxa"/>
        </w:tblCellMar>
      </w:tblPr>
      <w:tr>
        <w:trPr>
          <w:trHeight w:val="373"/>
        </w:trPr>
        <w:tc>
          <w:tcPr>
            <w:tcW w:w="2760" w:type="dxa"/>
            <w:vAlign w:val="bottom"/>
            <w:tcBorders>
              <w:top w:val="single" w:sz="8" w:color="auto"/>
              <w:left w:val="single" w:sz="8" w:color="auto"/>
            </w:tcBorders>
          </w:tcPr>
          <w:p>
            <w:pPr>
              <w:spacing w:after="0"/>
              <w:rPr>
                <w:sz w:val="24"/>
                <w:szCs w:val="24"/>
                <w:color w:val="auto"/>
              </w:rPr>
            </w:pPr>
          </w:p>
        </w:tc>
        <w:tc>
          <w:tcPr>
            <w:tcW w:w="8160" w:type="dxa"/>
            <w:vAlign w:val="bottom"/>
            <w:tcBorders>
              <w:top w:val="single" w:sz="8" w:color="auto"/>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Units held by each such Continuing Unitholder. If at any time the ratio at which Common</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Units are exchangeable for shares of our Class A common stock changes from one-for-one</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as described under “Certain Relationships and Related Person Transactions—Exchange</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Agreement,” the number of votes to which Class B common stockholders are entitled will</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be adjusted accordingly. Holders of shares of our Class B common stock vote together with</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holders of our Class A common stock as a single class on all matters on which stockholders</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are entitled to vote generally, except as otherwise required by law. See “Description of</w:t>
            </w:r>
          </w:p>
        </w:tc>
      </w:tr>
      <w:tr>
        <w:trPr>
          <w:trHeight w:val="233"/>
        </w:trPr>
        <w:tc>
          <w:tcPr>
            <w:tcW w:w="2760" w:type="dxa"/>
            <w:vAlign w:val="bottom"/>
            <w:tcBorders>
              <w:left w:val="single" w:sz="8" w:color="auto"/>
            </w:tcBorders>
          </w:tcPr>
          <w:p>
            <w:pPr>
              <w:spacing w:after="0"/>
              <w:rPr>
                <w:sz w:val="20"/>
                <w:szCs w:val="20"/>
                <w:color w:val="auto"/>
              </w:rPr>
            </w:pPr>
          </w:p>
        </w:tc>
        <w:tc>
          <w:tcPr>
            <w:tcW w:w="81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Capital Stock—Common Stock—Class B Common Stock.”</w:t>
            </w:r>
          </w:p>
        </w:tc>
      </w:tr>
      <w:tr>
        <w:trPr>
          <w:trHeight w:val="449"/>
        </w:trPr>
        <w:tc>
          <w:tcPr>
            <w:tcW w:w="27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Dividend policy</w:t>
            </w:r>
          </w:p>
        </w:tc>
        <w:tc>
          <w:tcPr>
            <w:tcW w:w="81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We have no current plans to pay dividends on our Class A common stock following this</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offering. The declaration, amount, and payment of any future dividends will be at the sole</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discretion of our board of directors and will depend on general economic and business</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conditions; our financial condition and operating results; our available cash; current and</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anticipated cash needs; capital requirements; contractual, legal, tax, and regulatory</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restrictions and implications on the payment of dividends by us to our stockholders or by</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our subsidiaries (including Medline Holdings) to us; and such other factors as our board of</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directors may deem relevant. Holders of Class B common stock are not entitled to any</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dividends (other than dividends payable in the form of additional shares of Class B</w:t>
            </w:r>
          </w:p>
        </w:tc>
      </w:tr>
      <w:tr>
        <w:trPr>
          <w:trHeight w:val="233"/>
        </w:trPr>
        <w:tc>
          <w:tcPr>
            <w:tcW w:w="2760" w:type="dxa"/>
            <w:vAlign w:val="bottom"/>
            <w:tcBorders>
              <w:left w:val="single" w:sz="8" w:color="auto"/>
            </w:tcBorders>
          </w:tcPr>
          <w:p>
            <w:pPr>
              <w:spacing w:after="0"/>
              <w:rPr>
                <w:sz w:val="20"/>
                <w:szCs w:val="20"/>
                <w:color w:val="auto"/>
              </w:rPr>
            </w:pPr>
          </w:p>
        </w:tc>
        <w:tc>
          <w:tcPr>
            <w:tcW w:w="81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common stock).</w:t>
            </w:r>
          </w:p>
        </w:tc>
      </w:tr>
      <w:tr>
        <w:trPr>
          <w:trHeight w:val="436"/>
        </w:trPr>
        <w:tc>
          <w:tcPr>
            <w:tcW w:w="2760" w:type="dxa"/>
            <w:vAlign w:val="bottom"/>
            <w:tcBorders>
              <w:left w:val="single" w:sz="8" w:color="auto"/>
            </w:tcBorders>
          </w:tcPr>
          <w:p>
            <w:pPr>
              <w:spacing w:after="0"/>
              <w:rPr>
                <w:sz w:val="24"/>
                <w:szCs w:val="24"/>
                <w:color w:val="auto"/>
              </w:rPr>
            </w:pPr>
          </w:p>
        </w:tc>
        <w:tc>
          <w:tcPr>
            <w:tcW w:w="81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Medline Inc. is a holding company and has no material assets other than its equity interests</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held directly or indirectly through wholly owned subsidiaries in Medline Holdings. We</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intend to cause Medline Holdings to make distributions to us in an amount sufficient to</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cover cash dividends, if any, declared by us. If Medline Holdings makes such distributions</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to Medline Inc., the other holders of Common Units and any participating Incentive Units</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(as described below) will be entitled to receive equivalent pro rata distributions. Incentive</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Units are not entitled to receive distributions (other than tax distributions) until holders of</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Common Units have received a minimum return as provided in the amended and restated</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limited partnership agreement of Medline Holdings. However, Incentive Units have the</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benefit of adjustment provisions that reduce the participation threshold for distributions in</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respect of which they do not participate until there is no participation threshold, at and after</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which time the Incentive Units would participate pro rata with distributions on Common</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Units. The adjustment to the participation threshold of an Incentive Unit for distributions in</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respect of which such Incentive Unit does not participate is factored into calculating the</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number of Common Units the holder of vested Incentive Units receives upon conversion of</w:t>
            </w:r>
          </w:p>
        </w:tc>
      </w:tr>
      <w:tr>
        <w:trPr>
          <w:trHeight w:val="233"/>
        </w:trPr>
        <w:tc>
          <w:tcPr>
            <w:tcW w:w="2760" w:type="dxa"/>
            <w:vAlign w:val="bottom"/>
            <w:tcBorders>
              <w:left w:val="single" w:sz="8" w:color="auto"/>
            </w:tcBorders>
          </w:tcPr>
          <w:p>
            <w:pPr>
              <w:spacing w:after="0"/>
              <w:rPr>
                <w:sz w:val="20"/>
                <w:szCs w:val="20"/>
                <w:color w:val="auto"/>
              </w:rPr>
            </w:pPr>
          </w:p>
        </w:tc>
        <w:tc>
          <w:tcPr>
            <w:tcW w:w="81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a vested Incentive Unit for a Common Unit.</w:t>
            </w:r>
          </w:p>
        </w:tc>
      </w:tr>
      <w:tr>
        <w:trPr>
          <w:trHeight w:val="436"/>
        </w:trPr>
        <w:tc>
          <w:tcPr>
            <w:tcW w:w="2760" w:type="dxa"/>
            <w:vAlign w:val="bottom"/>
            <w:tcBorders>
              <w:left w:val="single" w:sz="8" w:color="auto"/>
            </w:tcBorders>
          </w:tcPr>
          <w:p>
            <w:pPr>
              <w:spacing w:after="0"/>
              <w:rPr>
                <w:sz w:val="24"/>
                <w:szCs w:val="24"/>
                <w:color w:val="auto"/>
              </w:rPr>
            </w:pPr>
          </w:p>
        </w:tc>
        <w:tc>
          <w:tcPr>
            <w:tcW w:w="81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Under the terms of the amended and restated limited partnership agreement, Medline</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Holdings is obligated to make tax distributions to holders of Units (including Medline Inc.)</w:t>
            </w:r>
          </w:p>
        </w:tc>
      </w:tr>
      <w:tr>
        <w:trPr>
          <w:trHeight w:val="233"/>
        </w:trPr>
        <w:tc>
          <w:tcPr>
            <w:tcW w:w="2760" w:type="dxa"/>
            <w:vAlign w:val="bottom"/>
            <w:tcBorders>
              <w:left w:val="single" w:sz="8" w:color="auto"/>
            </w:tcBorders>
          </w:tcPr>
          <w:p>
            <w:pPr>
              <w:spacing w:after="0"/>
              <w:rPr>
                <w:sz w:val="20"/>
                <w:szCs w:val="20"/>
                <w:color w:val="auto"/>
              </w:rPr>
            </w:pPr>
          </w:p>
        </w:tc>
        <w:tc>
          <w:tcPr>
            <w:tcW w:w="816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at certain assumed tax rates.</w:t>
            </w:r>
          </w:p>
        </w:tc>
      </w:tr>
      <w:tr>
        <w:trPr>
          <w:trHeight w:val="170"/>
        </w:trPr>
        <w:tc>
          <w:tcPr>
            <w:tcW w:w="2760" w:type="dxa"/>
            <w:vAlign w:val="bottom"/>
            <w:tcBorders>
              <w:left w:val="single" w:sz="8" w:color="auto"/>
              <w:bottom w:val="single" w:sz="8" w:color="auto"/>
            </w:tcBorders>
          </w:tcPr>
          <w:p>
            <w:pPr>
              <w:spacing w:after="0"/>
              <w:rPr>
                <w:sz w:val="14"/>
                <w:szCs w:val="14"/>
                <w:color w:val="auto"/>
              </w:rPr>
            </w:pPr>
          </w:p>
        </w:tc>
        <w:tc>
          <w:tcPr>
            <w:tcW w:w="8160" w:type="dxa"/>
            <w:vAlign w:val="bottom"/>
            <w:tcBorders>
              <w:bottom w:val="single" w:sz="8" w:color="auto"/>
              <w:right w:val="single" w:sz="8" w:color="auto"/>
            </w:tcBorders>
          </w:tcPr>
          <w:p>
            <w:pPr>
              <w:spacing w:after="0"/>
              <w:rPr>
                <w:sz w:val="14"/>
                <w:szCs w:val="14"/>
                <w:color w:val="auto"/>
              </w:rPr>
            </w:pPr>
          </w:p>
        </w:tc>
      </w:tr>
      <w:tr>
        <w:trPr>
          <w:trHeight w:val="358"/>
        </w:trPr>
        <w:tc>
          <w:tcPr>
            <w:tcW w:w="2760" w:type="dxa"/>
            <w:vAlign w:val="bottom"/>
          </w:tcPr>
          <w:p>
            <w:pPr>
              <w:spacing w:after="0"/>
              <w:rPr>
                <w:sz w:val="24"/>
                <w:szCs w:val="24"/>
                <w:color w:val="auto"/>
              </w:rPr>
            </w:pPr>
          </w:p>
        </w:tc>
        <w:tc>
          <w:tcPr>
            <w:tcW w:w="816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22</w:t>
            </w:r>
          </w:p>
        </w:tc>
      </w:tr>
    </w:tbl>
    <w:p>
      <w:pPr>
        <w:sectPr>
          <w:pgSz w:w="11900" w:h="16838" w:orient="portrait"/>
          <w:cols w:equalWidth="0" w:num="1">
            <w:col w:w="11080"/>
          </w:cols>
          <w:pgMar w:left="320" w:top="451"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0" w:lineRule="exact"/>
        <w:rPr>
          <w:sz w:val="20"/>
          <w:szCs w:val="20"/>
          <w:color w:val="auto"/>
        </w:rPr>
      </w:pPr>
    </w:p>
    <w:tbl>
      <w:tblPr>
        <w:tblLayout w:type="fixed"/>
        <w:tblInd w:w="170" w:type="dxa"/>
        <w:tblCellMar>
          <w:top w:w="0" w:type="dxa"/>
          <w:left w:w="0" w:type="dxa"/>
          <w:bottom w:w="0" w:type="dxa"/>
          <w:right w:w="0" w:type="dxa"/>
        </w:tblCellMar>
      </w:tblPr>
      <w:tr>
        <w:trPr>
          <w:trHeight w:val="373"/>
        </w:trPr>
        <w:tc>
          <w:tcPr>
            <w:tcW w:w="3960" w:type="dxa"/>
            <w:vAlign w:val="bottom"/>
            <w:tcBorders>
              <w:top w:val="single" w:sz="8" w:color="auto"/>
              <w:left w:val="single" w:sz="8" w:color="auto"/>
            </w:tcBorders>
          </w:tcPr>
          <w:p>
            <w:pPr>
              <w:spacing w:after="0"/>
              <w:rPr>
                <w:sz w:val="24"/>
                <w:szCs w:val="24"/>
                <w:color w:val="auto"/>
              </w:rPr>
            </w:pPr>
          </w:p>
        </w:tc>
        <w:tc>
          <w:tcPr>
            <w:tcW w:w="696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See “Risk Factors—Risks Related to Our Organizational Structure—Medline Inc. is a</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holding company and its only material assets are its equity interests held directly or</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indirectly through wholly owned subsidiaries in Medline Holdings, and it is accordingly</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dependent upon distributions from Medline Holdings to pay taxes, make payments under</w:t>
            </w:r>
          </w:p>
        </w:tc>
      </w:tr>
      <w:tr>
        <w:trPr>
          <w:trHeight w:val="233"/>
        </w:trPr>
        <w:tc>
          <w:tcPr>
            <w:tcW w:w="3960" w:type="dxa"/>
            <w:vAlign w:val="bottom"/>
            <w:tcBorders>
              <w:left w:val="single" w:sz="8" w:color="auto"/>
            </w:tcBorders>
          </w:tcPr>
          <w:p>
            <w:pPr>
              <w:spacing w:after="0"/>
              <w:rPr>
                <w:sz w:val="20"/>
                <w:szCs w:val="20"/>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the tax receivable agreement, and pay any dividends.”</w:t>
            </w:r>
          </w:p>
        </w:tc>
      </w:tr>
      <w:tr>
        <w:trPr>
          <w:trHeight w:val="449"/>
        </w:trPr>
        <w:tc>
          <w:tcPr>
            <w:tcW w:w="39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Exchange rights of holders of Common Units and</w:t>
            </w: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Prior to our IPO, we entered into an exchange agreement with the Continuing Unitholders</w:t>
            </w:r>
          </w:p>
        </w:tc>
      </w:tr>
      <w:tr>
        <w:trPr>
          <w:trHeight w:val="214"/>
        </w:trPr>
        <w:tc>
          <w:tcPr>
            <w:tcW w:w="396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Incentive Units</w:t>
            </w: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so that they may (subject to the terms of the exchange agreement) exchange their Common</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Units (including Common Units issued upon conversion of vested Incentive Units) for</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shares of Class A common stock of Medline Inc. on a one-for-one basis, subject to</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customary conversion rate adjustments for stock splits, stock dividends and</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reclassifications, whereupon an equivalent number of shares of Class B common stock held</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by each such Continuing Unitholder will be automatically transferred to us and cancelled</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and retired upon any such exchange. See “Certain Relationships and Related Person</w:t>
            </w:r>
          </w:p>
        </w:tc>
      </w:tr>
      <w:tr>
        <w:trPr>
          <w:trHeight w:val="233"/>
        </w:trPr>
        <w:tc>
          <w:tcPr>
            <w:tcW w:w="3960" w:type="dxa"/>
            <w:vAlign w:val="bottom"/>
            <w:tcBorders>
              <w:left w:val="single" w:sz="8" w:color="auto"/>
            </w:tcBorders>
          </w:tcPr>
          <w:p>
            <w:pPr>
              <w:spacing w:after="0"/>
              <w:rPr>
                <w:sz w:val="20"/>
                <w:szCs w:val="20"/>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Transactions—Exchange Agreement.”</w:t>
            </w:r>
          </w:p>
        </w:tc>
      </w:tr>
      <w:tr>
        <w:trPr>
          <w:trHeight w:val="436"/>
        </w:trPr>
        <w:tc>
          <w:tcPr>
            <w:tcW w:w="3960" w:type="dxa"/>
            <w:vAlign w:val="bottom"/>
            <w:tcBorders>
              <w:left w:val="single" w:sz="8" w:color="auto"/>
            </w:tcBorders>
          </w:tcPr>
          <w:p>
            <w:pPr>
              <w:spacing w:after="0"/>
              <w:rPr>
                <w:sz w:val="24"/>
                <w:szCs w:val="24"/>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Subject to certain restrictions, the holders of vested Incentive Units have the right to</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convert their vested Incentive Units into a number of Common Units that generally are</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equal to (a) the product of the number of vested Incentive Units to be converted with a</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given per unit participation threshold and then-current difference between the per unit</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value of a Common Unit at the time of the conversion (based on the public trading price of</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 share of Class A common stock) and the per unit participation threshold of such vested</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Incentive Units divided by (b) the per unit value of a Common Unit at the time of the</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conversion (based on the public trading price of a share of Class A common stock), subject</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 certain adjustments. See “Certain Relationships and Related Person Transactions—</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Medline Holdings Amended and Restated Limited Partnership Agreement.” Common</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Units received upon conversion are exchangeable on a one-for-one basis for shares of</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Class A common stock of Medline Inc. in accordance with the terms of the exchange</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agreement. An unvested Incentive Unit is not exchangeable unless and until such Incentive</w:t>
            </w:r>
          </w:p>
        </w:tc>
      </w:tr>
      <w:tr>
        <w:trPr>
          <w:trHeight w:val="233"/>
        </w:trPr>
        <w:tc>
          <w:tcPr>
            <w:tcW w:w="3960" w:type="dxa"/>
            <w:vAlign w:val="bottom"/>
            <w:tcBorders>
              <w:left w:val="single" w:sz="8" w:color="auto"/>
            </w:tcBorders>
          </w:tcPr>
          <w:p>
            <w:pPr>
              <w:spacing w:after="0"/>
              <w:rPr>
                <w:sz w:val="20"/>
                <w:szCs w:val="20"/>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Unit vests.</w:t>
            </w:r>
          </w:p>
        </w:tc>
      </w:tr>
      <w:tr>
        <w:trPr>
          <w:trHeight w:val="436"/>
        </w:trPr>
        <w:tc>
          <w:tcPr>
            <w:tcW w:w="39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Tax receivable agreement</w:t>
            </w: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Prior to the completion of our IPO, we entered into a tax receivable agreement with certain</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of our pre-IPO owners that provides for the payment by Medline Inc. to such pre-IPO</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owners of 90% of certain tax benefits, if any, that Medline Inc. realizes, or is deemed to</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realize (calculated using certain assumptions), as a result of (i) Medline Inc.’s allocable</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share of the existing tax basis in Medline Holdings’ assets acquired in our IPO,</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(ii) increases in Medline Inc.’s allocable share of existing tax basis and tax basis</w:t>
            </w:r>
          </w:p>
        </w:tc>
      </w:tr>
      <w:tr>
        <w:trPr>
          <w:trHeight w:val="233"/>
        </w:trPr>
        <w:tc>
          <w:tcPr>
            <w:tcW w:w="3960" w:type="dxa"/>
            <w:vAlign w:val="bottom"/>
            <w:tcBorders>
              <w:left w:val="single" w:sz="8" w:color="auto"/>
            </w:tcBorders>
          </w:tcPr>
          <w:p>
            <w:pPr>
              <w:spacing w:after="0"/>
              <w:rPr>
                <w:sz w:val="20"/>
                <w:szCs w:val="20"/>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adjustments to the tangible and intangible assets of Medline Holdings as a result of sales or</w:t>
            </w:r>
          </w:p>
        </w:tc>
      </w:tr>
      <w:tr>
        <w:trPr>
          <w:trHeight w:val="170"/>
        </w:trPr>
        <w:tc>
          <w:tcPr>
            <w:tcW w:w="3960" w:type="dxa"/>
            <w:vAlign w:val="bottom"/>
            <w:tcBorders>
              <w:left w:val="single" w:sz="8" w:color="auto"/>
              <w:bottom w:val="single" w:sz="8" w:color="auto"/>
            </w:tcBorders>
          </w:tcPr>
          <w:p>
            <w:pPr>
              <w:spacing w:after="0"/>
              <w:rPr>
                <w:sz w:val="14"/>
                <w:szCs w:val="14"/>
                <w:color w:val="auto"/>
              </w:rPr>
            </w:pPr>
          </w:p>
        </w:tc>
        <w:tc>
          <w:tcPr>
            <w:tcW w:w="6960" w:type="dxa"/>
            <w:vAlign w:val="bottom"/>
            <w:tcBorders>
              <w:bottom w:val="single" w:sz="8" w:color="auto"/>
              <w:right w:val="single" w:sz="8" w:color="auto"/>
            </w:tcBorders>
          </w:tcPr>
          <w:p>
            <w:pPr>
              <w:spacing w:after="0"/>
              <w:rPr>
                <w:sz w:val="14"/>
                <w:szCs w:val="14"/>
                <w:color w:val="auto"/>
              </w:rPr>
            </w:pPr>
          </w:p>
        </w:tc>
      </w:tr>
      <w:tr>
        <w:trPr>
          <w:trHeight w:val="358"/>
        </w:trPr>
        <w:tc>
          <w:tcPr>
            <w:tcW w:w="3960" w:type="dxa"/>
            <w:vAlign w:val="bottom"/>
          </w:tcPr>
          <w:p>
            <w:pPr>
              <w:spacing w:after="0"/>
              <w:rPr>
                <w:sz w:val="24"/>
                <w:szCs w:val="24"/>
                <w:color w:val="auto"/>
              </w:rPr>
            </w:pPr>
          </w:p>
        </w:tc>
        <w:tc>
          <w:tcPr>
            <w:tcW w:w="69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23</w:t>
            </w:r>
          </w:p>
        </w:tc>
      </w:tr>
    </w:tbl>
    <w:p>
      <w:pPr>
        <w:sectPr>
          <w:pgSz w:w="11900" w:h="16838" w:orient="portrait"/>
          <w:cols w:equalWidth="0" w:num="1">
            <w:col w:w="11080"/>
          </w:cols>
          <w:pgMar w:left="320" w:top="451"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5617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34200" cy="5617845"/>
                    </a:xfrm>
                    <a:prstGeom prst="rect">
                      <a:avLst/>
                    </a:prstGeom>
                    <a:noFill/>
                  </pic:spPr>
                </pic:pic>
              </a:graphicData>
            </a:graphic>
          </wp:anchor>
        </w:drawing>
      </w:r>
    </w:p>
    <w:p>
      <w:pPr>
        <w:spacing w:after="0" w:line="289" w:lineRule="exact"/>
        <w:rPr>
          <w:sz w:val="20"/>
          <w:szCs w:val="20"/>
          <w:color w:val="auto"/>
        </w:rPr>
      </w:pPr>
    </w:p>
    <w:p>
      <w:pPr>
        <w:ind w:left="4340" w:right="200"/>
        <w:spacing w:after="0" w:line="249" w:lineRule="auto"/>
        <w:rPr>
          <w:sz w:val="20"/>
          <w:szCs w:val="20"/>
          <w:color w:val="auto"/>
        </w:rPr>
      </w:pPr>
      <w:r>
        <w:rPr>
          <w:rFonts w:ascii="Times New Roman" w:cs="Times New Roman" w:eastAsia="Times New Roman" w:hAnsi="Times New Roman"/>
          <w:sz w:val="18"/>
          <w:szCs w:val="18"/>
          <w:color w:val="auto"/>
        </w:rPr>
        <w:t>exchanges of Common Units (including Common Units issued upon conversion of vested Incentive Units) in connection with or after our IPO, including the exchange of Common Units for shares of our Class A common stock by the selling stockholders in connection with this offering, (iii) Medline Inc.’s utilization of certain tax attributes (including any existing tax basis) of the Blocker Companies, which Medline Inc. acquired in connection with our IPO as described under “Organizational Structure—Blocker Transfers,” and (iv) certain other tax benefits related to entering into the tax receivable agreement, including tax benefits attributable to payments under the tax receivable agreement. Sales or exchanges of Common Units (including Common Units issued upon conversion of vested Incentive Units) are expected to result in increases in the tax basis of the assets of Medline Holdings. The existing tax basis, increases in existing tax basis and tax basis adjustments generated over time may increase (for tax purposes) depreciation and amortization deductions available to Medline Inc. for tax purposes and, therefore, may reduce the amount of U.S. federal, state and local tax that Medline Inc. would otherwise be required to pay in the future. Actual tax benefits realized by Medline Inc. may differ from tax benefits calculated under the tax receivable agreement as a result of the use of certain assumptions in the tax receivable agreement, including the use of an assumed blended state and local income tax rate of 6% (as adjusted to take into account the U.S. federal tax benefit of such taxes) to calculate tax benefits. This payment obligation is an obligation of Medline Inc. and not of Medline Holdings. See “Certain Relationships and Related Person Transactions —Tax Receivable Agreement.”</w:t>
      </w:r>
    </w:p>
    <w:p>
      <w:pPr>
        <w:sectPr>
          <w:pgSz w:w="11900" w:h="16838" w:orient="portrait"/>
          <w:cols w:equalWidth="0" w:num="1">
            <w:col w:w="11080"/>
          </w:cols>
          <w:pgMar w:left="320" w:top="451" w:right="499" w:bottom="1440" w:gutter="0" w:footer="0" w:header="0"/>
        </w:sectPr>
      </w:pPr>
    </w:p>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18"/>
          <w:szCs w:val="18"/>
          <w:color w:val="auto"/>
        </w:rPr>
        <w:t>See “Risk Factors” for a discussion of risks you should carefully consider before deciding to invest in our Class A common stock.</w:t>
      </w:r>
    </w:p>
    <w:p>
      <w:pPr>
        <w:spacing w:after="0" w:line="189" w:lineRule="exact"/>
        <w:rPr>
          <w:sz w:val="20"/>
          <w:szCs w:val="20"/>
          <w:color w:val="auto"/>
        </w:rPr>
      </w:pPr>
    </w:p>
    <w:p>
      <w:pPr>
        <w:sectPr>
          <w:pgSz w:w="11900" w:h="16838" w:orient="portrait"/>
          <w:cols w:equalWidth="0" w:num="2">
            <w:col w:w="3620" w:space="720"/>
            <w:col w:w="6740"/>
          </w:cols>
          <w:pgMar w:left="320" w:top="451" w:right="499" w:bottom="1440" w:gutter="0" w:footer="0" w:header="0"/>
          <w:type w:val="continuous"/>
        </w:sectPr>
      </w:pPr>
    </w:p>
    <w:p>
      <w:pPr>
        <w:ind w:left="420" w:hanging="77"/>
        <w:spacing w:after="0" w:line="278" w:lineRule="auto"/>
        <w:rPr>
          <w:sz w:val="20"/>
          <w:szCs w:val="20"/>
          <w:color w:val="auto"/>
        </w:rPr>
      </w:pPr>
      <w:r>
        <w:rPr>
          <w:rFonts w:ascii="Times New Roman" w:cs="Times New Roman" w:eastAsia="Times New Roman" w:hAnsi="Times New Roman"/>
          <w:sz w:val="18"/>
          <w:szCs w:val="18"/>
          <w:color w:val="auto"/>
        </w:rPr>
        <w:t>Certain U.S. federal income tax consequences to non-U.S. holders</w:t>
      </w:r>
    </w:p>
    <w:p>
      <w:pPr>
        <w:spacing w:after="0" w:line="20" w:lineRule="exact"/>
        <w:rPr>
          <w:sz w:val="20"/>
          <w:szCs w:val="20"/>
          <w:color w:val="auto"/>
        </w:rPr>
      </w:pPr>
      <w:r>
        <w:rPr>
          <w:sz w:val="20"/>
          <w:szCs w:val="20"/>
          <w:color w:val="auto"/>
        </w:rPr>
        <w:br w:type="column"/>
      </w:r>
    </w:p>
    <w:p>
      <w:pPr>
        <w:jc w:val="both"/>
        <w:ind w:right="380"/>
        <w:spacing w:after="0" w:line="263" w:lineRule="auto"/>
        <w:rPr>
          <w:sz w:val="20"/>
          <w:szCs w:val="20"/>
          <w:color w:val="auto"/>
        </w:rPr>
      </w:pPr>
      <w:r>
        <w:rPr>
          <w:rFonts w:ascii="Times New Roman" w:cs="Times New Roman" w:eastAsia="Times New Roman" w:hAnsi="Times New Roman"/>
          <w:sz w:val="18"/>
          <w:szCs w:val="18"/>
          <w:color w:val="auto"/>
        </w:rPr>
        <w:t>For a discussion of certain U.S. federal income tax consequences that may be relevant to non-U.S. stockholders, see “Certain U.S. Federal Income Tax Consequences to Non-U.S. Holders.”</w:t>
      </w:r>
    </w:p>
    <w:p>
      <w:pPr>
        <w:spacing w:after="0" w:line="200" w:lineRule="exact"/>
        <w:rPr>
          <w:sz w:val="20"/>
          <w:szCs w:val="20"/>
          <w:color w:val="auto"/>
        </w:rPr>
      </w:pPr>
    </w:p>
    <w:p>
      <w:pPr>
        <w:sectPr>
          <w:pgSz w:w="11900" w:h="16838" w:orient="portrait"/>
          <w:cols w:equalWidth="0" w:num="2">
            <w:col w:w="3820" w:space="520"/>
            <w:col w:w="6740"/>
          </w:cols>
          <w:pgMar w:left="320" w:top="451" w:right="499" w:bottom="1440" w:gutter="0" w:footer="0" w:header="0"/>
          <w:type w:val="continuous"/>
        </w:sectPr>
      </w:pP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Nasdaq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“MDLN”</w:t>
      </w:r>
    </w:p>
    <w:p>
      <w:pPr>
        <w:spacing w:after="0" w:line="200" w:lineRule="exact"/>
        <w:rPr>
          <w:sz w:val="20"/>
          <w:szCs w:val="20"/>
          <w:color w:val="auto"/>
        </w:rPr>
      </w:pPr>
    </w:p>
    <w:p>
      <w:pPr>
        <w:sectPr>
          <w:pgSz w:w="11900" w:h="16838" w:orient="portrait"/>
          <w:cols w:equalWidth="0" w:num="2">
            <w:col w:w="3620" w:space="720"/>
            <w:col w:w="6740"/>
          </w:cols>
          <w:pgMar w:left="320" w:top="451" w:right="499" w:bottom="1440" w:gutter="0" w:footer="0" w:header="0"/>
          <w:type w:val="continuous"/>
        </w:sectPr>
      </w:pPr>
    </w:p>
    <w:p>
      <w:pPr>
        <w:spacing w:after="0" w:line="3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In this prospectus, unless otherwise indicated, the number of shares of Class A common stock outstanding and the other information based</w:t>
      </w:r>
    </w:p>
    <w:p>
      <w:pPr>
        <w:spacing w:after="0" w:line="26" w:lineRule="exact"/>
        <w:rPr>
          <w:sz w:val="20"/>
          <w:szCs w:val="20"/>
          <w:color w:val="auto"/>
        </w:rPr>
      </w:pPr>
    </w:p>
    <w:tbl>
      <w:tblPr>
        <w:tblLayout w:type="fixed"/>
        <w:tblInd w:w="160" w:type="dxa"/>
        <w:tblCellMar>
          <w:top w:w="0" w:type="dxa"/>
          <w:left w:w="0" w:type="dxa"/>
          <w:bottom w:w="0" w:type="dxa"/>
          <w:right w:w="0" w:type="dxa"/>
        </w:tblCellMar>
      </w:tblPr>
      <w:tr>
        <w:trPr>
          <w:trHeight w:val="233"/>
        </w:trPr>
        <w:tc>
          <w:tcPr>
            <w:tcW w:w="16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w w:val="90"/>
              </w:rPr>
              <w:t>thereon is based on </w:t>
            </w:r>
          </w:p>
        </w:tc>
        <w:tc>
          <w:tcPr>
            <w:tcW w:w="100" w:type="dxa"/>
            <w:vAlign w:val="bottom"/>
          </w:tcPr>
          <w:p>
            <w:pPr>
              <w:spacing w:after="0"/>
              <w:rPr>
                <w:sz w:val="20"/>
                <w:szCs w:val="20"/>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         shares of Class A common stock outstanding as of 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4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 2026, and does not reflect:</w:t>
            </w:r>
          </w:p>
        </w:tc>
      </w:tr>
      <w:tr>
        <w:trPr>
          <w:trHeight w:val="297"/>
        </w:trPr>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9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shares of Class A common stock issuable upon exchange of Common Units held by the selling stockholders upon exercise</w:t>
            </w:r>
          </w:p>
        </w:tc>
      </w:tr>
      <w:tr>
        <w:trPr>
          <w:trHeight w:val="233"/>
        </w:trPr>
        <w:tc>
          <w:tcPr>
            <w:tcW w:w="940" w:type="dxa"/>
            <w:vAlign w:val="bottom"/>
          </w:tcPr>
          <w:p>
            <w:pPr>
              <w:spacing w:after="0"/>
              <w:rPr>
                <w:sz w:val="20"/>
                <w:szCs w:val="20"/>
                <w:color w:val="auto"/>
              </w:rPr>
            </w:pPr>
          </w:p>
        </w:tc>
        <w:tc>
          <w:tcPr>
            <w:tcW w:w="998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of the underwriters’ option to purchase additional shares of Class A common stock;</w:t>
            </w:r>
          </w:p>
        </w:tc>
      </w:tr>
      <w:tr>
        <w:trPr>
          <w:trHeight w:val="315"/>
        </w:trPr>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5"/>
              </w:rPr>
              <w:t>shares of Class A common stock issuable upon exchange of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454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      Common Units (or, if the underwriters exercise their</w:t>
            </w:r>
          </w:p>
        </w:tc>
      </w:tr>
      <w:tr>
        <w:trPr>
          <w:trHeight w:val="214"/>
        </w:trPr>
        <w:tc>
          <w:tcPr>
            <w:tcW w:w="940" w:type="dxa"/>
            <w:vAlign w:val="bottom"/>
          </w:tcPr>
          <w:p>
            <w:pPr>
              <w:spacing w:after="0"/>
              <w:rPr>
                <w:sz w:val="18"/>
                <w:szCs w:val="18"/>
                <w:color w:val="auto"/>
              </w:rPr>
            </w:pPr>
          </w:p>
        </w:tc>
        <w:tc>
          <w:tcPr>
            <w:tcW w:w="52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 xml:space="preserve">option to purchase additional shares of Class A common stock,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 </w:t>
            </w:r>
          </w:p>
        </w:tc>
        <w:tc>
          <w:tcPr>
            <w:tcW w:w="454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8"/>
              </w:rPr>
              <w:t>shares of Class A common stock issuable upon exchange of</w:t>
            </w:r>
          </w:p>
        </w:tc>
      </w:tr>
      <w:tr>
        <w:trPr>
          <w:trHeight w:val="233"/>
        </w:trPr>
        <w:tc>
          <w:tcPr>
            <w:tcW w:w="940" w:type="dxa"/>
            <w:vAlign w:val="bottom"/>
          </w:tcPr>
          <w:p>
            <w:pPr>
              <w:spacing w:after="0"/>
              <w:rPr>
                <w:sz w:val="20"/>
                <w:szCs w:val="20"/>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9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Common Units) that will be held by the Continuing Common Unitholders immediately following this offering;</w:t>
            </w:r>
          </w:p>
        </w:tc>
      </w:tr>
      <w:tr>
        <w:trPr>
          <w:trHeight w:val="170"/>
        </w:trPr>
        <w:tc>
          <w:tcPr>
            <w:tcW w:w="9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540" w:type="dxa"/>
            <w:vAlign w:val="bottom"/>
            <w:tcBorders>
              <w:bottom w:val="single" w:sz="8" w:color="auto"/>
            </w:tcBorders>
          </w:tcPr>
          <w:p>
            <w:pPr>
              <w:spacing w:after="0"/>
              <w:rPr>
                <w:sz w:val="14"/>
                <w:szCs w:val="14"/>
                <w:color w:val="auto"/>
              </w:rPr>
            </w:pPr>
          </w:p>
        </w:tc>
      </w:tr>
      <w:tr>
        <w:trPr>
          <w:trHeight w:val="358"/>
        </w:trPr>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24"/>
                <w:szCs w:val="24"/>
                <w:color w:val="auto"/>
              </w:rPr>
            </w:pPr>
          </w:p>
        </w:tc>
        <w:tc>
          <w:tcPr>
            <w:tcW w:w="4540" w:type="dxa"/>
            <w:vAlign w:val="bottom"/>
          </w:tcPr>
          <w:p>
            <w:pPr>
              <w:spacing w:after="0"/>
              <w:rPr>
                <w:sz w:val="24"/>
                <w:szCs w:val="24"/>
                <w:color w:val="auto"/>
              </w:rPr>
            </w:pPr>
          </w:p>
        </w:tc>
      </w:tr>
    </w:tbl>
    <w:p>
      <w:pPr>
        <w:sectPr>
          <w:pgSz w:w="11900" w:h="16838" w:orient="portrait"/>
          <w:cols w:equalWidth="0" w:num="1">
            <w:col w:w="11080"/>
          </w:cols>
          <w:pgMar w:left="320" w:top="451" w:right="4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940" w:type="dxa"/>
            <w:vAlign w:val="bottom"/>
          </w:tcPr>
          <w:p>
            <w:pPr>
              <w:spacing w:after="0"/>
              <w:rPr>
                <w:sz w:val="18"/>
                <w:szCs w:val="18"/>
                <w:color w:val="auto"/>
              </w:rPr>
            </w:pPr>
          </w:p>
        </w:tc>
        <w:tc>
          <w:tcPr>
            <w:tcW w:w="9980" w:type="dxa"/>
            <w:vAlign w:val="bottom"/>
          </w:tcPr>
          <w:p>
            <w:pPr>
              <w:jc w:val="center"/>
              <w:ind w:right="851"/>
              <w:spacing w:after="0"/>
              <w:rPr>
                <w:sz w:val="20"/>
                <w:szCs w:val="20"/>
                <w:color w:val="auto"/>
              </w:rPr>
            </w:pPr>
            <w:r>
              <w:rPr>
                <w:rFonts w:ascii="Times New Roman" w:cs="Times New Roman" w:eastAsia="Times New Roman" w:hAnsi="Times New Roman"/>
                <w:sz w:val="18"/>
                <w:szCs w:val="18"/>
                <w:b w:val="1"/>
                <w:bCs w:val="1"/>
                <w:color w:val="auto"/>
                <w:w w:val="98"/>
              </w:rPr>
              <w:t>Medline Inc. has requested confidential treatment of this registration statement and associated</w:t>
            </w:r>
          </w:p>
        </w:tc>
      </w:tr>
      <w:tr>
        <w:trPr>
          <w:trHeight w:val="237"/>
        </w:trPr>
        <w:tc>
          <w:tcPr>
            <w:tcW w:w="940" w:type="dxa"/>
            <w:vAlign w:val="bottom"/>
          </w:tcPr>
          <w:p>
            <w:pPr>
              <w:spacing w:after="0"/>
              <w:rPr>
                <w:sz w:val="20"/>
                <w:szCs w:val="20"/>
                <w:color w:val="auto"/>
              </w:rPr>
            </w:pPr>
          </w:p>
        </w:tc>
        <w:tc>
          <w:tcPr>
            <w:tcW w:w="9980" w:type="dxa"/>
            <w:vAlign w:val="bottom"/>
          </w:tcPr>
          <w:p>
            <w:pPr>
              <w:jc w:val="center"/>
              <w:ind w:right="851"/>
              <w:spacing w:after="0"/>
              <w:rPr>
                <w:sz w:val="20"/>
                <w:szCs w:val="20"/>
                <w:color w:val="auto"/>
              </w:rPr>
            </w:pPr>
            <w:r>
              <w:rPr>
                <w:rFonts w:ascii="Times New Roman" w:cs="Times New Roman" w:eastAsia="Times New Roman" w:hAnsi="Times New Roman"/>
                <w:sz w:val="18"/>
                <w:szCs w:val="18"/>
                <w:b w:val="1"/>
                <w:bCs w:val="1"/>
                <w:color w:val="auto"/>
                <w:w w:val="98"/>
              </w:rPr>
              <w:t>correspondence pursuant to Rule 83 of the Securities and Exchange Commission.</w:t>
            </w:r>
          </w:p>
        </w:tc>
      </w:tr>
      <w:tr>
        <w:trPr>
          <w:trHeight w:val="143"/>
        </w:trPr>
        <w:tc>
          <w:tcPr>
            <w:tcW w:w="940" w:type="dxa"/>
            <w:vAlign w:val="bottom"/>
            <w:tcBorders>
              <w:bottom w:val="single" w:sz="8" w:color="auto"/>
            </w:tcBorders>
          </w:tcPr>
          <w:p>
            <w:pPr>
              <w:spacing w:after="0"/>
              <w:rPr>
                <w:sz w:val="12"/>
                <w:szCs w:val="12"/>
                <w:color w:val="auto"/>
              </w:rPr>
            </w:pPr>
          </w:p>
        </w:tc>
        <w:tc>
          <w:tcPr>
            <w:tcW w:w="9980" w:type="dxa"/>
            <w:vAlign w:val="bottom"/>
            <w:tcBorders>
              <w:bottom w:val="single" w:sz="8" w:color="auto"/>
            </w:tcBorders>
          </w:tcPr>
          <w:p>
            <w:pPr>
              <w:spacing w:after="0"/>
              <w:rPr>
                <w:sz w:val="12"/>
                <w:szCs w:val="12"/>
                <w:color w:val="auto"/>
              </w:rPr>
            </w:pPr>
          </w:p>
        </w:tc>
      </w:tr>
      <w:tr>
        <w:trPr>
          <w:trHeight w:val="353"/>
        </w:trPr>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shares of Class A common stock that may be granted under the Medline Inc. 2025 Omnibus Incentive Plan (the “Omnibus</w:t>
            </w:r>
          </w:p>
        </w:tc>
      </w:tr>
      <w:tr>
        <w:trPr>
          <w:trHeight w:val="214"/>
        </w:trPr>
        <w:tc>
          <w:tcPr>
            <w:tcW w:w="940" w:type="dxa"/>
            <w:vAlign w:val="bottom"/>
          </w:tcPr>
          <w:p>
            <w:pPr>
              <w:spacing w:after="0"/>
              <w:rPr>
                <w:sz w:val="18"/>
                <w:szCs w:val="18"/>
                <w:color w:val="auto"/>
              </w:rPr>
            </w:pPr>
          </w:p>
        </w:tc>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Incentive Plan”), which includes shares of Class A common stock issuable upon exercise, vesting or settlement, as applicable, of the</w:t>
            </w:r>
          </w:p>
        </w:tc>
      </w:tr>
      <w:tr>
        <w:trPr>
          <w:trHeight w:val="233"/>
        </w:trPr>
        <w:tc>
          <w:tcPr>
            <w:tcW w:w="940" w:type="dxa"/>
            <w:vAlign w:val="bottom"/>
          </w:tcPr>
          <w:p>
            <w:pPr>
              <w:spacing w:after="0"/>
              <w:rPr>
                <w:sz w:val="20"/>
                <w:szCs w:val="20"/>
                <w:color w:val="auto"/>
              </w:rPr>
            </w:pPr>
          </w:p>
        </w:tc>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following employee equity grants, in each case, to be awarded in connection with the offering: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-520065</wp:posOffset>
            </wp:positionV>
            <wp:extent cx="6934200" cy="31381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34200" cy="3138170"/>
                    </a:xfrm>
                    <a:prstGeom prst="rect">
                      <a:avLst/>
                    </a:prstGeom>
                    <a:noFill/>
                  </pic:spPr>
                </pic:pic>
              </a:graphicData>
            </a:graphic>
          </wp:anchor>
        </w:drawing>
      </w:r>
    </w:p>
    <w:p>
      <w:pPr>
        <w:spacing w:after="0" w:line="82" w:lineRule="exact"/>
        <w:rPr>
          <w:sz w:val="20"/>
          <w:szCs w:val="20"/>
          <w:color w:val="auto"/>
        </w:rPr>
      </w:pPr>
    </w:p>
    <w:tbl>
      <w:tblPr>
        <w:tblLayout w:type="fixed"/>
        <w:tblInd w:w="1400" w:type="dxa"/>
        <w:tblCellMar>
          <w:top w:w="0" w:type="dxa"/>
          <w:left w:w="0" w:type="dxa"/>
          <w:bottom w:w="0" w:type="dxa"/>
          <w:right w:w="0" w:type="dxa"/>
        </w:tblCellMar>
      </w:tblPr>
      <w:tr>
        <w:trPr>
          <w:trHeight w:val="21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3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 xml:space="preserve">shares of Class A common stock issuable in exchange for an equivalent number of Common Units into which           </w:t>
            </w:r>
          </w:p>
        </w:tc>
      </w:tr>
      <w:tr>
        <w:trPr>
          <w:trHeight w:val="214"/>
        </w:trPr>
        <w:tc>
          <w:tcPr>
            <w:tcW w:w="160" w:type="dxa"/>
            <w:vAlign w:val="bottom"/>
          </w:tcPr>
          <w:p>
            <w:pPr>
              <w:spacing w:after="0"/>
              <w:rPr>
                <w:sz w:val="18"/>
                <w:szCs w:val="18"/>
                <w:color w:val="auto"/>
              </w:rPr>
            </w:pPr>
          </w:p>
        </w:tc>
        <w:tc>
          <w:tcPr>
            <w:tcW w:w="93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w w:val="99"/>
              </w:rPr>
              <w:t>participating outstanding Incentive Units held by the Continuing Incentive Unitholders are convertible (assuming such Incentive</w:t>
            </w:r>
          </w:p>
        </w:tc>
      </w:tr>
      <w:tr>
        <w:trPr>
          <w:trHeight w:val="233"/>
        </w:trPr>
        <w:tc>
          <w:tcPr>
            <w:tcW w:w="160" w:type="dxa"/>
            <w:vAlign w:val="bottom"/>
          </w:tcPr>
          <w:p>
            <w:pPr>
              <w:spacing w:after="0"/>
              <w:rPr>
                <w:sz w:val="20"/>
                <w:szCs w:val="20"/>
                <w:color w:val="auto"/>
              </w:rPr>
            </w:pPr>
          </w:p>
        </w:tc>
        <w:tc>
          <w:tcPr>
            <w:tcW w:w="93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Units are fully vested), which units have a weighted average per unit participation threshold of $            ;</w:t>
            </w:r>
          </w:p>
        </w:tc>
      </w:tr>
      <w:tr>
        <w:trPr>
          <w:trHeight w:val="315"/>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shares of Class A common stock in respect of stock options granted to certain Exchanging Class B Unitholders with an</w:t>
            </w:r>
          </w:p>
        </w:tc>
      </w:tr>
      <w:tr>
        <w:trPr>
          <w:trHeight w:val="233"/>
        </w:trPr>
        <w:tc>
          <w:tcPr>
            <w:tcW w:w="160" w:type="dxa"/>
            <w:vAlign w:val="bottom"/>
          </w:tcPr>
          <w:p>
            <w:pPr>
              <w:spacing w:after="0"/>
              <w:rPr>
                <w:sz w:val="20"/>
                <w:szCs w:val="20"/>
                <w:color w:val="auto"/>
              </w:rPr>
            </w:pPr>
          </w:p>
        </w:tc>
        <w:tc>
          <w:tcPr>
            <w:tcW w:w="93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exercise price per share of $29.00;</w:t>
            </w:r>
          </w:p>
        </w:tc>
      </w:tr>
      <w:tr>
        <w:trPr>
          <w:trHeight w:val="315"/>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shares of Class A common stock underlying RSUs granted to certain Exchanging Unitholders, which will be issuable</w:t>
            </w:r>
          </w:p>
        </w:tc>
      </w:tr>
      <w:tr>
        <w:trPr>
          <w:trHeight w:val="214"/>
        </w:trPr>
        <w:tc>
          <w:tcPr>
            <w:tcW w:w="160" w:type="dxa"/>
            <w:vAlign w:val="bottom"/>
          </w:tcPr>
          <w:p>
            <w:pPr>
              <w:spacing w:after="0"/>
              <w:rPr>
                <w:sz w:val="18"/>
                <w:szCs w:val="18"/>
                <w:color w:val="auto"/>
              </w:rPr>
            </w:pPr>
          </w:p>
        </w:tc>
        <w:tc>
          <w:tcPr>
            <w:tcW w:w="93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upon the settlement of such RSUs following the later of the date that is 180 days following the completion of our IPO and the</w:t>
            </w:r>
          </w:p>
        </w:tc>
      </w:tr>
      <w:tr>
        <w:trPr>
          <w:trHeight w:val="233"/>
        </w:trPr>
        <w:tc>
          <w:tcPr>
            <w:tcW w:w="160" w:type="dxa"/>
            <w:vAlign w:val="bottom"/>
          </w:tcPr>
          <w:p>
            <w:pPr>
              <w:spacing w:after="0"/>
              <w:rPr>
                <w:sz w:val="20"/>
                <w:szCs w:val="20"/>
                <w:color w:val="auto"/>
              </w:rPr>
            </w:pPr>
          </w:p>
        </w:tc>
        <w:tc>
          <w:tcPr>
            <w:tcW w:w="93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existing vesting date of the underlying unit; and</w:t>
            </w:r>
          </w:p>
        </w:tc>
      </w:tr>
      <w:tr>
        <w:trPr>
          <w:trHeight w:val="33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8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shares of Class A common stock underlying RSUs held by certain independent non-employee members of our board</w:t>
            </w:r>
          </w:p>
        </w:tc>
      </w:tr>
    </w:tbl>
    <w:p>
      <w:pPr>
        <w:ind w:left="1680" w:right="600"/>
        <w:spacing w:after="0" w:line="256" w:lineRule="auto"/>
        <w:rPr>
          <w:sz w:val="20"/>
          <w:szCs w:val="20"/>
          <w:color w:val="auto"/>
        </w:rPr>
      </w:pPr>
      <w:r>
        <w:rPr>
          <w:rFonts w:ascii="Times New Roman" w:cs="Times New Roman" w:eastAsia="Times New Roman" w:hAnsi="Times New Roman"/>
          <w:sz w:val="18"/>
          <w:szCs w:val="18"/>
          <w:color w:val="auto"/>
        </w:rPr>
        <w:t>of directors, which will be issuable upon the settlement of such RSUs following the vesting date of such director’s RSUs in respect of Class A Units;</w:t>
      </w:r>
    </w:p>
    <w:p>
      <w:pPr>
        <w:spacing w:after="0" w:line="88" w:lineRule="exact"/>
        <w:rPr>
          <w:sz w:val="20"/>
          <w:szCs w:val="20"/>
          <w:color w:val="auto"/>
        </w:rPr>
      </w:pPr>
    </w:p>
    <w:p>
      <w:pPr>
        <w:ind w:left="1280" w:right="380" w:hanging="410"/>
        <w:spacing w:after="0" w:line="278" w:lineRule="auto"/>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60,000,000 additional shares of Class A common stock that may be granted under the Omnibus Incentive Plan, including awards we expect to grant to our named executive officers, other executive officers, and independent directors; or</w:t>
      </w:r>
    </w:p>
    <w:p>
      <w:pPr>
        <w:spacing w:after="0" w:line="68" w:lineRule="exact"/>
        <w:rPr>
          <w:rFonts w:ascii="Times New Roman" w:cs="Times New Roman" w:eastAsia="Times New Roman" w:hAnsi="Times New Roman"/>
          <w:sz w:val="18"/>
          <w:szCs w:val="18"/>
          <w:color w:val="auto"/>
        </w:rPr>
      </w:pPr>
    </w:p>
    <w:p>
      <w:pPr>
        <w:ind w:left="1280" w:right="400" w:hanging="410"/>
        <w:spacing w:after="0" w:line="278" w:lineRule="auto"/>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 shares of Class A common stock available for issuance under the Medline Inc. 2025 Employee Stock Purchase Plan (the “ESPP”).</w:t>
      </w:r>
    </w:p>
    <w:p>
      <w:pPr>
        <w:spacing w:after="0" w:line="28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80"/>
          </w:cols>
          <w:pgMar w:left="320" w:top="451"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59404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34200" cy="5940425"/>
                    </a:xfrm>
                    <a:prstGeom prst="rect">
                      <a:avLst/>
                    </a:prstGeom>
                    <a:noFill/>
                  </pic:spPr>
                </pic:pic>
              </a:graphicData>
            </a:graphic>
          </wp:anchor>
        </w:drawing>
      </w:r>
    </w:p>
    <w:p>
      <w:pPr>
        <w:spacing w:after="0" w:line="28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Summary Historical and Pro Forma Condensed Consolidated Financial and Other Data</w:t>
      </w:r>
    </w:p>
    <w:p>
      <w:pPr>
        <w:spacing w:after="0" w:line="225" w:lineRule="exact"/>
        <w:rPr>
          <w:sz w:val="20"/>
          <w:szCs w:val="20"/>
          <w:color w:val="auto"/>
        </w:rPr>
      </w:pPr>
    </w:p>
    <w:p>
      <w:pPr>
        <w:ind w:left="340" w:right="60" w:firstLine="422"/>
        <w:spacing w:after="0" w:line="251" w:lineRule="auto"/>
        <w:rPr>
          <w:sz w:val="20"/>
          <w:szCs w:val="20"/>
          <w:color w:val="auto"/>
        </w:rPr>
      </w:pPr>
      <w:r>
        <w:rPr>
          <w:rFonts w:ascii="Times New Roman" w:cs="Times New Roman" w:eastAsia="Times New Roman" w:hAnsi="Times New Roman"/>
          <w:sz w:val="18"/>
          <w:szCs w:val="18"/>
          <w:color w:val="auto"/>
        </w:rPr>
        <w:t>The following table presents the summary historical consolidated financial and other data for Medline Holdings and its subsidiaries and the summary pro forma condensed consolidated financial and other data for Medline Inc. for the periods and at the dates indicated. Medline Inc. is a holding company, and its sole material assets are its equity interests held directly or indirectly through wholly owned subsidiaries in Medline Holdings. As the general partner of Medline Holdings, Medline Inc. operates and controls all of the business and affairs of Medline Holdings and, through Medline Holdings and its subsidiaries, conducts our business. The Reorganization Transactions lacked economic substance and therefore were accounted for in a manner consistent with a reorganization of entities under common control. As a result, the consolidated financial statements of Medline Inc. recognize the assets and liabilities received in the reorganization at their historical carrying amounts, as reflected in the historical financial statements of Medline Holdings. Medline Inc. consolidates Medline Holdings on its consolidated financial statements and records a non-controlling interest related to the Units held by our Continuing Unitholders on its consolidated balance sheet and consolidated statement of comprehensive income.</w:t>
      </w:r>
    </w:p>
    <w:p>
      <w:pPr>
        <w:spacing w:after="0" w:line="189" w:lineRule="exact"/>
        <w:rPr>
          <w:sz w:val="20"/>
          <w:szCs w:val="20"/>
          <w:color w:val="auto"/>
        </w:rPr>
      </w:pPr>
    </w:p>
    <w:p>
      <w:pPr>
        <w:ind w:left="340" w:firstLine="422"/>
        <w:spacing w:after="0" w:line="253" w:lineRule="auto"/>
        <w:rPr>
          <w:sz w:val="20"/>
          <w:szCs w:val="20"/>
          <w:color w:val="auto"/>
        </w:rPr>
      </w:pPr>
      <w:r>
        <w:rPr>
          <w:rFonts w:ascii="Times New Roman" w:cs="Times New Roman" w:eastAsia="Times New Roman" w:hAnsi="Times New Roman"/>
          <w:sz w:val="18"/>
          <w:szCs w:val="18"/>
          <w:color w:val="auto"/>
        </w:rPr>
        <w:t>The summary unaudited condensed consolidated statements of comprehensive income data and statements of cash flows data presented below for the nine months ended September 27, 2025 and September 28, 2024 and the summary unaudited condensed consolidated balance sheet data presented below as of September 27, 2025 have been derived from the unaudited condensed consolidated financial statements of Medline Holdings included elsewhere in this prospectus. The summary consolidated statements of comprehensive income data and statements of cash flows data presented below for the years ended December 31, 2024, 2023 and 2022 and the summary consolidated balance sheet data presented below as of December 31, 2024 and 2023 have been derived from the consolidated financial statements of Medline Holdings included elsewhere in this prospectus.</w:t>
      </w:r>
    </w:p>
    <w:p>
      <w:pPr>
        <w:spacing w:after="0" w:line="184" w:lineRule="exact"/>
        <w:rPr>
          <w:sz w:val="20"/>
          <w:szCs w:val="20"/>
          <w:color w:val="auto"/>
        </w:rPr>
      </w:pPr>
    </w:p>
    <w:p>
      <w:pPr>
        <w:ind w:left="340" w:right="340" w:firstLine="422"/>
        <w:spacing w:after="0" w:line="278" w:lineRule="auto"/>
        <w:rPr>
          <w:sz w:val="20"/>
          <w:szCs w:val="20"/>
          <w:color w:val="auto"/>
        </w:rPr>
      </w:pPr>
      <w:r>
        <w:rPr>
          <w:rFonts w:ascii="Times New Roman" w:cs="Times New Roman" w:eastAsia="Times New Roman" w:hAnsi="Times New Roman"/>
          <w:sz w:val="18"/>
          <w:szCs w:val="18"/>
          <w:color w:val="auto"/>
        </w:rPr>
        <w:t>Medline Inc. had no significant business transactions or activities prior to the Reorganization Transactions, and, as a result, the historical financial information reflects that of Medline Holdings.</w:t>
      </w:r>
    </w:p>
    <w:p>
      <w:pPr>
        <w:spacing w:after="0" w:line="162" w:lineRule="exact"/>
        <w:rPr>
          <w:sz w:val="20"/>
          <w:szCs w:val="20"/>
          <w:color w:val="auto"/>
        </w:rPr>
      </w:pPr>
    </w:p>
    <w:p>
      <w:pPr>
        <w:ind w:left="340" w:right="40" w:firstLine="422"/>
        <w:spacing w:after="0" w:line="25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on the same basis as the audited consolidated financial statements and, in our opinion, have included all adjustments, which include only normal recurring adjustments, necessary to present fairly in all material respects our financial position and results of operations. The results for any interim period are not necessarily indicative of the results that may be expected for the full year. Historical results are not necessarily indicative of the results expected for any future period. You should read the summary historical consolidated financial data below, together with the consolidated financial statements and related notes thereto included elsewhere in this prospectus, as well as “Organizational Structure,” “Unaudited Pro Forma Condensed Consolidated Financial Information,” “Management’s Discussion and Analysis of Financial Condition and Results of Operations,” “Description of Certain Indebtedness” and the other information included elsewhere in this prospectus.</w:t>
      </w:r>
    </w:p>
    <w:p>
      <w:pPr>
        <w:spacing w:after="0" w:line="187" w:lineRule="exact"/>
        <w:rPr>
          <w:sz w:val="20"/>
          <w:szCs w:val="20"/>
          <w:color w:val="auto"/>
        </w:rPr>
      </w:pPr>
    </w:p>
    <w:p>
      <w:pPr>
        <w:ind w:left="340" w:firstLine="422"/>
        <w:spacing w:after="0" w:line="251" w:lineRule="auto"/>
        <w:rPr>
          <w:sz w:val="20"/>
          <w:szCs w:val="20"/>
          <w:color w:val="auto"/>
        </w:rPr>
      </w:pPr>
      <w:r>
        <w:rPr>
          <w:rFonts w:ascii="Times New Roman" w:cs="Times New Roman" w:eastAsia="Times New Roman" w:hAnsi="Times New Roman"/>
          <w:sz w:val="18"/>
          <w:szCs w:val="18"/>
          <w:color w:val="auto"/>
        </w:rPr>
        <w:t>The summary unaudited pro forma condensed consolidated financial data of Medline Inc. presented below has been derived from our unaudited pro forma condensed consolidated financial information included elsewhere in this prospectus. The summary unaudited pro forma condensed consolidated statements of income data for the nine months ended September 27, 2025 and for the year ended December 31, 2024 gives effect to the Reorganization Transactions and the IPO Transactions as if they had occurred on January 1, 2024. The summary unaudited pro forma condensed consolidated balance sheet data as of September 27, 2025 gives effect to the transactions described under “Unaudited Pro Forma Condensed Consolidated Financial Information,” including the IPO Transactions and the application of the proceeds therefrom, as if they had occurred on September 27, 2025. The following summary unaudited condensed consolidated pro forma financial information is presented for illustrative purposes only and is not necessarily indicative of the operating results or financial position that would have occurred if the relevant transactions had been consummated on the dates indicated, nor is it indicative of</w:t>
      </w:r>
    </w:p>
    <w:p>
      <w:pPr>
        <w:spacing w:after="0" w:line="3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840"/>
          </w:cols>
          <w:pgMar w:left="320" w:top="451" w:right="7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55924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34200" cy="5592445"/>
                    </a:xfrm>
                    <a:prstGeom prst="rect">
                      <a:avLst/>
                    </a:prstGeom>
                    <a:noFill/>
                  </pic:spPr>
                </pic:pic>
              </a:graphicData>
            </a:graphic>
          </wp:anchor>
        </w:drawing>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operating results or financial position. See “Unaudited Pro Forma Condensed Consolidated Financial Information.”</w:t>
      </w:r>
    </w:p>
    <w:p>
      <w:pPr>
        <w:spacing w:after="0" w:line="241"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6"/>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Medline Inc.</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8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Medline Holdings, LP</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220" w:type="dxa"/>
            <w:vAlign w:val="bottom"/>
            <w:tcBorders>
              <w:top w:val="single" w:sz="8" w:color="auto"/>
              <w:bottom w:val="single" w:sz="8" w:color="auto"/>
            </w:tcBorders>
            <w:gridSpan w:val="5"/>
          </w:tcPr>
          <w:p>
            <w:pPr>
              <w:jc w:val="right"/>
              <w:ind w:right="401"/>
              <w:spacing w:after="0" w:line="141" w:lineRule="exact"/>
              <w:rPr>
                <w:sz w:val="20"/>
                <w:szCs w:val="20"/>
                <w:color w:val="auto"/>
              </w:rPr>
            </w:pPr>
            <w:r>
              <w:rPr>
                <w:rFonts w:ascii="Times New Roman" w:cs="Times New Roman" w:eastAsia="Times New Roman" w:hAnsi="Times New Roman"/>
                <w:sz w:val="14"/>
                <w:szCs w:val="14"/>
                <w:b w:val="1"/>
                <w:bCs w:val="1"/>
                <w:color w:val="auto"/>
              </w:rPr>
              <w:t>Unaudited Pro Forma</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740" w:type="dxa"/>
            <w:vAlign w:val="bottom"/>
            <w:tcBorders>
              <w:top w:val="single" w:sz="8" w:color="auto"/>
              <w:bottom w:val="single" w:sz="8" w:color="auto"/>
            </w:tcBorders>
            <w:gridSpan w:val="5"/>
          </w:tcPr>
          <w:p>
            <w:pPr>
              <w:jc w:val="right"/>
              <w:ind w:right="280"/>
              <w:spacing w:after="0" w:line="141" w:lineRule="exact"/>
              <w:rPr>
                <w:sz w:val="20"/>
                <w:szCs w:val="20"/>
                <w:color w:val="auto"/>
              </w:rPr>
            </w:pPr>
            <w:r>
              <w:rPr>
                <w:rFonts w:ascii="Times New Roman" w:cs="Times New Roman" w:eastAsia="Times New Roman" w:hAnsi="Times New Roman"/>
                <w:sz w:val="14"/>
                <w:szCs w:val="14"/>
                <w:b w:val="1"/>
                <w:bCs w:val="1"/>
                <w:color w:val="auto"/>
              </w:rPr>
              <w:t>Unaudited Historical</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3"/>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millions,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260"/>
              <w:spacing w:after="0" w:line="116"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0"/>
                <w:szCs w:val="10"/>
                <w:color w:val="auto"/>
              </w:rPr>
            </w:pPr>
          </w:p>
        </w:tc>
        <w:tc>
          <w:tcPr>
            <w:tcW w:w="1040" w:type="dxa"/>
            <w:vAlign w:val="bottom"/>
            <w:gridSpan w:val="3"/>
          </w:tcPr>
          <w:p>
            <w:pPr>
              <w:jc w:val="center"/>
              <w:ind w:right="180"/>
              <w:spacing w:after="0" w:line="116"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120" w:type="dxa"/>
            <w:vAlign w:val="bottom"/>
          </w:tcPr>
          <w:p>
            <w:pPr>
              <w:spacing w:after="0"/>
              <w:rPr>
                <w:sz w:val="10"/>
                <w:szCs w:val="10"/>
                <w:color w:val="auto"/>
              </w:rPr>
            </w:pPr>
          </w:p>
        </w:tc>
        <w:tc>
          <w:tcPr>
            <w:tcW w:w="860" w:type="dxa"/>
            <w:vAlign w:val="bottom"/>
            <w:gridSpan w:val="2"/>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0" w:type="dxa"/>
            <w:vAlign w:val="bottom"/>
          </w:tcPr>
          <w:p>
            <w:pPr>
              <w:spacing w:after="0"/>
              <w:rPr>
                <w:sz w:val="10"/>
                <w:szCs w:val="10"/>
                <w:color w:val="auto"/>
              </w:rPr>
            </w:pPr>
          </w:p>
        </w:tc>
        <w:tc>
          <w:tcPr>
            <w:tcW w:w="100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0"/>
                <w:szCs w:val="10"/>
                <w:color w:val="auto"/>
              </w:rPr>
            </w:pPr>
          </w:p>
        </w:tc>
        <w:tc>
          <w:tcPr>
            <w:tcW w:w="9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7"/>
        </w:trPr>
        <w:tc>
          <w:tcPr>
            <w:tcW w:w="2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20" w:type="dxa"/>
            <w:vAlign w:val="bottom"/>
          </w:tcPr>
          <w:p>
            <w:pPr>
              <w:spacing w:after="0"/>
              <w:rPr>
                <w:sz w:val="12"/>
                <w:szCs w:val="12"/>
                <w:color w:val="auto"/>
              </w:rPr>
            </w:pPr>
          </w:p>
        </w:tc>
        <w:tc>
          <w:tcPr>
            <w:tcW w:w="1040" w:type="dxa"/>
            <w:vAlign w:val="bottom"/>
            <w:gridSpan w:val="3"/>
          </w:tcPr>
          <w:p>
            <w:pPr>
              <w:jc w:val="center"/>
              <w:ind w:right="89"/>
              <w:spacing w:after="0" w:line="147"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other than per share</w:t>
            </w:r>
          </w:p>
        </w:tc>
        <w:tc>
          <w:tcPr>
            <w:tcW w:w="160" w:type="dxa"/>
            <w:vAlign w:val="bottom"/>
          </w:tcPr>
          <w:p>
            <w:pPr>
              <w:spacing w:after="0"/>
              <w:rPr>
                <w:sz w:val="12"/>
                <w:szCs w:val="12"/>
                <w:color w:val="auto"/>
              </w:rPr>
            </w:pPr>
          </w:p>
        </w:tc>
        <w:tc>
          <w:tcPr>
            <w:tcW w:w="1180" w:type="dxa"/>
            <w:vAlign w:val="bottom"/>
            <w:gridSpan w:val="3"/>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040" w:type="dxa"/>
            <w:vAlign w:val="bottom"/>
            <w:gridSpan w:val="3"/>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20" w:type="dxa"/>
            <w:vAlign w:val="bottom"/>
          </w:tcPr>
          <w:p>
            <w:pPr>
              <w:spacing w:after="0"/>
              <w:rPr>
                <w:sz w:val="12"/>
                <w:szCs w:val="12"/>
                <w:color w:val="auto"/>
              </w:rPr>
            </w:pPr>
          </w:p>
        </w:tc>
        <w:tc>
          <w:tcPr>
            <w:tcW w:w="1040" w:type="dxa"/>
            <w:vAlign w:val="bottom"/>
            <w:gridSpan w:val="3"/>
          </w:tcPr>
          <w:p>
            <w:pPr>
              <w:jc w:val="center"/>
              <w:ind w:right="109"/>
              <w:spacing w:after="0" w:line="147"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20" w:type="dxa"/>
            <w:vAlign w:val="bottom"/>
          </w:tcPr>
          <w:p>
            <w:pPr>
              <w:spacing w:after="0"/>
              <w:rPr>
                <w:sz w:val="12"/>
                <w:szCs w:val="12"/>
                <w:color w:val="auto"/>
              </w:rPr>
            </w:pPr>
          </w:p>
        </w:tc>
        <w:tc>
          <w:tcPr>
            <w:tcW w:w="108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2"/>
                <w:szCs w:val="12"/>
                <w:color w:val="auto"/>
              </w:rPr>
            </w:pPr>
          </w:p>
        </w:tc>
        <w:tc>
          <w:tcPr>
            <w:tcW w:w="1000" w:type="dxa"/>
            <w:vAlign w:val="bottom"/>
            <w:gridSpan w:val="3"/>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920" w:type="dxa"/>
            <w:vAlign w:val="bottom"/>
            <w:gridSpan w:val="3"/>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2"/>
        </w:trPr>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data)</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60" w:type="dxa"/>
            <w:vAlign w:val="bottom"/>
            <w:tcBorders>
              <w:top w:val="single" w:sz="8" w:color="CCEEFF"/>
            </w:tcBorders>
            <w:shd w:val="clear" w:color="auto" w:fill="CCEEFF"/>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Summary Statements of</w:t>
            </w: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Net sales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20,645</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25,507</w:t>
            </w:r>
          </w:p>
        </w:tc>
        <w:tc>
          <w:tcPr>
            <w:tcW w:w="180" w:type="dxa"/>
            <w:vAlign w:val="bottom"/>
          </w:tcPr>
          <w:p>
            <w:pPr>
              <w:spacing w:after="0"/>
              <w:rPr>
                <w:sz w:val="17"/>
                <w:szCs w:val="17"/>
                <w:color w:val="auto"/>
              </w:rPr>
            </w:pPr>
          </w:p>
        </w:tc>
        <w:tc>
          <w:tcPr>
            <w:tcW w:w="400" w:type="dxa"/>
            <w:vAlign w:val="bottom"/>
            <w:gridSpan w:val="2"/>
          </w:tcPr>
          <w:p>
            <w:pPr>
              <w:jc w:val="right"/>
              <w:ind w:right="126"/>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20,645</w:t>
            </w:r>
          </w:p>
        </w:tc>
        <w:tc>
          <w:tcPr>
            <w:tcW w:w="180" w:type="dxa"/>
            <w:vAlign w:val="bottom"/>
          </w:tcPr>
          <w:p>
            <w:pPr>
              <w:spacing w:after="0"/>
              <w:rPr>
                <w:sz w:val="17"/>
                <w:szCs w:val="17"/>
                <w:color w:val="auto"/>
              </w:rPr>
            </w:pPr>
          </w:p>
        </w:tc>
        <w:tc>
          <w:tcPr>
            <w:tcW w:w="400" w:type="dxa"/>
            <w:vAlign w:val="bottom"/>
            <w:gridSpan w:val="2"/>
          </w:tcPr>
          <w:p>
            <w:pPr>
              <w:jc w:val="right"/>
              <w:ind w:right="126"/>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18,723</w:t>
            </w:r>
          </w:p>
        </w:tc>
        <w:tc>
          <w:tcPr>
            <w:tcW w:w="180" w:type="dxa"/>
            <w:vAlign w:val="bottom"/>
          </w:tcPr>
          <w:p>
            <w:pPr>
              <w:spacing w:after="0"/>
              <w:rPr>
                <w:sz w:val="17"/>
                <w:szCs w:val="17"/>
                <w:color w:val="auto"/>
              </w:rPr>
            </w:pP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25,507</w:t>
            </w:r>
          </w:p>
        </w:tc>
        <w:tc>
          <w:tcPr>
            <w:tcW w:w="240" w:type="dxa"/>
            <w:vAlign w:val="bottom"/>
          </w:tcPr>
          <w:p>
            <w:pPr>
              <w:spacing w:after="0"/>
              <w:rPr>
                <w:sz w:val="17"/>
                <w:szCs w:val="17"/>
                <w:color w:val="auto"/>
              </w:rPr>
            </w:pPr>
          </w:p>
        </w:tc>
        <w:tc>
          <w:tcPr>
            <w:tcW w:w="300" w:type="dxa"/>
            <w:vAlign w:val="bottom"/>
            <w:gridSpan w:val="2"/>
          </w:tcPr>
          <w:p>
            <w:pPr>
              <w:jc w:val="right"/>
              <w:ind w:right="105"/>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23,231</w:t>
            </w:r>
          </w:p>
        </w:tc>
        <w:tc>
          <w:tcPr>
            <w:tcW w:w="160" w:type="dxa"/>
            <w:vAlign w:val="bottom"/>
          </w:tcPr>
          <w:p>
            <w:pPr>
              <w:spacing w:after="0"/>
              <w:rPr>
                <w:sz w:val="17"/>
                <w:szCs w:val="17"/>
                <w:color w:val="auto"/>
              </w:rPr>
            </w:pPr>
          </w:p>
        </w:tc>
        <w:tc>
          <w:tcPr>
            <w:tcW w:w="38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18,531</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6,976</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administrative expenses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4,108</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Other operating expenses</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expense</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4,830</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2,146</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 income</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(646)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2"/>
          </w:tcPr>
          <w:p>
            <w:pPr>
              <w:jc w:val="right"/>
              <w:ind w:right="49"/>
              <w:spacing w:after="0"/>
              <w:rPr>
                <w:sz w:val="20"/>
                <w:szCs w:val="20"/>
                <w:color w:val="auto"/>
              </w:rPr>
            </w:pPr>
            <w:r>
              <w:rPr>
                <w:rFonts w:ascii="Times New Roman" w:cs="Times New Roman" w:eastAsia="Times New Roman" w:hAnsi="Times New Roman"/>
                <w:sz w:val="16"/>
                <w:szCs w:val="16"/>
                <w:color w:val="auto"/>
              </w:rPr>
              <w:t>(655)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(864)</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(976)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(872)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 income, net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(43)</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Foreign exchange (loss) gain, net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2"/>
          </w:tcPr>
          <w:p>
            <w:pPr>
              <w:jc w:val="right"/>
              <w:ind w:right="49"/>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other expense</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(745)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6"/>
                <w:szCs w:val="16"/>
                <w:color w:val="auto"/>
              </w:rPr>
              <w:t>(713)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(900)</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(986)</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(851)</w:t>
            </w:r>
          </w:p>
        </w:tc>
        <w:tc>
          <w:tcPr>
            <w:tcW w:w="0" w:type="dxa"/>
            <w:vAlign w:val="bottom"/>
          </w:tcPr>
          <w:p>
            <w:pPr>
              <w:spacing w:after="0"/>
              <w:rPr>
                <w:sz w:val="1"/>
                <w:szCs w:val="1"/>
                <w:color w:val="auto"/>
              </w:rPr>
            </w:pPr>
          </w:p>
        </w:tc>
      </w:tr>
      <w:tr>
        <w:trPr>
          <w:trHeight w:val="202"/>
        </w:trPr>
        <w:tc>
          <w:tcPr>
            <w:tcW w:w="2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6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6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Net income attributable to</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attributable to</w:t>
            </w: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Medline Inc.</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2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Pro Forma Net Income Per</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0.68</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Pro forma weighted-average</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shares used to compute net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income per share: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798,168,619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797,952,430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1,329,778,049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1,327,322,578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 xml:space="preserve">       </w:t>
            </w:r>
          </w:p>
        </w:tc>
        <w:tc>
          <w:tcPr>
            <w:tcW w:w="1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jc w:val="right"/>
              <w:ind w:right="229"/>
              <w:spacing w:after="0"/>
              <w:rPr>
                <w:sz w:val="20"/>
                <w:szCs w:val="20"/>
                <w:color w:val="auto"/>
              </w:rPr>
            </w:pPr>
            <w:r>
              <w:rPr>
                <w:rFonts w:ascii="Times New Roman" w:cs="Times New Roman" w:eastAsia="Times New Roman" w:hAnsi="Times New Roman"/>
                <w:sz w:val="16"/>
                <w:szCs w:val="16"/>
                <w:color w:val="auto"/>
              </w:rPr>
              <w:t xml:space="preserve">       </w:t>
            </w:r>
          </w:p>
        </w:tc>
        <w:tc>
          <w:tcPr>
            <w:tcW w:w="120" w:type="dxa"/>
            <w:vAlign w:val="bottom"/>
          </w:tcPr>
          <w:p>
            <w:pPr>
              <w:spacing w:after="0"/>
              <w:rPr>
                <w:sz w:val="17"/>
                <w:szCs w:val="17"/>
                <w:color w:val="auto"/>
              </w:rPr>
            </w:pPr>
          </w:p>
        </w:tc>
        <w:tc>
          <w:tcPr>
            <w:tcW w:w="260" w:type="dxa"/>
            <w:vAlign w:val="bottom"/>
          </w:tcPr>
          <w:p>
            <w:pPr>
              <w:ind w:left="200"/>
              <w:spacing w:after="0"/>
              <w:rPr>
                <w:sz w:val="20"/>
                <w:szCs w:val="20"/>
                <w:color w:val="auto"/>
              </w:rPr>
            </w:pPr>
            <w:r>
              <w:rPr>
                <w:rFonts w:ascii="Times New Roman" w:cs="Times New Roman" w:eastAsia="Times New Roman" w:hAnsi="Times New Roman"/>
                <w:sz w:val="5"/>
                <w:szCs w:val="5"/>
                <w:color w:val="auto"/>
                <w:w w:val="79"/>
              </w:rPr>
              <w:t> </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 xml:space="preserve">       </w:t>
            </w:r>
          </w:p>
        </w:tc>
        <w:tc>
          <w:tcPr>
            <w:tcW w:w="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 xml:space="preserve">       </w:t>
            </w:r>
          </w:p>
        </w:tc>
        <w:tc>
          <w:tcPr>
            <w:tcW w:w="1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00"/>
          </w:cols>
          <w:pgMar w:left="320" w:top="451" w:right="6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62801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34200" cy="6280150"/>
                    </a:xfrm>
                    <a:prstGeom prst="rect">
                      <a:avLst/>
                    </a:prstGeom>
                    <a:noFill/>
                  </pic:spPr>
                </pic:pic>
              </a:graphicData>
            </a:graphic>
          </wp:anchor>
        </w:drawing>
      </w:r>
    </w:p>
    <w:p>
      <w:pPr>
        <w:spacing w:after="0" w:line="283"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4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Medline Inc.</w:t>
            </w:r>
          </w:p>
        </w:tc>
        <w:tc>
          <w:tcPr>
            <w:tcW w:w="7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Medline Holdings, LP</w:t>
            </w: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0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gridSpan w:val="2"/>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720" w:type="dxa"/>
            <w:vAlign w:val="bottom"/>
          </w:tcPr>
          <w:p>
            <w:pPr>
              <w:spacing w:after="0"/>
              <w:rPr>
                <w:sz w:val="10"/>
                <w:szCs w:val="10"/>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4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Pro</w:t>
            </w:r>
          </w:p>
        </w:tc>
        <w:tc>
          <w:tcPr>
            <w:tcW w:w="7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Forma</w:t>
            </w:r>
          </w:p>
        </w:tc>
        <w:tc>
          <w:tcPr>
            <w:tcW w:w="72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7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0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gridSpan w:val="2"/>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As of</w:t>
            </w:r>
          </w:p>
        </w:tc>
        <w:tc>
          <w:tcPr>
            <w:tcW w:w="720" w:type="dxa"/>
            <w:vAlign w:val="bottom"/>
          </w:tcPr>
          <w:p>
            <w:pPr>
              <w:spacing w:after="0"/>
              <w:rPr>
                <w:sz w:val="10"/>
                <w:szCs w:val="10"/>
                <w:color w:val="auto"/>
              </w:rPr>
            </w:pPr>
          </w:p>
        </w:tc>
        <w:tc>
          <w:tcPr>
            <w:tcW w:w="860" w:type="dxa"/>
            <w:vAlign w:val="bottom"/>
            <w:gridSpan w:val="2"/>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As of</w:t>
            </w:r>
          </w:p>
        </w:tc>
        <w:tc>
          <w:tcPr>
            <w:tcW w:w="720" w:type="dxa"/>
            <w:vAlign w:val="bottom"/>
          </w:tcPr>
          <w:p>
            <w:pPr>
              <w:spacing w:after="0"/>
              <w:rPr>
                <w:sz w:val="10"/>
                <w:szCs w:val="10"/>
                <w:color w:val="auto"/>
              </w:rPr>
            </w:pPr>
          </w:p>
        </w:tc>
        <w:tc>
          <w:tcPr>
            <w:tcW w:w="1500" w:type="dxa"/>
            <w:vAlign w:val="bottom"/>
            <w:gridSpan w:val="3"/>
          </w:tcPr>
          <w:p>
            <w:pPr>
              <w:jc w:val="center"/>
              <w:ind w:right="609"/>
              <w:spacing w:after="0" w:line="116" w:lineRule="exact"/>
              <w:rPr>
                <w:sz w:val="20"/>
                <w:szCs w:val="20"/>
                <w:color w:val="auto"/>
              </w:rPr>
            </w:pPr>
            <w:r>
              <w:rPr>
                <w:rFonts w:ascii="Times New Roman" w:cs="Times New Roman" w:eastAsia="Times New Roman" w:hAnsi="Times New Roman"/>
                <w:sz w:val="13"/>
                <w:szCs w:val="13"/>
                <w:b w:val="1"/>
                <w:bCs w:val="1"/>
                <w:color w:val="auto"/>
              </w:rPr>
              <w:t>As of</w:t>
            </w:r>
          </w:p>
        </w:tc>
        <w:tc>
          <w:tcPr>
            <w:tcW w:w="40" w:type="dxa"/>
            <w:vAlign w:val="bottom"/>
          </w:tcPr>
          <w:p>
            <w:pPr>
              <w:spacing w:after="0"/>
              <w:rPr>
                <w:sz w:val="10"/>
                <w:szCs w:val="10"/>
                <w:color w:val="auto"/>
              </w:rPr>
            </w:pPr>
          </w:p>
        </w:tc>
        <w:tc>
          <w:tcPr>
            <w:tcW w:w="820" w:type="dxa"/>
            <w:vAlign w:val="bottom"/>
            <w:gridSpan w:val="2"/>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As of</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4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millions)</w:t>
            </w:r>
          </w:p>
        </w:tc>
        <w:tc>
          <w:tcPr>
            <w:tcW w:w="900" w:type="dxa"/>
            <w:vAlign w:val="bottom"/>
          </w:tcPr>
          <w:p>
            <w:pPr>
              <w:spacing w:after="0"/>
              <w:rPr>
                <w:sz w:val="12"/>
                <w:szCs w:val="12"/>
                <w:color w:val="auto"/>
              </w:rPr>
            </w:pPr>
          </w:p>
        </w:tc>
        <w:tc>
          <w:tcPr>
            <w:tcW w:w="86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720" w:type="dxa"/>
            <w:vAlign w:val="bottom"/>
          </w:tcPr>
          <w:p>
            <w:pPr>
              <w:spacing w:after="0"/>
              <w:rPr>
                <w:sz w:val="12"/>
                <w:szCs w:val="12"/>
                <w:color w:val="auto"/>
              </w:rPr>
            </w:pPr>
          </w:p>
        </w:tc>
        <w:tc>
          <w:tcPr>
            <w:tcW w:w="86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720" w:type="dxa"/>
            <w:vAlign w:val="bottom"/>
          </w:tcPr>
          <w:p>
            <w:pPr>
              <w:spacing w:after="0"/>
              <w:rPr>
                <w:sz w:val="12"/>
                <w:szCs w:val="12"/>
                <w:color w:val="auto"/>
              </w:rPr>
            </w:pPr>
          </w:p>
        </w:tc>
        <w:tc>
          <w:tcPr>
            <w:tcW w:w="150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2"/>
                <w:szCs w:val="12"/>
                <w:color w:val="auto"/>
              </w:rPr>
            </w:pPr>
          </w:p>
        </w:tc>
        <w:tc>
          <w:tcPr>
            <w:tcW w:w="880" w:type="dxa"/>
            <w:vAlign w:val="bottom"/>
            <w:gridSpan w:val="3"/>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2"/>
        </w:trPr>
        <w:tc>
          <w:tcPr>
            <w:tcW w:w="4060" w:type="dxa"/>
            <w:vAlign w:val="bottom"/>
            <w:vMerge w:val="continue"/>
          </w:tcPr>
          <w:p>
            <w:pPr>
              <w:spacing w:after="0"/>
              <w:rPr>
                <w:sz w:val="14"/>
                <w:szCs w:val="14"/>
                <w:color w:val="auto"/>
              </w:rPr>
            </w:pPr>
          </w:p>
        </w:tc>
        <w:tc>
          <w:tcPr>
            <w:tcW w:w="1760" w:type="dxa"/>
            <w:vAlign w:val="bottom"/>
            <w:gridSpan w:val="3"/>
          </w:tcPr>
          <w:p>
            <w:pPr>
              <w:jc w:val="center"/>
              <w:ind w:left="8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80" w:type="dxa"/>
            <w:vAlign w:val="bottom"/>
            <w:gridSpan w:val="3"/>
          </w:tcPr>
          <w:p>
            <w:pPr>
              <w:jc w:val="center"/>
              <w:ind w:left="6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40" w:type="dxa"/>
            <w:vAlign w:val="bottom"/>
            <w:gridSpan w:val="3"/>
          </w:tcPr>
          <w:p>
            <w:pPr>
              <w:jc w:val="center"/>
              <w:ind w:left="62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8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Summary Balance Sheet Data:</w:t>
            </w:r>
          </w:p>
        </w:tc>
        <w:tc>
          <w:tcPr>
            <w:tcW w:w="9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7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7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4"/>
                <w:szCs w:val="4"/>
                <w:b w:val="1"/>
                <w:bCs w:val="1"/>
                <w:color w:val="auto"/>
                <w:w w:val="98"/>
              </w:rPr>
              <w:t> </w:t>
            </w:r>
          </w:p>
        </w:tc>
        <w:tc>
          <w:tcPr>
            <w:tcW w:w="48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6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8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100" w:type="dxa"/>
            <w:vAlign w:val="bottom"/>
            <w:gridSpan w:val="2"/>
          </w:tcPr>
          <w:p>
            <w:pPr>
              <w:jc w:val="right"/>
              <w:ind w:right="22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680" w:type="dxa"/>
            <w:vAlign w:val="bottom"/>
          </w:tcPr>
          <w:p>
            <w:pPr>
              <w:spacing w:after="0"/>
              <w:rPr>
                <w:sz w:val="18"/>
                <w:szCs w:val="18"/>
                <w:color w:val="auto"/>
              </w:rPr>
            </w:pPr>
          </w:p>
        </w:tc>
        <w:tc>
          <w:tcPr>
            <w:tcW w:w="360" w:type="dxa"/>
            <w:vAlign w:val="bottom"/>
            <w:gridSpan w:val="2"/>
          </w:tcPr>
          <w:p>
            <w:pPr>
              <w:jc w:val="right"/>
              <w:ind w:right="16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38,460</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36,883</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35,978</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36,122</w:t>
            </w:r>
          </w:p>
        </w:tc>
        <w:tc>
          <w:tcPr>
            <w:tcW w:w="0" w:type="dxa"/>
            <w:vAlign w:val="bottom"/>
          </w:tcPr>
          <w:p>
            <w:pPr>
              <w:spacing w:after="0"/>
              <w:rPr>
                <w:sz w:val="1"/>
                <w:szCs w:val="1"/>
                <w:color w:val="auto"/>
              </w:rPr>
            </w:pPr>
          </w:p>
        </w:tc>
      </w:tr>
      <w:tr>
        <w:trPr>
          <w:trHeight w:val="21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19,187</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19,742</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19,454</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19,145</w:t>
            </w:r>
          </w:p>
        </w:tc>
        <w:tc>
          <w:tcPr>
            <w:tcW w:w="0" w:type="dxa"/>
            <w:vAlign w:val="bottom"/>
          </w:tcPr>
          <w:p>
            <w:pPr>
              <w:spacing w:after="0"/>
              <w:rPr>
                <w:sz w:val="1"/>
                <w:szCs w:val="1"/>
                <w:color w:val="auto"/>
              </w:rPr>
            </w:pPr>
          </w:p>
        </w:tc>
      </w:tr>
      <w:tr>
        <w:trPr>
          <w:trHeight w:val="214"/>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mezzanine equity</w:t>
            </w: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3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 partners’ capital / shareholders’ equity</w:t>
            </w: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19,273</w:t>
            </w: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16,774</w:t>
            </w: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16,158</w:t>
            </w: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16,744</w:t>
            </w:r>
          </w:p>
        </w:tc>
        <w:tc>
          <w:tcPr>
            <w:tcW w:w="0" w:type="dxa"/>
            <w:vAlign w:val="bottom"/>
          </w:tcPr>
          <w:p>
            <w:pPr>
              <w:spacing w:after="0"/>
              <w:rPr>
                <w:sz w:val="1"/>
                <w:szCs w:val="1"/>
                <w:color w:val="auto"/>
              </w:rPr>
            </w:pPr>
          </w:p>
        </w:tc>
      </w:tr>
    </w:tbl>
    <w:p>
      <w:pPr>
        <w:spacing w:after="0" w:line="197"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7"/>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Medline Holdings, LP</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gridSpan w:val="8"/>
          </w:tcPr>
          <w:p>
            <w:pPr>
              <w:ind w:left="400"/>
              <w:spacing w:after="0" w:line="141" w:lineRule="exact"/>
              <w:rPr>
                <w:sz w:val="20"/>
                <w:szCs w:val="20"/>
                <w:color w:val="auto"/>
              </w:rPr>
            </w:pPr>
            <w:r>
              <w:rPr>
                <w:rFonts w:ascii="Times New Roman" w:cs="Times New Roman" w:eastAsia="Times New Roman" w:hAnsi="Times New Roman"/>
                <w:sz w:val="14"/>
                <w:szCs w:val="14"/>
                <w:b w:val="1"/>
                <w:bCs w:val="1"/>
                <w:color w:val="auto"/>
              </w:rPr>
              <w:t>Unaudited Historical</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4"/>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gridSpan w:val="4"/>
          </w:tcPr>
          <w:p>
            <w:pPr>
              <w:jc w:val="center"/>
              <w:ind w:right="220"/>
              <w:spacing w:after="0" w:line="116"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gridSpan w:val="3"/>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0" w:type="dxa"/>
            <w:vAlign w:val="bottom"/>
          </w:tcPr>
          <w:p>
            <w:pPr>
              <w:spacing w:after="0"/>
              <w:rPr>
                <w:sz w:val="1"/>
                <w:szCs w:val="1"/>
                <w:color w:val="auto"/>
              </w:rPr>
            </w:pPr>
          </w:p>
        </w:tc>
      </w:tr>
      <w:tr>
        <w:trPr>
          <w:trHeight w:val="147"/>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Ended</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millions)</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4"/>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4"/>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5"/>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4"/>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5"/>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2"/>
        </w:trPr>
        <w:tc>
          <w:tcPr>
            <w:tcW w:w="334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Summary Statements of Cash Flows Data:</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4"/>
                <w:szCs w:val="4"/>
                <w:b w:val="1"/>
                <w:bCs w:val="1"/>
                <w:color w:val="auto"/>
                <w:w w:val="98"/>
              </w:rPr>
              <w:t> </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b w:val="1"/>
                <w:bCs w:val="1"/>
                <w:color w:val="auto"/>
                <w:w w:val="98"/>
              </w:rPr>
              <w:t> </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2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80" w:type="dxa"/>
            <w:vAlign w:val="bottom"/>
          </w:tcPr>
          <w:p>
            <w:pPr>
              <w:spacing w:after="0"/>
              <w:rPr>
                <w:sz w:val="18"/>
                <w:szCs w:val="18"/>
                <w:color w:val="auto"/>
              </w:rPr>
            </w:pPr>
          </w:p>
        </w:tc>
        <w:tc>
          <w:tcPr>
            <w:tcW w:w="6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32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260" w:type="dxa"/>
            <w:vAlign w:val="bottom"/>
          </w:tcPr>
          <w:p>
            <w:pPr>
              <w:spacing w:after="0"/>
              <w:rPr>
                <w:sz w:val="18"/>
                <w:szCs w:val="18"/>
                <w:color w:val="auto"/>
              </w:rPr>
            </w:pPr>
          </w:p>
        </w:tc>
        <w:tc>
          <w:tcPr>
            <w:tcW w:w="540" w:type="dxa"/>
            <w:vAlign w:val="bottom"/>
            <w:gridSpan w:val="3"/>
          </w:tcPr>
          <w:p>
            <w:pPr>
              <w:jc w:val="right"/>
              <w:ind w:right="2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(1,493)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3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(498)</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98"/>
              </w:rPr>
              <w:t>(1,613)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(191)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369"/>
        </w:trPr>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7"/>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Medline Holdings, LP</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6"/>
          </w:tcPr>
          <w:p>
            <w:pPr>
              <w:ind w:left="120"/>
              <w:spacing w:after="0" w:line="141" w:lineRule="exact"/>
              <w:rPr>
                <w:sz w:val="20"/>
                <w:szCs w:val="20"/>
                <w:color w:val="auto"/>
              </w:rPr>
            </w:pPr>
            <w:r>
              <w:rPr>
                <w:rFonts w:ascii="Times New Roman" w:cs="Times New Roman" w:eastAsia="Times New Roman" w:hAnsi="Times New Roman"/>
                <w:sz w:val="14"/>
                <w:szCs w:val="14"/>
                <w:b w:val="1"/>
                <w:bCs w:val="1"/>
                <w:color w:val="auto"/>
              </w:rPr>
              <w:t>Unaudited Historical</w:t>
            </w:r>
          </w:p>
        </w:tc>
        <w:tc>
          <w:tcPr>
            <w:tcW w:w="4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5"/>
          </w:tcPr>
          <w:p>
            <w:pPr>
              <w:jc w:val="center"/>
              <w:ind w:right="440"/>
              <w:spacing w:after="0" w:line="141"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5"/>
          </w:tcPr>
          <w:p>
            <w:pPr>
              <w:jc w:val="center"/>
              <w:ind w:right="500"/>
              <w:spacing w:after="0" w:line="116"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140" w:type="dxa"/>
            <w:vAlign w:val="bottom"/>
          </w:tcPr>
          <w:p>
            <w:pPr>
              <w:spacing w:after="0"/>
              <w:rPr>
                <w:sz w:val="10"/>
                <w:szCs w:val="10"/>
                <w:color w:val="auto"/>
              </w:rPr>
            </w:pPr>
          </w:p>
        </w:tc>
        <w:tc>
          <w:tcPr>
            <w:tcW w:w="860" w:type="dxa"/>
            <w:vAlign w:val="bottom"/>
            <w:gridSpan w:val="3"/>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360" w:type="dxa"/>
            <w:vAlign w:val="bottom"/>
            <w:gridSpan w:val="2"/>
          </w:tcPr>
          <w:p>
            <w:pPr>
              <w:spacing w:after="0"/>
              <w:rPr>
                <w:sz w:val="10"/>
                <w:szCs w:val="10"/>
                <w:color w:val="auto"/>
              </w:rPr>
            </w:pPr>
          </w:p>
        </w:tc>
        <w:tc>
          <w:tcPr>
            <w:tcW w:w="300" w:type="dxa"/>
            <w:vAlign w:val="bottom"/>
          </w:tcPr>
          <w:p>
            <w:pPr>
              <w:spacing w:after="0"/>
              <w:rPr>
                <w:sz w:val="10"/>
                <w:szCs w:val="10"/>
                <w:color w:val="auto"/>
              </w:rPr>
            </w:pPr>
          </w:p>
        </w:tc>
        <w:tc>
          <w:tcPr>
            <w:tcW w:w="1380" w:type="dxa"/>
            <w:vAlign w:val="bottom"/>
            <w:gridSpan w:val="6"/>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0"/>
                <w:szCs w:val="10"/>
                <w:color w:val="auto"/>
              </w:rPr>
            </w:pPr>
          </w:p>
        </w:tc>
        <w:tc>
          <w:tcPr>
            <w:tcW w:w="1280" w:type="dxa"/>
            <w:vAlign w:val="bottom"/>
            <w:gridSpan w:val="5"/>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0"/>
                <w:szCs w:val="10"/>
                <w:color w:val="auto"/>
              </w:rPr>
            </w:pPr>
          </w:p>
        </w:tc>
        <w:tc>
          <w:tcPr>
            <w:tcW w:w="1080" w:type="dxa"/>
            <w:vAlign w:val="bottom"/>
            <w:gridSpan w:val="6"/>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7"/>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5"/>
          </w:tcPr>
          <w:p>
            <w:pPr>
              <w:jc w:val="center"/>
              <w:ind w:right="500"/>
              <w:spacing w:after="0" w:line="147"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2"/>
                <w:szCs w:val="12"/>
                <w:color w:val="auto"/>
              </w:rPr>
            </w:pPr>
          </w:p>
        </w:tc>
        <w:tc>
          <w:tcPr>
            <w:tcW w:w="1220" w:type="dxa"/>
            <w:vAlign w:val="bottom"/>
            <w:gridSpan w:val="5"/>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300" w:type="dxa"/>
            <w:vAlign w:val="bottom"/>
          </w:tcPr>
          <w:p>
            <w:pPr>
              <w:spacing w:after="0"/>
              <w:rPr>
                <w:sz w:val="12"/>
                <w:szCs w:val="12"/>
                <w:color w:val="auto"/>
              </w:rPr>
            </w:pPr>
          </w:p>
        </w:tc>
        <w:tc>
          <w:tcPr>
            <w:tcW w:w="138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millions, except percentages)</w:t>
            </w:r>
          </w:p>
        </w:tc>
        <w:tc>
          <w:tcPr>
            <w:tcW w:w="100" w:type="dxa"/>
            <w:vAlign w:val="bottom"/>
          </w:tcPr>
          <w:p>
            <w:pPr>
              <w:spacing w:after="0"/>
              <w:rPr>
                <w:sz w:val="12"/>
                <w:szCs w:val="12"/>
                <w:color w:val="auto"/>
              </w:rPr>
            </w:pPr>
          </w:p>
        </w:tc>
        <w:tc>
          <w:tcPr>
            <w:tcW w:w="1380" w:type="dxa"/>
            <w:vAlign w:val="bottom"/>
            <w:gridSpan w:val="5"/>
          </w:tcPr>
          <w:p>
            <w:pPr>
              <w:jc w:val="center"/>
              <w:ind w:right="500"/>
              <w:spacing w:after="0" w:line="147"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Pr>
          <w:p>
            <w:pPr>
              <w:spacing w:after="0"/>
              <w:rPr>
                <w:sz w:val="12"/>
                <w:szCs w:val="12"/>
                <w:color w:val="auto"/>
              </w:rPr>
            </w:pPr>
          </w:p>
        </w:tc>
        <w:tc>
          <w:tcPr>
            <w:tcW w:w="1220" w:type="dxa"/>
            <w:vAlign w:val="bottom"/>
            <w:gridSpan w:val="5"/>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300" w:type="dxa"/>
            <w:vAlign w:val="bottom"/>
          </w:tcPr>
          <w:p>
            <w:pPr>
              <w:spacing w:after="0"/>
              <w:rPr>
                <w:sz w:val="12"/>
                <w:szCs w:val="12"/>
                <w:color w:val="auto"/>
              </w:rPr>
            </w:pPr>
          </w:p>
        </w:tc>
        <w:tc>
          <w:tcPr>
            <w:tcW w:w="1380" w:type="dxa"/>
            <w:vAlign w:val="bottom"/>
            <w:gridSpan w:val="6"/>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1280" w:type="dxa"/>
            <w:vAlign w:val="bottom"/>
            <w:gridSpan w:val="5"/>
          </w:tcPr>
          <w:p>
            <w:pPr>
              <w:jc w:val="center"/>
              <w:ind w:right="440"/>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080" w:type="dxa"/>
            <w:vAlign w:val="bottom"/>
            <w:gridSpan w:val="6"/>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2"/>
        </w:trPr>
        <w:tc>
          <w:tcPr>
            <w:tcW w:w="3340" w:type="dxa"/>
            <w:vAlign w:val="bottom"/>
            <w:vMerge w:val="continue"/>
          </w:tcPr>
          <w:p>
            <w:pPr>
              <w:spacing w:after="0"/>
              <w:rPr>
                <w:sz w:val="14"/>
                <w:szCs w:val="14"/>
                <w:color w:val="auto"/>
              </w:rPr>
            </w:pPr>
          </w:p>
        </w:tc>
        <w:tc>
          <w:tcPr>
            <w:tcW w:w="98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4"/>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4"/>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5"/>
          </w:tcPr>
          <w:p>
            <w:pPr>
              <w:jc w:val="center"/>
              <w:ind w:left="11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Financial Data:</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4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360" w:type="dxa"/>
            <w:vAlign w:val="bottom"/>
            <w:tcBorders>
              <w:top w:val="single" w:sz="8" w:color="CCEEFF"/>
            </w:tcBorders>
            <w:gridSpan w:val="2"/>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2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5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44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 </w:t>
            </w:r>
          </w:p>
        </w:tc>
        <w:tc>
          <w:tcPr>
            <w:tcW w:w="1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32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 </w:t>
            </w:r>
          </w:p>
        </w:tc>
        <w:tc>
          <w:tcPr>
            <w:tcW w:w="26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Medline Brand segment net sales</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6"/>
              </w:rPr>
              <w:t>12,515</w:t>
            </w:r>
          </w:p>
        </w:tc>
        <w:tc>
          <w:tcPr>
            <w:tcW w:w="320" w:type="dxa"/>
            <w:vAlign w:val="bottom"/>
          </w:tcPr>
          <w:p>
            <w:pPr>
              <w:spacing w:after="0"/>
              <w:rPr>
                <w:sz w:val="18"/>
                <w:szCs w:val="18"/>
                <w:color w:val="auto"/>
              </w:rPr>
            </w:pPr>
          </w:p>
        </w:tc>
        <w:tc>
          <w:tcPr>
            <w:tcW w:w="300" w:type="dxa"/>
            <w:vAlign w:val="bottom"/>
            <w:gridSpan w:val="2"/>
          </w:tcPr>
          <w:p>
            <w:pPr>
              <w:jc w:val="right"/>
              <w:ind w:right="2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11,613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6"/>
              </w:rPr>
              <w:t>10,999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Medline Brand Segment Adjusted</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340" w:type="dxa"/>
            <w:vAlign w:val="bottom"/>
            <w:shd w:val="clear" w:color="auto" w:fill="CCEEFF"/>
          </w:tcPr>
          <w:p>
            <w:pPr>
              <w:ind w:left="180"/>
              <w:spacing w:after="0" w:line="232" w:lineRule="exact"/>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6"/>
                <w:szCs w:val="26"/>
                <w:color w:val="auto"/>
                <w:vertAlign w:val="superscript"/>
              </w:rPr>
              <w:t>(1)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Medline Brand Segment Adjusted</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340" w:type="dxa"/>
            <w:vAlign w:val="bottom"/>
          </w:tcPr>
          <w:p>
            <w:pPr>
              <w:ind w:left="180"/>
              <w:spacing w:after="0" w:line="232" w:lineRule="exact"/>
              <w:rPr>
                <w:sz w:val="20"/>
                <w:szCs w:val="20"/>
                <w:color w:val="auto"/>
              </w:rPr>
            </w:pPr>
            <w:r>
              <w:rPr>
                <w:rFonts w:ascii="Times New Roman" w:cs="Times New Roman" w:eastAsia="Times New Roman" w:hAnsi="Times New Roman"/>
                <w:sz w:val="18"/>
                <w:szCs w:val="18"/>
                <w:color w:val="auto"/>
              </w:rPr>
              <w:t>EBITDA Margin</w:t>
            </w:r>
            <w:r>
              <w:rPr>
                <w:rFonts w:ascii="Times New Roman" w:cs="Times New Roman" w:eastAsia="Times New Roman" w:hAnsi="Times New Roman"/>
                <w:sz w:val="26"/>
                <w:szCs w:val="26"/>
                <w:color w:val="auto"/>
                <w:vertAlign w:val="superscript"/>
              </w:rPr>
              <w:t>(1)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26.1%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4"/>
              </w:rPr>
              <w:t>20.4%</w:t>
            </w:r>
          </w:p>
        </w:tc>
        <w:tc>
          <w:tcPr>
            <w:tcW w:w="0" w:type="dxa"/>
            <w:vAlign w:val="bottom"/>
          </w:tcPr>
          <w:p>
            <w:pPr>
              <w:spacing w:after="0"/>
              <w:rPr>
                <w:sz w:val="1"/>
                <w:szCs w:val="1"/>
                <w:color w:val="auto"/>
              </w:rPr>
            </w:pPr>
          </w:p>
        </w:tc>
      </w:tr>
      <w:tr>
        <w:trPr>
          <w:trHeight w:val="196"/>
        </w:trPr>
        <w:tc>
          <w:tcPr>
            <w:tcW w:w="33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Supply Chain Solutions segment net</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10,648</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12,992</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11,618</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10,449</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Supply Chain Solutions Segment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340" w:type="dxa"/>
            <w:vAlign w:val="bottom"/>
          </w:tcPr>
          <w:p>
            <w:pPr>
              <w:ind w:left="180"/>
              <w:spacing w:after="0" w:line="232"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6"/>
                <w:szCs w:val="26"/>
                <w:color w:val="auto"/>
                <w:vertAlign w:val="superscript"/>
              </w:rPr>
              <w:t>(1)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647</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3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Supply Chain Solutions Segment</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340" w:type="dxa"/>
            <w:vAlign w:val="bottom"/>
            <w:shd w:val="clear" w:color="auto" w:fill="CCEEFF"/>
          </w:tcPr>
          <w:p>
            <w:pPr>
              <w:ind w:left="180"/>
              <w:spacing w:after="0" w:line="232" w:lineRule="exact"/>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6"/>
                <w:szCs w:val="26"/>
                <w:color w:val="auto"/>
                <w:vertAlign w:val="superscript"/>
              </w:rPr>
              <w:t>(1)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4"/>
        </w:trPr>
        <w:tc>
          <w:tcPr>
            <w:tcW w:w="3340" w:type="dxa"/>
            <w:vAlign w:val="bottom"/>
          </w:tcPr>
          <w:p>
            <w:pPr>
              <w:spacing w:after="0" w:line="214"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4"/>
                <w:szCs w:val="24"/>
                <w:color w:val="auto"/>
                <w:vertAlign w:val="superscript"/>
              </w:rPr>
              <w:t>(2)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margin</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352"/>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6"/>
                <w:szCs w:val="26"/>
                <w:color w:val="auto"/>
                <w:vertAlign w:val="superscript"/>
              </w:rPr>
              <w:t>(2)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4"/>
              </w:rPr>
              <w:t>10.9%</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760" w:right="40" w:hanging="412"/>
        <w:spacing w:after="0" w:line="233" w:lineRule="auto"/>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Adjusted EBITDA is our segment measure of profit or loss as defined by ASC 280. Segment Adjusted EBITDA for each respective segment does not include unallocated corporate and other costs. For additional information regarding Segment Adjusted EBITDA, see “Note 18—Segment Information” of our audited consolidated financial statements and “Note 15—Segment Information” of our unaudited condensed consolidated financial statements, each of which is included elsewhere in this prospectus. Segment Adjusted EBITDA margin is Segment Adjusted EBITDA divided by segment net sales.</w:t>
      </w:r>
    </w:p>
    <w:p>
      <w:pPr>
        <w:spacing w:after="0" w:line="3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00"/>
          </w:cols>
          <w:pgMar w:left="320" w:top="451" w:right="6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35458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34200" cy="3545840"/>
                    </a:xfrm>
                    <a:prstGeom prst="rect">
                      <a:avLst/>
                    </a:prstGeom>
                    <a:noFill/>
                  </pic:spPr>
                </pic:pic>
              </a:graphicData>
            </a:graphic>
          </wp:anchor>
        </w:drawing>
      </w:r>
    </w:p>
    <w:p>
      <w:pPr>
        <w:spacing w:after="0" w:line="285" w:lineRule="exact"/>
        <w:rPr>
          <w:sz w:val="20"/>
          <w:szCs w:val="20"/>
          <w:color w:val="auto"/>
        </w:rPr>
      </w:pPr>
    </w:p>
    <w:p>
      <w:pPr>
        <w:ind w:left="760" w:right="240" w:hanging="412"/>
        <w:spacing w:after="0" w:line="255" w:lineRule="auto"/>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and Adjusted EBITDA Margin are financial measures that are not presented in accordance with GAAP. See “—Adjusted EBITDA and Adjusted EBITDA Margin” below for reconciliations to the most comparable GAAP measures.</w:t>
      </w:r>
    </w:p>
    <w:p>
      <w:pPr>
        <w:spacing w:after="0" w:line="170" w:lineRule="exact"/>
        <w:rPr>
          <w:sz w:val="20"/>
          <w:szCs w:val="20"/>
          <w:color w:val="auto"/>
        </w:rPr>
      </w:pPr>
    </w:p>
    <w:p>
      <w:pPr>
        <w:ind w:left="340" w:firstLine="422"/>
        <w:spacing w:after="0" w:line="258" w:lineRule="auto"/>
        <w:rPr>
          <w:sz w:val="20"/>
          <w:szCs w:val="20"/>
          <w:color w:val="auto"/>
        </w:rPr>
      </w:pPr>
      <w:r>
        <w:rPr>
          <w:rFonts w:ascii="Times New Roman" w:cs="Times New Roman" w:eastAsia="Times New Roman" w:hAnsi="Times New Roman"/>
          <w:sz w:val="18"/>
          <w:szCs w:val="18"/>
          <w:color w:val="auto"/>
        </w:rPr>
        <w:t>Management believes that certain financial measures that are not presented in accordance with GAAP provide management and investors useful supplemental information that provides a meaningful view of our financial condition and results of operations across periods by removing the impact of items that management believes do not directly reflect our ongoing operating performance. Adjusted EBITDA and Adjusted EBITDA Margin are supplemental measures that are not required by or presented in accordance with GAAP.</w:t>
      </w:r>
    </w:p>
    <w:p>
      <w:pPr>
        <w:spacing w:after="0" w:line="180" w:lineRule="exact"/>
        <w:rPr>
          <w:sz w:val="20"/>
          <w:szCs w:val="20"/>
          <w:color w:val="auto"/>
        </w:rPr>
      </w:pPr>
    </w:p>
    <w:p>
      <w:pPr>
        <w:ind w:left="340" w:right="20" w:firstLine="422"/>
        <w:spacing w:after="0" w:line="274" w:lineRule="auto"/>
        <w:rPr>
          <w:sz w:val="20"/>
          <w:szCs w:val="20"/>
          <w:color w:val="auto"/>
        </w:rPr>
      </w:pPr>
      <w:r>
        <w:rPr>
          <w:rFonts w:ascii="Times New Roman" w:cs="Times New Roman" w:eastAsia="Times New Roman" w:hAnsi="Times New Roman"/>
          <w:sz w:val="17"/>
          <w:szCs w:val="17"/>
          <w:color w:val="auto"/>
        </w:rPr>
        <w:t>We evaluate our operating performance using Adjusted EBITDA and Adjusted EBITDA Margin. We define Adjusted EBITDA as net income (loss) adjusted for (i) interest expense, net, (ii) provision for income taxes, (iii) depreciation and amortization, (iv) inventory-related adjustments,</w:t>
      </w:r>
    </w:p>
    <w:p>
      <w:pPr>
        <w:ind w:left="340" w:right="20" w:firstLine="8"/>
        <w:spacing w:after="0" w:line="266" w:lineRule="auto"/>
        <w:tabs>
          <w:tab w:leader="none" w:pos="592"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stock-based compensation, (vi) change of control expenses, (vii) acquisition and integration-related adjustments, (viii) litigation (gains) charges, net, and (ix) other non-core (gains) charges. Adjusted EBITDA Margin represents Adjusted EBITDA divided by net sales. Adjusted EBITDA and Adjusted EBITDA Margin are key performance measures that our management uses to assess our financial performance as well as for internal planning and forecasting purposes. We consider Adjusted EBITDA and Adjusted EBITDA Margin to be meaningful performance measures for investors to evaluate our operating performance and to compare the financial results between periods. Adjusted EBITDA does not reflect certain cash expenses that we are obligated to make, and although depreciation and amortization are non-cash charges, assets being depreciated and amortized will often have to be replaced in the future, and Adjusted EBITDA does not reflect any cash requirements for such replacements.</w:t>
      </w:r>
    </w:p>
    <w:p>
      <w:pPr>
        <w:spacing w:after="0" w:line="176" w:lineRule="exact"/>
        <w:rPr>
          <w:sz w:val="20"/>
          <w:szCs w:val="20"/>
          <w:color w:val="auto"/>
        </w:rPr>
      </w:pPr>
    </w:p>
    <w:p>
      <w:pPr>
        <w:ind w:left="340" w:right="20" w:firstLine="422"/>
        <w:spacing w:after="0" w:line="253" w:lineRule="auto"/>
        <w:rPr>
          <w:sz w:val="20"/>
          <w:szCs w:val="20"/>
          <w:color w:val="auto"/>
        </w:rPr>
      </w:pPr>
      <w:r>
        <w:rPr>
          <w:rFonts w:ascii="Times New Roman" w:cs="Times New Roman" w:eastAsia="Times New Roman" w:hAnsi="Times New Roman"/>
          <w:sz w:val="18"/>
          <w:szCs w:val="18"/>
          <w:color w:val="auto"/>
        </w:rPr>
        <w:t>Adjusted EBITDA and Adjusted EBITDA Margin are not measurements of financial performance or liquidity under GAAP. In evaluating our performance as measured by Adjusted EBITDA and Adjusted EBITDA Margin, management recognizes and considers the limitations of these measures. Other companies in our industry may calculate Adjusted EBITDA and Adjusted EBITDA Margin differently than we do or may not calculate them at all, limiting their usefulness as comparative measures. Because of these limitations, Adjusted EBITDA and Adjusted EBITDA Margin should not be considered in isolation or as a substitute for net income (loss), net income (loss) margin, or any other measure calculated in accordance with GAAP, as applicable, and should be considered together with our GAAP financial measures and the reconciliations to the corresponding GAAP financial measures set forth in this prospectus.</w:t>
      </w:r>
    </w:p>
    <w:p>
      <w:pPr>
        <w:spacing w:after="0" w:line="30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00"/>
          </w:cols>
          <w:pgMar w:left="320" w:top="451" w:right="6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5744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34200" cy="5744845"/>
                    </a:xfrm>
                    <a:prstGeom prst="rect">
                      <a:avLst/>
                    </a:prstGeom>
                    <a:noFill/>
                  </pic:spPr>
                </pic:pic>
              </a:graphicData>
            </a:graphic>
          </wp:anchor>
        </w:drawing>
      </w:r>
    </w:p>
    <w:p>
      <w:pPr>
        <w:spacing w:after="0" w:line="2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Adjusted EBITDA and Adjusted EBITDA Margin</w:t>
      </w:r>
    </w:p>
    <w:p>
      <w:pPr>
        <w:spacing w:after="0" w:line="118" w:lineRule="exact"/>
        <w:rPr>
          <w:sz w:val="20"/>
          <w:szCs w:val="20"/>
          <w:color w:val="auto"/>
        </w:rPr>
      </w:pPr>
    </w:p>
    <w:p>
      <w:pPr>
        <w:ind w:left="340" w:right="80" w:firstLine="422"/>
        <w:spacing w:after="0" w:line="278" w:lineRule="auto"/>
        <w:rPr>
          <w:sz w:val="20"/>
          <w:szCs w:val="20"/>
          <w:color w:val="auto"/>
        </w:rPr>
      </w:pPr>
      <w:r>
        <w:rPr>
          <w:rFonts w:ascii="Times New Roman" w:cs="Times New Roman" w:eastAsia="Times New Roman" w:hAnsi="Times New Roman"/>
          <w:sz w:val="18"/>
          <w:szCs w:val="18"/>
          <w:color w:val="auto"/>
        </w:rPr>
        <w:t>The following table sets forth a reconciliation of net income (loss), the most comparable GAAP financial measure, to Adjusted EBITDA and Adjusted EBITDA Margin for the periods indicated.</w:t>
      </w:r>
    </w:p>
    <w:p>
      <w:pPr>
        <w:spacing w:after="0" w:line="183"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3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Medline Holdings, LP</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5"/>
          </w:tcPr>
          <w:p>
            <w:pPr>
              <w:jc w:val="right"/>
              <w:ind w:right="433"/>
              <w:spacing w:after="0" w:line="141" w:lineRule="exact"/>
              <w:rPr>
                <w:sz w:val="20"/>
                <w:szCs w:val="20"/>
                <w:color w:val="auto"/>
              </w:rPr>
            </w:pPr>
            <w:r>
              <w:rPr>
                <w:rFonts w:ascii="Times New Roman" w:cs="Times New Roman" w:eastAsia="Times New Roman" w:hAnsi="Times New Roman"/>
                <w:sz w:val="14"/>
                <w:szCs w:val="14"/>
                <w:b w:val="1"/>
                <w:bCs w:val="1"/>
                <w:color w:val="auto"/>
              </w:rPr>
              <w:t>Unaudited Historical</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center"/>
              <w:ind w:right="460"/>
              <w:spacing w:after="0" w:line="141"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60" w:type="dxa"/>
            <w:vAlign w:val="bottom"/>
            <w:gridSpan w:val="3"/>
          </w:tcPr>
          <w:p>
            <w:pPr>
              <w:jc w:val="center"/>
              <w:ind w:right="380"/>
              <w:spacing w:after="0" w:line="116"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220" w:type="dxa"/>
            <w:vAlign w:val="bottom"/>
          </w:tcPr>
          <w:p>
            <w:pPr>
              <w:spacing w:after="0"/>
              <w:rPr>
                <w:sz w:val="10"/>
                <w:szCs w:val="10"/>
                <w:color w:val="auto"/>
              </w:rPr>
            </w:pPr>
          </w:p>
        </w:tc>
        <w:tc>
          <w:tcPr>
            <w:tcW w:w="860" w:type="dxa"/>
            <w:vAlign w:val="bottom"/>
            <w:gridSpan w:val="2"/>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0"/>
                <w:szCs w:val="10"/>
                <w:color w:val="auto"/>
              </w:rPr>
            </w:pPr>
          </w:p>
        </w:tc>
        <w:tc>
          <w:tcPr>
            <w:tcW w:w="120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0"/>
                <w:szCs w:val="10"/>
                <w:color w:val="auto"/>
              </w:rPr>
            </w:pP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7"/>
        </w:trPr>
        <w:tc>
          <w:tcPr>
            <w:tcW w:w="3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540"/>
              <w:spacing w:after="0" w:line="147"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400"/>
              <w:spacing w:after="0" w:line="147"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36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millions, except percentages)</w:t>
            </w:r>
          </w:p>
        </w:tc>
        <w:tc>
          <w:tcPr>
            <w:tcW w:w="460" w:type="dxa"/>
            <w:vAlign w:val="bottom"/>
          </w:tcPr>
          <w:p>
            <w:pPr>
              <w:spacing w:after="0"/>
              <w:rPr>
                <w:sz w:val="12"/>
                <w:szCs w:val="12"/>
                <w:color w:val="auto"/>
              </w:rPr>
            </w:pPr>
          </w:p>
        </w:tc>
        <w:tc>
          <w:tcPr>
            <w:tcW w:w="1260" w:type="dxa"/>
            <w:vAlign w:val="bottom"/>
            <w:gridSpan w:val="3"/>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220" w:type="dxa"/>
            <w:vAlign w:val="bottom"/>
          </w:tcPr>
          <w:p>
            <w:pPr>
              <w:spacing w:after="0"/>
              <w:rPr>
                <w:sz w:val="12"/>
                <w:szCs w:val="12"/>
                <w:color w:val="auto"/>
              </w:rPr>
            </w:pPr>
          </w:p>
        </w:tc>
        <w:tc>
          <w:tcPr>
            <w:tcW w:w="1100" w:type="dxa"/>
            <w:vAlign w:val="bottom"/>
            <w:gridSpan w:val="3"/>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360" w:type="dxa"/>
            <w:vAlign w:val="bottom"/>
          </w:tcPr>
          <w:p>
            <w:pPr>
              <w:spacing w:after="0"/>
              <w:rPr>
                <w:sz w:val="12"/>
                <w:szCs w:val="12"/>
                <w:color w:val="auto"/>
              </w:rPr>
            </w:pPr>
          </w:p>
        </w:tc>
        <w:tc>
          <w:tcPr>
            <w:tcW w:w="124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1200" w:type="dxa"/>
            <w:vAlign w:val="bottom"/>
            <w:gridSpan w:val="3"/>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2"/>
                <w:szCs w:val="12"/>
                <w:color w:val="auto"/>
              </w:rPr>
            </w:pPr>
          </w:p>
        </w:tc>
        <w:tc>
          <w:tcPr>
            <w:tcW w:w="108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2"/>
        </w:trPr>
        <w:tc>
          <w:tcPr>
            <w:tcW w:w="3180" w:type="dxa"/>
            <w:vAlign w:val="bottom"/>
            <w:tcBorders>
              <w:bottom w:val="single" w:sz="8" w:color="CCEEFF"/>
            </w:tcBorders>
            <w:vMerge w:val="continue"/>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80" w:type="dxa"/>
            <w:vAlign w:val="bottom"/>
          </w:tcPr>
          <w:p>
            <w:pPr>
              <w:ind w:left="360"/>
              <w:spacing w:after="0" w:line="214" w:lineRule="exact"/>
              <w:rPr>
                <w:sz w:val="20"/>
                <w:szCs w:val="20"/>
                <w:color w:val="auto"/>
              </w:rPr>
            </w:pPr>
            <w:r>
              <w:rPr>
                <w:rFonts w:ascii="Times New Roman" w:cs="Times New Roman" w:eastAsia="Times New Roman" w:hAnsi="Times New Roman"/>
                <w:sz w:val="17"/>
                <w:szCs w:val="17"/>
                <w:color w:val="auto"/>
              </w:rPr>
              <w:t>Depreciation and amortization</w:t>
            </w:r>
            <w:r>
              <w:rPr>
                <w:rFonts w:ascii="Times New Roman" w:cs="Times New Roman" w:eastAsia="Times New Roman" w:hAnsi="Times New Roman"/>
                <w:sz w:val="24"/>
                <w:szCs w:val="24"/>
                <w:color w:val="auto"/>
                <w:vertAlign w:val="superscript"/>
              </w:rPr>
              <w:t>(1)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80" w:type="dxa"/>
            <w:vAlign w:val="bottom"/>
            <w:shd w:val="clear" w:color="auto" w:fill="CCEEFF"/>
          </w:tcPr>
          <w:p>
            <w:pPr>
              <w:ind w:left="360"/>
              <w:spacing w:after="0" w:line="214" w:lineRule="exact"/>
              <w:rPr>
                <w:sz w:val="20"/>
                <w:szCs w:val="20"/>
                <w:color w:val="auto"/>
              </w:rPr>
            </w:pPr>
            <w:r>
              <w:rPr>
                <w:rFonts w:ascii="Times New Roman" w:cs="Times New Roman" w:eastAsia="Times New Roman" w:hAnsi="Times New Roman"/>
                <w:sz w:val="17"/>
                <w:szCs w:val="17"/>
                <w:color w:val="auto"/>
              </w:rPr>
              <w:t>Inventory-related adjustments</w:t>
            </w:r>
            <w:r>
              <w:rPr>
                <w:rFonts w:ascii="Times New Roman" w:cs="Times New Roman" w:eastAsia="Times New Roman" w:hAnsi="Times New Roman"/>
                <w:sz w:val="24"/>
                <w:szCs w:val="24"/>
                <w:color w:val="auto"/>
                <w:vertAlign w:val="superscript"/>
              </w:rPr>
              <w:t>(2)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80" w:type="dxa"/>
            <w:vAlign w:val="bottom"/>
            <w:shd w:val="clear" w:color="auto" w:fill="CCEEFF"/>
          </w:tcPr>
          <w:p>
            <w:pPr>
              <w:ind w:left="360"/>
              <w:spacing w:after="0" w:line="214" w:lineRule="exact"/>
              <w:rPr>
                <w:sz w:val="20"/>
                <w:szCs w:val="20"/>
                <w:color w:val="auto"/>
              </w:rPr>
            </w:pPr>
            <w:r>
              <w:rPr>
                <w:rFonts w:ascii="Times New Roman" w:cs="Times New Roman" w:eastAsia="Times New Roman" w:hAnsi="Times New Roman"/>
                <w:sz w:val="17"/>
                <w:szCs w:val="17"/>
                <w:color w:val="auto"/>
              </w:rPr>
              <w:t>Change of control expenses</w:t>
            </w:r>
            <w:r>
              <w:rPr>
                <w:rFonts w:ascii="Times New Roman" w:cs="Times New Roman" w:eastAsia="Times New Roman" w:hAnsi="Times New Roman"/>
                <w:sz w:val="24"/>
                <w:szCs w:val="24"/>
                <w:color w:val="auto"/>
                <w:vertAlign w:val="superscript"/>
              </w:rPr>
              <w:t>(3)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80" w:type="dxa"/>
            <w:vAlign w:val="bottom"/>
          </w:tcPr>
          <w:p>
            <w:pPr>
              <w:ind w:left="360"/>
              <w:spacing w:after="0" w:line="214" w:lineRule="exact"/>
              <w:rPr>
                <w:sz w:val="20"/>
                <w:szCs w:val="20"/>
                <w:color w:val="auto"/>
              </w:rPr>
            </w:pPr>
            <w:r>
              <w:rPr>
                <w:rFonts w:ascii="Times New Roman" w:cs="Times New Roman" w:eastAsia="Times New Roman" w:hAnsi="Times New Roman"/>
                <w:sz w:val="17"/>
                <w:szCs w:val="17"/>
                <w:color w:val="auto"/>
              </w:rPr>
              <w:t>Litigation (gains) charges, net</w:t>
            </w:r>
            <w:r>
              <w:rPr>
                <w:rFonts w:ascii="Times New Roman" w:cs="Times New Roman" w:eastAsia="Times New Roman" w:hAnsi="Times New Roman"/>
                <w:sz w:val="24"/>
                <w:szCs w:val="24"/>
                <w:color w:val="auto"/>
                <w:vertAlign w:val="superscript"/>
              </w:rPr>
              <w:t>(4)</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3180" w:type="dxa"/>
            <w:vAlign w:val="bottom"/>
            <w:shd w:val="clear" w:color="auto" w:fill="CCEEFF"/>
          </w:tcPr>
          <w:p>
            <w:pPr>
              <w:ind w:left="360"/>
              <w:spacing w:after="0" w:line="214" w:lineRule="exact"/>
              <w:rPr>
                <w:sz w:val="20"/>
                <w:szCs w:val="20"/>
                <w:color w:val="auto"/>
              </w:rPr>
            </w:pPr>
            <w:r>
              <w:rPr>
                <w:rFonts w:ascii="Times New Roman" w:cs="Times New Roman" w:eastAsia="Times New Roman" w:hAnsi="Times New Roman"/>
                <w:sz w:val="17"/>
                <w:szCs w:val="17"/>
                <w:color w:val="auto"/>
              </w:rPr>
              <w:t>Other non-core charges (gains)</w:t>
            </w:r>
            <w:r>
              <w:rPr>
                <w:rFonts w:ascii="Times New Roman" w:cs="Times New Roman" w:eastAsia="Times New Roman" w:hAnsi="Times New Roman"/>
                <w:sz w:val="24"/>
                <w:szCs w:val="24"/>
                <w:color w:val="auto"/>
                <w:vertAlign w:val="superscript"/>
              </w:rPr>
              <w:t>(5)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1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7"/>
                <w:szCs w:val="17"/>
                <w:color w:val="auto"/>
              </w:rPr>
              <w:t>Net income (loss) margin</w:t>
            </w:r>
            <w:r>
              <w:rPr>
                <w:rFonts w:ascii="Times New Roman" w:cs="Times New Roman" w:eastAsia="Times New Roman" w:hAnsi="Times New Roman"/>
                <w:sz w:val="24"/>
                <w:szCs w:val="24"/>
                <w:color w:val="auto"/>
                <w:vertAlign w:val="superscript"/>
              </w:rPr>
              <w:t>(6)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3180" w:type="dxa"/>
            <w:vAlign w:val="bottom"/>
            <w:vMerge w:val="restart"/>
          </w:tcPr>
          <w:p>
            <w:pPr>
              <w:spacing w:after="0" w:line="247" w:lineRule="exact"/>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6"/>
                <w:szCs w:val="26"/>
                <w:color w:val="auto"/>
                <w:vertAlign w:val="superscript"/>
              </w:rPr>
              <w:t>(6)</w:t>
            </w: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1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760" w:right="60" w:hanging="412"/>
        <w:spacing w:after="0" w:line="231" w:lineRule="auto"/>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$56 million and $56 million of depreciation associated with acquisitions for the nine months ended September 27, 2025 and September 28, 2024, respectively. Includes $75 million, $77 million, and $78 million of depreciation associated with acquisitions for the years ended December 31, 2024, 2023, and 2022, respectively.</w:t>
      </w:r>
    </w:p>
    <w:p>
      <w:pPr>
        <w:ind w:left="760" w:right="20" w:hanging="412"/>
        <w:spacing w:after="0" w:line="219" w:lineRule="auto"/>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$38 million and $54 million of inventory adjustments associated with non-cash last-in, first-out (“LIFO”) reserves, which removes the entire impact of LIFO for the nine months ended September 27, 2025 and September 28, 2024, respectively, and $13 million of amortization of the inventory step-up resulting from acquisitions for the nine months ended September 28, 2024. Represents $53 million, $61 million, and $154 million of inventory adjustments associated with LIFO reserves for the years ended December 31, 2024, 2023, and 2022, respectively, and $25 million, $90 million, and $11 million of amortization of the inventory step-up resulting from acquisitions for the years ended December 31, 2024, 2023, and 2022, respectively.</w:t>
      </w:r>
    </w:p>
    <w:p>
      <w:pPr>
        <w:spacing w:after="0" w:line="1" w:lineRule="exact"/>
        <w:rPr>
          <w:rFonts w:ascii="Times New Roman" w:cs="Times New Roman" w:eastAsia="Times New Roman" w:hAnsi="Times New Roman"/>
          <w:sz w:val="14"/>
          <w:szCs w:val="14"/>
          <w:color w:val="auto"/>
        </w:rPr>
      </w:pPr>
    </w:p>
    <w:p>
      <w:pPr>
        <w:ind w:left="760" w:right="120" w:hanging="412"/>
        <w:spacing w:after="0" w:line="219" w:lineRule="auto"/>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change of control expenses related to the Sponsor Acquisition for the years ended December 31, 2023 and 2022, respectively. In connection with the Sponsor Acquisition in October 2021, participants in the Medline Industries, Inc. Managing Partner Program (the “MPU Award Holders”) were entitled to receive a liquidity event payout (the “Liquidity MPU Payout”) totaling approximately $1.5 billion, with certain of these payments contingent on continued employment with the company. This payout was structured in three installments: at the closing and on the second and third anniversaries of the Sponsor Acquisition. Half of each subsequent installment was contingent on continued employment, leading to expenses of $217 million and $277 million for the years ended December 31, 2023 and 2022, respectively. The Liquidity MPU Payouts were unique, non-performance-related payments to the MPU Award Holders specific to the Sponsor Acquisition. As of December 31, 2023, all change of control expenses related to the Liquidity MPU Payouts have ended and no other payments will be made. For more information regarding the Liquidity MPU Payouts, please refer to “Note 15—Stock-Based Compensation” of our audited consolidated financial statements, included elsewhere in this prospectus.</w:t>
      </w:r>
    </w:p>
    <w:p>
      <w:pPr>
        <w:spacing w:after="0" w:line="1" w:lineRule="exact"/>
        <w:rPr>
          <w:rFonts w:ascii="Times New Roman" w:cs="Times New Roman" w:eastAsia="Times New Roman" w:hAnsi="Times New Roman"/>
          <w:sz w:val="14"/>
          <w:szCs w:val="14"/>
          <w:color w:val="auto"/>
        </w:rPr>
      </w:pPr>
    </w:p>
    <w:p>
      <w:pPr>
        <w:ind w:left="760" w:right="200" w:hanging="412"/>
        <w:spacing w:after="0" w:line="219" w:lineRule="auto"/>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nine months ended September 27, 2025, represents a settlement adjustment of $(8) million related to the ethylene oxide (“EtO”) litigation, $(43) million related to settlement of an intellectual property dispute, and other legal settlements. For the nine months ended September 28, 2024 and the year ended December 31, 2024, represents $2 million of legal costs. For the year ended December 31, 2023, represents settlement charges of $163 million related to the EtO litigation and $3 million of other legal costs, net of $(5) million of insurance recoveries.</w:t>
      </w:r>
    </w:p>
    <w:p>
      <w:pPr>
        <w:ind w:left="760" w:right="40" w:hanging="412"/>
        <w:spacing w:after="0"/>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other non-core charges (gains), including $91 million and $25 million of realized and unrealized foreign exchange and investment losses (gains); $32 million and $16 million of credit loss expense related to certain customer receivables; $23 million and $13 million of acquisition and integration related costs and adjustments; $15 million and $20 million of other project costs; $6 million and $43 million of loss on debt extinguishment and other refinancing costs and fees; and $12 million and $4 million of costs incurred in contemplation of a potential offering of company shares for the nine months ended September 27, 2025 and September 28, 2024, respectively. The nine months ended September 27, 2024 also includes a $(7) million one-time gain related to acquisition of equity investment. Represents other non-core charges (gains), including $(1) million, $18 million and $16 million of (gains) losses on disposal of assets and exits; $(6) million, $15 million and $(10) million of realized and unrealized foreign exchange and investment losses (gains);</w:t>
      </w:r>
    </w:p>
    <w:p>
      <w:pPr>
        <w:spacing w:after="0" w:line="38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00"/>
          </w:cols>
          <w:pgMar w:left="320" w:top="452" w:right="6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95250</wp:posOffset>
            </wp:positionV>
            <wp:extent cx="6934200" cy="7937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34200" cy="793750"/>
                    </a:xfrm>
                    <a:prstGeom prst="rect">
                      <a:avLst/>
                    </a:prstGeom>
                    <a:noFill/>
                  </pic:spPr>
                </pic:pic>
              </a:graphicData>
            </a:graphic>
          </wp:anchor>
        </w:drawing>
      </w:r>
    </w:p>
    <w:p>
      <w:pPr>
        <w:spacing w:after="0" w:line="285" w:lineRule="exact"/>
        <w:rPr>
          <w:sz w:val="20"/>
          <w:szCs w:val="20"/>
          <w:color w:val="auto"/>
        </w:rPr>
      </w:pPr>
    </w:p>
    <w:p>
      <w:pPr>
        <w:ind w:left="760"/>
        <w:spacing w:after="0" w:line="231" w:lineRule="auto"/>
        <w:rPr>
          <w:sz w:val="20"/>
          <w:szCs w:val="20"/>
          <w:color w:val="auto"/>
        </w:rPr>
      </w:pPr>
      <w:r>
        <w:rPr>
          <w:rFonts w:ascii="Times New Roman" w:cs="Times New Roman" w:eastAsia="Times New Roman" w:hAnsi="Times New Roman"/>
          <w:sz w:val="14"/>
          <w:szCs w:val="14"/>
          <w:color w:val="auto"/>
        </w:rPr>
        <w:t>$22 million, $0, and $3 million of acquisition and integration related costs; and $23 million, $18 million, and $8 million of other project costs for the years ended December 31, 2024, 2023, and 2022, respectively. The year ended December 31, 2024 also includes $56 million of loss on debt extinguishment and other refinancing costs and fees,</w:t>
      </w:r>
    </w:p>
    <w:p>
      <w:pPr>
        <w:ind w:left="760" w:right="180"/>
        <w:spacing w:after="0" w:line="219" w:lineRule="auto"/>
        <w:rPr>
          <w:sz w:val="20"/>
          <w:szCs w:val="20"/>
          <w:color w:val="auto"/>
        </w:rPr>
      </w:pPr>
      <w:r>
        <w:rPr>
          <w:rFonts w:ascii="Times New Roman" w:cs="Times New Roman" w:eastAsia="Times New Roman" w:hAnsi="Times New Roman"/>
          <w:sz w:val="14"/>
          <w:szCs w:val="14"/>
          <w:color w:val="auto"/>
        </w:rPr>
        <w:t>$38 million credit loss expense related to customer bankruptcies, $9 million of costs incurred in contemplation of our IPO, and $(13) million gain related to an acquisition of equity investment. The year ended December 31, 2023 also includes a one-time gain of $(75) million due to a change in valuation estimate resulting from cash collected on accounts receivable in excess of its acquisition-date fair value.</w:t>
      </w:r>
    </w:p>
    <w:p>
      <w:pPr>
        <w:spacing w:after="0" w:line="1" w:lineRule="exact"/>
        <w:rPr>
          <w:sz w:val="20"/>
          <w:szCs w:val="20"/>
          <w:color w:val="auto"/>
        </w:rPr>
      </w:pPr>
    </w:p>
    <w:p>
      <w:pPr>
        <w:ind w:left="760" w:hanging="412"/>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(loss) margin represents net income (loss) divided by net sales and Adjusted EBITDA Margin represents Adjusted EBITDA divided by net sales.</w:t>
      </w:r>
    </w:p>
    <w:p>
      <w:pPr>
        <w:spacing w:after="0" w:line="30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800"/>
          </w:cols>
          <w:pgMar w:left="320" w:top="451" w:right="7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3" w:lineRule="exact"/>
        <w:rPr>
          <w:sz w:val="20"/>
          <w:szCs w:val="20"/>
          <w:color w:val="auto"/>
        </w:rPr>
      </w:pPr>
    </w:p>
    <w:p>
      <w:pPr>
        <w:ind w:left="160" w:right="20" w:firstLine="436"/>
        <w:spacing w:after="0" w:line="252"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the risks and uncertainties described below and the other information set forth in this prospectus before deciding to invest in shares of our common stock. If any of the following risks actually occur, our business, results of operation, financial condition, cash flows, and prospects may be materially adversely affected. The risks and uncertainties described below are not the only risks and uncertainties that we face. Additional risks and uncertainties not presently known to us or that we currently deem immaterial may also materially and adversely affect our business, results of operations, and financial condition. In such case, the trading price of our common stock could decline and you may lose all or part of your investment. The risks discussed below also include forward-looking statements, and our actual results may differ substantially from those discussed in these forward-looking statements. See “Forward-Looking Statements” in this prospectus.</w:t>
      </w:r>
    </w:p>
    <w:p>
      <w:pPr>
        <w:spacing w:after="0" w:line="2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Our Business, Industry and Operations</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Our global operations are subject to inherent risks that could materially adversely affect our business, results of operations, and financial condition.</w:t>
      </w:r>
    </w:p>
    <w:p>
      <w:pPr>
        <w:spacing w:after="0" w:line="129"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Our global operations are subject to risks that may materially adversely affect our business, results of operations, and financial condition. We import a significant percentage of our Medline Brand products from outside of the United States, including 8% of our costs of goods sold from China for the year ended December 31, 2024. As a result of our global operations, we may experience, among other things:</w:t>
      </w:r>
    </w:p>
    <w:p>
      <w:pPr>
        <w:spacing w:after="0" w:line="82" w:lineRule="exact"/>
        <w:rPr>
          <w:sz w:val="20"/>
          <w:szCs w:val="20"/>
          <w:color w:val="auto"/>
        </w:rPr>
      </w:pPr>
    </w:p>
    <w:p>
      <w:pPr>
        <w:ind w:left="1140" w:hanging="438"/>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relating to staffing and managing foreign operations;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delays inherent in sourcing products, establishing channels of distribution, and contract manufacturing in foreign markets;</w:t>
      </w:r>
    </w:p>
    <w:p>
      <w:pPr>
        <w:spacing w:after="0" w:line="127" w:lineRule="exact"/>
        <w:rPr>
          <w:rFonts w:ascii="Times New Roman" w:cs="Times New Roman" w:eastAsia="Times New Roman" w:hAnsi="Times New Roman"/>
          <w:sz w:val="18"/>
          <w:szCs w:val="18"/>
          <w:color w:val="auto"/>
        </w:rPr>
      </w:pPr>
    </w:p>
    <w:p>
      <w:pPr>
        <w:ind w:left="1140" w:right="40" w:hanging="438"/>
        <w:spacing w:after="0" w:line="278"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ending foreign distribution relationships where the distributor exclusively or predominantly markets and sells Medline Brand products;</w:t>
      </w:r>
    </w:p>
    <w:p>
      <w:pPr>
        <w:spacing w:after="0" w:line="68" w:lineRule="exact"/>
        <w:rPr>
          <w:rFonts w:ascii="Times New Roman" w:cs="Times New Roman" w:eastAsia="Times New Roman" w:hAnsi="Times New Roman"/>
          <w:sz w:val="18"/>
          <w:szCs w:val="18"/>
          <w:color w:val="auto"/>
        </w:rPr>
      </w:pPr>
    </w:p>
    <w:p>
      <w:pPr>
        <w:ind w:left="1140" w:right="480" w:hanging="438"/>
        <w:spacing w:after="0" w:line="278"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related to transparency regarding extended international supply chains and labor risk based on sourcing footprint, including compliance with labor and human rights laws, that might arise despite reasonable efforts to mitigate this risk;</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foreign currencies;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relating to trade agreements and international trade relationships;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of foreign customers and difficulty of collecting receivables in foreign jurisdictions;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repatriating cash from our foreign operations to the United States;</w:t>
      </w:r>
    </w:p>
    <w:p>
      <w:pPr>
        <w:spacing w:after="0" w:line="127" w:lineRule="exact"/>
        <w:rPr>
          <w:rFonts w:ascii="Times New Roman" w:cs="Times New Roman" w:eastAsia="Times New Roman" w:hAnsi="Times New Roman"/>
          <w:sz w:val="18"/>
          <w:szCs w:val="18"/>
          <w:color w:val="auto"/>
        </w:rPr>
      </w:pPr>
    </w:p>
    <w:p>
      <w:pPr>
        <w:ind w:left="1140" w:right="20" w:hanging="438"/>
        <w:spacing w:after="0" w:line="263"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requirements including, without limitation, compliance with the U.S. Foreign Corrupt Practices Act (the “FCPA”); UK bribery laws and similar anti-bribery, anti-corruption, and economic sanctions laws and regulations; laws pertaining to the accuracy of our internal books and records; and environmental, health, and safety laws and regulations;</w:t>
      </w:r>
    </w:p>
    <w:p>
      <w:pPr>
        <w:spacing w:after="0" w:line="81"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risks, new or unanticipated litigation developments, and the status of litigation matters;</w:t>
      </w:r>
    </w:p>
    <w:p>
      <w:pPr>
        <w:spacing w:after="0" w:line="127" w:lineRule="exact"/>
        <w:rPr>
          <w:rFonts w:ascii="Times New Roman" w:cs="Times New Roman" w:eastAsia="Times New Roman" w:hAnsi="Times New Roman"/>
          <w:sz w:val="18"/>
          <w:szCs w:val="18"/>
          <w:color w:val="auto"/>
        </w:rPr>
      </w:pPr>
    </w:p>
    <w:p>
      <w:pPr>
        <w:ind w:left="1140" w:right="100" w:hanging="438"/>
        <w:spacing w:after="0" w:line="278"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difficulties in importing or exporting our products and trade laws, import/export tariffs, quotas, sanctions, or penalties, custom duties, and other trade restrictions;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under local laws to protect our intellectual property;</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regulatory, legal, economic, and political changes in foreign markets;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regulations that impact our operations, including purchases of capital equipment;</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80"/>
          </w:cols>
          <w:pgMar w:left="320" w:top="452"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140" w:right="80" w:hanging="438"/>
        <w:spacing w:after="0" w:line="278"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tax, governmental, or other regulatory investigations, enforcements, and penalties, which may lead to informational requests and audits;</w:t>
      </w:r>
    </w:p>
    <w:p>
      <w:pPr>
        <w:spacing w:after="0" w:line="68" w:lineRule="exact"/>
        <w:rPr>
          <w:rFonts w:ascii="Times New Roman" w:cs="Times New Roman" w:eastAsia="Times New Roman" w:hAnsi="Times New Roman"/>
          <w:sz w:val="18"/>
          <w:szCs w:val="18"/>
          <w:color w:val="auto"/>
        </w:rPr>
      </w:pPr>
    </w:p>
    <w:p>
      <w:pPr>
        <w:ind w:left="1140" w:right="160" w:hanging="438"/>
        <w:spacing w:after="0" w:line="278"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disturbances, geopolitical turmoil, including terrorism, war, or political or military coups (including, without limitation, the ongoing wars in Ukraine and the Middle East);</w:t>
      </w:r>
    </w:p>
    <w:p>
      <w:pPr>
        <w:spacing w:after="0" w:line="68" w:lineRule="exact"/>
        <w:rPr>
          <w:rFonts w:ascii="Times New Roman" w:cs="Times New Roman" w:eastAsia="Times New Roman" w:hAnsi="Times New Roman"/>
          <w:sz w:val="18"/>
          <w:szCs w:val="18"/>
          <w:color w:val="auto"/>
        </w:rPr>
      </w:pPr>
    </w:p>
    <w:p>
      <w:pPr>
        <w:ind w:left="1140" w:right="260" w:hanging="438"/>
        <w:spacing w:after="0" w:line="278"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climate change, including physical risks such as impacts from extreme weather events and other potential physical consequences;</w:t>
      </w:r>
    </w:p>
    <w:p>
      <w:pPr>
        <w:spacing w:after="0" w:line="68" w:lineRule="exact"/>
        <w:rPr>
          <w:rFonts w:ascii="Times New Roman" w:cs="Times New Roman" w:eastAsia="Times New Roman" w:hAnsi="Times New Roman"/>
          <w:sz w:val="18"/>
          <w:szCs w:val="18"/>
          <w:color w:val="auto"/>
        </w:rPr>
      </w:pPr>
    </w:p>
    <w:p>
      <w:pPr>
        <w:ind w:left="1140" w:right="20" w:hanging="438"/>
        <w:spacing w:after="0" w:line="278"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legal, and regulatory impacts, including but not limited to those that affect the import of goods or require supply chain transparency and impacts as a result of the 2024 U.S. presidential election;</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developments;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stakeholder expectations and reputational risk;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emergencies, such as the COVID-19 pandemic.</w:t>
      </w:r>
    </w:p>
    <w:p>
      <w:pPr>
        <w:spacing w:after="0" w:line="221" w:lineRule="exact"/>
        <w:rPr>
          <w:sz w:val="20"/>
          <w:szCs w:val="20"/>
          <w:color w:val="auto"/>
        </w:rPr>
      </w:pPr>
    </w:p>
    <w:p>
      <w:pPr>
        <w:ind w:left="160" w:right="360" w:firstLine="436"/>
        <w:spacing w:after="0" w:line="278" w:lineRule="auto"/>
        <w:rPr>
          <w:sz w:val="20"/>
          <w:szCs w:val="20"/>
          <w:color w:val="auto"/>
        </w:rPr>
      </w:pPr>
      <w:r>
        <w:rPr>
          <w:rFonts w:ascii="Times New Roman" w:cs="Times New Roman" w:eastAsia="Times New Roman" w:hAnsi="Times New Roman"/>
          <w:sz w:val="18"/>
          <w:szCs w:val="18"/>
          <w:color w:val="auto"/>
        </w:rPr>
        <w:t>See also “—Uncertain global and domestic macro-economic and political conditions could materially adversely affect our business, results of operations, and financial condition.”</w:t>
      </w:r>
    </w:p>
    <w:p>
      <w:pPr>
        <w:spacing w:after="0" w:line="265" w:lineRule="exact"/>
        <w:rPr>
          <w:sz w:val="20"/>
          <w:szCs w:val="20"/>
          <w:color w:val="auto"/>
        </w:rPr>
      </w:pPr>
    </w:p>
    <w:p>
      <w:pPr>
        <w:ind w:left="160" w:right="1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derive fully the anticipated benefits from our existing or future acquisitions, joint ventures, investments, dispositions, or other strategic transactions.</w:t>
      </w:r>
    </w:p>
    <w:p>
      <w:pPr>
        <w:spacing w:after="0" w:line="53" w:lineRule="exact"/>
        <w:rPr>
          <w:sz w:val="20"/>
          <w:szCs w:val="20"/>
          <w:color w:val="auto"/>
        </w:rPr>
      </w:pPr>
    </w:p>
    <w:p>
      <w:pPr>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Acquisitions, joint ventures, investments, dispositions, and other strategic transactions are an important part of our strategy to expand and enhance our products, services, and customer base and to enter new geographic areas. We are regularly in negotiations for potential acquisitions, joint ventures, investments, dispositions, and other strategic transactions.</w:t>
      </w:r>
    </w:p>
    <w:p>
      <w:pPr>
        <w:spacing w:after="0" w:line="175" w:lineRule="exact"/>
        <w:rPr>
          <w:sz w:val="20"/>
          <w:szCs w:val="20"/>
          <w:color w:val="auto"/>
        </w:rPr>
      </w:pPr>
    </w:p>
    <w:p>
      <w:pPr>
        <w:ind w:left="160" w:right="40" w:firstLine="436"/>
        <w:spacing w:after="0" w:line="263" w:lineRule="auto"/>
        <w:rPr>
          <w:sz w:val="20"/>
          <w:szCs w:val="20"/>
          <w:color w:val="auto"/>
        </w:rPr>
      </w:pPr>
      <w:r>
        <w:rPr>
          <w:rFonts w:ascii="Times New Roman" w:cs="Times New Roman" w:eastAsia="Times New Roman" w:hAnsi="Times New Roman"/>
          <w:sz w:val="18"/>
          <w:szCs w:val="18"/>
          <w:color w:val="auto"/>
        </w:rPr>
        <w:t>As we continue pursuing selective acquisitions, strategic investments, partnerships, or alliances with third parties to support our business and growth strategy, we may not be able to identify suitable acquisition, strategic investment, partnership, or alliance candidates on favorable terms, if at all. We may use a combination of additional debt, securities issuances, revolver borrowings, and/or cash on hand to finance such transactions.</w:t>
      </w:r>
    </w:p>
    <w:p>
      <w:pPr>
        <w:spacing w:after="0" w:line="175" w:lineRule="exact"/>
        <w:rPr>
          <w:sz w:val="20"/>
          <w:szCs w:val="20"/>
          <w:color w:val="auto"/>
        </w:rPr>
      </w:pPr>
    </w:p>
    <w:p>
      <w:pPr>
        <w:jc w:val="both"/>
        <w:ind w:left="160" w:right="20" w:firstLine="436"/>
        <w:spacing w:after="0" w:line="277" w:lineRule="auto"/>
        <w:rPr>
          <w:sz w:val="20"/>
          <w:szCs w:val="20"/>
          <w:color w:val="auto"/>
        </w:rPr>
      </w:pPr>
      <w:r>
        <w:rPr>
          <w:rFonts w:ascii="Times New Roman" w:cs="Times New Roman" w:eastAsia="Times New Roman" w:hAnsi="Times New Roman"/>
          <w:sz w:val="17"/>
          <w:szCs w:val="17"/>
          <w:color w:val="auto"/>
        </w:rPr>
        <w:t>We may also decide from time to time to dispose of assets or businesses. We may encounter difficulty finding buyers or alternative exit strategies, fail to obtain necessary regulatory approval, or incur higher costs or charges than planned or unexpected charges. Future dispositions or divestitures may not occur within the anticipated timeframe or at all. Completed divestitures may also result in continued financial involvement in the divested business, such as through transition services arrangements, guarantees, indemnifications, or other financial arrangements, following the transaction.</w:t>
      </w:r>
    </w:p>
    <w:p>
      <w:pPr>
        <w:spacing w:after="0" w:line="167"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These transactions may involve challenges and risks. For example, acquisitions, strategic investments, partnerships, or alliances with third parties are subject to various antitrust, unfair trade practices, and/or consumer protection laws. More stringent interpretation of these existing laws or regulations, as well as future laws or regulations, could negatively impact our growth prospects. Further, acquired businesses may have liabilities, or be subject to claims, litigation, or investigations that we did not anticipate or which exceed our estimates at the time of the acquisition. Certain factors, such as our ability to integrate the information systems of acquired companies in a secure and reliable manner, the presence or absence of adequate internal controls and/or fraud in the financial systems of acquired companies, and our ability to achieve synergies among acquired companies, will affect the success of our acquisitions. The process of exploring strategic transactions or selling a business could also negatively impact customer decision-making and cause uncertainty and negatively impact our ability to attract, retain, and motivate key employees. Any failures or delays in completing strategic transactions, dispositions, or divestitures could have an adverse effect on our business, financial condition, and results of operations, and on our ability to execute our strategy. In addition, we expend costs and management resources to</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60"/>
          </w:cols>
          <w:pgMar w:left="320" w:top="452" w:right="5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240"/>
        <w:spacing w:after="0" w:line="278" w:lineRule="auto"/>
        <w:rPr>
          <w:sz w:val="20"/>
          <w:szCs w:val="20"/>
          <w:color w:val="auto"/>
        </w:rPr>
      </w:pPr>
      <w:r>
        <w:rPr>
          <w:rFonts w:ascii="Times New Roman" w:cs="Times New Roman" w:eastAsia="Times New Roman" w:hAnsi="Times New Roman"/>
          <w:sz w:val="18"/>
          <w:szCs w:val="18"/>
          <w:color w:val="auto"/>
        </w:rPr>
        <w:t>pursue and complete strategic transactions and divestitures and manage post-closing arrangements. If a transaction does occur, we may not be able to realize any value created by the transaction.</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Consolidation in the healthcare industry could have an adverse effect on our business, results of operations, and financial condition.</w:t>
      </w:r>
    </w:p>
    <w:p>
      <w:pPr>
        <w:spacing w:after="0" w:line="118" w:lineRule="exact"/>
        <w:rPr>
          <w:sz w:val="20"/>
          <w:szCs w:val="20"/>
          <w:color w:val="auto"/>
        </w:rPr>
      </w:pPr>
    </w:p>
    <w:p>
      <w:pPr>
        <w:ind w:left="160" w:right="20" w:firstLine="436"/>
        <w:spacing w:after="0" w:line="251" w:lineRule="auto"/>
        <w:rPr>
          <w:sz w:val="20"/>
          <w:szCs w:val="20"/>
          <w:color w:val="auto"/>
        </w:rPr>
      </w:pPr>
      <w:r>
        <w:rPr>
          <w:rFonts w:ascii="Times New Roman" w:cs="Times New Roman" w:eastAsia="Times New Roman" w:hAnsi="Times New Roman"/>
          <w:sz w:val="18"/>
          <w:szCs w:val="18"/>
          <w:color w:val="auto"/>
        </w:rPr>
        <w:t>Many healthcare industry companies, including healthcare systems, distributors, manufacturers, suppliers, providers, and insurers, are consolidating or have formed strategic alliances. We expect that market demand, government regulation, third-party coverage and reimbursement policies, and societal pressures will continue to change the healthcare industry worldwide, resulting in further business consolidations and alliances among our customers. Although we believe consolidation in the healthcare industry represents a potential market opportunity as discussed in the “Summary” and “Business” sections, the effects of this consolidation on our business may be unpredictable and could have a material adverse effect on our business, results of operations, and financial condition. For example, competition to provide goods and services to industry participants will become more intense. Additionally, our existing customers, including our Prime Vendor customers, may consolidate with industry participants that do not use our services or purchase our products, resulting in the loss of customer relationships. Further, this consolidation creates larger enterprises with greater negotiating power, which they can use to negotiate price concessions. If we must reduce our prices because of industry consolidation, or if we lose customers as a result of their consolidation with other industry participants, our business, results of operations, and financial condition could be materially adversely affected.</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industry, with accelerating pricing pressure and changes in technology.</w:t>
      </w:r>
    </w:p>
    <w:p>
      <w:pPr>
        <w:spacing w:after="0" w:line="118" w:lineRule="exact"/>
        <w:rPr>
          <w:sz w:val="20"/>
          <w:szCs w:val="20"/>
          <w:color w:val="auto"/>
        </w:rPr>
      </w:pPr>
    </w:p>
    <w:p>
      <w:pPr>
        <w:ind w:left="160" w:right="180" w:firstLine="436"/>
        <w:spacing w:after="0" w:line="251" w:lineRule="auto"/>
        <w:rPr>
          <w:sz w:val="20"/>
          <w:szCs w:val="20"/>
          <w:color w:val="auto"/>
        </w:rPr>
      </w:pPr>
      <w:r>
        <w:rPr>
          <w:rFonts w:ascii="Times New Roman" w:cs="Times New Roman" w:eastAsia="Times New Roman" w:hAnsi="Times New Roman"/>
          <w:sz w:val="18"/>
          <w:szCs w:val="18"/>
          <w:color w:val="auto"/>
        </w:rPr>
        <w:t>The med-surg industry is highly competitive and characterized by pricing and margin pressure for our business. We compete with other medical product manufacturers and distributors, as well as customer self-distribution models and outsourced logistics companies. We compete on a range of factors, including market pricing, negotiating with provider networks and Group Purchasing Organizations (“GPOs”), total delivered product cost, product availability, the ability to fill and invoice orders accurately, delivery time, range of services provided, efficient product sourcing, inventory management, information technology, electronic commerce capabilities, and the ability to meet customer-specific requirements and preferences. In certain channels, competitors may have other products and services that are, or are perceived to be, superior to our own. Furthermore, the increasing leverage of organized buying groups may reduce market prices for our products, thereby reducing our revenue and margins. The cost of our efforts to manage these competitive pressures, or our inability to compete effectively with respect to them, could have a material adverse effect on our business, results of operations, and financial condition.</w:t>
      </w:r>
    </w:p>
    <w:p>
      <w:pPr>
        <w:spacing w:after="0" w:line="192"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Traditional distribution relationships are being challenged by online commerce solutions. Such competition requires us to adapt to changing technology, continue to provide enhanced service offerings, and continue to develop ways to differentiate our business to address demands of consumers and customers on a timely basis, which may require us to incur significant costs. Additionally, when we sell products through large online commerce solutions, such as Amazon, we forfeit our ability to establish pricing or differentiate in placement among competitor products and are required to pay a portion of the sale to the online commerce solution. The emergence of such competition and our inability to anticipate and effectively respond to changes on a timely basis could have a material adverse effect on our business.</w:t>
      </w:r>
    </w:p>
    <w:p>
      <w:pPr>
        <w:spacing w:after="0" w:line="184" w:lineRule="exact"/>
        <w:rPr>
          <w:sz w:val="20"/>
          <w:szCs w:val="20"/>
          <w:color w:val="auto"/>
        </w:rPr>
      </w:pPr>
    </w:p>
    <w:p>
      <w:pPr>
        <w:ind w:left="160" w:right="120" w:firstLine="436"/>
        <w:spacing w:after="0" w:line="258" w:lineRule="auto"/>
        <w:rPr>
          <w:sz w:val="20"/>
          <w:szCs w:val="20"/>
          <w:color w:val="auto"/>
        </w:rPr>
      </w:pPr>
      <w:r>
        <w:rPr>
          <w:rFonts w:ascii="Times New Roman" w:cs="Times New Roman" w:eastAsia="Times New Roman" w:hAnsi="Times New Roman"/>
          <w:sz w:val="18"/>
          <w:szCs w:val="18"/>
          <w:color w:val="auto"/>
        </w:rPr>
        <w:t>Our inability to anticipate or adapt to major changes in available technology, benefit or coverage policies related to those changes, or the preferences of customers may cause our current product offerings to become less competitive or obsolete or require significant strategic changes. This, in turn, could cause us to incur increased capital expenditures and could have a material adverse effect on our business, results of operations, financial condition, and cash flows.</w:t>
      </w:r>
    </w:p>
    <w:p>
      <w:pPr>
        <w:spacing w:after="0" w:line="180" w:lineRule="exact"/>
        <w:rPr>
          <w:sz w:val="20"/>
          <w:szCs w:val="20"/>
          <w:color w:val="auto"/>
        </w:rPr>
      </w:pPr>
    </w:p>
    <w:p>
      <w:pPr>
        <w:ind w:left="160" w:right="220" w:firstLine="436"/>
        <w:spacing w:after="0" w:line="278" w:lineRule="auto"/>
        <w:rPr>
          <w:sz w:val="20"/>
          <w:szCs w:val="20"/>
          <w:color w:val="auto"/>
        </w:rPr>
      </w:pPr>
      <w:r>
        <w:rPr>
          <w:rFonts w:ascii="Times New Roman" w:cs="Times New Roman" w:eastAsia="Times New Roman" w:hAnsi="Times New Roman"/>
          <w:sz w:val="18"/>
          <w:szCs w:val="18"/>
          <w:color w:val="auto"/>
        </w:rPr>
        <w:t>Furthermore, our ability to compete effectively is increasingly dependent on access to and interpretation of data. Data quality impacts customer ordering, order fulfillment, and higher order processing. If we fail to</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40"/>
          </w:cols>
          <w:pgMar w:left="320" w:top="452" w:right="5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400"/>
        <w:spacing w:after="0" w:line="278" w:lineRule="auto"/>
        <w:rPr>
          <w:sz w:val="20"/>
          <w:szCs w:val="20"/>
          <w:color w:val="auto"/>
        </w:rPr>
      </w:pPr>
      <w:r>
        <w:rPr>
          <w:rFonts w:ascii="Times New Roman" w:cs="Times New Roman" w:eastAsia="Times New Roman" w:hAnsi="Times New Roman"/>
          <w:sz w:val="18"/>
          <w:szCs w:val="18"/>
          <w:color w:val="auto"/>
        </w:rPr>
        <w:t>effectively implement and maintain data governance structures across our businesses or to effectively interpret and utilize such data, our operations could be impacted and we may be at a competitive disadvantage.</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Changes to the U.S. and global healthcare environments may not be favorable to us.</w:t>
      </w:r>
    </w:p>
    <w:p>
      <w:pPr>
        <w:spacing w:after="0" w:line="118" w:lineRule="exact"/>
        <w:rPr>
          <w:sz w:val="20"/>
          <w:szCs w:val="20"/>
          <w:color w:val="auto"/>
        </w:rPr>
      </w:pPr>
    </w:p>
    <w:p>
      <w:pPr>
        <w:ind w:left="160" w:right="60" w:firstLine="436"/>
        <w:spacing w:after="0" w:line="250" w:lineRule="auto"/>
        <w:rPr>
          <w:sz w:val="20"/>
          <w:szCs w:val="20"/>
          <w:color w:val="auto"/>
        </w:rPr>
      </w:pPr>
      <w:r>
        <w:rPr>
          <w:rFonts w:ascii="Times New Roman" w:cs="Times New Roman" w:eastAsia="Times New Roman" w:hAnsi="Times New Roman"/>
          <w:sz w:val="18"/>
          <w:szCs w:val="18"/>
          <w:color w:val="auto"/>
        </w:rPr>
        <w:t>The U.S. healthcare industry is subject to continued changes in public policy, laws, and regulations, including changes governing healthcare services, healthcare coverage, mandated benefits, efforts to promote increased transparency in the supply chain, further reduction of, or limitations on, governmental funding at the state or federal level, or efforts by healthcare insurance companies to further limit payments for products and services. The industry has undergone, is undergoing, and is expected to further undergo significant changes. These changes may include, and have previously included, declines in Medicare and Medicaid spending and reimbursement levels, changes to eligibility and enrollment that result in individuals becoming uninsured, hospital and healthcare facility closures, hospitals reducing or eliminating certain lines of service and staff, changes to provider taxes, pricing reforms, efforts by healthcare insurance companies to limit or reduce payments to pharmacies and providers, the basis for payments beginning to transition from a fee-for-service model to value-based payments and risk-sharing models, and the industry shifting away from traditional healthcare venues like hospitals and into clinics, physician offices, and patients’ homes, and other potential changes. The impact of newly enacted laws, future legislative proposals, and executive orders that may bring significant changes to the healthcare industry is uncertain. These possible changes, and the uncertainty surrounding them, may limit our negotiating power, the prices we are able to charge for our products, the amounts of reimbursement for our products, or our ability to develop new products, which could have a material adverse effect on our business, results of operations, and financial condition.</w:t>
      </w:r>
    </w:p>
    <w:p>
      <w:pPr>
        <w:spacing w:after="0" w:line="193"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The healthcare industry outside the United States is also subject to continuous and significant changes, including changes, actions, and proposals by governments, regulators, and third-party payers to control healthcare costs and, more generally, to reform healthcare systems. Certain of these actions and proposals could, among other things, limit the prices we are able to charge for our products or the amounts of reimbursement available for our products and could limit the acceptance and availability of our products in a variety of international markets. These actions and proposals could have an adverse effect on our business, results of operations, and financial condition.</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Increases in shipping costs or service issues with our third-party shippers could harm our business.</w:t>
      </w:r>
    </w:p>
    <w:p>
      <w:pPr>
        <w:spacing w:after="0" w:line="118" w:lineRule="exact"/>
        <w:rPr>
          <w:sz w:val="20"/>
          <w:szCs w:val="20"/>
          <w:color w:val="auto"/>
        </w:rPr>
      </w:pPr>
    </w:p>
    <w:p>
      <w:pPr>
        <w:ind w:left="160" w:right="60" w:firstLine="436"/>
        <w:spacing w:after="0" w:line="251" w:lineRule="auto"/>
        <w:rPr>
          <w:sz w:val="20"/>
          <w:szCs w:val="20"/>
          <w:color w:val="auto"/>
        </w:rPr>
      </w:pPr>
      <w:r>
        <w:rPr>
          <w:rFonts w:ascii="Times New Roman" w:cs="Times New Roman" w:eastAsia="Times New Roman" w:hAnsi="Times New Roman"/>
          <w:sz w:val="18"/>
          <w:szCs w:val="18"/>
          <w:color w:val="auto"/>
        </w:rPr>
        <w:t>Our ability to meet our customers’ expedited delivery expectations is an integral component of our business strategy on which our customers rely. Shipping is a significant expense in the operation of our business, and we bear the cost of the majority of our freight expense. Global capacity challenges, port congestion, and equipment displacement continue to create upward pressure on import costs. Accordingly, any significant increase in shipping rates and times could have a material adverse effect on our business, results of operations, and financial condition. For example, in 2022, we experienced increases in freight expenses, which negatively impacted our results of operations. Higher freight expenses may continue to negatively affect our results of operations in the future. Further, the conflicts in the Middle East, such as the Israel-Hamas war, Ukraine, and other regions have brought, and could further bring about, disruption, instability, and volatility in global markets, supply chains, and logistics operations, including the current shipping disruptions and related shipping cost increases in the Red Sea and surrounding waterways, which could in turn adversely affect our business operations and financial performance. Similarly, strikes or other service interruptions affecting our third-party shippers, including at transportation centers or shipping ports, could cause our operating expenses to rise and materially adversely affect our ability to obtain materials and deliver products on a timely basis.</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Significant challenges or delays in our sourcing of new products and technologies could have an adverse impact on our long-term success.</w:t>
      </w:r>
    </w:p>
    <w:p>
      <w:pPr>
        <w:spacing w:after="0" w:line="118" w:lineRule="exact"/>
        <w:rPr>
          <w:sz w:val="20"/>
          <w:szCs w:val="20"/>
          <w:color w:val="auto"/>
        </w:rPr>
      </w:pPr>
    </w:p>
    <w:p>
      <w:pPr>
        <w:ind w:left="160" w:right="620" w:firstLine="436"/>
        <w:spacing w:after="0" w:line="278" w:lineRule="auto"/>
        <w:rPr>
          <w:sz w:val="20"/>
          <w:szCs w:val="20"/>
          <w:color w:val="auto"/>
        </w:rPr>
      </w:pPr>
      <w:r>
        <w:rPr>
          <w:rFonts w:ascii="Times New Roman" w:cs="Times New Roman" w:eastAsia="Times New Roman" w:hAnsi="Times New Roman"/>
          <w:sz w:val="18"/>
          <w:szCs w:val="18"/>
          <w:color w:val="auto"/>
        </w:rPr>
        <w:t>Our continued growth and success depends on our ability to source new and differentiated products and services that address the evolving healthcare needs of patients, providers, and consumers. Sourcing successful</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60"/>
          </w:cols>
          <w:pgMar w:left="320" w:top="452" w:right="5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line="254" w:lineRule="auto"/>
        <w:rPr>
          <w:sz w:val="20"/>
          <w:szCs w:val="20"/>
          <w:color w:val="auto"/>
        </w:rPr>
      </w:pPr>
      <w:r>
        <w:rPr>
          <w:rFonts w:ascii="Times New Roman" w:cs="Times New Roman" w:eastAsia="Times New Roman" w:hAnsi="Times New Roman"/>
          <w:sz w:val="18"/>
          <w:szCs w:val="18"/>
          <w:color w:val="auto"/>
        </w:rPr>
        <w:t>products and technologies is also necessary to offset revenue losses when our existing products lose sales due to various factors such as competition and loss of patent exclusivity. New products or enhancements to existing products may not be accepted quickly or significantly in the marketplace due to product and price competition, changes in customer preferences or healthcare purchasing patterns, resistance by healthcare providers, or uncertainty over third-party reimbursement. We cannot be certain when or whether we will be able to source, license, or otherwise acquire products and technologies; whether potential products will be granted regulatory clearance, authorization, or certification; and, if cleared, authorized, or certified, how long the clearance, authorization, or certification of a product might take to complete or whether such products will be commercially successful.</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We have concentration in and dependence on certain healthcare provider customers and GPOs.</w:t>
      </w:r>
    </w:p>
    <w:p>
      <w:pPr>
        <w:spacing w:after="0" w:line="118" w:lineRule="exact"/>
        <w:rPr>
          <w:sz w:val="20"/>
          <w:szCs w:val="20"/>
          <w:color w:val="auto"/>
        </w:rPr>
      </w:pPr>
    </w:p>
    <w:p>
      <w:pPr>
        <w:ind w:left="160" w:right="200" w:firstLine="436"/>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2024, our top five U.S. customers represented approximately $2.6 billion (or 10.4%) of our net sales. In addition, for the year ended December 31, 2024, approximately $17.1 billion (or 67% of consolidated net sales and 72% of U.S. net sales) was from sales to member hospitals under contract with our largest GPOs: Vizient Supply, LLC, Premier Healthcare Alliance, L.P., and HealthTrust Purchasing Group, L.P. We could lose a significant healthcare provider customer if an existing contract expires without being replaced or is terminated by the customer prior to its expiration. Although the termination of our relationship with a given GPO would not necessarily result in the loss of the member hospitals as customers, any such termination of a GPO relationship, or a significant individual healthcare provider customer relationship, could have a material adverse effect on our business, results of operations, and financial condition.</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attract, develop, and retain key employees.</w:t>
      </w:r>
    </w:p>
    <w:p>
      <w:pPr>
        <w:spacing w:after="0" w:line="118" w:lineRule="exact"/>
        <w:rPr>
          <w:sz w:val="20"/>
          <w:szCs w:val="20"/>
          <w:color w:val="auto"/>
        </w:rPr>
      </w:pPr>
    </w:p>
    <w:p>
      <w:pPr>
        <w:ind w:left="160" w:right="100" w:firstLine="436"/>
        <w:spacing w:after="0" w:line="250" w:lineRule="auto"/>
        <w:rPr>
          <w:sz w:val="20"/>
          <w:szCs w:val="20"/>
          <w:color w:val="auto"/>
        </w:rPr>
      </w:pPr>
      <w:r>
        <w:rPr>
          <w:rFonts w:ascii="Times New Roman" w:cs="Times New Roman" w:eastAsia="Times New Roman" w:hAnsi="Times New Roman"/>
          <w:sz w:val="18"/>
          <w:szCs w:val="18"/>
          <w:color w:val="auto"/>
        </w:rPr>
        <w:t>Our sales, technical, and other key personnel play an integral role in the development, marketing, and selling of new and existing products. Our ability to attract, engage, develop, and retain qualified and experienced employees, including key executives and other talent, is essential for us to meet our strategic business objectives. We compete with many other businesses to attract and retain employees. Competition among potential employers might result in increased salaries, benefits, or other employee-related costs. Additionally, we have observed an overall tightening and increasingly competitive labor market due to labor shortages caused in part by the COVID-19 pandemic and responsive measures, inflationary pressures and other macroeconomic factors including increased wages offered by other employers, and voluntary attrition of our employees and the employees of our third-party suppliers, manufacturers, distributors, and customers. If we are unable to maintain competitive and equitable compensation and benefit programs and practices that meet the expectations of our employees, including incentive programs that reward financial and operational performance, remote and hybrid work practices, flexible and alternative work arrangements, and corporate responsibility practices, our ability to recruit, hire, engage, motivate, and retain talent could be negatively affected. Furthermore, we may be unable to maintain an inclusive culture that aligns our diverse work force with our mission and values, or we may suffer negative perception of our belonging initiatives due to our perceived over or under pursuit of such initiatives. We have experienced and could continue to experience further or increased attempts to unionize portions of our workforce. Finally, any of these risks could increase our labor costs, harm our culture, decrease employee engagement, create legal costs, or damage our reputation, all of which could negatively impact our ability to attract, hire, develop, and retain a talented, competitive, and highly skilled workforce and have a material adverse effect on our business, results of operations, and financial condition.</w:t>
      </w:r>
    </w:p>
    <w:p>
      <w:pPr>
        <w:spacing w:after="0" w:line="190" w:lineRule="exact"/>
        <w:rPr>
          <w:sz w:val="20"/>
          <w:szCs w:val="20"/>
          <w:color w:val="auto"/>
        </w:rPr>
      </w:pPr>
    </w:p>
    <w:p>
      <w:pPr>
        <w:ind w:left="160" w:right="60" w:firstLine="436"/>
        <w:spacing w:after="0" w:line="255" w:lineRule="auto"/>
        <w:rPr>
          <w:sz w:val="20"/>
          <w:szCs w:val="20"/>
          <w:color w:val="auto"/>
        </w:rPr>
      </w:pPr>
      <w:r>
        <w:rPr>
          <w:rFonts w:ascii="Times New Roman" w:cs="Times New Roman" w:eastAsia="Times New Roman" w:hAnsi="Times New Roman"/>
          <w:sz w:val="18"/>
          <w:szCs w:val="18"/>
          <w:color w:val="auto"/>
        </w:rPr>
        <w:t>We may also experience sudden loss of key personnel due to a variety of causes, such as illness or the competitive factors above. Our ability to effectively succession plan, and to execute such plans, is also important to our long-term success. In addition, recent legal and regulatory changes affect our ability to enforce post-termination obligations from certain employees with respect to non-competition, non-solicitation, and protection of confidential information, which may negatively impact our ability to retain employees and protect our information and relationships with customers and other third parties.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80"/>
          </w:cols>
          <w:pgMar w:left="320" w:top="452"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right="1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depend on the proper functioning of our critical facilities and distribution networks and could be negatively impacted by events outside our control.</w:t>
      </w:r>
    </w:p>
    <w:p>
      <w:pPr>
        <w:spacing w:after="0" w:line="53" w:lineRule="exact"/>
        <w:rPr>
          <w:sz w:val="20"/>
          <w:szCs w:val="20"/>
          <w:color w:val="auto"/>
        </w:rPr>
      </w:pPr>
    </w:p>
    <w:p>
      <w:pPr>
        <w:ind w:left="160" w:right="20" w:firstLine="436"/>
        <w:spacing w:after="0" w:line="251" w:lineRule="auto"/>
        <w:rPr>
          <w:sz w:val="20"/>
          <w:szCs w:val="20"/>
          <w:color w:val="auto"/>
        </w:rPr>
      </w:pPr>
      <w:r>
        <w:rPr>
          <w:rFonts w:ascii="Times New Roman" w:cs="Times New Roman" w:eastAsia="Times New Roman" w:hAnsi="Times New Roman"/>
          <w:sz w:val="18"/>
          <w:szCs w:val="18"/>
          <w:color w:val="auto"/>
        </w:rPr>
        <w:t>Our business depends on the proper functioning of our business processes and critical facilities and our logistics and distribution networks as well as those of our third-party suppliers. We have a differentiated network of 33 manufacturing facilities, 69 global distribution facilities, and a fleet of more than 2,000 MedTrans trucks. Disruptions impacting our critical facilities or our logistics and distribution networks, including those caused by infrastructure, information, and equipment malfunction; failure to follow specific protocols and procedures; facility shutdowns; recalls or quality problems; failure to properly control inventory; actions either required or determined to be taken to cease shipments in response to regulatory requests, pressure, actions or safety issues; regulatory enforcement actions; increased shipping times; defective raw materials; labor shortages; tariffs or other import or export restrictions; natural disasters such as hurricanes, tornadoes, earthquakes, or wildfires; property damage, including from riots and other environmental factors; the impact of epidemics, pandemics, or other public health crises, and actions by businesses, communities, and governments in response could adversely affect our business, results of operations, and financial condition and damage to our reputation. We also incur costs to remediate these disruptions, and it is possible that these costs could be significant.</w:t>
      </w:r>
    </w:p>
    <w:p>
      <w:pPr>
        <w:spacing w:after="0" w:line="292" w:lineRule="exact"/>
        <w:rPr>
          <w:sz w:val="20"/>
          <w:szCs w:val="20"/>
          <w:color w:val="auto"/>
        </w:rPr>
      </w:pPr>
    </w:p>
    <w:p>
      <w:pPr>
        <w:ind w:left="160" w:right="6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recognize impairment charges related to goodwill, identified intangible assets, and fixed assets that would reduce our reported assets and earnings.</w:t>
      </w:r>
    </w:p>
    <w:p>
      <w:pPr>
        <w:spacing w:after="0" w:line="53" w:lineRule="exact"/>
        <w:rPr>
          <w:sz w:val="20"/>
          <w:szCs w:val="20"/>
          <w:color w:val="auto"/>
        </w:rPr>
      </w:pPr>
    </w:p>
    <w:p>
      <w:pPr>
        <w:ind w:left="160" w:right="20" w:firstLine="436"/>
        <w:spacing w:after="0" w:line="254" w:lineRule="auto"/>
        <w:rPr>
          <w:sz w:val="20"/>
          <w:szCs w:val="20"/>
          <w:color w:val="auto"/>
        </w:rPr>
      </w:pPr>
      <w:r>
        <w:rPr>
          <w:rFonts w:ascii="Times New Roman" w:cs="Times New Roman" w:eastAsia="Times New Roman" w:hAnsi="Times New Roman"/>
          <w:sz w:val="18"/>
          <w:szCs w:val="18"/>
          <w:color w:val="auto"/>
        </w:rPr>
        <w:t>Goodwill and other identifiable intangible assets comprise a substantial portion of our total assets. There is significant judgment required in the analysis of a potential impairment of goodwill, identified intangible assets and fixed assets. If, as a result of a general economic slowdown, deterioration in one or more of the markets in which we operate or impairment in our financial performance and/or future outlook, the estimated fair value of our long-lived assets decreases, we may determine that one or more of our long-lived assets is impaired. Recognition of an impairment would reduce our reported assets and earnings, and any such impairment charge could have a material adverse effect on our business, results of operations, and financial condition.</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We may not realize the expected benefits from the entry into new or amended contracts, planned cost savings, and business improvement initiatives.</w:t>
      </w:r>
    </w:p>
    <w:p>
      <w:pPr>
        <w:spacing w:after="0" w:line="129"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We often enter into new or expanded contracts with customers. Although we may expect to realize substantial benefits from such contracts, we may not be successful with this strategy, or we may not realize all of the benefits we expect from such contracts. Additionally, our cost savings and business improvement initiatives could result in unexpected charges and expenses that negatively impact our financial results, and we could fail to achieve the desired efficiencies and estimated cost savings. If we are not able to effectively implement these initiatives, including outsourcing or similar third-party relationships, or if they fail to operate as intended, our financial results could be adversely affected. These types of initiatives could also yield unintended consequences such as distraction of management and employees, business disruption, and an inability to attract or retain key personnel, which could negatively affect our business or financial condition and results of operations.</w:t>
      </w:r>
    </w:p>
    <w:p>
      <w:pPr>
        <w:spacing w:after="0" w:line="287" w:lineRule="exact"/>
        <w:rPr>
          <w:sz w:val="20"/>
          <w:szCs w:val="20"/>
          <w:color w:val="auto"/>
        </w:rPr>
      </w:pPr>
    </w:p>
    <w:p>
      <w:pPr>
        <w:ind w:left="16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Quality problems and product liability claims have in the past led, and could in the future lead, to recalls or safety alerts, reputational harm, adverse verdicts, or costly settlements, and could have a material adverse effect on our business, results of operations, and financial condition.</w:t>
      </w:r>
    </w:p>
    <w:p>
      <w:pPr>
        <w:spacing w:after="0" w:line="53" w:lineRule="exact"/>
        <w:rPr>
          <w:sz w:val="20"/>
          <w:szCs w:val="20"/>
          <w:color w:val="auto"/>
        </w:rPr>
      </w:pPr>
    </w:p>
    <w:p>
      <w:pPr>
        <w:ind w:left="160" w:right="120" w:firstLine="436"/>
        <w:spacing w:after="0" w:line="254" w:lineRule="auto"/>
        <w:rPr>
          <w:sz w:val="20"/>
          <w:szCs w:val="20"/>
          <w:color w:val="auto"/>
        </w:rPr>
      </w:pPr>
      <w:r>
        <w:rPr>
          <w:rFonts w:ascii="Times New Roman" w:cs="Times New Roman" w:eastAsia="Times New Roman" w:hAnsi="Times New Roman"/>
          <w:sz w:val="18"/>
          <w:szCs w:val="18"/>
          <w:color w:val="auto"/>
        </w:rPr>
        <w:t>Quality is extremely important to us and our customers due to the impact on patients and healthcare providers and the serious and potentially costly consequences of product failure. Our business exposes us to potential product liability risks that are inherent in the design, manufacture, and marketing of med-surg products. Component failures, manufacturing nonconformances, design defects, quality problems, off-label use, regulatory noncompliance, or inadequate disclosure of product-related risks or product-related information with respect to our products, whether manufactured by Medline or our third-party manufacturers, or products of other manufacturers that have been incorporated into our surgical and procedural kits, have occurred and may occur in</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60"/>
          </w:cols>
          <w:pgMar w:left="320" w:top="451" w:right="5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both"/>
        <w:ind w:left="160" w:right="220"/>
        <w:spacing w:after="0" w:line="263" w:lineRule="auto"/>
        <w:rPr>
          <w:sz w:val="20"/>
          <w:szCs w:val="20"/>
          <w:color w:val="auto"/>
        </w:rPr>
      </w:pPr>
      <w:r>
        <w:rPr>
          <w:rFonts w:ascii="Times New Roman" w:cs="Times New Roman" w:eastAsia="Times New Roman" w:hAnsi="Times New Roman"/>
          <w:sz w:val="18"/>
          <w:szCs w:val="18"/>
          <w:color w:val="auto"/>
        </w:rPr>
        <w:t>the future and have resulted in and may result in product recalls, notifications to affected customers, and other corrective actions. Such issues, if they were to occur in the future, may result in adverse reactions, an unsafe condition, or personal injury or death. Such issues may lead to a recall of, or the issuance of a safety alert relating to, such products, and could also result in product liability claims and lawsuits, including class actions.</w:t>
      </w:r>
    </w:p>
    <w:p>
      <w:pPr>
        <w:spacing w:after="0" w:line="175" w:lineRule="exact"/>
        <w:rPr>
          <w:sz w:val="20"/>
          <w:szCs w:val="20"/>
          <w:color w:val="auto"/>
        </w:rPr>
      </w:pPr>
    </w:p>
    <w:p>
      <w:pPr>
        <w:ind w:left="160" w:right="20" w:firstLine="436"/>
        <w:spacing w:after="0" w:line="252" w:lineRule="auto"/>
        <w:rPr>
          <w:sz w:val="20"/>
          <w:szCs w:val="20"/>
          <w:color w:val="auto"/>
        </w:rPr>
      </w:pPr>
      <w:r>
        <w:rPr>
          <w:rFonts w:ascii="Times New Roman" w:cs="Times New Roman" w:eastAsia="Times New Roman" w:hAnsi="Times New Roman"/>
          <w:sz w:val="18"/>
          <w:szCs w:val="18"/>
          <w:color w:val="auto"/>
        </w:rPr>
        <w:t>Strong product quality is critical to the success of our goods and services. If we or our third-party manufacturers fall short of these standards and our products are the subject of recalls or safety alerts, our reputation could be damaged, we could lose customers, and our revenue and results of operations could decline. Reputational value is based in large part on perceptions of subjective qualities, including the perception of our employees. Even an isolated incident, or the aggregate effect of individually insignificant incidents, can erode trust and confidence, particularly if they result in adverse publicity, governmental investigations, or litigation, and as a result, could tarnish our brand and lead to adverse effects on our business, financial condition, and results of operations. In certain situations, we may undertake a voluntary recall or market withdrawal of products or temporarily shut down production lines based on performance relative to our own internal safety and quality monitoring and testing data or based on data from governmental or regulatory authorities or our third-party manufacturers.</w:t>
      </w:r>
    </w:p>
    <w:p>
      <w:pPr>
        <w:spacing w:after="0" w:line="187" w:lineRule="exact"/>
        <w:rPr>
          <w:sz w:val="20"/>
          <w:szCs w:val="20"/>
          <w:color w:val="auto"/>
        </w:rPr>
      </w:pPr>
    </w:p>
    <w:p>
      <w:pPr>
        <w:jc w:val="both"/>
        <w:ind w:left="160" w:right="40" w:firstLine="436"/>
        <w:spacing w:after="0" w:line="263" w:lineRule="auto"/>
        <w:rPr>
          <w:sz w:val="20"/>
          <w:szCs w:val="20"/>
          <w:color w:val="auto"/>
        </w:rPr>
      </w:pPr>
      <w:r>
        <w:rPr>
          <w:rFonts w:ascii="Times New Roman" w:cs="Times New Roman" w:eastAsia="Times New Roman" w:hAnsi="Times New Roman"/>
          <w:sz w:val="18"/>
          <w:szCs w:val="18"/>
          <w:color w:val="auto"/>
        </w:rPr>
        <w:t>Any such problems, including quality issues at our third-party manufacturers, past and future product liability claims, recalls, market withdrawals, or safety alerts, regardless of their ultimate outcome, could harm our reputation and have a material adverse effect on our business, results of operations, and financial condition.</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establish and maintain Prime Vendor relationships may cause our revenue to decline.</w:t>
      </w:r>
    </w:p>
    <w:p>
      <w:pPr>
        <w:spacing w:after="0" w:line="118" w:lineRule="exact"/>
        <w:rPr>
          <w:sz w:val="20"/>
          <w:szCs w:val="20"/>
          <w:color w:val="auto"/>
        </w:rPr>
      </w:pPr>
    </w:p>
    <w:p>
      <w:pPr>
        <w:ind w:left="160" w:right="80" w:firstLine="436"/>
        <w:spacing w:after="0" w:line="255" w:lineRule="auto"/>
        <w:rPr>
          <w:sz w:val="20"/>
          <w:szCs w:val="20"/>
          <w:color w:val="auto"/>
        </w:rPr>
      </w:pPr>
      <w:r>
        <w:rPr>
          <w:rFonts w:ascii="Times New Roman" w:cs="Times New Roman" w:eastAsia="Times New Roman" w:hAnsi="Times New Roman"/>
          <w:sz w:val="18"/>
          <w:szCs w:val="18"/>
          <w:color w:val="auto"/>
        </w:rPr>
        <w:t>Our ability to earn Prime Vendor agreements is an important revenue driver for us. Our active Prime Vendor agreements as of December 31, 2024 generated approximately 62.9% ($16.0 billion) of net sales for the year ended December 31, 2024. Certain of our Prime Vendor agreements provide for rights of termination for convenience. If we are unable to successfully establish new Prime Vendor agreements, maintain or expand our Prime Vendor relationships or if there is an actual or perceived decrease in the quality of service and care levels we provide to our Prime Vendor customers, our Prime Vendor relationships could be negatively impacted and revenues may decline.</w:t>
      </w:r>
    </w:p>
    <w:p>
      <w:pPr>
        <w:spacing w:after="0" w:line="184"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As part of our growth strategy, we seek to drive customer savings through the conversion of Supply Chain Solutions products to like-for-like Medline Brand products, which we typically expect to have higher margins. There are no assurances that we will be successful in executing this strategy. Conversion of Supply Chain Solutions products to Medline Brand products will depend on a number of factors, many of which are not in our control, including our ability to successfully market Medline Brand products and Prime Vendor customer adoption of Medline Brand products. While we historically have earned higher margins upon conversion from third-party national brand products to like-for-like Medline Brand products, there are no assurances future conversions will yield similar margins. Additionally, because of the lower average prices for Medline Brand products, there is typically a negative impact on net sales upon the conversion of Supply Chain Solutions products to like-for-like Medline Brand products if volume is assumed to be constant. Moreover, for new Prime Vendor customers, Medline Brand products typically represent a lower portion of the customer’s product mix compared to existing Prime Vendor customers. As a result, our margins may be negatively impacted by sales to new Prime Vendor customers. If we are unable to effectively execute our conversion strategy, it could adversely impact our margins, as well as our business, financial condition, and results of operations.</w:t>
      </w:r>
    </w:p>
    <w:p>
      <w:pPr>
        <w:spacing w:after="0" w:line="290" w:lineRule="exact"/>
        <w:rPr>
          <w:sz w:val="20"/>
          <w:szCs w:val="20"/>
          <w:color w:val="auto"/>
        </w:rPr>
      </w:pPr>
    </w:p>
    <w:p>
      <w:pPr>
        <w:ind w:left="160" w:right="3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experience increased pressure to maintain or decrease the price of our goods and services and we are unable to reduce our expenses, there may be a material adverse effect on our business, results of operations, and financial condition.</w:t>
      </w:r>
    </w:p>
    <w:p>
      <w:pPr>
        <w:spacing w:after="0" w:line="53" w:lineRule="exact"/>
        <w:rPr>
          <w:sz w:val="20"/>
          <w:szCs w:val="20"/>
          <w:color w:val="auto"/>
        </w:rPr>
      </w:pPr>
    </w:p>
    <w:p>
      <w:pPr>
        <w:ind w:left="160" w:right="160" w:firstLine="436"/>
        <w:spacing w:after="0" w:line="278" w:lineRule="auto"/>
        <w:rPr>
          <w:sz w:val="20"/>
          <w:szCs w:val="20"/>
          <w:color w:val="auto"/>
        </w:rPr>
      </w:pPr>
      <w:r>
        <w:rPr>
          <w:rFonts w:ascii="Times New Roman" w:cs="Times New Roman" w:eastAsia="Times New Roman" w:hAnsi="Times New Roman"/>
          <w:sz w:val="18"/>
          <w:szCs w:val="18"/>
          <w:color w:val="auto"/>
        </w:rPr>
        <w:t>We have experienced, and may continue to experience, increased pressure to lower the prices for certain of our goods and services due to pricing pressure from managed care organizations and other third-party payers,</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80"/>
          </w:cols>
          <w:pgMar w:left="320" w:top="452" w:right="4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40"/>
        <w:spacing w:after="0" w:line="250" w:lineRule="auto"/>
        <w:rPr>
          <w:sz w:val="20"/>
          <w:szCs w:val="20"/>
          <w:color w:val="auto"/>
        </w:rPr>
      </w:pPr>
      <w:r>
        <w:rPr>
          <w:rFonts w:ascii="Times New Roman" w:cs="Times New Roman" w:eastAsia="Times New Roman" w:hAnsi="Times New Roman"/>
          <w:sz w:val="18"/>
          <w:szCs w:val="18"/>
          <w:color w:val="auto"/>
        </w:rPr>
        <w:t>increased market power of GPOs, IDNs and other customers, and increased competition among med-surg products and services providers. GPOs and IDNs negotiate pricing arrangements with medical product companies and distributors and then offer these negotiated prices to affiliated hospitals and other members.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GPO contract positions do not guarantee that any level of sales will be achieved, as members of the GPO are generally free to purchase from other suppliers, and any such purchases could result in a decline in our sales volumes and revenue. The formation of new provider networks and GPOs may shift purchasing decisions to entities or persons with whom we do not have a historical relationship. This may threaten our ability to compete effectively, which could in turn negatively impact our financial results. Although we may seek to obtain similar terms from manufacturers to obtain access to lower prices demanded by GPO contracts or other contracts, and to develop relationships with provider networks and new GPOs, we may not be able to secure such terms or execute such contracts. If we experience pressure to reduce the prices for our goods and services and we are unable to reduce our expenses, our business, results of operations, financial condition, and cash flows will be adversely affected.</w:t>
      </w:r>
    </w:p>
    <w:p>
      <w:pPr>
        <w:spacing w:after="0" w:line="297" w:lineRule="exact"/>
        <w:rPr>
          <w:sz w:val="20"/>
          <w:szCs w:val="20"/>
          <w:color w:val="auto"/>
        </w:rPr>
      </w:pPr>
    </w:p>
    <w:p>
      <w:pPr>
        <w:ind w:left="160" w:right="6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Any failure by or loss of a third-party manufacturer or supplier or other manufacturing or supply-related impacts could result in delays and increased costs, which may adversely affect our business.</w:t>
      </w:r>
    </w:p>
    <w:p>
      <w:pPr>
        <w:spacing w:after="0" w:line="53"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We rely on third parties to manufacture and supply certain raw materials, component parts, and finished goods. For example, we utilize a network of more than 500 global partners across a diversified set of approximately 40 countries for the vast majority of the other two-thirds of our Medline Brand products that are not manufactured at our manufacturing facilities, and, through our Supply Chain Solutions segment, we offer med-surg products from over 1,250 third-party suppliers. We depend on these third-party manufacturers to allocate a portion of their manufacturing capacity sufficient to meet our needs, to produce products of acceptable quality and at acceptable manufacturing yields, and to deliver those products to us on a timely basis and at acceptable prices. However, if these third-party manufacturers are unable to meet our near-term or long-term manufacturing requirements, it could result in lost sales and have a material adverse effect on our business, results of operations, and financial condition.</w:t>
      </w:r>
    </w:p>
    <w:p>
      <w:pPr>
        <w:spacing w:after="0" w:line="184"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Our reliance on third parties for regulatory compliance and quality assurance, potential third-party misappropriation of our intellectual property, our limited ability to manage our inventory provided by third parties, the possibility of breach of manufacturing agreements by third parties, the possibility of adverse regulatory action against third parties, and the possibility of termination or nonrenewal of manufacturing agreements by third parties at a time that is costly or inconvenient for us could, among other things, adversely affect our ability to deliver our products on a timely basis, cause us to incur potentially substantial increased costs, or expose us to additional regulatory risk or litigation. Moreover, if any of our third-party manufacturers suffer any damage to facilities, lose benefits under their material agreements, experience power outages, encounter financial difficulties, are unable to secure necessary raw materials from their suppliers or suffer any other reduction in efficiency, experience a force majeure event, or fail to comply with regulatory requirements, we may experience significant business disruption. In the event of any such disruption, we would need to seek and source other qualified third-party manufacturers, likely resulting in further delays and increased costs, which could have a material adverse effect on our business, results of operations, and financial condition. In certain cases we may not be able to identify and enter into arrangements with additional or replacement suppliers or third-party manufacturers in a timely or cost-effective manner, partly as a result of U.S. Food and Drug Administration (“FDA”) and other applicable laws and regulations that require, among other things, qualification and registration of certain suppliers and third-party contract manufacturers, requirements for regulatory clearance, authorization, approval or certification of certain products or components, as well as validation of certain materials, components, and processes prior to their use in or with our products. Seeking and obtaining such clearances, authorizations, approvals or certifications from the FDA and other regulatory authorities is a time-consuming and expensive process. Disruptions at the FDA and other government agencies, including</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80"/>
          </w:cols>
          <w:pgMar w:left="320" w:top="452" w:right="4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line="255" w:lineRule="auto"/>
        <w:rPr>
          <w:sz w:val="20"/>
          <w:szCs w:val="20"/>
          <w:color w:val="auto"/>
        </w:rPr>
      </w:pPr>
      <w:r>
        <w:rPr>
          <w:rFonts w:ascii="Times New Roman" w:cs="Times New Roman" w:eastAsia="Times New Roman" w:hAnsi="Times New Roman"/>
          <w:sz w:val="18"/>
          <w:szCs w:val="18"/>
          <w:color w:val="auto"/>
        </w:rPr>
        <w:t>disruptions due to government shutdowns, lapses in appropriations, funding shortages, staffing limitations, changes in policy, or other factors may also delay, prevent, or otherwise adversely affect our ability, or the ability of any of our suppliers or third-party manufacturers to obtain any required , qualifications, clearances, approvals, authorizations or certifications. Such disruptions may also affect the submission of any required or planned filings to FDA and other government agencies (and the ability of FDA and other government agencies to accept such submissions) by us or third parties, which could have a material adverse effect on our business, results of operations, and financial condition.</w:t>
      </w:r>
    </w:p>
    <w:p>
      <w:pPr>
        <w:spacing w:after="0" w:line="184" w:lineRule="exact"/>
        <w:rPr>
          <w:sz w:val="20"/>
          <w:szCs w:val="20"/>
          <w:color w:val="auto"/>
        </w:rPr>
      </w:pPr>
    </w:p>
    <w:p>
      <w:pPr>
        <w:ind w:left="160" w:right="60" w:firstLine="436"/>
        <w:spacing w:after="0" w:line="254" w:lineRule="auto"/>
        <w:rPr>
          <w:sz w:val="20"/>
          <w:szCs w:val="20"/>
          <w:color w:val="auto"/>
        </w:rPr>
      </w:pPr>
      <w:r>
        <w:rPr>
          <w:rFonts w:ascii="Times New Roman" w:cs="Times New Roman" w:eastAsia="Times New Roman" w:hAnsi="Times New Roman"/>
          <w:sz w:val="18"/>
          <w:szCs w:val="18"/>
          <w:color w:val="auto"/>
        </w:rPr>
        <w:t>We also manufacture certain of our own products and contract manufacture products for others, which requires the availability of labor and the timely delivery of a sufficient amount of quality components and materials from third-party suppliers. For reasons including quality assurance, cost effectiveness, and the highly exacting and complex nature of manufacturing certain of these products, certain components, raw materials, and services needed to manufacture these products are obtained from a limited number of suppliers and have limited availability. Our supplier relationships could be interrupted, become less favorable to us, or be terminated, and the supply of these components, compounds, raw materials, or products could be interrupted or become insufficient.</w:t>
      </w:r>
    </w:p>
    <w:p>
      <w:pPr>
        <w:spacing w:after="0" w:line="184" w:lineRule="exact"/>
        <w:rPr>
          <w:sz w:val="20"/>
          <w:szCs w:val="20"/>
          <w:color w:val="auto"/>
        </w:rPr>
      </w:pPr>
    </w:p>
    <w:p>
      <w:pPr>
        <w:ind w:left="160" w:right="200" w:firstLine="436"/>
        <w:spacing w:after="0" w:line="253" w:lineRule="auto"/>
        <w:rPr>
          <w:sz w:val="20"/>
          <w:szCs w:val="20"/>
          <w:color w:val="auto"/>
        </w:rPr>
      </w:pPr>
      <w:r>
        <w:rPr>
          <w:rFonts w:ascii="Times New Roman" w:cs="Times New Roman" w:eastAsia="Times New Roman" w:hAnsi="Times New Roman"/>
          <w:sz w:val="18"/>
          <w:szCs w:val="18"/>
          <w:color w:val="auto"/>
        </w:rPr>
        <w:t>In addition, for quality assurance or cost effectiveness, we have purchased from sole suppliers certain components and raw materials, such as polymers used in our Medline Brand products, and we expect to continue to purchase these components and raw materials from these sole suppliers. Although there are other sources in the marketplace for these items, we may not be able to quickly establish additional or replacement sources for certain components or materials due to regulations and requirements of the FDA, other regulatory authorities, and notified bodies regarding the manufacture of our products. The loss of any sole supplier or any sustained supply interruption or reduction in any manufacturing capabilities or processes that affects the ability to manufacture or distribute our products in a timely or cost-effective manner could have a material adverse effect on our business, results of operations, financial condition, and cash flows.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Regulation and Legal Proceedings</w:t>
      </w:r>
    </w:p>
    <w:p>
      <w:pPr>
        <w:spacing w:after="0" w:line="114" w:lineRule="exact"/>
        <w:rPr>
          <w:sz w:val="20"/>
          <w:szCs w:val="20"/>
          <w:color w:val="auto"/>
        </w:rPr>
      </w:pPr>
    </w:p>
    <w:p>
      <w:pPr>
        <w:ind w:left="160" w:right="8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rely on the proper function, security, and availability of our information technology systems and data, as well as those of third parties throughout our global supply chain, to operate our business.</w:t>
      </w:r>
    </w:p>
    <w:p>
      <w:pPr>
        <w:spacing w:after="0" w:line="53" w:lineRule="exact"/>
        <w:rPr>
          <w:sz w:val="20"/>
          <w:szCs w:val="20"/>
          <w:color w:val="auto"/>
        </w:rPr>
      </w:pPr>
    </w:p>
    <w:p>
      <w:pPr>
        <w:ind w:left="160" w:right="20" w:firstLine="436"/>
        <w:spacing w:after="0" w:line="250" w:lineRule="auto"/>
        <w:rPr>
          <w:sz w:val="20"/>
          <w:szCs w:val="20"/>
          <w:color w:val="auto"/>
        </w:rPr>
      </w:pPr>
      <w:r>
        <w:rPr>
          <w:rFonts w:ascii="Times New Roman" w:cs="Times New Roman" w:eastAsia="Times New Roman" w:hAnsi="Times New Roman"/>
          <w:sz w:val="18"/>
          <w:szCs w:val="18"/>
          <w:color w:val="auto"/>
        </w:rPr>
        <w:t>We are highly dependent on information technology networks and systems to operate our business and securely process, transmit and store any personally identifiable information (“Personal Data”), protected health information (“PHI”) and other sensitive and confidential data in connection with it, which includes our own proprietary applications and tools (e.g., PrefConnect and FitRight Connect) and a wide variety of third-party technologies. Our information technology networks and systems may also require integration with customers’ and other third parties’ systems and networks. We must regularly update and improve our IT systems and infrastructure and undertake investments in new IT systems and infrastructure. We cannot guarantee that our data security controls are sufficient or that the IT systems and infrastructure on which we depend, including those of third parties, will continue to meet our current and future business needs or adequately safeguard our operations. Security interruptions to or breaches, unauthorized access, acquisition, use, disclosure, theft, modification, or destruction of our information technology systems (or those of third parties working on our behalf, or data or Personal Data and PHI held therein), including physical or electronic break-ins, computer viruses, malware, ransomware, phishing, spoofing and other attacks by hackers, and similar breaches, or employee or contractor error, negligence, or malfeasance, have in the past, and may in the future, create system disruptions or shutdowns, result in unauthorized access to, or disclosure, misuse, modification, or loss or destruction of, our or our customers’ (or their members’ and patients’) or employees’ data, or result in damage, disablement, or encryption of our data or our customers’ (or their members and patients’) or employees’ data. Such data may include sensitive data or information, including PHI or other Personal Data. Any such incident that compromises the information of our customers or employees or disrupts our business operations could result in widespread negative publicity, damage to our reputation, a loss of customers, disruption of our business, operational delays,</w:t>
      </w:r>
    </w:p>
    <w:p>
      <w:pPr>
        <w:spacing w:after="0" w:line="12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40"/>
          </w:cols>
          <w:pgMar w:left="320" w:top="451" w:right="5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180"/>
        <w:spacing w:after="0" w:line="258" w:lineRule="auto"/>
        <w:rPr>
          <w:sz w:val="20"/>
          <w:szCs w:val="20"/>
          <w:color w:val="auto"/>
        </w:rPr>
      </w:pPr>
      <w:r>
        <w:rPr>
          <w:rFonts w:ascii="Times New Roman" w:cs="Times New Roman" w:eastAsia="Times New Roman" w:hAnsi="Times New Roman"/>
          <w:sz w:val="18"/>
          <w:szCs w:val="18"/>
          <w:color w:val="auto"/>
        </w:rPr>
        <w:t>and legal liabilities. We utilize third-party service providers for important aspects of the collection, creation, receipt, maintenance, transmission, use, storage, retention, security, transfer, return, destruction, disclosure, and other operations (separately and collectively, “Processing” or “Process”) of employee and customer (and their members’ and patients’) Personal Data, PHI, and other confidential and sensitive information, and therefore rely on the security procedures of such third-party service providers with respect to such data, and they face the same risks as those set forth above.</w:t>
      </w:r>
    </w:p>
    <w:p>
      <w:pPr>
        <w:spacing w:after="0" w:line="180"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We take certain administrative, physical, and technological safeguards to address data security risks, such as by requiring contractors and other third-party service providers who handle PHI, other Personal Data, and other confidential and sensitive information on our behalf to enter into agreements that obligate them to use reasonable efforts to safeguard such PHI, other Personal Data, and other confidential and sensitive information, and to comply with applicable laws regarding their Processing of such PHI and other Personal Data.</w:t>
      </w:r>
    </w:p>
    <w:p>
      <w:pPr>
        <w:spacing w:after="0" w:line="180"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Measures taken to protect our systems, those of our contractors or third-party service providers, or the PHI, other Personal Data, or other confidential and sensitive information we, our contractors, or third-party service providers Process, may not adequately protect us from security risks. We have and may in the future be required to expend significant capital and other resources to protect against security breaches or to alleviate problems caused by security breaches, regardless of whether such breaches are of our systems or networks, or the systems or networks of our customers, contractors, or third-party service providers. Any failure to so modify, upgrade, or replace such systems and networks, any disruptions that occur during the process of such modification, upgrade, or replacement and/or any breakdown, interruption, or corruption of our information technology systems and infrastructure could create system disruptions, shutdowns, delays in generating or the corruption or loss of data and information, or other disruptions that could result in negative financial, operational, business, or reputational consequences for us. Despite our implementation of data privacy and security measures, cyberattacks are becoming harder to detect and more frequent in recent years, in part because of the proliferation of new technologies and the increased sophistication and activities of organized crime, hackers, terrorists, activists, malicious state actors, and other internal and external parties. Further, these attacks are becoming increasingly sophisticated through the use of certain AI, automated decision-making and machine learning technology (collectively, “Machine Learning Technology”) and are often well-funded, including in some cases by state sponsors. As a result, we, our customers or our third-party service providers have and may in the future be unable to anticipate the techniques used to attack our or their systems or networks, or to implement adequate protective measures.</w:t>
      </w:r>
    </w:p>
    <w:p>
      <w:pPr>
        <w:spacing w:after="0" w:line="191" w:lineRule="exact"/>
        <w:rPr>
          <w:sz w:val="20"/>
          <w:szCs w:val="20"/>
          <w:color w:val="auto"/>
        </w:rPr>
      </w:pPr>
    </w:p>
    <w:p>
      <w:pPr>
        <w:ind w:left="160" w:right="40" w:firstLine="436"/>
        <w:spacing w:after="0" w:line="250" w:lineRule="auto"/>
        <w:rPr>
          <w:sz w:val="20"/>
          <w:szCs w:val="20"/>
          <w:color w:val="auto"/>
        </w:rPr>
      </w:pPr>
      <w:r>
        <w:rPr>
          <w:rFonts w:ascii="Times New Roman" w:cs="Times New Roman" w:eastAsia="Times New Roman" w:hAnsi="Times New Roman"/>
          <w:sz w:val="18"/>
          <w:szCs w:val="18"/>
          <w:color w:val="auto"/>
        </w:rPr>
        <w:t>Security breaches, interruptions of systems, or other security incidents that we, our customers or our third-party service providers experience have and could in the future harm our reputation, compel us to comply with breach notification and other laws in all 50 U.S. states, and under applicable provisions of the Health Insurance Portability and Accountability Act of 1996, as amended, and the regulations that implement the law and its amendments (collectively, “HIPAA”), the EU’s General Data Protection Regulation and its UK equivalent (“UK GDPR” and collectively, “GDPR”) and other laws and regulations, expose us to legal and regulatory fines, penalties, and other liabilities, contract and indemnity obligations, and cause us to incur significant costs for investigations and remediation, notification to affected individuals, measures intended to repair or replace systems or technology and prevent future occurrences and potential increases in insurance premiums. If we are unable to prevent or mitigate security breaches, interruptions of systems, or other privacy or security incidents in the future, or to implement satisfactory remedial measures, or if it is perceived that we have been unable to do so, our operations could be disrupted, and we may suffer a loss of customers, reputation, and individual and investor confidence. Affected users (including customers or third parties) or government authorities could initiate legal or regulatory actions against us in connection with any privacy or security breaches or improper disclosures or Processing of data, which could cause us to incur significant expense and liability or result in orders or consent decrees, forcing us to modify our business practices.</w:t>
      </w:r>
    </w:p>
    <w:p>
      <w:pPr>
        <w:spacing w:after="0" w:line="194" w:lineRule="exact"/>
        <w:rPr>
          <w:sz w:val="20"/>
          <w:szCs w:val="20"/>
          <w:color w:val="auto"/>
        </w:rPr>
      </w:pPr>
    </w:p>
    <w:p>
      <w:pPr>
        <w:ind w:left="160" w:right="340" w:firstLine="436"/>
        <w:spacing w:after="0" w:line="278" w:lineRule="auto"/>
        <w:rPr>
          <w:sz w:val="20"/>
          <w:szCs w:val="20"/>
          <w:color w:val="auto"/>
        </w:rPr>
      </w:pPr>
      <w:r>
        <w:rPr>
          <w:rFonts w:ascii="Times New Roman" w:cs="Times New Roman" w:eastAsia="Times New Roman" w:hAnsi="Times New Roman"/>
          <w:sz w:val="18"/>
          <w:szCs w:val="18"/>
          <w:color w:val="auto"/>
        </w:rPr>
        <w:t>Furthermore, if any of our critical suppliers or service providers is the target of a cybersecurity or ransomware attack or experiences any other kind of adverse event impacting relevant information technology</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60"/>
          </w:cols>
          <w:pgMar w:left="320" w:top="451" w:right="5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40"/>
        <w:spacing w:after="0" w:line="255" w:lineRule="auto"/>
        <w:rPr>
          <w:sz w:val="20"/>
          <w:szCs w:val="20"/>
          <w:color w:val="auto"/>
        </w:rPr>
      </w:pPr>
      <w:r>
        <w:rPr>
          <w:rFonts w:ascii="Times New Roman" w:cs="Times New Roman" w:eastAsia="Times New Roman" w:hAnsi="Times New Roman"/>
          <w:sz w:val="18"/>
          <w:szCs w:val="18"/>
          <w:color w:val="auto"/>
        </w:rPr>
        <w:t>systems, we could experience a significant disruption in our supply chain, unauthorized access or use of our information, shortages, disruptions to our financial reporting or other critical business functions, or other adverse consequences impacting our business operations. Notwithstanding the diligence that we perform on our service providers, we may not be in a position to verify the risks or reliability of their information technology systems or privacy and data security practices and protocols. Any such disruption or incident impacting our suppliers or service providers could have a material adverse effect on our business and may result in our incurring significant remediation costs.</w:t>
      </w:r>
    </w:p>
    <w:p>
      <w:pPr>
        <w:spacing w:after="0" w:line="184" w:lineRule="exact"/>
        <w:rPr>
          <w:sz w:val="20"/>
          <w:szCs w:val="20"/>
          <w:color w:val="auto"/>
        </w:rPr>
      </w:pPr>
    </w:p>
    <w:p>
      <w:pPr>
        <w:ind w:left="160" w:right="40" w:firstLine="436"/>
        <w:spacing w:after="0" w:line="253" w:lineRule="auto"/>
        <w:rPr>
          <w:sz w:val="20"/>
          <w:szCs w:val="20"/>
          <w:color w:val="auto"/>
        </w:rPr>
      </w:pPr>
      <w:r>
        <w:rPr>
          <w:rFonts w:ascii="Times New Roman" w:cs="Times New Roman" w:eastAsia="Times New Roman" w:hAnsi="Times New Roman"/>
          <w:sz w:val="18"/>
          <w:szCs w:val="18"/>
          <w:color w:val="auto"/>
        </w:rPr>
        <w:t>While we maintain insurance covering certain business interruptions, cybersecurity-related damages and claim expenses, we may not carry insurance or maintain coverage sufficient to compensate for all liability, or all types of liability, or cover any indemnification claims against us relating to any security incident or, breach, disruption in information technology services. In any event, insurance coverage would not address the reputational damage that could result from a security incident. Moreover, we cannot be certain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business, financial condition, and results of operations.</w:t>
      </w:r>
    </w:p>
    <w:p>
      <w:pPr>
        <w:spacing w:after="0" w:line="287" w:lineRule="exact"/>
        <w:rPr>
          <w:sz w:val="20"/>
          <w:szCs w:val="20"/>
          <w:color w:val="auto"/>
        </w:rPr>
      </w:pPr>
    </w:p>
    <w:p>
      <w:pPr>
        <w:ind w:left="160" w:righ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and complex laws and governmental regulations and any adverse regulatory action may materially adversely affect our business, results of operations, and financial condition both inside and outside the United States.</w:t>
      </w:r>
    </w:p>
    <w:p>
      <w:pPr>
        <w:spacing w:after="0" w:line="53" w:lineRule="exact"/>
        <w:rPr>
          <w:sz w:val="20"/>
          <w:szCs w:val="20"/>
          <w:color w:val="auto"/>
        </w:rPr>
      </w:pPr>
    </w:p>
    <w:p>
      <w:pPr>
        <w:ind w:left="160" w:right="120" w:firstLine="436"/>
        <w:spacing w:after="0" w:line="255" w:lineRule="auto"/>
        <w:rPr>
          <w:sz w:val="20"/>
          <w:szCs w:val="20"/>
          <w:color w:val="auto"/>
        </w:rPr>
      </w:pPr>
      <w:r>
        <w:rPr>
          <w:rFonts w:ascii="Times New Roman" w:cs="Times New Roman" w:eastAsia="Times New Roman" w:hAnsi="Times New Roman"/>
          <w:sz w:val="18"/>
          <w:szCs w:val="18"/>
          <w:color w:val="auto"/>
        </w:rPr>
        <w:t>Our products and technologies, as well as our business activities and government contracts, are subject to a complex set of regulations and rigorous enforcement, including by the FDA, the U.S. Department of Justice (“DOJ”), the U.S. Department of Health and Human Services (“HHS”) Office of the Inspector General, U.S. Environmental Protection Agency (“EPA”), and numerous other federal, state, and non-U.S. governmental authorities. To varying degrees, each of these authorities requires us, and our third-party manufacturers, to comply with laws and regulations governing the development, testing, manufacturing, registration, labeling, promotion, and distribution of our products.</w:t>
      </w:r>
    </w:p>
    <w:p>
      <w:pPr>
        <w:spacing w:after="0" w:line="184"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In particular, our products, marketing, sales and development activities and manufacturing processes are subject to extensive and rigorous regulation by the FDA pursuant to the Federal Food, Drug and Cosmetic Act (“FDCA”), and by comparable agencies and regulatory bodies in foreign countries and other jurisdictions. Under the FDCA, medical devices must receive FDA clearance or approval, or be exempt from requirements for such clearance or approval before they can be commercially marketed in the U.S. In the EU, we are required to comply with the Medical Device Regulation (“EU MDR”) effective May 2021, which superseded the Medical Device Directives. We cannot guarantee that we will be able to obtain or maintain the required marketing clearances, approvals, authorizations, or certifications to market our new products or for enhancements or modifications to existing products. Obtaining the necessary clearances, approvals, authorizations, or certifications may take a significant amount of time; require the expenditure of substantial resources; and limit the proposed uses of our products. The failure to obtain or maintain clearances, authorizations, and certifications could have a material adverse effect on our business, results of operations, and financial condition. Future laws and regulations may also have a material adverse effect on our business, results of operations, and financial condition. Additionally, significant changes to operations at, funding of, or restructuring of such governmental authorities, including but not limited to a government shutdown, decreases in staff who are able to review product submissions, reductions or other changes in funding provided to such governmental authorities, and changes in policy and enforcement priorities, may adversely affect our business.</w:t>
      </w:r>
    </w:p>
    <w:p>
      <w:pPr>
        <w:spacing w:after="0" w:line="193" w:lineRule="exact"/>
        <w:rPr>
          <w:sz w:val="20"/>
          <w:szCs w:val="20"/>
          <w:color w:val="auto"/>
        </w:rPr>
      </w:pPr>
    </w:p>
    <w:p>
      <w:pPr>
        <w:ind w:left="160" w:right="120" w:firstLine="436"/>
        <w:spacing w:after="0" w:line="263" w:lineRule="auto"/>
        <w:rPr>
          <w:sz w:val="20"/>
          <w:szCs w:val="20"/>
          <w:color w:val="auto"/>
        </w:rPr>
      </w:pPr>
      <w:r>
        <w:rPr>
          <w:rFonts w:ascii="Times New Roman" w:cs="Times New Roman" w:eastAsia="Times New Roman" w:hAnsi="Times New Roman"/>
          <w:sz w:val="18"/>
          <w:szCs w:val="18"/>
          <w:color w:val="auto"/>
        </w:rPr>
        <w:t>Both before and after a product is commercially marketed, we have responsibilities under the FDCA, the EU MDR and other applicable U.S. and non-U.S. regulations, including with respect to clinical studies, quality systems, manufacturing, imports, and labeling and promotional practices. We may conduct and participate in</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80"/>
          </w:cols>
          <w:pgMar w:left="320" w:top="452" w:right="4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20"/>
        <w:spacing w:after="0" w:line="252" w:lineRule="auto"/>
        <w:rPr>
          <w:sz w:val="20"/>
          <w:szCs w:val="20"/>
          <w:color w:val="auto"/>
        </w:rPr>
      </w:pPr>
      <w:r>
        <w:rPr>
          <w:rFonts w:ascii="Times New Roman" w:cs="Times New Roman" w:eastAsia="Times New Roman" w:hAnsi="Times New Roman"/>
          <w:sz w:val="18"/>
          <w:szCs w:val="18"/>
          <w:color w:val="auto"/>
        </w:rPr>
        <w:t>clinical studies to obtain marketing clearance, approval, authorization, or certification for new products and new indications for, or modifications to, existing products. Unfavorable clinical data from existing or future clinical studies or unfavorable performance evaluations, assessments, and testing may adversely impact our ability to obtain product clearances, approvals, authorizations, and certifications, our position in, and share of, the markets in which we participate, and our business, results of operations, financial condition and cash flows. Our facilities and procedures and those of our suppliers are also subject to periodic inspections by the FDA and other governmental and regulatory authorities and to audits by notified bodies to determine compliance with applicable regulations, including quality system regulations for the design, manufacture, packaging, and servicing of med-surg products. In the United States, the results of these inspections can include, and have in the past included and presently include, notices of inspectional observations (FDA Form 483s), warning letters, or other forms of enforcement.</w:t>
      </w:r>
    </w:p>
    <w:p>
      <w:pPr>
        <w:spacing w:after="0" w:line="187"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Our products may also be subject to Import Alerts that restrict the importation of certain of our products or products manufactured by our suppliers into the United States. For example, in January 2024, the FDA issued Import Alerts restricting the importation of plastic syringes manufactured in China by specific suppliers, which impacted our ability to source Medline Brand syringes. In addition, the FDA has taken the position that medical product manufacturers are prohibited from promoting their products other than for the FDA-approved or FDA-cleared indications for use set forth in the product labeling, otherwise known as “off-label use.” A failure to comply with laws, regulations, or guidelines on labeling and promotion could subject us to enforcement actions, significant civil or criminal legal exposure, administrative obligations and costs, untitled letters, warning letters, and other potential penalties from, or agreements with, the federal government and other governmental and regulatory authorities.</w:t>
      </w:r>
    </w:p>
    <w:p>
      <w:pPr>
        <w:spacing w:after="0" w:line="184" w:lineRule="exact"/>
        <w:rPr>
          <w:sz w:val="20"/>
          <w:szCs w:val="20"/>
          <w:color w:val="auto"/>
        </w:rPr>
      </w:pPr>
    </w:p>
    <w:p>
      <w:pPr>
        <w:ind w:left="160" w:firstLine="436"/>
        <w:spacing w:after="0" w:line="249" w:lineRule="auto"/>
        <w:rPr>
          <w:sz w:val="20"/>
          <w:szCs w:val="20"/>
          <w:color w:val="auto"/>
        </w:rPr>
      </w:pPr>
      <w:r>
        <w:rPr>
          <w:rFonts w:ascii="Times New Roman" w:cs="Times New Roman" w:eastAsia="Times New Roman" w:hAnsi="Times New Roman"/>
          <w:sz w:val="18"/>
          <w:szCs w:val="18"/>
          <w:color w:val="auto"/>
        </w:rPr>
        <w:t>If the FDA or other federal, state, local, or foreign governmental or regulatory authorities were to conclude that we are not in compliance with applicable laws or regulations, or that any of our products are ineffective or pose an unreasonable health risk, the FDA or these other authorities could determine such products are adulterated or misbranded, detain or seize such products, order a recall, repair, replacement, or refund of such products, refuse to grant pending applications for clearance, approval, authorization, or certification, decline to provide certificates required by non-U.S. governments for exports, require corrective actions, seek an injunction, and/or require us to notify health professionals and others that the products present unreasonable risks of substantial harm to the public health, and in certain rare circumstances, ban such products. The FDA and other governmental or regulatory authorities may also take other actions, including assessing civil or criminal penalties against us, our officers, or our employees and imposing operating restrictions on a company-wide basis. The FDA may also recommend prosecution to the DOJ. In the European Union (“EU”), penalties for regulatory non-compliance could also be severe, including fines, revocation or suspension of a company’s products or quality management system certificates, and criminal sanctions. Any adverse regulatory or other action, including any adverse press releases or other communications from regulators, depending on its magnitude, may require termination of distribution, impose operating restrictions, result in shutdowns or delays in the introduction of products into the market, restrict us from effectively marketing, shipping, and selling our products, and limit our ability to obtain future clearances, approvals, authorizations or certifications, licenses, registrations, or other permits, and could result in a substantial modification to our business practices and operations. Such actions could result in restrictions on our ability to carry on or expand our operations and higher than anticipated costs or lower than anticipated sales. In addition, our inability to address noncompliance issues raised by the FDA and other governmental or regulatory authorities or notified bodies in an effective and timely manner may also cause negative publicity and a loss of customer confidence in us or our current or future products, which may result in the loss of sales and difficulty in successfully launching new products or continuing to market products in our current portfolio.</w:t>
      </w:r>
    </w:p>
    <w:p>
      <w:pPr>
        <w:spacing w:after="0" w:line="200" w:lineRule="exact"/>
        <w:rPr>
          <w:sz w:val="20"/>
          <w:szCs w:val="20"/>
          <w:color w:val="auto"/>
        </w:rPr>
      </w:pPr>
    </w:p>
    <w:p>
      <w:pPr>
        <w:ind w:left="160" w:right="40" w:firstLine="436"/>
        <w:spacing w:after="0" w:line="285" w:lineRule="auto"/>
        <w:rPr>
          <w:sz w:val="20"/>
          <w:szCs w:val="20"/>
          <w:color w:val="auto"/>
        </w:rPr>
      </w:pPr>
      <w:r>
        <w:rPr>
          <w:rFonts w:ascii="Times New Roman" w:cs="Times New Roman" w:eastAsia="Times New Roman" w:hAnsi="Times New Roman"/>
          <w:sz w:val="17"/>
          <w:szCs w:val="17"/>
          <w:color w:val="auto"/>
        </w:rPr>
        <w:t>Furthermore, we occasionally receive subpoenas or other requests for information from state and federal governmental authorities, which primarily relate to financial arrangements with healthcare professionals, regulatory compliance, and product promotional practices. These investigations may require us to expend extensive resources or time to respond. Any adverse outcome in one or more of these investigations could result</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60"/>
          </w:cols>
          <w:pgMar w:left="320" w:top="451" w:right="5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200"/>
        <w:spacing w:after="0" w:line="258" w:lineRule="auto"/>
        <w:rPr>
          <w:sz w:val="20"/>
          <w:szCs w:val="20"/>
          <w:color w:val="auto"/>
        </w:rPr>
      </w:pPr>
      <w:r>
        <w:rPr>
          <w:rFonts w:ascii="Times New Roman" w:cs="Times New Roman" w:eastAsia="Times New Roman" w:hAnsi="Times New Roman"/>
          <w:sz w:val="18"/>
          <w:szCs w:val="18"/>
          <w:color w:val="auto"/>
        </w:rPr>
        <w:t>in civil and/or criminal proceedings, substantial fines, penalties, and/or administrative remedies, including exclusion from government reimbursement programs, debarment, and/or entry into corporate integrity agreements with governmental authorities. In addition, resolution of any of these matters could involve the imposition of additional, costly compliance obligations. These potential consequences could have a material adverse effect on our business, results of operations, and financial condition.</w:t>
      </w:r>
    </w:p>
    <w:p>
      <w:pPr>
        <w:spacing w:after="0" w:line="180"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Finally, we also have contracts with government entities, which are subject to risks such as lack of funding, a government’s refusal to make payments, and complex legal compliance requirements. For example, government contract purchase obligations are typically subject to the availability of government funding, which may be eliminated, and governments may also refuse to meet purchase obligations. Our government contracts might not be renewed or might be terminated for convenience by the government with little or no prior notice, which could have a material adverse effect on our business, results of operations, and financial condition. Additionally, we have experienced requests under certain customer contracts, including certain government contracts, to require a designated amount of the contract to be fulfilled by underrepresented suppliers for goods and services, including minority-owned, women-owned, veteran-owned, or other diversity suppliers (“Diversity Suppliers”). As a result, we may be required to set aside a portion of spend under our contracts for Diversity Suppliers, which may decrease our net sales under such arrangements. Any required adjustments to our efforts, such as modifications in regard to Diversity Suppliers, could increase operational complexity and legal risk. The U.S. federal government may issue updated guidance, reassess existing supervisory frameworks, or pursue enforcement actions via the False Claims Act or other mechanisms or targeted executive enforcement actions based on perceived violations of revised standards. At the same time, some states continue to require affirmative action policies or corporate diversity reporting, adding further complexity. We have also experienced requests under certain commercial and government contracts for conditions related to sustainability or similar requirements, such as information on ethical sourcing or access to our suppliers for social audits, the implementation of environmentally preferable purchasing programs, or product-end-of-life and product circularity. These requirements may lead to increased compliance costs and impact our ability to renew such contracts.</w:t>
      </w:r>
    </w:p>
    <w:p>
      <w:pPr>
        <w:spacing w:after="0" w:line="293" w:lineRule="exact"/>
        <w:rPr>
          <w:sz w:val="20"/>
          <w:szCs w:val="20"/>
          <w:color w:val="auto"/>
        </w:rPr>
      </w:pPr>
    </w:p>
    <w:p>
      <w:pPr>
        <w:ind w:left="160" w:right="5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environmental, health, and safety requirements, and our operations involve hazardous and other environmentally sensitive substances.</w:t>
      </w:r>
    </w:p>
    <w:p>
      <w:pPr>
        <w:spacing w:after="0" w:line="53" w:lineRule="exact"/>
        <w:rPr>
          <w:sz w:val="20"/>
          <w:szCs w:val="20"/>
          <w:color w:val="auto"/>
        </w:rPr>
      </w:pPr>
    </w:p>
    <w:p>
      <w:pPr>
        <w:ind w:left="160" w:right="60" w:firstLine="436"/>
        <w:spacing w:after="0" w:line="254" w:lineRule="auto"/>
        <w:rPr>
          <w:sz w:val="20"/>
          <w:szCs w:val="20"/>
          <w:color w:val="auto"/>
        </w:rPr>
      </w:pPr>
      <w:r>
        <w:rPr>
          <w:rFonts w:ascii="Times New Roman" w:cs="Times New Roman" w:eastAsia="Times New Roman" w:hAnsi="Times New Roman"/>
          <w:sz w:val="18"/>
          <w:szCs w:val="18"/>
          <w:color w:val="auto"/>
        </w:rPr>
        <w:t>We are subject to extensive federal, state, provincial, local, and international environmental, health, and safety requirements concerning, among other things, the health and safety of our employees, the generation, disposal, storage, registration, labeling, reporting, use, and transportation of hazardous and other environmentally sensitive substances (including per- and polyfluoroalkyl substances, or “PFAS”), consumer products, emissions or discharges of substances into the environment, investigation and remediation of contamination at various sites, and chemical constituents (including PFAS) in products. Our suppliers are also subject to such requirements, and any failure by, or inability of, our suppliers to comply with such requirements could result in shortages of products or capacity that could impact our operations.</w:t>
      </w:r>
    </w:p>
    <w:p>
      <w:pPr>
        <w:spacing w:after="0" w:line="184"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New environmental, health, and safety laws and regulations, violations of these laws or regulations, stricter enforcement of existing requirements, or the discovery of previously unknown contamination could result in increased costs and other burdens. For example, we and other medical product manufacturers use EtO to sterilize certain medical products we manufacture or distribute. EtO has been the subject of increasing public and regulatory scrutiny because of changes in the assessment of health risks related to EtO emissions. We have made substantial capital expenditures to upgrade emissions controls at certain of our facilities where we expect to continue using EtO. If regulatory measures become more stringent or widespread, we could experience increased costs to comply with more stringent emissions standards, and we and other industry participants may be unable to effectively sterilize medical products, possibly resulting in supply shortages or an industry-wide reduction in surgical or medical procedures, which would negatively impact demand for our products. Likewise, the presence of PFAS in products is also an emerging area of focus by regulators and the public, and we have implemented procedures to comply with evolving regulatory requirements.</w:t>
      </w:r>
    </w:p>
    <w:p>
      <w:pPr>
        <w:spacing w:after="0" w:line="1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60"/>
          </w:cols>
          <w:pgMar w:left="320" w:top="451" w:right="5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40" w:firstLine="436"/>
        <w:spacing w:after="0" w:line="252" w:lineRule="auto"/>
        <w:rPr>
          <w:sz w:val="20"/>
          <w:szCs w:val="20"/>
          <w:color w:val="auto"/>
        </w:rPr>
      </w:pPr>
      <w:r>
        <w:rPr>
          <w:rFonts w:ascii="Times New Roman" w:cs="Times New Roman" w:eastAsia="Times New Roman" w:hAnsi="Times New Roman"/>
          <w:sz w:val="18"/>
          <w:szCs w:val="18"/>
          <w:color w:val="auto"/>
        </w:rPr>
        <w:t>In addition, certain environmental laws assess liability on current or previous owners or operators of real property or those who have arranged for the disposal or treatment of hazardous and other environmentally sensitive substances for the costs of investigation, removal, or remediation of those substances at their properties or at other locations where those substances have been sent for treatment or disposal. This liability may be imposed regardless of fault, and in many situations may be joint and several, meaning that a liable entity may be held responsible for more than its share of the liability, potentially up to the entire liability, if other responsible entities cannot be found or are unable to respond. In addition to cleanup actions brought by governmental authorities, private parties could bring personal injury or other claims due to the presence of, or exposure to, hazardous substances and other environmentally sensitive materials. The ultimate cost of site cleanup and timing of future cash outflows is difficult to predict, given the uncertainties regarding the extent of the required cleanup and the interpretation of applicable requirements.</w:t>
      </w:r>
    </w:p>
    <w:p>
      <w:pPr>
        <w:spacing w:after="0" w:line="187" w:lineRule="exact"/>
        <w:rPr>
          <w:sz w:val="20"/>
          <w:szCs w:val="20"/>
          <w:color w:val="auto"/>
        </w:rPr>
      </w:pPr>
    </w:p>
    <w:p>
      <w:pPr>
        <w:ind w:left="160" w:right="320" w:firstLine="436"/>
        <w:spacing w:after="0" w:line="258" w:lineRule="auto"/>
        <w:rPr>
          <w:sz w:val="20"/>
          <w:szCs w:val="20"/>
          <w:color w:val="auto"/>
        </w:rPr>
      </w:pPr>
      <w:r>
        <w:rPr>
          <w:rFonts w:ascii="Times New Roman" w:cs="Times New Roman" w:eastAsia="Times New Roman" w:hAnsi="Times New Roman"/>
          <w:sz w:val="18"/>
          <w:szCs w:val="18"/>
          <w:color w:val="auto"/>
        </w:rPr>
        <w:t>Our cost of complying with current or future environmental, health and safety requirements, and obligations to investigate and/or remediate environmental conditions currently known or as may be identified or arise in the future and/or to address claims resulting from such conditions, may require material expenditures by us, exceed our estimates, or have a material adverse effect on our business, results of operations, and financial condition.</w:t>
      </w:r>
    </w:p>
    <w:p>
      <w:pPr>
        <w:spacing w:after="0" w:line="283" w:lineRule="exact"/>
        <w:rPr>
          <w:sz w:val="20"/>
          <w:szCs w:val="20"/>
          <w:color w:val="auto"/>
        </w:rPr>
      </w:pPr>
    </w:p>
    <w:p>
      <w:pPr>
        <w:ind w:left="160" w:righ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failure to comply with anti-corruption laws or trade restrictions, including economic sanctions, could materially adversely affect our business, results of operations, and financial condition and result in civil and/or criminal penalties.</w:t>
      </w:r>
    </w:p>
    <w:p>
      <w:pPr>
        <w:spacing w:after="0" w:line="53" w:lineRule="exact"/>
        <w:rPr>
          <w:sz w:val="20"/>
          <w:szCs w:val="20"/>
          <w:color w:val="auto"/>
        </w:rPr>
      </w:pPr>
    </w:p>
    <w:p>
      <w:pPr>
        <w:ind w:left="160" w:firstLine="436"/>
        <w:spacing w:after="0" w:line="267" w:lineRule="auto"/>
        <w:rPr>
          <w:sz w:val="20"/>
          <w:szCs w:val="20"/>
          <w:color w:val="auto"/>
        </w:rPr>
      </w:pPr>
      <w:r>
        <w:rPr>
          <w:rFonts w:ascii="Times New Roman" w:cs="Times New Roman" w:eastAsia="Times New Roman" w:hAnsi="Times New Roman"/>
          <w:sz w:val="17"/>
          <w:szCs w:val="17"/>
          <w:color w:val="auto"/>
        </w:rPr>
        <w:t>We are subject to applicable anti-corruption, anti-bribery, and similar laws, such as the FCPA, the U.S. domestic bribery statute in 18 U.S.C. § 201, and similar laws in other jurisdictions in which we operate. Anti-corruption laws generally prohibit companies and intermediaries from corruptly promising, authorizing, making, offering, or providing anything of value to a foreign government official or, in certain instances, commercial counterparties, for the purpose of obtaining or retaining business. These laws may also require companies to implement adequate internal controls, procedures, and certain books and records standards and controls. Our international operations create a risk of unauthorized payments or offers of payments by one of our employees, consultants, sales agents, distributors, channel partners, or other third parties acting on our behalf. Because of the predominance of government-administered healthcare systems in many jurisdictions around the world, many of our customer relationships outside of the United States involve governmental entities, which increases risks under the FCPA and other anti-corruption laws. We also participate in public-private partnerships and other commercial and policy arrangements with governments around the globe, which could be subject to these laws and similarly increase risks under the FCPA and other anti-corruption laws. Global enforcement of anti-corruption laws has increased in recent years, including investigations and enforcement proceedings leading to assessment of significant fines, penalties, and other sanctions against companies and individuals.</w:t>
      </w:r>
    </w:p>
    <w:p>
      <w:pPr>
        <w:spacing w:after="0" w:line="176" w:lineRule="exact"/>
        <w:rPr>
          <w:sz w:val="20"/>
          <w:szCs w:val="20"/>
          <w:color w:val="auto"/>
        </w:rPr>
      </w:pPr>
    </w:p>
    <w:p>
      <w:pPr>
        <w:ind w:left="160" w:right="20" w:firstLine="436"/>
        <w:spacing w:after="0" w:line="251" w:lineRule="auto"/>
        <w:rPr>
          <w:sz w:val="20"/>
          <w:szCs w:val="20"/>
          <w:color w:val="auto"/>
        </w:rPr>
      </w:pPr>
      <w:r>
        <w:rPr>
          <w:rFonts w:ascii="Times New Roman" w:cs="Times New Roman" w:eastAsia="Times New Roman" w:hAnsi="Times New Roman"/>
          <w:sz w:val="18"/>
          <w:szCs w:val="18"/>
          <w:color w:val="auto"/>
        </w:rPr>
        <w:t>Further, we are subject to laws and regulations, including governmental export and import controls, that could subject us to liability. Our products are subject to export controls of the jurisdictions in which we operate, including the U.S. Department of Commerce’s Export Administration Regulations. In addition, various governmental authorities, including the United Nations, the EU, the United Kingdom and the United States (including the Office of Foreign Assets Control within the U.S. Department of the Treasury (“OFAC”)) administer and enforce economic sanctions laws and regulations prohibiting persons subject to their jurisdiction from dealing with countries or territories subject to comprehensive sanctions and with certain other designated individuals and entities (collectively, “Sanctions Targets”). Our international operations may expose us, directly or indirectly, to Sanctions Targets. Any future imposition of sanctions by the United States, the EU or any of its member states, the United Kingdom, or any other sanctions authority relevant to our business may reduce the flow of goods from certain of our suppliers or may prevent us, either legally or practically, from engaging in dealings with certain individuals, countries, or jurisdictions.</w:t>
      </w:r>
    </w:p>
    <w:p>
      <w:pPr>
        <w:spacing w:after="0" w:line="192" w:lineRule="exact"/>
        <w:rPr>
          <w:sz w:val="20"/>
          <w:szCs w:val="20"/>
          <w:color w:val="auto"/>
        </w:rPr>
      </w:pPr>
    </w:p>
    <w:p>
      <w:pPr>
        <w:ind w:left="160" w:right="460" w:firstLine="436"/>
        <w:spacing w:after="0" w:line="278" w:lineRule="auto"/>
        <w:rPr>
          <w:sz w:val="20"/>
          <w:szCs w:val="20"/>
          <w:color w:val="auto"/>
        </w:rPr>
      </w:pPr>
      <w:r>
        <w:rPr>
          <w:rFonts w:ascii="Times New Roman" w:cs="Times New Roman" w:eastAsia="Times New Roman" w:hAnsi="Times New Roman"/>
          <w:sz w:val="18"/>
          <w:szCs w:val="18"/>
          <w:color w:val="auto"/>
        </w:rPr>
        <w:t>Our policies and procedures designed to promote compliance by us and our directors, officers, employees, representatives, consultants, sales agents, distributors, or other third parties with the FCPA, OFAC restrictions,</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80"/>
          </w:cols>
          <w:pgMar w:left="320" w:top="451" w:right="4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40"/>
        <w:spacing w:after="0" w:line="255" w:lineRule="auto"/>
        <w:rPr>
          <w:sz w:val="20"/>
          <w:szCs w:val="20"/>
          <w:color w:val="auto"/>
        </w:rPr>
      </w:pPr>
      <w:r>
        <w:rPr>
          <w:rFonts w:ascii="Times New Roman" w:cs="Times New Roman" w:eastAsia="Times New Roman" w:hAnsi="Times New Roman"/>
          <w:sz w:val="18"/>
          <w:szCs w:val="18"/>
          <w:color w:val="auto"/>
        </w:rPr>
        <w:t>and other applicable laws and regulations related to anti-corruption, economic sanctions, and export controls may not always be effective, and our employees, representatives, consultants, sales agents, or distributors may engage in conduct for which we could be held responsible. Any alleged or actual violations of these laws and regulations may subject us to government scrutiny, significant criminal or civil penalties, or other sanctions and other liabilities, including exclusion from government contracting, as well as related stockholder lawsuits, all of which could disrupt our business, and adversely affect our reputation, business, results of operations, and financial condition.</w:t>
      </w:r>
    </w:p>
    <w:p>
      <w:pPr>
        <w:spacing w:after="0" w:line="287" w:lineRule="exact"/>
        <w:rPr>
          <w:sz w:val="20"/>
          <w:szCs w:val="20"/>
          <w:color w:val="auto"/>
        </w:rPr>
      </w:pPr>
    </w:p>
    <w:p>
      <w:pPr>
        <w:ind w:left="160" w:right="2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complex and rapidly evolving data privacy, security, and data protection laws and regulations and the costs to comply with such laws and regulations or any ineffective compliance efforts with such laws and regulations may adversely impact our business.</w:t>
      </w:r>
    </w:p>
    <w:p>
      <w:pPr>
        <w:spacing w:after="0" w:line="53" w:lineRule="exact"/>
        <w:rPr>
          <w:sz w:val="20"/>
          <w:szCs w:val="20"/>
          <w:color w:val="auto"/>
        </w:rPr>
      </w:pPr>
    </w:p>
    <w:p>
      <w:pPr>
        <w:ind w:left="160" w:right="40" w:firstLine="436"/>
        <w:spacing w:after="0" w:line="267" w:lineRule="auto"/>
        <w:rPr>
          <w:sz w:val="20"/>
          <w:szCs w:val="20"/>
          <w:color w:val="auto"/>
        </w:rPr>
      </w:pPr>
      <w:r>
        <w:rPr>
          <w:rFonts w:ascii="Times New Roman" w:cs="Times New Roman" w:eastAsia="Times New Roman" w:hAnsi="Times New Roman"/>
          <w:sz w:val="17"/>
          <w:szCs w:val="17"/>
          <w:color w:val="auto"/>
        </w:rPr>
        <w:t>Our business includes the Processing of Personal Data of consumers; Medline applicants, employees, and other workforce members; our customers’ patients, plan members, and employees; our vendors’ employees; and other third parties, as well as PHI, where we meet the definition of a Business Associate (as such term is defined under HIPAA) for certain parts of our business. We maintain PHI that we Processed about Medline’s own patients under certain of our historic offerings. We are directly or, through our customers, indirectly subject to numerous and evolving federal, state, and foreign laws and regulations relating to the Processing of Personal Data and PHI, such as HIPAA, the GDPR, the California Consumer Privacy Act, which was further expanded by the California Privacy Rights Act of 2020 (“CPRA” and collectively, “CCPA”), and similar data privacy legislation enacted or under consideration by various other U.S. states. Laws and regulations relating to privacy and data protection are continually evolving and subject to potentially differing interpretations and levels of enforcement by various courts and regulators, including in connection with changes in governmental administrations. Compliance with all current and emerging privacy, security and data protection laws, regulations, and requirements, as well as laws that are adjacent (such as the proliferation of new laws and regulations addressing generative AI) to those domains is increasingly difficult.</w:t>
      </w:r>
    </w:p>
    <w:p>
      <w:pPr>
        <w:spacing w:after="0" w:line="179" w:lineRule="exact"/>
        <w:rPr>
          <w:sz w:val="20"/>
          <w:szCs w:val="20"/>
          <w:color w:val="auto"/>
        </w:rPr>
      </w:pPr>
    </w:p>
    <w:p>
      <w:pPr>
        <w:ind w:left="160" w:right="20" w:firstLine="436"/>
        <w:spacing w:after="0" w:line="253" w:lineRule="auto"/>
        <w:rPr>
          <w:sz w:val="20"/>
          <w:szCs w:val="20"/>
          <w:color w:val="auto"/>
        </w:rPr>
      </w:pPr>
      <w:r>
        <w:rPr>
          <w:rFonts w:ascii="Times New Roman" w:cs="Times New Roman" w:eastAsia="Times New Roman" w:hAnsi="Times New Roman"/>
          <w:sz w:val="18"/>
          <w:szCs w:val="18"/>
          <w:color w:val="auto"/>
        </w:rPr>
        <w:t>In the United States, the Federal Trade Commission (the “FTC”) is increasingly active in regulating health-related privacy and security. The FTC has taken enforcement actions against companies for statements or promises made about the privacy or security of health information, through Section 5 of the Federal Trade Commission Act (the “FTCA”), which prohibits unfair or deceptive acts or practices, as well as through the Health Breach Notification Rule (“HBNR”), which applies to certain “personal health record-related entities” or “third party service providers.” We may also be subject to scrutiny by federal and state regulators, partners, and consumers related to our collection, use, and disclosure of consumer Personal Data, including health information. Additionally, federal and state consumer protection laws continue to be applied by FTC and states’ Attorneys General to regulate the collection, use, storage, and disclosure of Personal Data.</w:t>
      </w:r>
    </w:p>
    <w:p>
      <w:pPr>
        <w:spacing w:after="0" w:line="184"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In January 2025, the DOJ issued final regulations on bulk U.S. sensitive personal data and government-related data that prohibit or restrict U.S. persons from knowingly directing or engaging in defined classes of transactions that allow persons in “countries of concern” (China, including Hong Kong and Macau, Russia, Iran, North Korea, Cuba, and Venezuela) or those otherwise deemed a “covered person” access to bulk U.S. sensitive personal data and U.S. government-related data. Violations of the regulations can result in civil and criminal penalties. The regulations may further complicate compliance efforts and increase legal risk and compliance costs for us and the third parties upon whom we rely.</w:t>
      </w:r>
    </w:p>
    <w:p>
      <w:pPr>
        <w:spacing w:after="0" w:line="184" w:lineRule="exact"/>
        <w:rPr>
          <w:sz w:val="20"/>
          <w:szCs w:val="20"/>
          <w:color w:val="auto"/>
        </w:rPr>
      </w:pPr>
    </w:p>
    <w:p>
      <w:pPr>
        <w:ind w:left="160" w:right="20" w:firstLine="436"/>
        <w:spacing w:after="0" w:line="254" w:lineRule="auto"/>
        <w:rPr>
          <w:sz w:val="20"/>
          <w:szCs w:val="20"/>
          <w:color w:val="auto"/>
        </w:rPr>
      </w:pPr>
      <w:r>
        <w:rPr>
          <w:rFonts w:ascii="Times New Roman" w:cs="Times New Roman" w:eastAsia="Times New Roman" w:hAnsi="Times New Roman"/>
          <w:sz w:val="18"/>
          <w:szCs w:val="18"/>
          <w:color w:val="auto"/>
        </w:rPr>
        <w:t>At the state level in the United States, the CCPA added new privacy protections for California residents with respect to certain types of Personal Data, including by introducing new data privacy rights for California residents and establishing a regulatory agency dedicated to enforcing compliance. Various other U.S. states have enacted similar comprehensive consumer data privacy legislation, and several other U.S. states are considering expanding or passing privacy laws in the near term. Further, states such as Washington, Connecticut, and Nevada have recently enacted broadly applicable laws to protect the privacy of personal health information, which generally require regulated entities to obtain consent for the collection, use, or sharing of any “consumer health</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60"/>
          </w:cols>
          <w:pgMar w:left="320" w:top="451" w:right="5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line="258" w:lineRule="auto"/>
        <w:rPr>
          <w:sz w:val="20"/>
          <w:szCs w:val="20"/>
          <w:color w:val="auto"/>
        </w:rPr>
      </w:pPr>
      <w:r>
        <w:rPr>
          <w:rFonts w:ascii="Times New Roman" w:cs="Times New Roman" w:eastAsia="Times New Roman" w:hAnsi="Times New Roman"/>
          <w:sz w:val="18"/>
          <w:szCs w:val="18"/>
          <w:color w:val="auto"/>
        </w:rPr>
        <w:t>data,” which may include Personal Data that is linked or reasonably linkable to a consumer and that identifies a consumer’s past, present, or future physical or mental health. The effects of such state privacy laws are potentially far-reaching and may require us to modify our data Processing practices and policies and incur substantial compliance-related costs and expenses, and it remains unclear how various provisions will be interpreted and enforced by the courts and regulators.</w:t>
      </w:r>
    </w:p>
    <w:p>
      <w:pPr>
        <w:spacing w:after="0" w:line="180" w:lineRule="exact"/>
        <w:rPr>
          <w:sz w:val="20"/>
          <w:szCs w:val="20"/>
          <w:color w:val="auto"/>
        </w:rPr>
      </w:pPr>
    </w:p>
    <w:p>
      <w:pPr>
        <w:jc w:val="both"/>
        <w:ind w:left="160" w:right="20" w:firstLine="436"/>
        <w:spacing w:after="0" w:line="258" w:lineRule="auto"/>
        <w:rPr>
          <w:sz w:val="20"/>
          <w:szCs w:val="20"/>
          <w:color w:val="auto"/>
        </w:rPr>
      </w:pPr>
      <w:r>
        <w:rPr>
          <w:rFonts w:ascii="Times New Roman" w:cs="Times New Roman" w:eastAsia="Times New Roman" w:hAnsi="Times New Roman"/>
          <w:sz w:val="18"/>
          <w:szCs w:val="18"/>
          <w:color w:val="auto"/>
        </w:rPr>
        <w:t>Similarly, many foreign laws and regulations, including in countries in which we currently operate, govern the Processing of Personal Data. For example, the GDPR imposes requirements for controllers and processors subject to the law with respect to Processing the Personal Data of EU and UK residents. Non-compliance with the GDPR can result in substantial fines and other penalties, required changes to our business practices and reputational harm, any of which could have an adverse effect on our business.</w:t>
      </w:r>
    </w:p>
    <w:p>
      <w:pPr>
        <w:spacing w:after="0" w:line="180" w:lineRule="exact"/>
        <w:rPr>
          <w:sz w:val="20"/>
          <w:szCs w:val="20"/>
          <w:color w:val="auto"/>
        </w:rPr>
      </w:pPr>
    </w:p>
    <w:p>
      <w:pPr>
        <w:ind w:left="160" w:right="80" w:firstLine="436"/>
        <w:spacing w:after="0" w:line="251" w:lineRule="auto"/>
        <w:rPr>
          <w:sz w:val="20"/>
          <w:szCs w:val="20"/>
          <w:color w:val="auto"/>
        </w:rPr>
      </w:pPr>
      <w:r>
        <w:rPr>
          <w:rFonts w:ascii="Times New Roman" w:cs="Times New Roman" w:eastAsia="Times New Roman" w:hAnsi="Times New Roman"/>
          <w:sz w:val="18"/>
          <w:szCs w:val="18"/>
          <w:color w:val="auto"/>
        </w:rPr>
        <w:t>In the event of a privacy or security incident or claim that we, a service provider, a third party with which we do business, or a hacker or other third party with authorized or unauthorized access to our data has violated applicable privacy or security laws and regulations, we may be subject to regulatory or legal action. A data breach or any allegations of a failure to comply with such privacy or security laws by us or our service providers or other third parties working on our behalf could result in reputational damage, adverse publicity, loss of consumer confidence, reduced sales and profits, complications in executing our growth initiatives, and regulatory and legal risk, including enforcement actions, regulatory investigations, fines and penalties, and in some cases, civil liabilities where individuals have been provided with a private right of action, all of which could materially and adversely affect the results of our operations, financial performance, and business, as well as have a negative impact on business reputation and performance. In addition, we could be required to modify our activities, processes, solutions and services as a result of any enforcement actions or remediation efforts, which could have an adverse effect on our business, results of operations or financial condition. If laws or regulations are changed or expanded, or if governing jurisdictions interpret or implement laws or regulations in new ways it could require changes in our business practices and adversely affect our business, financial condition and results of operations.</w:t>
      </w:r>
    </w:p>
    <w:p>
      <w:pPr>
        <w:spacing w:after="0" w:line="290" w:lineRule="exact"/>
        <w:rPr>
          <w:sz w:val="20"/>
          <w:szCs w:val="20"/>
          <w:color w:val="auto"/>
        </w:rPr>
      </w:pPr>
    </w:p>
    <w:p>
      <w:pPr>
        <w:jc w:val="both"/>
        <w:ind w:left="160" w:right="1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use or our third-party service providers’ or business partners’ use of AI, automated decision-making and machine learning technologies and the evolving regulatory framework in this area may subject us to risks or heightened costs that could adversely affect business, results of operation and financial condition.</w:t>
      </w:r>
    </w:p>
    <w:p>
      <w:pPr>
        <w:spacing w:after="0" w:line="67" w:lineRule="exact"/>
        <w:rPr>
          <w:sz w:val="20"/>
          <w:szCs w:val="20"/>
          <w:color w:val="auto"/>
        </w:rPr>
      </w:pPr>
    </w:p>
    <w:p>
      <w:pPr>
        <w:ind w:left="160" w:right="40" w:firstLine="436"/>
        <w:spacing w:after="0" w:line="250" w:lineRule="auto"/>
        <w:rPr>
          <w:sz w:val="20"/>
          <w:szCs w:val="20"/>
          <w:color w:val="auto"/>
        </w:rPr>
      </w:pPr>
      <w:r>
        <w:rPr>
          <w:rFonts w:ascii="Times New Roman" w:cs="Times New Roman" w:eastAsia="Times New Roman" w:hAnsi="Times New Roman"/>
          <w:sz w:val="18"/>
          <w:szCs w:val="18"/>
          <w:color w:val="auto"/>
        </w:rPr>
        <w:t>We use Machine Learning Technology in connection with our business activities to realize operating efficiencies. Notwithstanding our policies and related personnel training governing use of Machine Learning Technology, our personnel, affiliates, or other third parties working with us or on our behalf could utilize Machine Learning Technology in contravention of such policies, including in ways that could subject us to potential liabilities. We could be further exposed to the risks of Machine Learning Technology if third-party service providers or any other counterparties with whom we interact, whether or not known to us, also use Machine Learning Technology in their business activities. Machine Learning Technology and its current and potential future applications, as well as the legal and regulatory frameworks within which it operates, continue to rapidly evolve. As such, it is not possible to predict the full extent of the current or future risks related to Machine Learning Technology. Independent of its context of use, Machine Learning Technology is generally highly reliant on the collection and analysis of large amounts of data, and it is not possible or practicable to incorporate all relevant data into the model that Machine Learning Technology utilizes to operate. Certain data in such models will inevitably contain or result in a degree of bias, inaccuracy and error—potentially materially so—and could otherwise be inadequate or flawed, which would be likely to degrade the effectiveness of Machine Learning Technology and the reliability and accuracy of its output. To the extent that we rely on or use the output of Machine Learning Technology, any such inaccuracies, biases or errors could have adverse impacts on us, our business, our results of operations or financial condition. Additionally, the volume of and reliance on data and algorithms also make Machine Learning Technology, and in turn us, more susceptible to cybersecurity threats.</w:t>
      </w:r>
    </w:p>
    <w:p>
      <w:pPr>
        <w:spacing w:after="0" w:line="191" w:lineRule="exact"/>
        <w:rPr>
          <w:sz w:val="20"/>
          <w:szCs w:val="20"/>
          <w:color w:val="auto"/>
        </w:rPr>
      </w:pPr>
    </w:p>
    <w:p>
      <w:pPr>
        <w:ind w:left="160" w:right="80" w:firstLine="436"/>
        <w:spacing w:after="0" w:line="278" w:lineRule="auto"/>
        <w:rPr>
          <w:sz w:val="20"/>
          <w:szCs w:val="20"/>
          <w:color w:val="auto"/>
        </w:rPr>
      </w:pPr>
      <w:r>
        <w:rPr>
          <w:rFonts w:ascii="Times New Roman" w:cs="Times New Roman" w:eastAsia="Times New Roman" w:hAnsi="Times New Roman"/>
          <w:sz w:val="18"/>
          <w:szCs w:val="18"/>
          <w:color w:val="auto"/>
        </w:rPr>
        <w:t>We could be exposed to risks to the extent third-party service providers or any counterparties use Machine Learning Technology in their business activities, notwithstanding any preventative policies aimed at restricting or</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40"/>
          </w:cols>
          <w:pgMar w:left="320" w:top="451" w:right="5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40"/>
        <w:spacing w:after="0" w:line="253" w:lineRule="auto"/>
        <w:rPr>
          <w:sz w:val="20"/>
          <w:szCs w:val="20"/>
          <w:color w:val="auto"/>
        </w:rPr>
      </w:pPr>
      <w:r>
        <w:rPr>
          <w:rFonts w:ascii="Times New Roman" w:cs="Times New Roman" w:eastAsia="Times New Roman" w:hAnsi="Times New Roman"/>
          <w:sz w:val="18"/>
          <w:szCs w:val="18"/>
          <w:color w:val="auto"/>
        </w:rPr>
        <w:t>governing the use of such technologies. We are not able to control the way third-party products are developed, trained or maintained or the way third-party services utilizing Machine Learning Technology are provided to us. Use of Machine Learning Technology could include the input of our confidential information (including confidential information and Personal Data) by third parties in contravention of non-disclosure agreements or by our personnel or other related parties in contravention of our policies and procedures and, in each case, could result in such confidential or personal information becoming part of a dataset that is generally accessible by Machine Learning Technology applications and users. The misuse or misappropriation of our data or information of our customers could have an adverse impact on our reputation and could subject us to legal and regulatory investigations and/or actions.</w:t>
      </w:r>
    </w:p>
    <w:p>
      <w:pPr>
        <w:spacing w:after="0" w:line="184" w:lineRule="exact"/>
        <w:rPr>
          <w:sz w:val="20"/>
          <w:szCs w:val="20"/>
          <w:color w:val="auto"/>
        </w:rPr>
      </w:pPr>
    </w:p>
    <w:p>
      <w:pPr>
        <w:jc w:val="both"/>
        <w:ind w:left="160" w:right="40" w:firstLine="436"/>
        <w:spacing w:after="0" w:line="263" w:lineRule="auto"/>
        <w:rPr>
          <w:sz w:val="20"/>
          <w:szCs w:val="20"/>
          <w:color w:val="auto"/>
        </w:rPr>
      </w:pPr>
      <w:r>
        <w:rPr>
          <w:rFonts w:ascii="Times New Roman" w:cs="Times New Roman" w:eastAsia="Times New Roman" w:hAnsi="Times New Roman"/>
          <w:sz w:val="18"/>
          <w:szCs w:val="18"/>
          <w:color w:val="auto"/>
        </w:rPr>
        <w:t>Moreover, some customers may impose their own restrictions on our use of Machine Learning Technology in our performance of services under a contract. While we generally resist any broad restrictions by customers related to our use of Machine Learning Technology, we may be subject to certain restrictions that could create redundancies in systems that omit Machine Learning Technology, which may be costly and inefficient.</w:t>
      </w:r>
    </w:p>
    <w:p>
      <w:pPr>
        <w:spacing w:after="0" w:line="175"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color w:val="auto"/>
        </w:rPr>
        <w:t>In recent years, the use of Machine Learning Technology has come under increased regulatory scrutiny, especially in the case of generative AI and related developments, due to the potential harm to individuals where Personal Data or intellectual property is processed or where models are trained on vast data sets that include Personal Data or intellectual property. For example, various U.S. states are in the process of enacting (or have already enacted) new laws and regulations that are aimed at providing individuals with additional protections in connection with Machine Learning Technology. Moreover, the FDA has issued draft guidance documents and other publications setting forth the FDA’s current thinking with respect to the use and regulation of AI and Machine Learning Technology in the development medical device software and drug products, but has yet to finalize such guidance documents or otherwise propose rules and regulations that would more specifically address the use of AI technologies in medical device products. As a result, the regulatory guidance provided with respect to the use of AI technologies has been limited.</w:t>
      </w:r>
    </w:p>
    <w:p>
      <w:pPr>
        <w:spacing w:after="0" w:line="187" w:lineRule="exact"/>
        <w:rPr>
          <w:sz w:val="20"/>
          <w:szCs w:val="20"/>
          <w:color w:val="auto"/>
        </w:rPr>
      </w:pPr>
    </w:p>
    <w:p>
      <w:pPr>
        <w:ind w:left="160" w:right="40" w:firstLine="436"/>
        <w:spacing w:after="0" w:line="268" w:lineRule="auto"/>
        <w:rPr>
          <w:sz w:val="20"/>
          <w:szCs w:val="20"/>
          <w:color w:val="auto"/>
        </w:rPr>
      </w:pPr>
      <w:r>
        <w:rPr>
          <w:rFonts w:ascii="Times New Roman" w:cs="Times New Roman" w:eastAsia="Times New Roman" w:hAnsi="Times New Roman"/>
          <w:sz w:val="17"/>
          <w:szCs w:val="17"/>
          <w:color w:val="auto"/>
        </w:rPr>
        <w:t>In addition to the U.S. regulatory framework, the EU has recently introduced a new regulation applicable to certain Machine Learning Technology and the data used to train, test and deploy them (the “EU AI Act”). The EU AI Act entered into force on August 1, 2024, with its obligations set to apply in phases from six to 36 months thereafter. The EU AI Act applies on an extraterritorial basis and will impose significant requirements on both the providers and deployers of Machine Learning Technology, with violations punishable by sanctions of up to 7% of annual worldwide revenue or EUR</w:t>
      </w:r>
    </w:p>
    <w:p>
      <w:pPr>
        <w:spacing w:after="0" w:line="2" w:lineRule="exact"/>
        <w:rPr>
          <w:sz w:val="20"/>
          <w:szCs w:val="20"/>
          <w:color w:val="auto"/>
        </w:rPr>
      </w:pPr>
    </w:p>
    <w:p>
      <w:pPr>
        <w:ind w:left="160" w:right="100"/>
        <w:spacing w:after="0" w:line="250" w:lineRule="auto"/>
        <w:rPr>
          <w:sz w:val="20"/>
          <w:szCs w:val="20"/>
          <w:color w:val="auto"/>
        </w:rPr>
      </w:pPr>
      <w:r>
        <w:rPr>
          <w:rFonts w:ascii="Times New Roman" w:cs="Times New Roman" w:eastAsia="Times New Roman" w:hAnsi="Times New Roman"/>
          <w:sz w:val="18"/>
          <w:szCs w:val="18"/>
          <w:color w:val="auto"/>
        </w:rPr>
        <w:t>35 million (whichever is higher) for the most serious breaches. Any actual or perceived failure to comply with evolving regulatory frameworks around the development and use of Machine Learning Technology could adversely affect our business, results of operations and financial condition. New laws, regulations, executive orders, guidance and decisions in this area may limit our ability to use Machine Learning Technology or require us to make changes to our operations that may decrease our operational efficiency, result in an increase to operating costs, and hinder our ability to develop and introduce new products or otherwise improve our services.</w:t>
      </w:r>
    </w:p>
    <w:p>
      <w:pPr>
        <w:spacing w:after="0" w:line="290" w:lineRule="exact"/>
        <w:rPr>
          <w:sz w:val="20"/>
          <w:szCs w:val="20"/>
          <w:color w:val="auto"/>
        </w:rPr>
      </w:pPr>
    </w:p>
    <w:p>
      <w:pPr>
        <w:ind w:left="160" w:right="3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tax laws change or we experience adverse outcomes resulting from examination of our tax returns or disagreements with taxing authorities, it could adversely affect our business, financial condition, and results of operations.</w:t>
      </w:r>
    </w:p>
    <w:p>
      <w:pPr>
        <w:spacing w:after="0" w:line="53"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We are subject to tax in the United States and in certain foreign jurisdictions in which we operate. The United States and many countries in Europe, as well as a number of other countries and organizations, have recently proposed or recommended changes to existing tax laws or have enacted new laws that could significantly increase our tax obligations in many countries where we do business, or require us to change the manner in which we operate our business. For example, in August 2022, the Inflation Reduction Act (the “IRA”) was signed into law. The IRA, among other things, includes a new 15% corporate minimum tax as well as a 1% excise tax on corporate stock repurchases, subject to certain exceptions. In addition, in July 2025, the One Big Beautiful Bill Act (the “OBBBA”) was signed into law. The OBBBA introduced significant changes to numerous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80"/>
          </w:cols>
          <w:pgMar w:left="320" w:top="451"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20"/>
        <w:spacing w:after="0" w:line="254" w:lineRule="auto"/>
        <w:rPr>
          <w:sz w:val="20"/>
          <w:szCs w:val="20"/>
          <w:color w:val="auto"/>
        </w:rPr>
      </w:pPr>
      <w:r>
        <w:rPr>
          <w:rFonts w:ascii="Times New Roman" w:cs="Times New Roman" w:eastAsia="Times New Roman" w:hAnsi="Times New Roman"/>
          <w:sz w:val="18"/>
          <w:szCs w:val="18"/>
          <w:color w:val="auto"/>
        </w:rPr>
        <w:t>areas of U.S. federal income tax law, including permanency of certain provisions in the 2017 Tax Cuts and Jobs Act, and changes to R&amp;D expensing, bonus depreciation, and international tax provisions. Other developments include certain proposals by the Organization for Economic Co-operation and Development arising from its Base Erosion and Profit Shifting project and the implementation of the global minimum tax under the Pillar Two model rules. The application and interpretation of these laws in different jurisdictions affect our operations in complex ways and are subject to change, and some changes may be retroactively applied. Additional guidance with respect to any of these rules or other changes in tax law could materially affect our financial position, tax obligations, and effective tax rate.</w:t>
      </w:r>
    </w:p>
    <w:p>
      <w:pPr>
        <w:spacing w:after="0" w:line="184" w:lineRule="exact"/>
        <w:rPr>
          <w:sz w:val="20"/>
          <w:szCs w:val="20"/>
          <w:color w:val="auto"/>
        </w:rPr>
      </w:pPr>
    </w:p>
    <w:p>
      <w:pPr>
        <w:ind w:left="160" w:right="100" w:firstLine="436"/>
        <w:spacing w:after="0" w:line="277" w:lineRule="auto"/>
        <w:rPr>
          <w:sz w:val="20"/>
          <w:szCs w:val="20"/>
          <w:color w:val="auto"/>
        </w:rPr>
      </w:pPr>
      <w:r>
        <w:rPr>
          <w:rFonts w:ascii="Times New Roman" w:cs="Times New Roman" w:eastAsia="Times New Roman" w:hAnsi="Times New Roman"/>
          <w:sz w:val="17"/>
          <w:szCs w:val="17"/>
          <w:color w:val="auto"/>
        </w:rPr>
        <w:t>In addition, we are subject to the examination of our income and other tax returns by the United States Internal Revenue Service (the “IRS”) and other tax authorities. We regularly assess the likelihood of adverse outcomes resulting from such examinations to determine the adequacy of our provision for income taxes. Although we believe we have made appropriate provisions for taxes in the jurisdictions in which we operate, changes in the tax laws or challenges from tax authorities under existing tax laws could adversely affect our business, financial condition, and results of operations.</w:t>
      </w:r>
    </w:p>
    <w:p>
      <w:pPr>
        <w:spacing w:after="0" w:line="270" w:lineRule="exact"/>
        <w:rPr>
          <w:sz w:val="20"/>
          <w:szCs w:val="20"/>
          <w:color w:val="auto"/>
        </w:rPr>
      </w:pPr>
    </w:p>
    <w:p>
      <w:pPr>
        <w:ind w:left="160" w:right="2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litigation brought by third parties claiming infringement, misappropriation, or other violation by us of their intellectual property rights.</w:t>
      </w:r>
    </w:p>
    <w:p>
      <w:pPr>
        <w:spacing w:after="0" w:line="53"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Our commercial success depends in part on avoiding infringement, misappropriation, or other violations of the intellectual property of third parties. However, we cannot be certain that our products and technologies and the conduct of our business does not and will not infringe, misappropriate, or otherwise violate the intellectual property rights of others or be alleged to do same. Any claim that we, or consultants, customers or other third parties retained or indemnified by us, have violated the intellectual property of third parties, with or without merit, and whether or not it results in litigation, is settled out of court or is determined in our favor, could be time consuming and costly to address and resolve, and could divert the time and attention of management and technical personnel from our business. Our liability insurance may not cover potential claims of this type adequately or at all. We also may have to seek third-party licenses to intellectual property, which may be unavailable, require payment of significant royalties, or be available only at commercially unreasonable, unfavorable, or otherwise unacceptable terms. In the event of a settlement or adverse judgment, our results of operations may materially decline if we are prohibited from using intellectual property that is material to the operation of our business. Even in instances where we believe that claims and allegations of intellectual property infringement against us are without merit, defending against such claims may be time consuming and expensive and may result in the diversion of time and attention of our management and employees. Any of these events could have a material adverse effect on our business, results of operations, and financial condition.</w:t>
      </w:r>
    </w:p>
    <w:p>
      <w:pPr>
        <w:spacing w:after="0" w:line="297" w:lineRule="exact"/>
        <w:rPr>
          <w:sz w:val="20"/>
          <w:szCs w:val="20"/>
          <w:color w:val="auto"/>
        </w:rPr>
      </w:pPr>
    </w:p>
    <w:p>
      <w:pPr>
        <w:ind w:left="160" w:right="3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Climate change or legal, regulatory or market measures to address climate change may negatively affect our business, results of operations, and financial condition.</w:t>
      </w:r>
    </w:p>
    <w:p>
      <w:pPr>
        <w:spacing w:after="0" w:line="53" w:lineRule="exact"/>
        <w:rPr>
          <w:sz w:val="20"/>
          <w:szCs w:val="20"/>
          <w:color w:val="auto"/>
        </w:rPr>
      </w:pPr>
    </w:p>
    <w:p>
      <w:pPr>
        <w:ind w:left="160" w:right="60" w:firstLine="436"/>
        <w:spacing w:after="0" w:line="252" w:lineRule="auto"/>
        <w:rPr>
          <w:sz w:val="20"/>
          <w:szCs w:val="20"/>
          <w:color w:val="auto"/>
        </w:rPr>
      </w:pPr>
      <w:r>
        <w:rPr>
          <w:rFonts w:ascii="Times New Roman" w:cs="Times New Roman" w:eastAsia="Times New Roman" w:hAnsi="Times New Roman"/>
          <w:sz w:val="18"/>
          <w:szCs w:val="18"/>
          <w:color w:val="auto"/>
        </w:rPr>
        <w:t>The physical impacts of climate change, including increased frequency and severity of natural disasters, sea levels rising, and extreme temperatures, may pose physical risks to our facilities and/or operations, and/or disrupt our supply chain. For example, storm activity in Nuevo Laredo, Mexico in 2021 caused damage to our facilities and temporarily disrupted our operations in the region, and similar climate events could adversely affect our business, results of operations, and financial condition in the future. Our transition risks, which are risks associated with the transition towards a low-carbon economy, may include mass climate-related migration and shifting demand for our products and decreased availability or less favorable pricing for water and other critical raw materials or energy, which could impact our manufacturing and distribution operations and the competitiveness of our products. While shifting needs can create opportunities in new markets or for new products, failure to adapt to these changed circumstances can also pose potential business risks.</w:t>
      </w:r>
    </w:p>
    <w:p>
      <w:pPr>
        <w:spacing w:after="0" w:line="187" w:lineRule="exact"/>
        <w:rPr>
          <w:sz w:val="20"/>
          <w:szCs w:val="20"/>
          <w:color w:val="auto"/>
        </w:rPr>
      </w:pPr>
    </w:p>
    <w:p>
      <w:pPr>
        <w:ind w:left="160" w:right="360" w:firstLine="436"/>
        <w:spacing w:after="0" w:line="278" w:lineRule="auto"/>
        <w:rPr>
          <w:sz w:val="20"/>
          <w:szCs w:val="20"/>
          <w:color w:val="auto"/>
        </w:rPr>
      </w:pPr>
      <w:r>
        <w:rPr>
          <w:rFonts w:ascii="Times New Roman" w:cs="Times New Roman" w:eastAsia="Times New Roman" w:hAnsi="Times New Roman"/>
          <w:sz w:val="18"/>
          <w:szCs w:val="18"/>
          <w:color w:val="auto"/>
        </w:rPr>
        <w:t>Our business could be affected by current and future local, state, federal, and international laws, regulations, treaties, agreements, and policies related to greenhouse gas emissions and climate change. Some existing laws</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80"/>
          </w:cols>
          <w:pgMar w:left="320" w:top="451"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220"/>
        <w:spacing w:after="0" w:line="252" w:lineRule="auto"/>
        <w:rPr>
          <w:sz w:val="20"/>
          <w:szCs w:val="20"/>
          <w:color w:val="auto"/>
        </w:rPr>
      </w:pPr>
      <w:r>
        <w:rPr>
          <w:rFonts w:ascii="Times New Roman" w:cs="Times New Roman" w:eastAsia="Times New Roman" w:hAnsi="Times New Roman"/>
          <w:sz w:val="18"/>
          <w:szCs w:val="18"/>
          <w:color w:val="auto"/>
        </w:rPr>
        <w:t>and regulations to reduce greenhouse gas emissions include controls, carbon levies, cap and trade programs and/or other measures, and additional regulation of such emissions is likely. More stringent interpretation of existing laws or regulations, as well as future laws or regulations in response to concerns over climate change, could require us and/or our suppliers to take action to reduce emissions of greenhouse gases or incur costs to obtain allowances or credits for our emissions. As a result, the costs and restrictions associated with sourcing, manufacturing, and distributing our products could significantly increase, which may adversely affect our business, results of operations, and financial condition. Further, the impacts of climate change may influence customer preferences, including driving customers to seek products that are low carbon or have other sustainability characteristics, and failure to provide products that anticipate or adequately respond to these changes in preference could damage our reputation and result in loss of market share.</w:t>
      </w:r>
    </w:p>
    <w:p>
      <w:pPr>
        <w:spacing w:after="0" w:line="290" w:lineRule="exact"/>
        <w:rPr>
          <w:sz w:val="20"/>
          <w:szCs w:val="20"/>
          <w:color w:val="auto"/>
        </w:rPr>
      </w:pPr>
    </w:p>
    <w:p>
      <w:pPr>
        <w:ind w:left="160" w:right="2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increasing focus on ESG and sustainability matters or the failure or perceived failure to meet our ESG and sustainability goals may increase our costs, harm our reputation or adversely affect our business.</w:t>
      </w:r>
    </w:p>
    <w:p>
      <w:pPr>
        <w:spacing w:after="0" w:line="53" w:lineRule="exact"/>
        <w:rPr>
          <w:sz w:val="20"/>
          <w:szCs w:val="20"/>
          <w:color w:val="auto"/>
        </w:rPr>
      </w:pPr>
    </w:p>
    <w:p>
      <w:pPr>
        <w:ind w:left="160" w:firstLine="436"/>
        <w:spacing w:after="0" w:line="249" w:lineRule="auto"/>
        <w:rPr>
          <w:sz w:val="20"/>
          <w:szCs w:val="20"/>
          <w:color w:val="auto"/>
        </w:rPr>
      </w:pPr>
      <w:r>
        <w:rPr>
          <w:rFonts w:ascii="Times New Roman" w:cs="Times New Roman" w:eastAsia="Times New Roman" w:hAnsi="Times New Roman"/>
          <w:sz w:val="18"/>
          <w:szCs w:val="18"/>
          <w:color w:val="auto"/>
        </w:rPr>
        <w:t>Companies are facing increasing scrutiny from investors, customers, patients, consumers, employees, proxy advisory firms, nongovernmental organizations, and other stakeholders related to environmental, social, and governance (“ESG”) matters, including governance practices and with respect to environmental and social sustainability–related efforts and belonging initiatives. We may experience pressure to make commitments relating to ESG matters that affect our business or industry, including strategic risk mitigation initiatives relating to sustainability. Expectations regarding the management of ESG initiatives continue to rapidly evolve. Moreover, in recent years “anti-ESG” and “anti–diversity, equity, and inclusion” sentiments have gained momentum across the United States, with several dozen states, the U.S. Congress, and the U.S. Executive Branch having proposed or enacted “anti-ESG” or “anti–diversity, equity, and inclusion” policies, legislation, executive orders or initiatives, or issued related legal opinions. Further, we may from time to time engage in various efforts, including setting policies and goals or making voluntary or required statements and disclosures. The policies, goals, statements, and disclosures reflect our current circumstances, plans, and aspirations at the time they are made. Our efforts to accomplish and accurately report on our efforts and goals are subject to a number of factors, many of which are outside of our control, including economic conditions, our ability to implement certain types of technology, the costs of implementing aspirational changes, our ability to offer our products and services at competitive market rates to meet customer and consumer expectations, unforeseen operational and implementation challenges, and collaboration with third parties. Our expectations and assumptions are necessarily uncertain and may be prone to error or subject to misinterpretation given the long timelines involved and the lack of an established, singular approach to identifying, measuring and reporting on many ESG matters. We may also be required to expend significant resources to meet our goals, which could increase our operational costs. We may also determine that it is in the best interest of our Company and our stockholders to prioritize other business, social, governance, or sustainable investments over the achievement of our current goals based on economic, technological developments, regulatory and social factors, business strategy, or pressure from investors, activist groups, or other stakeholders. Additionally, our current ESG practices may not comply with future stakeholder expectations, reporting frameworks, regulatory requirements, or best practices. If we are not effective in addressing ESG matters important to our stakeholders, or setting and meeting relevant ESG goals in a timely manner, our reputation, attractiveness as an investment, business partner, or acquiror, access to and costs of capital, financial results, and stock price may suffer. If our sustainability practices do not meet evolving stakeholders’ expectations and standards, or if we are unable to satisfy all stakeholders, our reputation, ability to attract or retain employees, financial condition, results of operations, and cash flows could be negatively impacted. In addition, even if we are effective at addressing ESG and sustainability matters, we may experience increased costs to execute upon these goals that may not be offset by any benefit to our reputation, which could have an adverse impact on our business and financial condition.</w:t>
      </w:r>
    </w:p>
    <w:p>
      <w:pPr>
        <w:spacing w:after="0" w:line="2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We are involved in legal proceedings and disputes, which could adversely impact our business, results of operations, and financial condition.</w:t>
      </w:r>
    </w:p>
    <w:p>
      <w:pPr>
        <w:spacing w:after="0" w:line="118" w:lineRule="exact"/>
        <w:rPr>
          <w:sz w:val="20"/>
          <w:szCs w:val="20"/>
          <w:color w:val="auto"/>
        </w:rPr>
      </w:pPr>
    </w:p>
    <w:p>
      <w:pPr>
        <w:ind w:left="160" w:right="460" w:firstLine="436"/>
        <w:spacing w:after="0" w:line="278" w:lineRule="auto"/>
        <w:rPr>
          <w:sz w:val="20"/>
          <w:szCs w:val="20"/>
          <w:color w:val="auto"/>
        </w:rPr>
      </w:pPr>
      <w:r>
        <w:rPr>
          <w:rFonts w:ascii="Times New Roman" w:cs="Times New Roman" w:eastAsia="Times New Roman" w:hAnsi="Times New Roman"/>
          <w:sz w:val="18"/>
          <w:szCs w:val="18"/>
          <w:color w:val="auto"/>
        </w:rPr>
        <w:t>We are routinely party to a number of lawsuits, settlement discussions, mediations, arbitrations, demands, investigations, and other disputes, including those related to commercial matters and contracts, personal injury</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60"/>
          </w:cols>
          <w:pgMar w:left="320" w:top="452" w:right="5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20"/>
        <w:spacing w:after="0" w:line="250" w:lineRule="auto"/>
        <w:rPr>
          <w:sz w:val="20"/>
          <w:szCs w:val="20"/>
          <w:color w:val="auto"/>
        </w:rPr>
      </w:pPr>
      <w:r>
        <w:rPr>
          <w:rFonts w:ascii="Times New Roman" w:cs="Times New Roman" w:eastAsia="Times New Roman" w:hAnsi="Times New Roman"/>
          <w:sz w:val="18"/>
          <w:szCs w:val="18"/>
          <w:color w:val="auto"/>
        </w:rPr>
        <w:t>and product liability, state and federal labor and employment (including healthcare benefits and discrimination), healthcare regulation, intellectual property, import and export regulations, environmental matters (such as PFAS purportedly found in products and EtO emissions), tax, real property, privacy, and our trucking operations. These current and future matters require us to dedicate significant internal and external resources and costs to respond and comply, and may result in substantial monetary damages or penalties; harm our reputation; require us to pay additional wages, insurance expenses, and payroll-related taxes or sizeable statutory penalties; cause us to lose patent protection or tax benefits; require us to revise or restate our financial statements; divert our management’s time, attention, and resources; or otherwise adversely affect our sales and business. In addition, we may be required to redesign, re-label, restrict, or recall products; cease manufacturing and selling products; comply with a court injunction restricting or prohibiting further marketing and sale of products or services; or comply with a consent decree, which could result in further regulatory constraints, or we may be subject to the seizure of our product inventory or determine that certain products in our inventory should no longer be shipped as a result of regulatory requests or actions or safety or other issues. Even claims without merit could subject us to adverse publicity, harm our reputation, require us to incur significant legal fees, or cause us to modify our pay or other practices. Any of these events could have a material adverse effect on our business, results of operations, financial condition, cash flows, and profitability. In addition, even if we believe we have meritorious defenses, from time to time we may engage in settlement discussions and mediation. In considering settlements, we take into account various factors, including developments in pending legal proceedings and the related risks and uncertainties.</w:t>
      </w:r>
    </w:p>
    <w:p>
      <w:pPr>
        <w:spacing w:after="0" w:line="191" w:lineRule="exact"/>
        <w:rPr>
          <w:sz w:val="20"/>
          <w:szCs w:val="20"/>
          <w:color w:val="auto"/>
        </w:rPr>
      </w:pPr>
    </w:p>
    <w:p>
      <w:pPr>
        <w:ind w:left="160" w:right="40" w:firstLine="436"/>
        <w:spacing w:after="0" w:line="271" w:lineRule="auto"/>
        <w:rPr>
          <w:sz w:val="20"/>
          <w:szCs w:val="20"/>
          <w:color w:val="auto"/>
        </w:rPr>
      </w:pPr>
      <w:r>
        <w:rPr>
          <w:rFonts w:ascii="Times New Roman" w:cs="Times New Roman" w:eastAsia="Times New Roman" w:hAnsi="Times New Roman"/>
          <w:sz w:val="17"/>
          <w:szCs w:val="17"/>
          <w:color w:val="auto"/>
        </w:rPr>
        <w:t>The reserves we establish for estimated losses with respect to these matters represent our estimate of the probable loss at the time the reserve is established, to the extent future losses are probable and reasonably estimable. This involves judgment and may not reflect the full range of uncertainties and unpredictable outcomes. Additional reserves may be established or current reserves may be significantly increased from time to time. Until the final resolution of a matter, we may be exposed to losses in excess of the amount recorded, and such amounts could be material. In addition, any settlements we enter may be confidential and could be significant and result in charges in excess of accruals. If any of our estimates and assumptions change or prove to have been incorrect, it could have a material effect on our business, consolidated financial position, results of operations, or cash flows.</w:t>
      </w:r>
    </w:p>
    <w:p>
      <w:pPr>
        <w:spacing w:after="0" w:line="276" w:lineRule="exact"/>
        <w:rPr>
          <w:sz w:val="20"/>
          <w:szCs w:val="20"/>
          <w:color w:val="auto"/>
        </w:rPr>
      </w:pPr>
    </w:p>
    <w:p>
      <w:pPr>
        <w:ind w:left="160" w:right="6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laws and regulations relating to reimbursement of healthcare goods and services may subject us to penalties and adversely impact our reputation, business, results of operations, financial condition, and cash flows.</w:t>
      </w:r>
    </w:p>
    <w:p>
      <w:pPr>
        <w:spacing w:after="0" w:line="53"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The ability of our customers to obtain appropriate reimbursement for products and services from third-party payers is critical because it affects which products customers purchase and the prices they are willing to pay. Our products are purchased principally by hospitals or healthcare professionals that typically seek reimbursement from various third-party payers, such as governmental healthcare programs (e.g., Medicare, Medicaid, TRICARE, and comparable non-U.S. programs), private insurance plans, and managed care plans for the healthcare services provided to their patients. As a result, our products are subject to laws and regulations enforced by governmental and regulatory authorities, including HHS, CMS, the DOJ, and state and non-U.S. agencies responsible for reimbursement and regulation of healthcare goods and services. These laws and regulations address fair competition, kickbacks, false claims, self-referrals, and healthcare fraud and abuse (e.g., the federal False Claims Act (“FCA”), Physician Self-Referral Law (the “Stark Law”), Anti-Kickback Statute (“AKS”), the Civil Monetary Penalties Statute, HIPAA, and the Physician Payments Sunshine Act). See “Business—Government Regulation—Healthcare Fraud and Abuse Laws and Regulations.” Many jurisdictions have similar laws that apply to reimbursement by state Medicaid or other funded programs and all payers, and require transparency in interactions with and payments, or other transfers of value, to healthcare professionals.</w:t>
      </w:r>
    </w:p>
    <w:p>
      <w:pPr>
        <w:spacing w:after="0" w:line="187" w:lineRule="exact"/>
        <w:rPr>
          <w:sz w:val="20"/>
          <w:szCs w:val="20"/>
          <w:color w:val="auto"/>
        </w:rPr>
      </w:pPr>
    </w:p>
    <w:p>
      <w:pPr>
        <w:ind w:left="160" w:right="120" w:firstLine="436"/>
        <w:spacing w:after="0" w:line="263" w:lineRule="auto"/>
        <w:rPr>
          <w:sz w:val="20"/>
          <w:szCs w:val="20"/>
          <w:color w:val="auto"/>
        </w:rPr>
      </w:pPr>
      <w:r>
        <w:rPr>
          <w:rFonts w:ascii="Times New Roman" w:cs="Times New Roman" w:eastAsia="Times New Roman" w:hAnsi="Times New Roman"/>
          <w:sz w:val="18"/>
          <w:szCs w:val="18"/>
          <w:color w:val="auto"/>
        </w:rPr>
        <w:t>The relationships that we, and third parties that market and/or sell our products, have with healthcare facilities and professionals are subject to scrutiny under these and other federal, state, and foreign laws. For example, we are engaged in giving discounts within the meaning of the AKS, which prohibits knowingly and</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60"/>
          </w:cols>
          <w:pgMar w:left="320" w:top="452" w:right="5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100"/>
        <w:spacing w:after="0" w:line="253" w:lineRule="auto"/>
        <w:rPr>
          <w:sz w:val="20"/>
          <w:szCs w:val="20"/>
          <w:color w:val="auto"/>
        </w:rPr>
      </w:pPr>
      <w:r>
        <w:rPr>
          <w:rFonts w:ascii="Times New Roman" w:cs="Times New Roman" w:eastAsia="Times New Roman" w:hAnsi="Times New Roman"/>
          <w:sz w:val="18"/>
          <w:szCs w:val="18"/>
          <w:color w:val="auto"/>
        </w:rPr>
        <w:t>willfully offering, paying, soliciting, or receiving any remuneration to induce or reward, or in return for the referral of an individual for, or the purchasing, ordering, or recommending of items or services, for which payment may be made in whole or in part by Medicare, Medicaid, or other federally funded healthcare programs. Under the AKS, there are exceptions for, among other things, properly reported discounts which includes the payment of rebates, and payments of certain administrative fees to GPOs. AKS regulations contain enumerated safe harbors that implement and further refine the statutory exceptions for discounts and payments to GPOs. Engaging in a business practice for which there is an AKS safe harbor may be regarded as suspect if the practice fails to meet each of the prescribed criteria of the appropriate safe harbor, even if such arrangement is lawful. Such arrangements may be subject to greater scrutiny by enforcement agencies.</w:t>
      </w:r>
    </w:p>
    <w:p>
      <w:pPr>
        <w:spacing w:after="0" w:line="184" w:lineRule="exact"/>
        <w:rPr>
          <w:sz w:val="20"/>
          <w:szCs w:val="20"/>
          <w:color w:val="auto"/>
        </w:rPr>
      </w:pPr>
    </w:p>
    <w:p>
      <w:pPr>
        <w:ind w:left="160" w:firstLine="436"/>
        <w:spacing w:after="0" w:line="267" w:lineRule="auto"/>
        <w:rPr>
          <w:sz w:val="20"/>
          <w:szCs w:val="20"/>
          <w:color w:val="auto"/>
        </w:rPr>
      </w:pPr>
      <w:r>
        <w:rPr>
          <w:rFonts w:ascii="Times New Roman" w:cs="Times New Roman" w:eastAsia="Times New Roman" w:hAnsi="Times New Roman"/>
          <w:sz w:val="17"/>
          <w:szCs w:val="17"/>
          <w:color w:val="auto"/>
        </w:rPr>
        <w:t>We maintain internal policies, procedures, training, and monitoring to help ensure our arrangements comply with applicable fraud and abuse laws and other laws and regulations relating to reimbursement of healthcare goods and services. However, governmental officials responsible for enforcing these laws or whistleblowers may assert that we are in violation of them. If our operations are found to be in violation of any such requirements, we may be subject to significant penalties, including civil, criminal and administrative penalties, damages, fines, disgorgement, imprisonment, the curtailment or restructuring of our operations, loss of eligibility to obtain approvals from the FDA, exclusion from participation in government contracting, healthcare reimbursement, or other government programs, including Medicare, Medicaid, and TRICARE, integrity oversight and reporting obligations, or reputational harm, any of which could adversely affect our financial results. In certain circumstances, insurance companies may also attempt to bring a private cause of action against us for causing the submission of false claims.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79" w:lineRule="exact"/>
        <w:rPr>
          <w:sz w:val="20"/>
          <w:szCs w:val="20"/>
          <w:color w:val="auto"/>
        </w:rPr>
      </w:pPr>
    </w:p>
    <w:p>
      <w:pPr>
        <w:ind w:left="160" w:right="160" w:firstLine="436"/>
        <w:spacing w:after="0" w:line="255" w:lineRule="auto"/>
        <w:rPr>
          <w:sz w:val="20"/>
          <w:szCs w:val="20"/>
          <w:color w:val="auto"/>
        </w:rPr>
      </w:pPr>
      <w:r>
        <w:rPr>
          <w:rFonts w:ascii="Times New Roman" w:cs="Times New Roman" w:eastAsia="Times New Roman" w:hAnsi="Times New Roman"/>
          <w:sz w:val="18"/>
          <w:szCs w:val="18"/>
          <w:color w:val="auto"/>
        </w:rPr>
        <w:t>We are also subject to risks relating to changes in government and private healthcare reimbursement programs and policies, and changes in legal and regulatory requirements in the United States and around the world. Implementation of further legislative or administrative reforms to these reimbursement systems, adverse judicial decisions related to these reimbursement systems, or adverse decisions relating to coverage of or reimbursement for our products by administrators of these systems could have an impact on the acceptance of and demand for our products and the prices that our customers are willing to pay for them.</w:t>
      </w:r>
    </w:p>
    <w:p>
      <w:pPr>
        <w:spacing w:after="0" w:line="184" w:lineRule="exact"/>
        <w:rPr>
          <w:sz w:val="20"/>
          <w:szCs w:val="20"/>
          <w:color w:val="auto"/>
        </w:rPr>
      </w:pPr>
    </w:p>
    <w:p>
      <w:pPr>
        <w:ind w:left="160" w:right="60" w:firstLine="436"/>
        <w:spacing w:after="0" w:line="254" w:lineRule="auto"/>
        <w:rPr>
          <w:sz w:val="20"/>
          <w:szCs w:val="20"/>
          <w:color w:val="auto"/>
        </w:rPr>
      </w:pPr>
      <w:r>
        <w:rPr>
          <w:rFonts w:ascii="Times New Roman" w:cs="Times New Roman" w:eastAsia="Times New Roman" w:hAnsi="Times New Roman"/>
          <w:sz w:val="18"/>
          <w:szCs w:val="18"/>
          <w:color w:val="auto"/>
        </w:rPr>
        <w:t>Additionally, we also directly submitted claims to governmental healthcare programs as a Medicare-enrolled durable medical equipment, prosthetics, orthotics, and supplies (“DMEPOS”) supplier. As a result, we have been and from time to time are subject to audits by government healthcare programs and third-party payers related to such claims, which may require refunds of overpayments and may result in penalties, litigation, or enforcement actions. Although we divested the assets associated with this DMEPOS supplier business unit in October 2023, we may nonetheless be subject to past and future product liability claims, enforcement actions, regulatory investigations, fines and penalties, regardless of their ultimate outcome, any of which could harm our reputation and have a material adverse effect on our business, results of operations, and financial condition.</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Our insurance program may not cover claims brought against us, deny coverage of claims, or be inadequate to cover future losses.</w:t>
      </w:r>
    </w:p>
    <w:p>
      <w:pPr>
        <w:spacing w:after="0" w:line="118" w:lineRule="exact"/>
        <w:rPr>
          <w:sz w:val="20"/>
          <w:szCs w:val="20"/>
          <w:color w:val="auto"/>
        </w:rPr>
      </w:pPr>
    </w:p>
    <w:p>
      <w:pPr>
        <w:ind w:left="160" w:right="80" w:firstLine="436"/>
        <w:spacing w:after="0" w:line="254" w:lineRule="auto"/>
        <w:rPr>
          <w:sz w:val="20"/>
          <w:szCs w:val="20"/>
          <w:color w:val="auto"/>
        </w:rPr>
      </w:pPr>
      <w:r>
        <w:rPr>
          <w:rFonts w:ascii="Times New Roman" w:cs="Times New Roman" w:eastAsia="Times New Roman" w:hAnsi="Times New Roman"/>
          <w:sz w:val="18"/>
          <w:szCs w:val="18"/>
          <w:color w:val="auto"/>
        </w:rPr>
        <w:t>We maintain third-party insurance to cover our exposure to certain property and casualty losses and are self-insured for certain retentions, claims, and expenses related to other property and casualty losses, including product liability, environmental, and cybersecurity and data privacy losses. Settlement or judgements of claims brought against us may not be covered by insurance or, if covered, our claim may be denied or subject to insurance coverage limits provided by third-party insurers that are insufficient to fully cover unanticipated losses. We are actively pursuing litigation with our excess insurance carriers related to their obligations to reimburse such payments, but we may not be able to obtain reimbursements sufficient to cover our settlement obligations. For example, in connection with the settlement of tort lawsuits related to emissions of EtO from our facility in</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60"/>
          </w:cols>
          <w:pgMar w:left="320" w:top="451" w:right="5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line="255" w:lineRule="auto"/>
        <w:rPr>
          <w:sz w:val="20"/>
          <w:szCs w:val="20"/>
          <w:color w:val="auto"/>
        </w:rPr>
      </w:pPr>
      <w:r>
        <w:rPr>
          <w:rFonts w:ascii="Times New Roman" w:cs="Times New Roman" w:eastAsia="Times New Roman" w:hAnsi="Times New Roman"/>
          <w:sz w:val="18"/>
          <w:szCs w:val="18"/>
          <w:color w:val="auto"/>
        </w:rPr>
        <w:t>Waukegan, Illinois, our excess insurance carriers have denied coverage with respect to our settlement payments. As a result of various litigation matters, we recognized $2.0 million of net litigation charges for the year ended December 31, 2024. See “—We are involved in legal proceedings and disputes, which could adversely impact our business, results of operations, and financial condition” and “Note 12—Commitments and Contingencies” of our audited consolidated financial statements and “Note 9—Commitments and Contingencies” of our unaudited condensed consolidated financial statements, each of which is included elsewhere in this prospectus.</w:t>
      </w:r>
    </w:p>
    <w:p>
      <w:pPr>
        <w:spacing w:after="0" w:line="184" w:lineRule="exact"/>
        <w:rPr>
          <w:sz w:val="20"/>
          <w:szCs w:val="20"/>
          <w:color w:val="auto"/>
        </w:rPr>
      </w:pPr>
    </w:p>
    <w:p>
      <w:pPr>
        <w:ind w:left="160" w:right="40" w:firstLine="436"/>
        <w:spacing w:after="0" w:line="255" w:lineRule="auto"/>
        <w:rPr>
          <w:sz w:val="20"/>
          <w:szCs w:val="20"/>
          <w:color w:val="auto"/>
        </w:rPr>
      </w:pPr>
      <w:r>
        <w:rPr>
          <w:rFonts w:ascii="Times New Roman" w:cs="Times New Roman" w:eastAsia="Times New Roman" w:hAnsi="Times New Roman"/>
          <w:sz w:val="18"/>
          <w:szCs w:val="18"/>
          <w:color w:val="auto"/>
        </w:rPr>
        <w:t>Litigation brought against us, regardless of its merits, could be costly to defend and could result in increases of our insurance premiums and exhaust any insurance coverage that we may have. The financial impact of such litigation is difficult to assess or quantify but could adversely affect our business, results of operations, and financial condition. Even where the claim should be covered by insurance, we have significant self-insured retention amounts, which we would have to pay in full before obtaining any insurance proceeds. Product liability insurance for these types of claims is becoming more limited and may not be available to us at amounts that we historically have obtained or that we would like to obtain.</w:t>
      </w:r>
    </w:p>
    <w:p>
      <w:pPr>
        <w:spacing w:after="0" w:line="287" w:lineRule="exact"/>
        <w:rPr>
          <w:sz w:val="20"/>
          <w:szCs w:val="20"/>
          <w:color w:val="auto"/>
        </w:rPr>
      </w:pPr>
    </w:p>
    <w:p>
      <w:pPr>
        <w:ind w:left="160" w:right="5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Any failure to obtain, maintain, protect and enforce our intellectual property rights, or the failure of the strength or scope of our intellectual property rights, could harm our business, financial condition, and results of operations.</w:t>
      </w:r>
    </w:p>
    <w:p>
      <w:pPr>
        <w:spacing w:after="0" w:line="53"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We rely on a combination of patents, trademarks for our material brands (e.g., Medline, Curad, Microtek, Hudson, and Proxima), copyrights, trade secrets, and other intellectual property rights in the United States and other countries, as well as agreements (such as employee, customer, non-disclosure, and non-competition agreements) to protect our intellectual property and proprietary rights. We may, over time, increase our investment in formal registrations for additional intellectual property, including through additional patent and trademark and registrations. Effective intellectual property protection is expensive to develop and maintain, both in terms of initial registration and ongoing renewal and maintenance requirements and the costs of defending and asserting our rights.</w:t>
      </w:r>
    </w:p>
    <w:p>
      <w:pPr>
        <w:spacing w:after="0" w:line="184"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Others may infringe our trademarks or other intellectual property, independently develop similar manufacturing processes and technology, duplicate any of our manufacturing processes, technology or services, or design around our intellectual property to avoid any infringement. The measures we take to obtain, maintain, protect, and enforce our intellectual property, including litigation, could cause us to expend significant cost and time, may distract management and may not be sufficient to detect, prevent, or enforce infringement, misappropriation, or other violation. Effective intellectual property protection may not be available in every country in which we offer our products and services now or in the future or may not protect them to the same extent as the laws of the United States. Any changes in, or unexpected court interpretations of, intellectual property laws may compromise our ability to enforce our patent, trademark, trade secret, and other intellectual property rights. Further, our intellectual property rights may be challenged, or our efforts to enforce them may be met with defenses, counterclaims and countersuits attacking their validity and enforceability that, if successful, could weaken, invalidate, or render them unenforceable.</w:t>
      </w:r>
    </w:p>
    <w:p>
      <w:pPr>
        <w:spacing w:after="0" w:line="192"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If we are unable to protect our intellectual property, particularly our patents, brands, and know-how, our intellectual property may be impaired, we may lose a portion of our intellection property and our image, brand, competitive position, and business could be harmed. Moreover, our failure to develop and properly manage new intellectual property could hurt our market position and business opportunities. All of these could have a material adverse effect on our business, financial condition, and results of operations.</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Financial and Economic Market Conditions</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fluctuations could have a significant impact on our results of operations.</w:t>
      </w:r>
    </w:p>
    <w:p>
      <w:pPr>
        <w:spacing w:after="0" w:line="118" w:lineRule="exact"/>
        <w:rPr>
          <w:sz w:val="20"/>
          <w:szCs w:val="20"/>
          <w:color w:val="auto"/>
        </w:rPr>
      </w:pPr>
    </w:p>
    <w:p>
      <w:pPr>
        <w:ind w:left="160" w:right="40" w:firstLine="436"/>
        <w:spacing w:after="0" w:line="278" w:lineRule="auto"/>
        <w:rPr>
          <w:sz w:val="20"/>
          <w:szCs w:val="20"/>
          <w:color w:val="auto"/>
        </w:rPr>
      </w:pPr>
      <w:r>
        <w:rPr>
          <w:rFonts w:ascii="Times New Roman" w:cs="Times New Roman" w:eastAsia="Times New Roman" w:hAnsi="Times New Roman"/>
          <w:sz w:val="18"/>
          <w:szCs w:val="18"/>
          <w:color w:val="auto"/>
        </w:rPr>
        <w:t>We operate in various international markets, including Canada, Mexico, Europe, and the Asia Pacific region, with more significant manufacturing operations in Mexico. For the year ended December 31, 2024, 6.7%</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40"/>
          </w:cols>
          <w:pgMar w:left="320" w:top="451" w:right="5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220"/>
        <w:spacing w:after="0" w:line="251" w:lineRule="auto"/>
        <w:rPr>
          <w:sz w:val="20"/>
          <w:szCs w:val="20"/>
          <w:color w:val="auto"/>
        </w:rPr>
      </w:pPr>
      <w:r>
        <w:rPr>
          <w:rFonts w:ascii="Times New Roman" w:cs="Times New Roman" w:eastAsia="Times New Roman" w:hAnsi="Times New Roman"/>
          <w:sz w:val="18"/>
          <w:szCs w:val="18"/>
          <w:color w:val="auto"/>
        </w:rPr>
        <w:t>of our total net sales and 8.7% of our total expenses related to operations were in currencies other than U.S. dollars, with the majority of our international spend exposed to the euro, Canadian dollar, and Mexican peso. The results of operations of, and certain of our intercompany balances associated with, our international service offerings are exposed to foreign currency exchange rate fluctuations. Upon translation into U.S. dollars, our results of operations may differ materially from expectations, and we may record significant gains or losses on the remeasurement of intercompany balances. As we have expanded our international operations, our exposure to foreign currency exchange rate fluctuations has increased. We hold cash equivalents and marketable securities in foreign currencies including the pound and euros. If the U.S. dollar strengthens compared to these currencies, our cash equivalents and marketable securities balances, when translated, may be materially less than expected and vice versa. Furthermore, we purchase certain of these commodities in currencies other than U.S. dollars and fluctuations in the exchange rate between those currencies and the U.S. dollar may increase our costs. We are also subject to risks due to fluctuations in foreign exchange rates on certain supplies and raw materials that we purchase when negotiating contract renewals. We do not currently have in place any foreign currency exchange rate hedges, and fluctuations in foreign currency exchange rates could have a significant impact on our results of operations.</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Our profitability and cash flows may be adversely affected by inflationary pressures.</w:t>
      </w:r>
    </w:p>
    <w:p>
      <w:pPr>
        <w:spacing w:after="0" w:line="118"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Inflation has had, and may continue to have, a material impact on the cost to source materials or produce and distribute finished goods to customers. We may not be able to pass these elevated costs on to customers due to contractual or regulatory limits on pricing or customer pressure to reduce costs. To the extent we are able to take pricing actions, there may be a difference between the timing of when we take such actions and the impact of those actions on our results of operations. Additionally, the pricing actions we take may negatively impact our market share. Our failure to effectively assess, timely change and properly set pricing, make price adjustments, or impose surcharges may negatively impact our ability to achieve our pricing objectives. For example, in 2022, we experienced a significant increase in the cost of raw materials and components used to manufacture our products and in the cost of products manufactured by third parties. While certain of these cost increases were passed on to customers, we were required to absorb a large portion of the cost increases due to the existing pricing arrangements. In the event the increase in our costs outpaces the compensating rate increases we may receive, or if we are unable to pass on all or part of our cost increases to our customers through price adjustments and/or surcharges, our profitability and cash flows may be adversely affected.</w:t>
      </w:r>
    </w:p>
    <w:p>
      <w:pPr>
        <w:spacing w:after="0" w:line="292" w:lineRule="exact"/>
        <w:rPr>
          <w:sz w:val="20"/>
          <w:szCs w:val="20"/>
          <w:color w:val="auto"/>
        </w:rPr>
      </w:pPr>
    </w:p>
    <w:p>
      <w:pPr>
        <w:ind w:left="160" w:right="2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Uncertain global and domestic macro-economic and political conditions could materially adversely affect our business, results of operations, and financial condition.</w:t>
      </w:r>
    </w:p>
    <w:p>
      <w:pPr>
        <w:spacing w:after="0" w:line="53" w:lineRule="exact"/>
        <w:rPr>
          <w:sz w:val="20"/>
          <w:szCs w:val="20"/>
          <w:color w:val="auto"/>
        </w:rPr>
      </w:pPr>
    </w:p>
    <w:p>
      <w:pPr>
        <w:ind w:left="160" w:right="220" w:firstLine="436"/>
        <w:spacing w:after="0" w:line="263" w:lineRule="auto"/>
        <w:rPr>
          <w:sz w:val="20"/>
          <w:szCs w:val="20"/>
          <w:color w:val="auto"/>
        </w:rPr>
      </w:pPr>
      <w:r>
        <w:rPr>
          <w:rFonts w:ascii="Times New Roman" w:cs="Times New Roman" w:eastAsia="Times New Roman" w:hAnsi="Times New Roman"/>
          <w:sz w:val="18"/>
          <w:szCs w:val="18"/>
          <w:color w:val="auto"/>
        </w:rPr>
        <w:t>Uncertain global and domestic macro-economic and political conditions that affect the economy and the economic outlook of the United States, Europe, Asia and other parts of the world where we do business or source raw materials could materially adversely affect our business, results of operations, and financial condition. These uncertainties, include, among other things:</w:t>
      </w:r>
    </w:p>
    <w:p>
      <w:pPr>
        <w:spacing w:after="0" w:line="82" w:lineRule="exact"/>
        <w:rPr>
          <w:sz w:val="20"/>
          <w:szCs w:val="20"/>
          <w:color w:val="auto"/>
        </w:rPr>
      </w:pPr>
    </w:p>
    <w:p>
      <w:pPr>
        <w:ind w:left="1140" w:right="400" w:hanging="438"/>
        <w:spacing w:after="0" w:line="278"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laws and policies governing foreign trade (including, without limitation, the United States-Mexico-Canada Agreement, the EU-UK Trade and Cooperation Agreement of December 2020, and other international trade agreements);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restrictions on imports and exports;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sanctions, or other protectionist measures;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including further deterioration of, the relationship between the United States and China;</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as a result of the 2024 U.S. presidential election;</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sovereign debt levels;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unemployment levels (and a corresponding increase in the uninsured and underinsured population);</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80"/>
          </w:cols>
          <w:pgMar w:left="320" w:top="452" w:right="4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140" w:hanging="438"/>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employment laws and regulations;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fluctuations and strengthening of the dollar, which have and will continue to impact our results of operations;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capital;</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fuel and energy costs;</w:t>
      </w:r>
    </w:p>
    <w:p>
      <w:pPr>
        <w:spacing w:after="0" w:line="127" w:lineRule="exact"/>
        <w:rPr>
          <w:rFonts w:ascii="Times New Roman" w:cs="Times New Roman" w:eastAsia="Times New Roman" w:hAnsi="Times New Roman"/>
          <w:sz w:val="18"/>
          <w:szCs w:val="18"/>
          <w:color w:val="auto"/>
        </w:rPr>
      </w:pPr>
    </w:p>
    <w:p>
      <w:pPr>
        <w:ind w:left="1140" w:right="20" w:hanging="438"/>
        <w:spacing w:after="0" w:line="278"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inflation on our ability to procure products and our ability to increase prices over time and pass through to our customers price increases we may receive;</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rates and the availability of certain tax deductions;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labor costs or healthcare costs;</w:t>
      </w:r>
    </w:p>
    <w:p>
      <w:pPr>
        <w:spacing w:after="0" w:line="127" w:lineRule="exact"/>
        <w:rPr>
          <w:rFonts w:ascii="Times New Roman" w:cs="Times New Roman" w:eastAsia="Times New Roman" w:hAnsi="Times New Roman"/>
          <w:sz w:val="18"/>
          <w:szCs w:val="18"/>
          <w:color w:val="auto"/>
        </w:rPr>
      </w:pPr>
    </w:p>
    <w:p>
      <w:pPr>
        <w:ind w:left="1140" w:right="100" w:hanging="438"/>
        <w:spacing w:after="0" w:line="278"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threat or outbreak of war, terrorism, or public unrest (including, without limitation, the ongoing wars in Ukraine and the Middle East); and</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policies governing manufacturing, development and investment in territories and countries where we do business.</w:t>
      </w:r>
    </w:p>
    <w:p>
      <w:pPr>
        <w:spacing w:after="0" w:line="221" w:lineRule="exact"/>
        <w:rPr>
          <w:sz w:val="20"/>
          <w:szCs w:val="20"/>
          <w:color w:val="auto"/>
        </w:rPr>
      </w:pPr>
    </w:p>
    <w:p>
      <w:pPr>
        <w:ind w:left="160" w:right="40" w:firstLine="436"/>
        <w:spacing w:after="0" w:line="250" w:lineRule="auto"/>
        <w:rPr>
          <w:sz w:val="20"/>
          <w:szCs w:val="20"/>
          <w:color w:val="auto"/>
        </w:rPr>
      </w:pPr>
      <w:r>
        <w:rPr>
          <w:rFonts w:ascii="Times New Roman" w:cs="Times New Roman" w:eastAsia="Times New Roman" w:hAnsi="Times New Roman"/>
          <w:sz w:val="18"/>
          <w:szCs w:val="18"/>
          <w:color w:val="auto"/>
        </w:rPr>
        <w:t>The U.S. government has implemented or announced significant new tariffs on products manufactured in a wide range of countries outside the United States, including China, Mexico, and countries in Southeast Asia. These actions have prompted a cycle of retaliatory tariffs and potential retaliatory tariffs by a number of these countries and the United States. While certain of these announced tariffs have been delayed, a number of new tariffs remain in effect, and the U.S. government may in the future impose, reimpose, increase, or pause tariffs, and countries subject to such tariffs have imposed, and in the future may impose, reciprocal tariffs or other protectionist or retaliatory trade measures in response. The imposition of tariffs and other trade restrictions, as well as the escalation of trade disputes and any resulting downturns in the global economy, has and could continue to materially and adversely affect our business, financial condition, and results of operations. The extent and duration of the tariffs and other trade restrictions and the resulting impact on general economic conditions and on our business are uncertain and depend on various factors, such as negotiations involving the United States and other countries, the responses of other countries or regions, exemptions or exclusions that may be granted, availability and cost of alternative sources of supply, and demand for our products in affected markets. Furthermore, actions we take to adapt to new tariffs or other trade restrictions may cause us to modify our operations, which could be time-consuming and expensive; impact pricing of our products, which could impact our sales and profitability; or cause us to forgo business opportunities.</w:t>
      </w:r>
    </w:p>
    <w:p>
      <w:pPr>
        <w:spacing w:after="0" w:line="194" w:lineRule="exact"/>
        <w:rPr>
          <w:sz w:val="20"/>
          <w:szCs w:val="20"/>
          <w:color w:val="auto"/>
        </w:rPr>
      </w:pPr>
    </w:p>
    <w:p>
      <w:pPr>
        <w:ind w:left="160" w:right="100" w:firstLine="436"/>
        <w:spacing w:after="0" w:line="258" w:lineRule="auto"/>
        <w:rPr>
          <w:sz w:val="20"/>
          <w:szCs w:val="20"/>
          <w:color w:val="auto"/>
        </w:rPr>
      </w:pPr>
      <w:r>
        <w:rPr>
          <w:rFonts w:ascii="Times New Roman" w:cs="Times New Roman" w:eastAsia="Times New Roman" w:hAnsi="Times New Roman"/>
          <w:sz w:val="18"/>
          <w:szCs w:val="18"/>
          <w:color w:val="auto"/>
        </w:rPr>
        <w:t>Global geopolitical conflicts, including the ongoing wars in Ukraine and the Middle East, could lead to significant economic downturns and market and other disruptions, including volatility in the capital markets, economic instability, increases in inflation, increased fuel prices, supply chain constraints and disruptions, political and social instability, and economic sanctions, all of which may adversely impact us and the healthcare industry as a whole, particularly if the conflicts occur in areas in which we have a significant concentration of suppliers or customers.</w:t>
      </w:r>
    </w:p>
    <w:p>
      <w:pPr>
        <w:spacing w:after="0" w:line="180"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Additionally, changes in government, government debt, and/or budget crises may lead to reductions in government spending in certain countries, which could reduce overall healthcare spending, and/or higher income or corporate taxes, which could depress spending overall. Recessionary or inflationary conditions and depressed levels of consumer and commercial spending may also cause customers to reduce, modify, delay, or cancel plans to purchase our products and may cause suppliers to reduce their output or change their terms of sale. Additionally, if customers’ cash flow or operating and financial performance deteriorate, or if they are unable to make scheduled payments or obtain credit, they may not be able to, or may delay, payment to us. Likewise, for similar reasons suppliers may restrict credit or impose different payment terms.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60"/>
          </w:cols>
          <w:pgMar w:left="320" w:top="452" w:right="5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right="2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manufacturing business is exposed to price fluctuations of key commodities, which may negatively impact our results of operations and cash flows.</w:t>
      </w:r>
    </w:p>
    <w:p>
      <w:pPr>
        <w:spacing w:after="0" w:line="53" w:lineRule="exact"/>
        <w:rPr>
          <w:sz w:val="20"/>
          <w:szCs w:val="20"/>
          <w:color w:val="auto"/>
        </w:rPr>
      </w:pPr>
    </w:p>
    <w:p>
      <w:pPr>
        <w:ind w:left="160" w:right="100" w:firstLine="436"/>
        <w:spacing w:after="0" w:line="253" w:lineRule="auto"/>
        <w:rPr>
          <w:sz w:val="20"/>
          <w:szCs w:val="20"/>
          <w:color w:val="auto"/>
        </w:rPr>
      </w:pPr>
      <w:r>
        <w:rPr>
          <w:rFonts w:ascii="Times New Roman" w:cs="Times New Roman" w:eastAsia="Times New Roman" w:hAnsi="Times New Roman"/>
          <w:sz w:val="18"/>
          <w:szCs w:val="18"/>
          <w:color w:val="auto"/>
        </w:rPr>
        <w:t>Our manufacturing business relies on product inputs, such as oil-based resins, pulp, cotton, nitrile, and vinyl, as well as other commodities, in the manufacture of its products. Prices of these commodities are volatile and have fluctuated in recent years, which may contribute to fluctuations in our results of operations. We do not currently engage in any hedging activities with respect to commodities. Prices of oil and gas also affect our distribution and transportation costs. Furthermore, due to competitive dynamics and contractual limitations, we may be unable to pass along commodity-driven cost increases through higher prices. If we cannot fully offset cost increases through other cost reductions, or recover these costs through price increases or surcharges, we could experience lower margins and profitability, which could have a material adverse effect on our business, results of operations, financial condition, and cash flows.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14" w:lineRule="exact"/>
        <w:rPr>
          <w:sz w:val="20"/>
          <w:szCs w:val="20"/>
          <w:color w:val="auto"/>
        </w:rPr>
      </w:pPr>
    </w:p>
    <w:p>
      <w:pPr>
        <w:ind w:left="160" w:right="2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substantial indebtedness could adversely affect our financial condition, our ability to operate our business or react to changes in the economy or our industry, prevent us from fulfilling our obligations under our debts, and divert our cash flow from operations for debt payments.</w:t>
      </w:r>
    </w:p>
    <w:p>
      <w:pPr>
        <w:spacing w:after="0" w:line="53" w:lineRule="exact"/>
        <w:rPr>
          <w:sz w:val="20"/>
          <w:szCs w:val="20"/>
          <w:color w:val="auto"/>
        </w:rPr>
      </w:pPr>
    </w:p>
    <w:p>
      <w:pPr>
        <w:jc w:val="both"/>
        <w:ind w:left="160" w:right="560" w:firstLine="436"/>
        <w:spacing w:after="0" w:line="263" w:lineRule="auto"/>
        <w:rPr>
          <w:sz w:val="20"/>
          <w:szCs w:val="20"/>
          <w:color w:val="auto"/>
        </w:rPr>
      </w:pPr>
      <w:r>
        <w:rPr>
          <w:rFonts w:ascii="Times New Roman" w:cs="Times New Roman" w:eastAsia="Times New Roman" w:hAnsi="Times New Roman"/>
          <w:sz w:val="18"/>
          <w:szCs w:val="18"/>
          <w:color w:val="auto"/>
        </w:rPr>
        <w:t>We have a substantial amount of debt and are permitted to incur a substantial amount of additional indebtedness, including secured debt, to finance working capital, capital expenditures, investments, or acquisitions, or for other purposes. See “Description of Certain Indebtedness.” Our existing debt could have important consequences, the risks of which may increase if we incur any additional debt, including:</w:t>
      </w:r>
    </w:p>
    <w:p>
      <w:pPr>
        <w:spacing w:after="0" w:line="82" w:lineRule="exact"/>
        <w:rPr>
          <w:sz w:val="20"/>
          <w:szCs w:val="20"/>
          <w:color w:val="auto"/>
        </w:rPr>
      </w:pPr>
    </w:p>
    <w:p>
      <w:pPr>
        <w:ind w:left="1140" w:hanging="438"/>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difficult for us to satisfy our obligations, including debt service requirements under our outstanding debt;</w:t>
      </w:r>
    </w:p>
    <w:p>
      <w:pPr>
        <w:spacing w:after="0" w:line="127" w:lineRule="exact"/>
        <w:rPr>
          <w:rFonts w:ascii="Times New Roman" w:cs="Times New Roman" w:eastAsia="Times New Roman" w:hAnsi="Times New Roman"/>
          <w:sz w:val="18"/>
          <w:szCs w:val="18"/>
          <w:color w:val="auto"/>
        </w:rPr>
      </w:pPr>
    </w:p>
    <w:p>
      <w:pPr>
        <w:ind w:left="1140" w:right="20" w:hanging="438"/>
        <w:spacing w:after="0" w:line="278"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for working capital, capital expenditures, debt service requirements, acquisitions, or other general corporate purposes;</w:t>
      </w:r>
    </w:p>
    <w:p>
      <w:pPr>
        <w:spacing w:after="0" w:line="68" w:lineRule="exact"/>
        <w:rPr>
          <w:rFonts w:ascii="Times New Roman" w:cs="Times New Roman" w:eastAsia="Times New Roman" w:hAnsi="Times New Roman"/>
          <w:sz w:val="18"/>
          <w:szCs w:val="18"/>
          <w:color w:val="auto"/>
        </w:rPr>
      </w:pPr>
    </w:p>
    <w:p>
      <w:pPr>
        <w:ind w:left="1140" w:right="220" w:hanging="438"/>
        <w:spacing w:after="0" w:line="263"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cash flow from operations to be dedicated to the payment of principal and interest on our indebtedness, therefore reducing our ability to use our cash flow to fund our operations, capital expenditures, future business opportunities, and other purposes;</w:t>
      </w:r>
    </w:p>
    <w:p>
      <w:pPr>
        <w:spacing w:after="0" w:line="81" w:lineRule="exact"/>
        <w:rPr>
          <w:rFonts w:ascii="Times New Roman" w:cs="Times New Roman" w:eastAsia="Times New Roman" w:hAnsi="Times New Roman"/>
          <w:sz w:val="18"/>
          <w:szCs w:val="18"/>
          <w:color w:val="auto"/>
        </w:rPr>
      </w:pPr>
    </w:p>
    <w:p>
      <w:pPr>
        <w:ind w:left="1140" w:right="180" w:hanging="438"/>
        <w:spacing w:after="0" w:line="278"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economic downturns and adverse industry conditions and our flexibility to plan for, or react to, changes in our business or industry is more limited;</w:t>
      </w:r>
    </w:p>
    <w:p>
      <w:pPr>
        <w:spacing w:after="0" w:line="68" w:lineRule="exact"/>
        <w:rPr>
          <w:rFonts w:ascii="Times New Roman" w:cs="Times New Roman" w:eastAsia="Times New Roman" w:hAnsi="Times New Roman"/>
          <w:sz w:val="18"/>
          <w:szCs w:val="18"/>
          <w:color w:val="auto"/>
        </w:rPr>
      </w:pPr>
    </w:p>
    <w:p>
      <w:pPr>
        <w:ind w:left="1140" w:right="20" w:hanging="438"/>
        <w:spacing w:after="0" w:line="263"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our ability to capitalize on business opportunities and react to competitive pressures compared to our competitors who are not as highly leveraged, including due to the restrictive covenants in the credit agreement that governs the Senior Secured Credit Facilities (as defined herein) and the indentures that govern the Senior Notes (as defined herein);</w:t>
      </w:r>
    </w:p>
    <w:p>
      <w:pPr>
        <w:spacing w:after="0" w:line="81"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funds or to refinance debt on favorable terms or at all;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causing potential or existing customers or vendors to not contract with us due to concerns over our ability to meet our financial obligations.</w:t>
      </w:r>
    </w:p>
    <w:p>
      <w:pPr>
        <w:spacing w:after="0" w:line="232"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We are a holding company, and our consolidated assets are owned by, and our business is conducted through, our subsidiaries. Revenue from these subsidiaries is our primary source of funds for debt payments and operating expenses. If our subsidiaries are restricted from making distributions to us, our ability to meet our debt service obligations or otherwise fund our operations may be impaired. Moreover, there may be restrictions on payments by subsidiaries to their parent companies under applicable laws, including laws that require companies to maintain minimum amounts of capital and to make payments to stockholders only from profits. As a result, although a subsidiary of ours may have cash, we may not be able to obtain that cash to satisfy our obligation to service our outstanding debt or fund our operations.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80"/>
          </w:cols>
          <w:pgMar w:left="320" w:top="452" w:right="4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40" w:firstLine="436"/>
        <w:spacing w:after="0" w:line="251" w:lineRule="auto"/>
        <w:rPr>
          <w:sz w:val="20"/>
          <w:szCs w:val="20"/>
          <w:color w:val="auto"/>
        </w:rPr>
      </w:pPr>
      <w:r>
        <w:rPr>
          <w:rFonts w:ascii="Times New Roman" w:cs="Times New Roman" w:eastAsia="Times New Roman" w:hAnsi="Times New Roman"/>
          <w:sz w:val="18"/>
          <w:szCs w:val="18"/>
          <w:color w:val="auto"/>
        </w:rPr>
        <w:t>Our ability to make scheduled payments on and refinance our indebtedness is subject to our financial and operating performance, which in turn is affected by general and regional economic, financial, competitive, business, and other factors, all of which are beyond our control, including the availability of financing in the international banking and capital markets. Our business may not generate sufficient cash flow from operations or future borrowings may not be available to us in an amount sufficient to enable us to service our debt, to refinance our debt, or to fund our other liquidity needs. Any refinancing or restructuring of our indebtedness could be at higher interest rates and may require us to comply with more onerous covenants that could further restrict our business operations. Moreover, in the event of a default, the holders of our indebtedness could elect to declare such indebtedness be due and payable and/or elect to exercise other rights, such as the lenders under our Revolving Credit Facility terminating their commitments thereunder and ceasing to make further loans or the lenders under our Senior Secured Credit Facilities instituting foreclosure proceedings against their collateral, any of which could materially adversely affect our results of operations and financial condition.</w:t>
      </w:r>
    </w:p>
    <w:p>
      <w:pPr>
        <w:spacing w:after="0" w:line="192" w:lineRule="exact"/>
        <w:rPr>
          <w:sz w:val="20"/>
          <w:szCs w:val="20"/>
          <w:color w:val="auto"/>
        </w:rPr>
      </w:pPr>
    </w:p>
    <w:p>
      <w:pPr>
        <w:ind w:left="160" w:right="120" w:firstLine="436"/>
        <w:spacing w:after="0" w:line="277" w:lineRule="auto"/>
        <w:rPr>
          <w:sz w:val="20"/>
          <w:szCs w:val="20"/>
          <w:color w:val="auto"/>
        </w:rPr>
      </w:pPr>
      <w:r>
        <w:rPr>
          <w:rFonts w:ascii="Times New Roman" w:cs="Times New Roman" w:eastAsia="Times New Roman" w:hAnsi="Times New Roman"/>
          <w:sz w:val="17"/>
          <w:szCs w:val="17"/>
          <w:color w:val="auto"/>
        </w:rPr>
        <w:t>All of the debt under our Senior Secured Credit Facilities bears interest at variable rates. In recent years, we have experienced higher interest expense on our credit facilities due to interest rate increases, and if interest rates were to increase, our debt service obligations on our credit facilities would further increase, even though the amount borrowed remained the same, especially if our hedging strategies do not effectively mitigate the effects of these increases, and our net income and cash flows, including cash available for servicing our indebtedness, would correspondingly decrease.</w:t>
      </w:r>
    </w:p>
    <w:p>
      <w:pPr>
        <w:spacing w:after="0" w:line="167"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Furthermore, we amended the credit agreement governing our Senior Secured Credit Facilities in order to transition our dollar-denominated Senior Secured Credit Facilities to the use of the Secured Overnight Financing Rate (“SOFR”) as a replacement for LIBOR. The composition and characteristics of SOFR are not the same as those of LIBOR. As a result, SOFR or any alternative reference rate may not perform in the same way as LIBOR would have at any time, including, without limitation, as a result of changes in interest and yield rates in the market, market volatility, or global or regional economic, financial, political, regulatory, judicial, or other events. Although SOFR plus a spread adjustment appears to be the preferred replacement rate for U.S. dollar LIBOR, and its use continues to steadily grow, at this time it is not possible to predict the effect of any such changes, any establishment of alternative reference rates, or other reforms to LIBOR that may be enacted in the United States, United Kingdom, or elsewhere. With limited operating history, it remains unknown whether SOFR will continue to evolve and what the effects of its implementation may be on the markets for financial instruments. Disruption in the financial market could have a material adverse effect on our business, financial condition, and results of operations.</w:t>
      </w:r>
    </w:p>
    <w:p>
      <w:pPr>
        <w:spacing w:after="0" w:line="292" w:lineRule="exact"/>
        <w:rPr>
          <w:sz w:val="20"/>
          <w:szCs w:val="20"/>
          <w:color w:val="auto"/>
        </w:rPr>
      </w:pPr>
    </w:p>
    <w:p>
      <w:pPr>
        <w:ind w:left="160" w:right="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credit agreement that governs the Senior Secured Credit Facilities and the indentures that govern the Senior Notes will each impose significant operating and financial restrictions on our subsidiaries, which may prevent us from capitalizing on business opportunities.</w:t>
      </w:r>
    </w:p>
    <w:p>
      <w:pPr>
        <w:spacing w:after="0" w:line="53" w:lineRule="exact"/>
        <w:rPr>
          <w:sz w:val="20"/>
          <w:szCs w:val="20"/>
          <w:color w:val="auto"/>
        </w:rPr>
      </w:pPr>
    </w:p>
    <w:p>
      <w:pPr>
        <w:ind w:left="160" w:right="300" w:firstLine="436"/>
        <w:spacing w:after="0" w:line="308" w:lineRule="auto"/>
        <w:rPr>
          <w:sz w:val="20"/>
          <w:szCs w:val="20"/>
          <w:color w:val="auto"/>
        </w:rPr>
      </w:pPr>
      <w:r>
        <w:rPr>
          <w:rFonts w:ascii="Times New Roman" w:cs="Times New Roman" w:eastAsia="Times New Roman" w:hAnsi="Times New Roman"/>
          <w:sz w:val="17"/>
          <w:szCs w:val="17"/>
          <w:color w:val="auto"/>
        </w:rPr>
        <w:t>The credit agreement that governs the Senior Secured Credit Facilities and the indentures that govern the Senior Notes each impose significant operating and financial restrictions on our subsidiaries. These restrictions will limit the ability of our subsidiaries to, among other things:</w:t>
      </w:r>
    </w:p>
    <w:p>
      <w:pPr>
        <w:spacing w:after="0" w:line="47" w:lineRule="exact"/>
        <w:rPr>
          <w:sz w:val="20"/>
          <w:szCs w:val="20"/>
          <w:color w:val="auto"/>
        </w:rPr>
      </w:pPr>
    </w:p>
    <w:p>
      <w:pPr>
        <w:ind w:left="1140" w:hanging="438"/>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debt or issue disqualified stock or preferred stock;</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make other distributions on, or redeem or repurchase, capital stock;</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certain liens;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w:t>
      </w:r>
    </w:p>
    <w:p>
      <w:pPr>
        <w:spacing w:after="0" w:line="127" w:lineRule="exact"/>
        <w:rPr>
          <w:rFonts w:ascii="Times New Roman" w:cs="Times New Roman" w:eastAsia="Times New Roman" w:hAnsi="Times New Roman"/>
          <w:sz w:val="18"/>
          <w:szCs w:val="18"/>
          <w:color w:val="auto"/>
        </w:rPr>
      </w:pPr>
    </w:p>
    <w:p>
      <w:pPr>
        <w:ind w:left="1140" w:right="260" w:hanging="438"/>
        <w:spacing w:after="0" w:line="278"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that restrict the ability of restricted subsidiaries to make dividends or other payments to the issuer/borrower or the guarantors of the relevant debt;</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80"/>
          </w:cols>
          <w:pgMar w:left="320" w:top="451" w:right="4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140" w:hanging="438"/>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restricted subsidiaries as unrestricted subsidiaries;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indebtedness that is subordinated in right of payment to the notes;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sell assets.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addition, if borrowings under our Revolving Credit Facility exceed certain thresholds, our subsidiaries are also subject to a first lien net</w:t>
      </w:r>
    </w:p>
    <w:p>
      <w:pPr>
        <w:spacing w:after="0" w:line="2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leverage ratio financial covenant in the credit agreement that governs the Senior Secured Credit Facilities. See “Description of Certain Indebtedness.”</w:t>
      </w:r>
    </w:p>
    <w:p>
      <w:pPr>
        <w:spacing w:after="0" w:line="202" w:lineRule="exact"/>
        <w:rPr>
          <w:sz w:val="20"/>
          <w:szCs w:val="20"/>
          <w:color w:val="auto"/>
        </w:rPr>
      </w:pPr>
    </w:p>
    <w:p>
      <w:pPr>
        <w:ind w:left="160" w:right="100" w:firstLine="436"/>
        <w:spacing w:after="0" w:line="258" w:lineRule="auto"/>
        <w:rPr>
          <w:sz w:val="20"/>
          <w:szCs w:val="20"/>
          <w:color w:val="auto"/>
        </w:rPr>
      </w:pPr>
      <w:r>
        <w:rPr>
          <w:rFonts w:ascii="Times New Roman" w:cs="Times New Roman" w:eastAsia="Times New Roman" w:hAnsi="Times New Roman"/>
          <w:sz w:val="18"/>
          <w:szCs w:val="18"/>
          <w:color w:val="auto"/>
        </w:rPr>
        <w:t>As a result of these restrictions,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w:t>
      </w:r>
    </w:p>
    <w:p>
      <w:pPr>
        <w:spacing w:after="0" w:line="180" w:lineRule="exact"/>
        <w:rPr>
          <w:sz w:val="20"/>
          <w:szCs w:val="20"/>
          <w:color w:val="auto"/>
        </w:rPr>
      </w:pPr>
    </w:p>
    <w:p>
      <w:pPr>
        <w:ind w:left="160" w:right="500" w:firstLine="436"/>
        <w:spacing w:after="0" w:line="258" w:lineRule="auto"/>
        <w:rPr>
          <w:sz w:val="20"/>
          <w:szCs w:val="20"/>
          <w:color w:val="auto"/>
        </w:rPr>
      </w:pPr>
      <w:r>
        <w:rPr>
          <w:rFonts w:ascii="Times New Roman" w:cs="Times New Roman" w:eastAsia="Times New Roman" w:hAnsi="Times New Roman"/>
          <w:sz w:val="18"/>
          <w:szCs w:val="18"/>
          <w:color w:val="auto"/>
        </w:rPr>
        <w:t>Our failure to comply with the restrictive covenants described above as well as other terms of our existing indebtedness and any future indebtedness from time to time could result in an event of default, which, if not cured or waived, could result in our being required to repay these borrowings before their due date. If we are forced to refinance these borrowings on less favorable terms or cannot refinance these borrowings, our results of operations, and financial condition could be adversely affected.</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114" w:lineRule="exact"/>
        <w:rPr>
          <w:sz w:val="20"/>
          <w:szCs w:val="20"/>
          <w:color w:val="auto"/>
        </w:rPr>
      </w:pPr>
    </w:p>
    <w:p>
      <w:pPr>
        <w:ind w:left="160" w:right="2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Medline Inc. is a holding company and its only material assets are its equity interests held directly or indirectly through wholly owned subsidiaries in Medline Holdings, and it is accordingly dependent upon distributions from Medline Holdings to pay taxes, make payments under the tax receivable agreement, and pay any dividends.</w:t>
      </w:r>
    </w:p>
    <w:p>
      <w:pPr>
        <w:spacing w:after="0" w:line="67"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Medline Inc. is a holding company and has no material assets other than its ownership of Common Units held directly or indirectly through wholly owned subsidiaries. Medline Inc. has no independent means of generating revenue and intends to cause Medline Holdings to make distributions to its holders of Units, including Medline Inc. and the Continuing Unitholders, in an amount sufficient to cover all applicable taxes at assumed tax rates, payments under the tax receivable agreement, and dividends, if any, declared by it. Deterioration in the financial condition, earnings, or cash flow of Medline Holdings and its subsidiaries for any reason could limit or impair their ability to pay such distributions. Additionally, to the extent that Medline Inc. needs funds, and Medline Holdings is restricted from making such distributions under applicable law or regulation or under the terms of its financing arrangements, or is otherwise unable to provide such funds, such restriction could materially adversely affect Medline Inc.’s liquidity and financial condition. There can be no assurance that Medline Holdings will generate sufficient cash flow to distribute funds to us or that applicable state law and contractual restrictions, including negative covenants in any applicable debt instruments, will permit such distributions. Medline Holdings is currently subject to debt instruments or other agreements that restrict its ability to make distributions to us, which may in turn affect Medline Holdings’ ability to pay distributions to us and thereby adversely affect our cash flows.</w:t>
      </w:r>
    </w:p>
    <w:p>
      <w:pPr>
        <w:spacing w:after="0" w:line="187" w:lineRule="exact"/>
        <w:rPr>
          <w:sz w:val="20"/>
          <w:szCs w:val="20"/>
          <w:color w:val="auto"/>
        </w:rPr>
      </w:pPr>
    </w:p>
    <w:p>
      <w:pPr>
        <w:ind w:left="160" w:right="320" w:firstLine="436"/>
        <w:spacing w:after="0" w:line="254" w:lineRule="auto"/>
        <w:rPr>
          <w:sz w:val="20"/>
          <w:szCs w:val="20"/>
          <w:color w:val="auto"/>
        </w:rPr>
      </w:pPr>
      <w:r>
        <w:rPr>
          <w:rFonts w:ascii="Times New Roman" w:cs="Times New Roman" w:eastAsia="Times New Roman" w:hAnsi="Times New Roman"/>
          <w:sz w:val="18"/>
          <w:szCs w:val="18"/>
          <w:color w:val="auto"/>
        </w:rPr>
        <w:t>Medline Holdings is treated as a partnership for U.S. federal income tax purposes and, as such, generally is not subject to any entity-level U.S. federal income tax. Instead, taxable income is allocated to holders of Units (including Medline Inc.). Accordingly, Medline Inc. is required to pay income taxes on its allocable share of any net taxable income of Medline Holdings. Liability may be imputed for adjustments to a partnership’s tax return to the partnership itself in certain circumstances, absent an election to the contrary. Medline Holdings may be subject to material liabilities pursuant to this legislation and related guidance if, for example, its calculations of taxable income are incorrect. In addition, the income taxes on Medline Inc.’s allocable share of Medline</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80"/>
          </w:cols>
          <w:pgMar w:left="320" w:top="452" w:right="4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320"/>
        <w:spacing w:after="0" w:line="263" w:lineRule="auto"/>
        <w:rPr>
          <w:sz w:val="20"/>
          <w:szCs w:val="20"/>
          <w:color w:val="auto"/>
        </w:rPr>
      </w:pPr>
      <w:r>
        <w:rPr>
          <w:rFonts w:ascii="Times New Roman" w:cs="Times New Roman" w:eastAsia="Times New Roman" w:hAnsi="Times New Roman"/>
          <w:sz w:val="18"/>
          <w:szCs w:val="18"/>
          <w:color w:val="auto"/>
        </w:rPr>
        <w:t>Holdings’ net taxable income will increase over time as the Continuing Unitholders exchange their Common Units (including Common Units issued upon conversion of vested Incentive Units) for shares of Class A common stock. Such increase in Medline Inc.’s tax expenses may have a material adverse effect on our business, results of operations, and financial condition.</w:t>
      </w:r>
    </w:p>
    <w:p>
      <w:pPr>
        <w:spacing w:after="0" w:line="175" w:lineRule="exact"/>
        <w:rPr>
          <w:sz w:val="20"/>
          <w:szCs w:val="20"/>
          <w:color w:val="auto"/>
        </w:rPr>
      </w:pPr>
    </w:p>
    <w:p>
      <w:pPr>
        <w:ind w:left="160" w:right="100" w:firstLine="436"/>
        <w:spacing w:after="0" w:line="252" w:lineRule="auto"/>
        <w:rPr>
          <w:sz w:val="20"/>
          <w:szCs w:val="20"/>
          <w:color w:val="auto"/>
        </w:rPr>
      </w:pPr>
      <w:r>
        <w:rPr>
          <w:rFonts w:ascii="Times New Roman" w:cs="Times New Roman" w:eastAsia="Times New Roman" w:hAnsi="Times New Roman"/>
          <w:sz w:val="18"/>
          <w:szCs w:val="18"/>
          <w:color w:val="auto"/>
        </w:rPr>
        <w:t>Under the terms of the amended and restated limited partnership agreement, Medline Holdings is obligated to make tax distributions to holders of Units (including Medline Inc.) at certain assumed tax rates. These tax distributions in certain periods are likely to exceed Medline Inc.’s tax liabilities and obligations to make payments under the tax receivable agreement. To the extent that we do not distribute such excess cash as dividends on our Class A common stock or otherwise undertake ameliorative actions between Units and shares of Class A common stock and instead, for example, hold such cash balances, our Continuing Unitholders (other than Medline Inc.) may benefit from any value attributable to such cash balances as a result of their ownership of Class A common stock following a sale or exchange of their Common Units (including Common Units issued upon conversion of vested Incentive Units) for shares of Class A common stock, notwithstanding that such Continuing Unitholders may previously have participated as holders of Units in distributions by Medline Holdings that resulted in such excess cash balances at Medline Inc.</w:t>
      </w:r>
    </w:p>
    <w:p>
      <w:pPr>
        <w:spacing w:after="0" w:line="187" w:lineRule="exact"/>
        <w:rPr>
          <w:sz w:val="20"/>
          <w:szCs w:val="20"/>
          <w:color w:val="auto"/>
        </w:rPr>
      </w:pPr>
    </w:p>
    <w:p>
      <w:pPr>
        <w:ind w:left="160" w:right="120" w:firstLine="436"/>
        <w:spacing w:after="0" w:line="253" w:lineRule="auto"/>
        <w:rPr>
          <w:sz w:val="20"/>
          <w:szCs w:val="20"/>
          <w:color w:val="auto"/>
        </w:rPr>
      </w:pPr>
      <w:r>
        <w:rPr>
          <w:rFonts w:ascii="Times New Roman" w:cs="Times New Roman" w:eastAsia="Times New Roman" w:hAnsi="Times New Roman"/>
          <w:sz w:val="18"/>
          <w:szCs w:val="18"/>
          <w:color w:val="auto"/>
        </w:rPr>
        <w:t>Our board of directors, in its sole discretion, will make any determination from time to time with respect to the use of any such excess cash so accumulated, which may include, among other uses, funding repurchases of Class A common stock; acquiring additional Common Units at a per unit price determined by reference to the market value of the Class A common stock; paying dividends, which may include special dividends, on its Class A common stock; or any combination of the foregoing. Although we expect that our board of directors will take commercially reasonable measures to mitigate such excess cash benefit to the Continuing Unitholders, we have no obligation to distribute such cash (or other available cash other than any declared dividend) to our stockholders or take any such ameliorative actions. See “Certain Relationships and Related Person Transactions—Medline Holdings Amended and Restated Limited Partnership Agreement.”</w:t>
      </w:r>
    </w:p>
    <w:p>
      <w:pPr>
        <w:spacing w:after="0" w:line="184"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Payments of dividends, if any, will be at the discretion of our board of directors after taking into account various factors, including our business, operating results and financial condition, current and anticipated cash needs, plans for expansion and any legal or contractual limitations on our ability to pay dividends. The credit agreement that governs our Senior Secured Credit Facilities and the indentures governing the Senior Notes include, and any financing arrangement that we enter into in the future may include, restrictive covenants that limit our ability to pay dividends. In addition, Medline Holdings is generally prohibited under Delaware law from making a distribution to a partner to the extent that, at the time of the distribution, after giving effect to the distribution, liabilities of Medline Holdings (with certain exceptions) exceed the fair value of its assets. Subsidiaries of Medline Holdings are generally subject to similar legal limitations on their ability to make distributions to Medline Holdings.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Our tax receivable agreement confers benefits upon certain of our pre-IPO owners.</w:t>
      </w:r>
    </w:p>
    <w:p>
      <w:pPr>
        <w:spacing w:after="0" w:line="118" w:lineRule="exact"/>
        <w:rPr>
          <w:sz w:val="20"/>
          <w:szCs w:val="20"/>
          <w:color w:val="auto"/>
        </w:rPr>
      </w:pPr>
    </w:p>
    <w:p>
      <w:pPr>
        <w:ind w:left="160" w:right="60" w:firstLine="436"/>
        <w:spacing w:after="0" w:line="251" w:lineRule="auto"/>
        <w:rPr>
          <w:sz w:val="20"/>
          <w:szCs w:val="20"/>
          <w:color w:val="auto"/>
        </w:rPr>
      </w:pPr>
      <w:r>
        <w:rPr>
          <w:rFonts w:ascii="Times New Roman" w:cs="Times New Roman" w:eastAsia="Times New Roman" w:hAnsi="Times New Roman"/>
          <w:sz w:val="18"/>
          <w:szCs w:val="18"/>
          <w:color w:val="auto"/>
        </w:rPr>
        <w:t>Our tax receivable agreement confers benefits upon certain of our pre-IPO owners. Prior to the completion of our IPO, Medline Inc. entered into a tax receivable agreement with certain of its pre-IPO owners that provides for the payment by Medline Inc. to such pre-IPO owners of 90% of certain tax benefits, if any, that Medline Inc. realizes, or is deemed to realize (calculated using certain assumptions), as a result of (i) Medline Inc.’s allocable share of existing tax basis in Medline Holdings’ assets acquired in our IPO,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our IPO, including the exchange of Common Units for shares of our Class A common stock by the selling stockholders in connection with this offering, (iii) Medline Inc.’s utilization of certain tax attributes (including any existing tax basis) of the Blocker Companies, which Medline Inc. acquired in connection with our IPO, and (iv) certain other tax benefits related to entering into the tax receivable agreement, including tax benefits attributable to payments under the tax receivable agreement. The</w:t>
      </w:r>
    </w:p>
    <w:p>
      <w:pPr>
        <w:spacing w:after="0" w:line="1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80"/>
          </w:cols>
          <w:pgMar w:left="320" w:top="452" w:right="4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80"/>
        <w:spacing w:after="0" w:line="254" w:lineRule="auto"/>
        <w:rPr>
          <w:sz w:val="20"/>
          <w:szCs w:val="20"/>
          <w:color w:val="auto"/>
        </w:rPr>
      </w:pPr>
      <w:r>
        <w:rPr>
          <w:rFonts w:ascii="Times New Roman" w:cs="Times New Roman" w:eastAsia="Times New Roman" w:hAnsi="Times New Roman"/>
          <w:sz w:val="18"/>
          <w:szCs w:val="18"/>
          <w:color w:val="auto"/>
        </w:rPr>
        <w:t>existing tax basis, increases in existing tax basis, and the tax basis adjustments generated over time may increase (for tax purposes) depreciation and amortization deductions available to Medline Inc. and, therefore, may reduce the amount of tax that Medline Inc. would otherwise be required to pay in the future. It is possible that the IRS may challenge all or part of the validity of such tax basis or other tax attributes covered by the tax receivable agreement, and a court could sustain such a challenge. Actual tax benefits realized by Medline Inc. may differ from tax benefits calculated under the tax receivable agreement as a result of the use of certain assumptions in the tax receivable agreement, including the use of an assumed blended state and local income tax rate of 6% (as adjusted to take into account the U.S. federal tax benefit of such taxes) to calculate tax benefits.</w:t>
      </w:r>
    </w:p>
    <w:p>
      <w:pPr>
        <w:spacing w:after="0" w:line="184" w:lineRule="exact"/>
        <w:rPr>
          <w:sz w:val="20"/>
          <w:szCs w:val="20"/>
          <w:color w:val="auto"/>
        </w:rPr>
      </w:pPr>
    </w:p>
    <w:p>
      <w:pPr>
        <w:ind w:left="160" w:firstLine="436"/>
        <w:spacing w:after="0" w:line="249" w:lineRule="auto"/>
        <w:rPr>
          <w:sz w:val="20"/>
          <w:szCs w:val="20"/>
          <w:color w:val="auto"/>
        </w:rPr>
      </w:pPr>
      <w:r>
        <w:rPr>
          <w:rFonts w:ascii="Times New Roman" w:cs="Times New Roman" w:eastAsia="Times New Roman" w:hAnsi="Times New Roman"/>
          <w:sz w:val="18"/>
          <w:szCs w:val="18"/>
          <w:color w:val="auto"/>
        </w:rPr>
        <w:t>The payment obligation under the tax receivable agreement is an obligation of Medline Inc. and not of Medline Holdings. Payments under the tax receivable agreement are generally due annually five business days following finalization of a schedule showing the relevant tax benefit calculations that is required to be delivered by Medline Inc. within 120 calendar days following the due date (including extensions) of its U.S. corporation income tax return, and interest on such payments will accrue from the due date (without extensions) of such tax return. The term of the tax receivable agreement will continue until all such tax benefits have been utilized or expired. The payments under the tax receivable agreement are not conditioned upon continued ownership of us by the pre-IPO owners. While the amount of existing tax basis and anticipated tax basis adjustments and utilization of tax attributes, as well as the amount and timing of any payments under the tax receivable agreement, will vary depending upon a number of factors, we expect the payments that Medline Inc. may make under the tax receivable agreement will be substantial. Assuming: (i) a price of $        per share of our Class A common stock(the public trading price on         , 2026); (ii) a constant corporate tax rate of         %; (iii) we will have sufficient taxable income to fully utilize the tax benefits; and (iv) no material changes in tax law, if the Continuing Unitholders were to exchange all of the Common Units that they will hold immediately following our IPO and this offering, and assuming all Incentive Units are converted to Common Units and subsequently exchanged for shares of Class A common stock at a price of $        per share of Class A common stock, we estimate that we would, as a result of the Reorganization Transactions, the IPO Transactions, and this offering and such hypothetical exchange, record a deferred tax asset of approximately $        million and that the aggregate noncurrent liability we would record based on our estimate of the aggregate amount that Medline Inc. would pay under the tax receivable agreement is approximately $        million, generally payable over a 15-year period. These amounts are estimates and have been prepared for informational purposes only. The actual amount of deferred tax assets and related noncurrent liabilities that we will recognize as a result of any such future exchanges will differ based on, among other things: (i) the amount and timing of future exchanges of Common Units (including Common Units issued upon conversion of vested Incentive Units) by Continuing Unitholders, and the extent to which such exchanges are taxable; (ii) the price per share of our Class A common stock at the time of the exchanges; (iii) the amount and timing of future income against which to offset the tax benefits; and (iv) the tax rates then in effect. See “Certain Relationships and Related Person Transactions— Tax Receivable Agreement.”</w:t>
      </w:r>
    </w:p>
    <w:p>
      <w:pPr>
        <w:spacing w:after="0" w:line="301" w:lineRule="exact"/>
        <w:rPr>
          <w:sz w:val="20"/>
          <w:szCs w:val="20"/>
          <w:color w:val="auto"/>
        </w:rPr>
      </w:pPr>
    </w:p>
    <w:p>
      <w:pPr>
        <w:ind w:left="160" w:right="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may significantly exceed the actual benefits Medline Inc. realizes in respect of the tax attributes subject to the tax receivable agreement.</w:t>
      </w:r>
    </w:p>
    <w:p>
      <w:pPr>
        <w:spacing w:after="0" w:line="53"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In the event of certain changes of control, certain material breaches of the tax receivable agreement by Medline Inc., or an insolvency event, the calculation of certain future payments made under the tax receivable agreement will utilize certain valuation assumptions, including that (i) in the case of a change of control, any Common Units (including Common Units issued or that would have been issued upon conversion of vested Incentive Units) that have not been exchanged are deemed exchanged for the market value of the shares of our Class A common stock at the time of the change of control and (ii) Medline Inc. will have sufficient taxable income to fully utilize (A) the tax attributes covered by the tax receivable agreement and (B) any remaining net operating losses subject to the tax receivable agreement on a straight line basis over the shorter of the statutory expiration period for such net operating losses or the five-year period after the change of control or other relevant event. In addition, recipients of payments under the tax receivable agreement will not be required to reimburse us for any payments previously made under the tax receivable agreement if the tax attributes or Medline Inc.’s</w:t>
      </w:r>
    </w:p>
    <w:p>
      <w:pPr>
        <w:spacing w:after="0" w:line="1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80"/>
          </w:cols>
          <w:pgMar w:left="320" w:top="451" w:right="4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60"/>
        <w:spacing w:after="0" w:line="255" w:lineRule="auto"/>
        <w:rPr>
          <w:sz w:val="20"/>
          <w:szCs w:val="20"/>
          <w:color w:val="auto"/>
        </w:rPr>
      </w:pPr>
      <w:r>
        <w:rPr>
          <w:rFonts w:ascii="Times New Roman" w:cs="Times New Roman" w:eastAsia="Times New Roman" w:hAnsi="Times New Roman"/>
          <w:sz w:val="18"/>
          <w:szCs w:val="18"/>
          <w:color w:val="auto"/>
        </w:rPr>
        <w:t>utilization of tax attributes underlying the relevant tax receivable agreement payment are successfully challenged by the IRS (although any such detriment would be taken into account as an offset against future payments due to the relevant recipient under the tax receivable agreement). Medline Inc.’s ability to achieve benefits from existing tax basis, tax basis adjustments, or other tax attributes, and the payments to be made under the tax receivable agreement, will depend upon a number of factors, including the timing and amount of our future income. As a result, even in the absence of a change of control, payments under the tax receivable agreement could be in excess of 90% of Medline Inc.’s actual cash tax benefits.</w:t>
      </w:r>
    </w:p>
    <w:p>
      <w:pPr>
        <w:spacing w:after="0" w:line="184" w:lineRule="exact"/>
        <w:rPr>
          <w:sz w:val="20"/>
          <w:szCs w:val="20"/>
          <w:color w:val="auto"/>
        </w:rPr>
      </w:pPr>
    </w:p>
    <w:p>
      <w:pPr>
        <w:ind w:left="160" w:right="20" w:firstLine="436"/>
        <w:spacing w:after="0" w:line="250" w:lineRule="auto"/>
        <w:rPr>
          <w:sz w:val="20"/>
          <w:szCs w:val="20"/>
          <w:color w:val="auto"/>
        </w:rPr>
      </w:pPr>
      <w:r>
        <w:rPr>
          <w:rFonts w:ascii="Times New Roman" w:cs="Times New Roman" w:eastAsia="Times New Roman" w:hAnsi="Times New Roman"/>
          <w:sz w:val="18"/>
          <w:szCs w:val="18"/>
          <w:color w:val="auto"/>
        </w:rPr>
        <w:t>Accordingly, it is possible that the actual cash tax benefits realized by Medline Inc. may be significantly less than the corresponding tax receivable agreement payments. It is also possible that payments under the tax receivable agreement may be made years in advance of the actual realization, if any, of the anticipated future tax benefits. Furthermore, the distribution payments from Medline Holdings may be less than the required payments under the tax receivable agreement and/or Medline Holdings may not have available cash to make its pro rata share of distributions. There may be a material negative effect on our liquidity if the payments under the tax receivable agreement exceed the actual cash tax benefits that Medline Inc. realizes in respect of the tax attributes subject to the tax receivable agreement and/or if distributions to Medline Inc. by Medline Holdings are not sufficient to permit Medline Inc. to make payments under the tax receivable agreement after it has paid taxes and other expenses. We may need to seek to raise additional capital, incur indebtedness, or take other measures to finance payments under the tax receivable agreement to the extent our cash resources are insufficient to meet our obligations under the tax receivable agreement as a result of timing discrepancies, insufficient distributions from Medline Holdings, lack of liquidity in Medline Holdings, or otherwise, and these obligations could have the effect of delaying, deferring, or preventing certain mergers, asset sales, other forms of business combinations, or other changes of control. See “Certain Relationships and Related Person Transactions— Tax Receivable Agreement.”</w:t>
      </w:r>
    </w:p>
    <w:p>
      <w:pPr>
        <w:spacing w:after="0" w:line="297" w:lineRule="exact"/>
        <w:rPr>
          <w:sz w:val="20"/>
          <w:szCs w:val="20"/>
          <w:color w:val="auto"/>
        </w:rPr>
      </w:pPr>
    </w:p>
    <w:p>
      <w:pPr>
        <w:jc w:val="both"/>
        <w:ind w:left="160" w:right="200"/>
        <w:spacing w:after="0" w:line="313" w:lineRule="auto"/>
        <w:rPr>
          <w:sz w:val="20"/>
          <w:szCs w:val="20"/>
          <w:color w:val="auto"/>
        </w:rPr>
      </w:pPr>
      <w:r>
        <w:rPr>
          <w:rFonts w:ascii="Times New Roman" w:cs="Times New Roman" w:eastAsia="Times New Roman" w:hAnsi="Times New Roman"/>
          <w:sz w:val="17"/>
          <w:szCs w:val="17"/>
          <w:b w:val="1"/>
          <w:bCs w:val="1"/>
          <w:i w:val="1"/>
          <w:iCs w:val="1"/>
          <w:color w:val="auto"/>
        </w:rPr>
        <w:t>The application of certain valuation assumptions under the tax receivable agreement in the case of certain changes of control or other events may impair our ability to consummate change of control transactions or negatively impact the value received by owners of our Class A common stock.</w:t>
      </w:r>
    </w:p>
    <w:p>
      <w:pPr>
        <w:spacing w:after="0" w:line="29"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In the event of certain changes of control, certain material breaches of the tax receivable agreement by Medline Inc., or an insolvency event, the calculation of certain future payments made under the tax receivable agreement will utilize certain valuation assumptions, including that (i) in the case of a change of control, any Common Units (including Common Units issued or that would have been issued upon conversion of vested Incentive Units) that have not been exchanged are deemed exchanged for the market value of the shares of our Class A common stock at the time of the change of control and (ii) Medline Inc. will have sufficient taxable income to fully utilize (A) the tax attributes covered by the tax receivable agreement and (B) any remaining net operating losses subject to the tax receivable agreement on a straight line basis over the shorter of the statutory expiration period for such net operating losses or the five-year period after the change of control or other relevant event. Such payments may significantly exceed the actual benefits Medline Inc. realizes in respect of the tax attributes subject to the tax receivable agreement. We expect that the payments that we may make under the tax receivable agreement following a change of control will be substantial and may be in excess of 90% of Medline Inc.’s actual cash tax benefits. As a result, the assumptions adopted under the tax receivable agreement in the case of a change of control may impair our ability to consummate change of control transactions or negatively impact the value received by owners of our Class A common stock in a change of control transaction.</w:t>
      </w:r>
    </w:p>
    <w:p>
      <w:pPr>
        <w:spacing w:after="0" w:line="2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Class A Common Stock</w:t>
      </w:r>
    </w:p>
    <w:p>
      <w:pPr>
        <w:spacing w:after="0" w:line="114" w:lineRule="exact"/>
        <w:rPr>
          <w:sz w:val="20"/>
          <w:szCs w:val="20"/>
          <w:color w:val="auto"/>
        </w:rPr>
      </w:pPr>
    </w:p>
    <w:p>
      <w:pPr>
        <w:ind w:left="160" w:right="2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Designating Stockholders will continue to hold a significant percentage of our stock, and their interests may conflict with ours or yours in the future.</w:t>
      </w:r>
    </w:p>
    <w:p>
      <w:pPr>
        <w:spacing w:after="0" w:line="53" w:lineRule="exact"/>
        <w:rPr>
          <w:sz w:val="20"/>
          <w:szCs w:val="20"/>
          <w:color w:val="auto"/>
        </w:rPr>
      </w:pPr>
    </w:p>
    <w:p>
      <w:pPr>
        <w:ind w:left="160" w:right="280" w:firstLine="436"/>
        <w:spacing w:after="0" w:line="278" w:lineRule="auto"/>
        <w:rPr>
          <w:sz w:val="20"/>
          <w:szCs w:val="20"/>
          <w:color w:val="auto"/>
        </w:rPr>
      </w:pPr>
      <w:r>
        <w:rPr>
          <w:rFonts w:ascii="Times New Roman" w:cs="Times New Roman" w:eastAsia="Times New Roman" w:hAnsi="Times New Roman"/>
          <w:sz w:val="18"/>
          <w:szCs w:val="18"/>
          <w:color w:val="auto"/>
        </w:rPr>
        <w:t>Immediately following this offering, the Designating Stockholders will beneficially own or control approximately   % of the combined voting power of our shares eligible to vote in the election of our directors</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80"/>
          </w:cols>
          <w:pgMar w:left="320" w:top="451" w:right="4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line="251" w:lineRule="auto"/>
        <w:rPr>
          <w:sz w:val="20"/>
          <w:szCs w:val="20"/>
          <w:color w:val="auto"/>
        </w:rPr>
      </w:pPr>
      <w:r>
        <w:rPr>
          <w:rFonts w:ascii="Times New Roman" w:cs="Times New Roman" w:eastAsia="Times New Roman" w:hAnsi="Times New Roman"/>
          <w:sz w:val="18"/>
          <w:szCs w:val="18"/>
          <w:color w:val="auto"/>
        </w:rPr>
        <w:t>(or  % if the underwriters exercise in full their option to purchase additional shares of Class A common stock). Moreover, we have agreed to nominate to our board individuals designated by the Designating Stockholders in accordance with the director nomination agreements we entered into in connection with our IPO. The Designating Stockholders retain the right to designate directors subject to the maintenance of certain ownership requirements in us. See “Certain Relationships and Related Person Transactions—Director Nomination Agreements.” For so long as the Designating Stockholders continue to own a significant percentage of our stock, they will still be able to significantly influence the composition of our board of directors and the approval of actions requiring stockholder approval through their voting power. Accordingly, for such period of time, the Designating Stockholders will have significant influence with respect to our management, business plans, and policies, including the appointment and removal of our officers. In particular, for so long as the Designating Stockholders continue to own a significant percentage of our stock, the Designating Stockholders may be able to prevent a change of control of our company or a change in the composition of our board of directors and could preclude any unsolicited acquisition of our company. The concentration of ownership could deprive you of an opportunity to receive a premium for your shares of Class A common stock as part of a sale of our company and ultimately might affect the market price of our Class A common stock.</w:t>
      </w:r>
    </w:p>
    <w:p>
      <w:pPr>
        <w:spacing w:after="0" w:line="187" w:lineRule="exact"/>
        <w:rPr>
          <w:sz w:val="20"/>
          <w:szCs w:val="20"/>
          <w:color w:val="auto"/>
        </w:rPr>
      </w:pPr>
    </w:p>
    <w:p>
      <w:pPr>
        <w:ind w:left="160" w:right="20" w:firstLine="436"/>
        <w:spacing w:after="0" w:line="249" w:lineRule="auto"/>
        <w:rPr>
          <w:sz w:val="20"/>
          <w:szCs w:val="20"/>
          <w:color w:val="auto"/>
        </w:rPr>
      </w:pPr>
      <w:r>
        <w:rPr>
          <w:rFonts w:ascii="Times New Roman" w:cs="Times New Roman" w:eastAsia="Times New Roman" w:hAnsi="Times New Roman"/>
          <w:sz w:val="18"/>
          <w:szCs w:val="18"/>
          <w:color w:val="auto"/>
        </w:rPr>
        <w:t>In addition, immediately following this offering, the Continuing Common Unitholders (which include certain interests held by our Principal Stockholders) will own   % of the Common Units (or  % if the underwriters exercise in full their option to purchase additional shares of Class A common stock). Because they hold their ownership interest in our business directly in Medline Holdings, rather than through Medline Inc., the Continuing Common Unitholders may have conflicting interests with holders of shares of our Class A common stock. For example, if Medline Holdings makes distributions to Medline Inc., the Continuing Common Unitholders and participating Continuing Incentive Unitholders (as described below) will also be entitled to receive such distributions pro rata in accordance with the percentages of their respective Common Units or Incentive Units, as applicable, in Medline Holdings and their preferences as to the timing and amount of any such distributions may differ from those of our public stockholders. Incentive Units initially will not be entitled to receive distributions (other than tax distributions) until holders of Common Units have received a minimum return as provided in the amended and restated limited partnership agreement of Medline Holdings. However, Incentive Units will have the benefit of adjustment provisions that will reduce the participation threshold for distributions in respect of which they do not participate until there is no participation threshold, at and after which time the Incentive Units would participate pro rata with distributions on Common Units. Although our Designating Stockholders are not holders of Incentive Units, our Named Executive Officers will hold a significant amount of Incentive Units which could create conflicts or misalignment of interest with the Continuing Common Unitholders and holders of shares of our Class A common stock. The pre-IPO owners may also have different tax positions from Medline Inc., which could influence their decisions regarding whether and when to dispose of assets, especially in light of the tax receivable agreement that we entered into in connection with our IPO, and whether and when to incur new or refinance existing indebtedness. In addition, the structuring of future transactions may take into consideration our pre-IPO owners’ tax or other considerations even where no similar benefit would accrue to us. See “Certain Relationships and Related Person Transactions—Tax Receivable Agreement.”</w:t>
      </w:r>
    </w:p>
    <w:p>
      <w:pPr>
        <w:spacing w:after="0" w:line="303" w:lineRule="exact"/>
        <w:rPr>
          <w:sz w:val="20"/>
          <w:szCs w:val="20"/>
          <w:color w:val="auto"/>
        </w:rPr>
      </w:pPr>
    </w:p>
    <w:p>
      <w:pPr>
        <w:ind w:left="160" w:right="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does not limit the ability of our Sponsors, the Mills Family, and our Other Pre-IPO Investors to compete with us, and they may have investments in businesses whose interests conflict with ours.</w:t>
      </w:r>
    </w:p>
    <w:p>
      <w:pPr>
        <w:spacing w:after="0" w:line="53" w:lineRule="exact"/>
        <w:rPr>
          <w:sz w:val="20"/>
          <w:szCs w:val="20"/>
          <w:color w:val="auto"/>
        </w:rPr>
      </w:pPr>
    </w:p>
    <w:p>
      <w:pPr>
        <w:ind w:left="160" w:right="100" w:firstLine="436"/>
        <w:spacing w:after="0" w:line="254" w:lineRule="auto"/>
        <w:rPr>
          <w:sz w:val="20"/>
          <w:szCs w:val="20"/>
          <w:color w:val="auto"/>
        </w:rPr>
      </w:pPr>
      <w:r>
        <w:rPr>
          <w:rFonts w:ascii="Times New Roman" w:cs="Times New Roman" w:eastAsia="Times New Roman" w:hAnsi="Times New Roman"/>
          <w:sz w:val="18"/>
          <w:szCs w:val="18"/>
          <w:color w:val="auto"/>
        </w:rPr>
        <w:t>Our Sponsors, the Mills Family, our Other Pre-IPO Investors, and their respective affiliates engage in a broad spectrum of activities, including investments in businesses that may compete with us. In the ordinary course of their business activities, our Sponsors, the Mills Family, our Other Pre-IPO Investors, and their respective affiliates may engage in activities where their interests conflict with our interests or those of our stockholders. Our amended and restated certificate of incorporation provides that we will renounce any interest or expectancy that we would otherwise have in, and the right to be offered to participate in, any business opportunity that from time to time may be presented to our Sponsors, our Other Pre-IPO Investors, the Mills Family, subject to limited exceptions, or any of their respective affiliates or any of our directors who are not</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60"/>
          </w:cols>
          <w:pgMar w:left="320" w:top="452" w:right="5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160"/>
        <w:spacing w:after="0" w:line="254" w:lineRule="auto"/>
        <w:rPr>
          <w:sz w:val="20"/>
          <w:szCs w:val="20"/>
          <w:color w:val="auto"/>
        </w:rPr>
      </w:pPr>
      <w:r>
        <w:rPr>
          <w:rFonts w:ascii="Times New Roman" w:cs="Times New Roman" w:eastAsia="Times New Roman" w:hAnsi="Times New Roman"/>
          <w:sz w:val="18"/>
          <w:szCs w:val="18"/>
          <w:color w:val="auto"/>
        </w:rPr>
        <w:t>employed by us (including any non-employee director who serves as one of our officers in both their director and officer capacities) or their affiliates. See “Description of Capital Stock—Conflicts of Interest.” Our Sponsors, the Mills Family, our Other Pre-IPO Investors, and their respective affiliates also may pursue acquisition opportunities that may be complementary to our business, and, as a result, those acquisition opportunities may not be available to us. In addition, our Sponsors, the Mills Family, and our Other Pre-IPO Investors may have an interest in our pursuing acquisitions, divestitures, and other transactions that, in their judgment, could enhance their investment, even though such transactions might involve risks to us and our stockholders.</w:t>
      </w:r>
    </w:p>
    <w:p>
      <w:pPr>
        <w:spacing w:after="0" w:line="287" w:lineRule="exact"/>
        <w:rPr>
          <w:sz w:val="20"/>
          <w:szCs w:val="20"/>
          <w:color w:val="auto"/>
        </w:rPr>
      </w:pPr>
    </w:p>
    <w:p>
      <w:pPr>
        <w:ind w:left="160" w:right="40"/>
        <w:spacing w:after="0" w:line="313" w:lineRule="auto"/>
        <w:rPr>
          <w:sz w:val="20"/>
          <w:szCs w:val="20"/>
          <w:color w:val="auto"/>
        </w:rPr>
      </w:pPr>
      <w:r>
        <w:rPr>
          <w:rFonts w:ascii="Times New Roman" w:cs="Times New Roman" w:eastAsia="Times New Roman" w:hAnsi="Times New Roman"/>
          <w:sz w:val="17"/>
          <w:szCs w:val="17"/>
          <w:b w:val="1"/>
          <w:bCs w:val="1"/>
          <w:i w:val="1"/>
          <w:iCs w:val="1"/>
          <w:color w:val="auto"/>
        </w:rPr>
        <w:t>We have incurred and expect to continue to incur increased costs and are subject to additional regulations and requirements as a result of becoming a public company, which could lower our profits, make it more difficult to run our business, or divert management’s attention from our business.</w:t>
      </w:r>
    </w:p>
    <w:p>
      <w:pPr>
        <w:spacing w:after="0" w:line="29" w:lineRule="exact"/>
        <w:rPr>
          <w:sz w:val="20"/>
          <w:szCs w:val="20"/>
          <w:color w:val="auto"/>
        </w:rPr>
      </w:pPr>
    </w:p>
    <w:p>
      <w:pPr>
        <w:ind w:left="160" w:right="40" w:firstLine="436"/>
        <w:spacing w:after="0" w:line="250" w:lineRule="auto"/>
        <w:rPr>
          <w:sz w:val="20"/>
          <w:szCs w:val="20"/>
          <w:color w:val="auto"/>
        </w:rPr>
      </w:pPr>
      <w:r>
        <w:rPr>
          <w:rFonts w:ascii="Times New Roman" w:cs="Times New Roman" w:eastAsia="Times New Roman" w:hAnsi="Times New Roman"/>
          <w:sz w:val="18"/>
          <w:szCs w:val="18"/>
          <w:color w:val="auto"/>
        </w:rPr>
        <w:t>As a public company, we are required to commit significant resources and management time and attention to the requirements of being a public company, which causes us to incur significant legal, accounting, and other expenses that we had not incurred as a private company, including costs associated with public company reporting requirements. We also incur costs associated with the Sarbanes-Oxley Act of 2002 (the “Sarbanes-Oxley Act”) and related rules implemented by the Securities and Exchange Commission (the “SEC”) and Nasdaq, and compliance with these requirements places significant demands on our legal, accounting, and finance staff and on our financial and information systems. In addition, we might not be successful in implementing these requirements. The expenses incurred by public companies generally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Class A common stock, fines, sanctions, and other regulatory action and potentially civil litigation.</w:t>
      </w:r>
    </w:p>
    <w:p>
      <w:pPr>
        <w:spacing w:after="0" w:line="296" w:lineRule="exact"/>
        <w:rPr>
          <w:sz w:val="20"/>
          <w:szCs w:val="20"/>
          <w:color w:val="auto"/>
        </w:rPr>
      </w:pPr>
    </w:p>
    <w:p>
      <w:pPr>
        <w:ind w:left="160" w:right="4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requirements to design, implement, and maintain effective internal controls could have a material adverse effect on our business and stock price.</w:t>
      </w:r>
    </w:p>
    <w:p>
      <w:pPr>
        <w:spacing w:after="0" w:line="53"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As a public company, we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are required, pursuant to Section 404 of the Sarbanes-Oxley Act (“Section 404”), to furnish a report by management on, among other things, the effectiveness of our internal control over financial reporting in the second annual report following the completion of our IPO.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Additionally, our independent registered public accounting firm is required to attest to the effectiveness of our internal control over financial reporting on an annual basis, beginning with our second annual report.</w:t>
      </w:r>
    </w:p>
    <w:p>
      <w:pPr>
        <w:spacing w:after="0" w:line="194" w:lineRule="exact"/>
        <w:rPr>
          <w:sz w:val="20"/>
          <w:szCs w:val="20"/>
          <w:color w:val="auto"/>
        </w:rPr>
      </w:pPr>
    </w:p>
    <w:p>
      <w:pPr>
        <w:ind w:left="160" w:right="380" w:firstLine="436"/>
        <w:spacing w:after="0" w:line="278" w:lineRule="auto"/>
        <w:rPr>
          <w:sz w:val="20"/>
          <w:szCs w:val="20"/>
          <w:color w:val="auto"/>
        </w:rPr>
      </w:pPr>
      <w:r>
        <w:rPr>
          <w:rFonts w:ascii="Times New Roman" w:cs="Times New Roman" w:eastAsia="Times New Roman" w:hAnsi="Times New Roman"/>
          <w:sz w:val="18"/>
          <w:szCs w:val="18"/>
          <w:color w:val="auto"/>
        </w:rPr>
        <w:t>We are currently in the process of updating our control processes and automating certain of our procedures and systems as part of becoming a public company, but our internal controls over financial reporting currently do</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80"/>
          </w:cols>
          <w:pgMar w:left="320" w:top="452" w:right="4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60"/>
        <w:spacing w:after="0" w:line="251" w:lineRule="auto"/>
        <w:rPr>
          <w:sz w:val="20"/>
          <w:szCs w:val="20"/>
          <w:color w:val="auto"/>
        </w:rPr>
      </w:pPr>
      <w:r>
        <w:rPr>
          <w:rFonts w:ascii="Times New Roman" w:cs="Times New Roman" w:eastAsia="Times New Roman" w:hAnsi="Times New Roman"/>
          <w:sz w:val="18"/>
          <w:szCs w:val="18"/>
          <w:color w:val="auto"/>
        </w:rPr>
        <w:t>not meet all of the standards contemplated by Section 404 that we will eventually be required to meet. Because we currently do not have comprehensive documentation of our internal controls and have not yet tested our internal controls in accordance with Section 404, we cannot conclude in accordance with Section 404 that we do not have a material weakness in our internal controls or a combination of significant deficiencies that could result in the conclusion that we have a material weakness in our internal controls. In connection with updating our control processes and the implementation of the necessary procedures and practices related to internal control over financial reporting, we have identified deficiencies and may identify deficiencies in the future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 Our testing, or the subsequent testing (if required) by our independent registered public accounting firm, may reveal deficiencies in our internal controls over financial reporting that are deemed to be material weaknesses. Any material weaknesses could result in a material misstatement of our annual or quarterly consolidated financial statements or disclosures that may not be prevented or detected.</w:t>
      </w:r>
    </w:p>
    <w:p>
      <w:pPr>
        <w:spacing w:after="0" w:line="290" w:lineRule="exact"/>
        <w:rPr>
          <w:sz w:val="20"/>
          <w:szCs w:val="20"/>
          <w:color w:val="auto"/>
        </w:rPr>
      </w:pPr>
    </w:p>
    <w:p>
      <w:pPr>
        <w:ind w:left="160" w:righ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downgrade their recommendations regarding our Class A common stock, our stock price and trading volume could decline.</w:t>
      </w:r>
    </w:p>
    <w:p>
      <w:pPr>
        <w:spacing w:after="0" w:line="53" w:lineRule="exact"/>
        <w:rPr>
          <w:sz w:val="20"/>
          <w:szCs w:val="20"/>
          <w:color w:val="auto"/>
        </w:rPr>
      </w:pPr>
    </w:p>
    <w:p>
      <w:pPr>
        <w:ind w:left="160" w:right="20" w:firstLine="436"/>
        <w:spacing w:after="0" w:line="255" w:lineRule="auto"/>
        <w:rPr>
          <w:sz w:val="20"/>
          <w:szCs w:val="20"/>
          <w:color w:val="auto"/>
        </w:rPr>
      </w:pPr>
      <w:r>
        <w:rPr>
          <w:rFonts w:ascii="Times New Roman" w:cs="Times New Roman" w:eastAsia="Times New Roman" w:hAnsi="Times New Roman"/>
          <w:sz w:val="18"/>
          <w:szCs w:val="18"/>
          <w:color w:val="auto"/>
        </w:rPr>
        <w:t>The trading market for our Class A common stock is influenced by the research and reports that industry or securities analysts publish about us or our business. If any of the analysts who cover us downgrade our Class A common stock or publish inaccurate or unfavorable research about our business, our Class A common stock price may decline. If analysts cease coverage of us or fail to regularly publish reports on us, we could lose visibility in the financial markets, which in turn could cause our Class A common stock price or trading volume to decline and our Class A common stock to be less liquid.</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our dual class structure may have on the market price of our Class A common stock.</w:t>
      </w:r>
    </w:p>
    <w:p>
      <w:pPr>
        <w:spacing w:after="0" w:line="118" w:lineRule="exact"/>
        <w:rPr>
          <w:sz w:val="20"/>
          <w:szCs w:val="20"/>
          <w:color w:val="auto"/>
        </w:rPr>
      </w:pPr>
    </w:p>
    <w:p>
      <w:pPr>
        <w:ind w:left="160" w:right="100" w:firstLine="436"/>
        <w:spacing w:after="0" w:line="254" w:lineRule="auto"/>
        <w:rPr>
          <w:sz w:val="20"/>
          <w:szCs w:val="20"/>
          <w:color w:val="auto"/>
        </w:rPr>
      </w:pPr>
      <w:r>
        <w:rPr>
          <w:rFonts w:ascii="Times New Roman" w:cs="Times New Roman" w:eastAsia="Times New Roman" w:hAnsi="Times New Roman"/>
          <w:sz w:val="18"/>
          <w:szCs w:val="18"/>
          <w:color w:val="auto"/>
        </w:rPr>
        <w:t>Each share of our Class A common stock and Class B common stock entitles its holder to one vote on all matters to be voted on by the stockholders generally. We cannot predict whether our dual class structure will result in a lower or more volatile market price of our Class A common stock, in adverse publicity, or other adverse consequences. Certain index providers have in the past announced restrictions on including companies with multiple class share structures in certain of their indices. Given the sustained flow of investment funds into passive strategies that seek to track certain indices, exclusion from stock indices would likely preclude investment by many of these funds and could make our Class A common stock less attractive to other investors. As a result, the market price of our Class A common stock could be materially adversely affected.</w:t>
      </w:r>
    </w:p>
    <w:p>
      <w:pPr>
        <w:spacing w:after="0" w:line="287" w:lineRule="exact"/>
        <w:rPr>
          <w:sz w:val="20"/>
          <w:szCs w:val="20"/>
          <w:color w:val="auto"/>
        </w:rPr>
      </w:pPr>
    </w:p>
    <w:p>
      <w:pPr>
        <w:ind w:left="16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shares of our Class A common stock may be volatile or may decline regardless of our operating performance, which could cause the value of your investment to decline.</w:t>
      </w:r>
    </w:p>
    <w:p>
      <w:pPr>
        <w:spacing w:after="0" w:line="53"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The market price of our Class A common stock may be highly volatile and could be subject to wide fluctuations. Securities markets worldwide experience significant price and volume fluctuations. This market volatility, as well as general economic, market or political conditions, could reduce the market price of shares of our Class A common stock, regardless of our operating performance. In addition, our operating results could be below the expectations of public market analysts and investors due to a number of potential factors, including variations in our quarterly operating results or dividends, if any, to stockholders, additions or departures of key management personnel, failure to meet analysts’ earnings estimates,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investment community, announcements by our competitors of</w:t>
      </w:r>
    </w:p>
    <w:p>
      <w:pPr>
        <w:spacing w:after="0" w:line="1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80"/>
          </w:cols>
          <w:pgMar w:left="320" w:top="451" w:right="4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140"/>
        <w:spacing w:after="0" w:line="278" w:lineRule="auto"/>
        <w:rPr>
          <w:sz w:val="20"/>
          <w:szCs w:val="20"/>
          <w:color w:val="auto"/>
        </w:rPr>
      </w:pPr>
      <w:r>
        <w:rPr>
          <w:rFonts w:ascii="Times New Roman" w:cs="Times New Roman" w:eastAsia="Times New Roman" w:hAnsi="Times New Roman"/>
          <w:sz w:val="18"/>
          <w:szCs w:val="18"/>
          <w:color w:val="auto"/>
        </w:rPr>
        <w:t>significant contracts, acquisitions, dispositions, strategic partnerships, joint ventures, or capital commitments, adverse publicity about the industries we participate in or individual scandals, and in response the market price of shares of our Class A common stock could decrease significantly.</w:t>
      </w:r>
    </w:p>
    <w:p>
      <w:pPr>
        <w:spacing w:after="0" w:line="162" w:lineRule="exact"/>
        <w:rPr>
          <w:sz w:val="20"/>
          <w:szCs w:val="20"/>
          <w:color w:val="auto"/>
        </w:rPr>
      </w:pPr>
    </w:p>
    <w:p>
      <w:pPr>
        <w:ind w:left="160" w:right="320" w:firstLine="436"/>
        <w:spacing w:after="0" w:line="285" w:lineRule="auto"/>
        <w:rPr>
          <w:sz w:val="20"/>
          <w:szCs w:val="20"/>
          <w:color w:val="auto"/>
        </w:rPr>
      </w:pPr>
      <w:r>
        <w:rPr>
          <w:rFonts w:ascii="Times New Roman" w:cs="Times New Roman" w:eastAsia="Times New Roman" w:hAnsi="Times New Roman"/>
          <w:sz w:val="17"/>
          <w:szCs w:val="17"/>
          <w:color w:val="auto"/>
        </w:rPr>
        <w:t>Stock markets and the price of our Class A shares may experience extreme price and volume fluctuations.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263" w:lineRule="exact"/>
        <w:rPr>
          <w:sz w:val="20"/>
          <w:szCs w:val="20"/>
          <w:color w:val="auto"/>
        </w:rPr>
      </w:pPr>
    </w:p>
    <w:p>
      <w:pPr>
        <w:ind w:left="160" w:right="9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You may be diluted by the future issuance of additional Class A common stock or Common Units in connection with our incentive plans, acquisitions or otherwise.</w:t>
      </w:r>
    </w:p>
    <w:p>
      <w:pPr>
        <w:spacing w:after="0" w:line="53"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After our IPO we had 49,188,581,821 shares of Class A common stock authorized but unissued, including 502,299,043 shares of Class A common stock issuable upon exchange of Common Units held by the Continuing Common Unitholders. Our amended and restated certificate of incorporation authorizes us to issue these shares of Class A common stock and options, rights, warrants and appreciation rights relating to Class A common stock for the consideration and on the terms and conditions established by our board of directors in its sole discretion, whether in connection with acquisitions or otherwise. Similarly, the amended and restated limited partnership agreement of Medline Holdings permits Medline Holdings to issue an unlimited number of additional partnership interests of Medline Holdings with designations, preferences, rights, powers and duties that are different from, and may be senior to, those applicable to the Common Units, and which may be exchangeable for shares of our Class A common stock. Additionally, we have reserved an aggregate of 60,000,000 shares of Class A common stock for issuance under our Omnibus Incentive Plan. There are also 20,000,000 shares of Class A common stock reserved for issuance under our ESPP. Any Class A common stock that we issue, including under our Omnibus Incentive Plan, our ESPP, or other equity incentive plans that we may adopt in the future, would dilute the percentage ownership held by the investors who purchase Class A common stock in this offering.</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We may issue preferred stock whose terms could materially adversely affect the voting power or value of our Class A common stock.</w:t>
      </w:r>
    </w:p>
    <w:p>
      <w:pPr>
        <w:spacing w:after="0" w:line="118" w:lineRule="exact"/>
        <w:rPr>
          <w:sz w:val="20"/>
          <w:szCs w:val="20"/>
          <w:color w:val="auto"/>
        </w:rPr>
      </w:pPr>
    </w:p>
    <w:p>
      <w:pPr>
        <w:ind w:left="160" w:right="20" w:firstLine="436"/>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us to issue, without the approval of our stockholders, one or more series of preferred stock having such designations, preferences, limitations and relative rights, including preferences over our Class A common stock respecting dividends and distributions, as our board of directors may determine. The terms of one or more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287" w:lineRule="exact"/>
        <w:rPr>
          <w:sz w:val="20"/>
          <w:szCs w:val="20"/>
          <w:color w:val="auto"/>
        </w:rPr>
      </w:pPr>
    </w:p>
    <w:p>
      <w:pPr>
        <w:ind w:left="160" w:right="6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or our pre-IPO owners sell additional shares of our Class A common stock after this offering or are perceived by the public markets as intending to sell them, the market price of our Class A common stock could decline.</w:t>
      </w:r>
    </w:p>
    <w:p>
      <w:pPr>
        <w:spacing w:after="0" w:line="53"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The sale of substantial amounts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shares of our Class A common stock in the future at a time and at a price that we deem appropriate. Upon completion of the IPO, we had a total of 811,418,179 shares of our Class A common stock outstanding. All of the shares of our Class A common stock sold in the IPO and in this offering are freely tradable without restriction or further registration under the Securities Act, by persons other than our “affiliates,” as that term is defined under Rule 144 of the Securities Act.</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80"/>
          </w:cols>
          <w:pgMar w:left="320" w:top="452" w:right="4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20" w:firstLine="436"/>
        <w:spacing w:after="0" w:line="250" w:lineRule="auto"/>
        <w:rPr>
          <w:sz w:val="20"/>
          <w:szCs w:val="20"/>
          <w:color w:val="auto"/>
        </w:rPr>
      </w:pPr>
      <w:r>
        <w:rPr>
          <w:rFonts w:ascii="Times New Roman" w:cs="Times New Roman" w:eastAsia="Times New Roman" w:hAnsi="Times New Roman"/>
          <w:sz w:val="18"/>
          <w:szCs w:val="18"/>
          <w:color w:val="auto"/>
        </w:rPr>
        <w:t>In addition, we and the Continuing Unitholders have entered into an exchange agreement under which they (or certain permitted transferees) have the right (subject to the terms of the exchange agreement) to exchange their Common Units (including Common Units issued upon conversion of vested Incentive Units) for shares of our Class A common stock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Subject to the terms of the exchange agreement, an aggregate of 502,299,043 Common Units may be exchanged for shares of our Class A common stock. Any shares we issue upon exchange of Common Units will be “restricted securities” as defined in Rule 144 and may not be sold in the absence of registration under the Securities Act unless an exemption from registration is available, including the exemptions contained in Rule 144. Under applicable SEC guidance, we believe that for purposes of Rule 144 the holding period in such shares will generally include the holding period in the corresponding Common Units exchanged. We, our directors, executive officers, and holders of substantially all of our outstanding Common Units immediately prior to the IPO have agreed, subject to certain exceptions, not to dispose of or hedge any shares of our Class A common stock (including shares issued upon exchange of Common Units) or securities convertible into or exchangeable for shares of our Class A common stock for 180 days from December 16, 2025, except with the prior written consent of either Goldman Sachs &amp; Co. LLC or Morgan Stanley &amp; Co. LLC, and one additional representative, on behalf of the underwriters, and the prior written notice to the other representatives. As a result of the registration rights agreement, however, all of these shares of our Class A common stock (including shares issued upon exchange of Common Units) may be eligible for future sale without restriction, subject to applicable lock-up arrangements. See “Certain Relationships and Related Person Transactions—Registration Rights Agreement.”</w:t>
      </w:r>
    </w:p>
    <w:p>
      <w:pPr>
        <w:spacing w:after="0" w:line="188"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Subject to certain limitations and exceptions, pursuant to the terms of the amended and restated limited partnership agreement of Medline Holdings, the Continuing Incentive Unitholders hold 42,197,933 Incentive Units, which have a weighted-average per unit participation threshold of $16.57 per Incentive Unit, and have the right to convert their vested Incentive Units into 18,084,823 Common Units of Medline Holdings at the initial public offering price of $29.00, as described in “Organizational Structure—Reclassification and Amendment and Restatement of the Limited Partnership Agreement of Medline Holdings” and “Certain Relationships and Related Person Transactions—Medline Holdings Amended and Restated Limited Partnership Agreement.” Common Units received upon conversion are exchangeable on a one-for-one basis for shares of Class A common stock of Medline Inc. in accordance with the terms of the exchange agreement. In the event that the price of our Class A common stock increases, the number of Common Units a holder of vested Incentive Units would receive upon conversion of such Incentive Units would increase. See “Certain Relationships and Related Person Transactions—Medline Holdings Amended and Restated Limited Partnership Agreement.” The delivery of shares of Class A common stock upon exchange of Common Units received in conversion of Incentive Units are registered on one or more registration statements on Form S-8.</w:t>
      </w:r>
    </w:p>
    <w:p>
      <w:pPr>
        <w:spacing w:after="0" w:line="187" w:lineRule="exact"/>
        <w:rPr>
          <w:sz w:val="20"/>
          <w:szCs w:val="20"/>
          <w:color w:val="auto"/>
        </w:rPr>
      </w:pPr>
    </w:p>
    <w:p>
      <w:pPr>
        <w:ind w:left="160" w:right="200" w:firstLine="436"/>
        <w:spacing w:after="0" w:line="253" w:lineRule="auto"/>
        <w:rPr>
          <w:sz w:val="20"/>
          <w:szCs w:val="20"/>
          <w:color w:val="auto"/>
        </w:rPr>
      </w:pPr>
      <w:r>
        <w:rPr>
          <w:rFonts w:ascii="Times New Roman" w:cs="Times New Roman" w:eastAsia="Times New Roman" w:hAnsi="Times New Roman"/>
          <w:sz w:val="18"/>
          <w:szCs w:val="18"/>
          <w:color w:val="auto"/>
        </w:rPr>
        <w:t>Upon the expiration of the lock-up agreements described above, all of such shares will be eligible for resale in the public market, subject, in the case of shares held by our affiliates, to volume, manner of sale and other limitations under Rule 144. We expect that our Principal Stockholders will continue to be considered affiliates following the expiration of the lock-up period based on their expected share ownership and their board nomination rights. Certain of our other stockholders may also be considered affiliates at that time. However, subject to the expiration or waiver of</w:t>
      </w:r>
    </w:p>
    <w:p>
      <w:pPr>
        <w:spacing w:after="0" w:line="2" w:lineRule="exact"/>
        <w:rPr>
          <w:sz w:val="20"/>
          <w:szCs w:val="20"/>
          <w:color w:val="auto"/>
        </w:rPr>
      </w:pPr>
    </w:p>
    <w:p>
      <w:pPr>
        <w:ind w:left="160" w:right="140"/>
        <w:spacing w:after="0" w:line="250" w:lineRule="auto"/>
        <w:rPr>
          <w:sz w:val="20"/>
          <w:szCs w:val="20"/>
          <w:color w:val="auto"/>
        </w:rPr>
      </w:pPr>
      <w:r>
        <w:rPr>
          <w:rFonts w:ascii="Times New Roman" w:cs="Times New Roman" w:eastAsia="Times New Roman" w:hAnsi="Times New Roman"/>
          <w:sz w:val="18"/>
          <w:szCs w:val="18"/>
          <w:color w:val="auto"/>
        </w:rPr>
        <w:t>the 180-day lock-up period, the holders of these shares of Class A common stock will have the right, subject to certain exceptions and conditions, to require us to register their shares of Class A common stock under the Securities Act, and they will have the right to participate in future registrations of securities by us. Registration of any of these outstanding shares of Class A common stock would result in such shares becoming freely tradable without compliance with Rule 144 upon effectiveness of the registration statement.</w:t>
      </w:r>
    </w:p>
    <w:p>
      <w:pPr>
        <w:spacing w:after="0" w:line="189" w:lineRule="exact"/>
        <w:rPr>
          <w:sz w:val="20"/>
          <w:szCs w:val="20"/>
          <w:color w:val="auto"/>
        </w:rPr>
      </w:pPr>
    </w:p>
    <w:p>
      <w:pPr>
        <w:ind w:left="160" w:right="760" w:firstLine="436"/>
        <w:spacing w:after="0" w:line="278" w:lineRule="auto"/>
        <w:rPr>
          <w:sz w:val="20"/>
          <w:szCs w:val="20"/>
          <w:color w:val="auto"/>
        </w:rPr>
      </w:pPr>
      <w:r>
        <w:rPr>
          <w:rFonts w:ascii="Times New Roman" w:cs="Times New Roman" w:eastAsia="Times New Roman" w:hAnsi="Times New Roman"/>
          <w:sz w:val="18"/>
          <w:szCs w:val="18"/>
          <w:color w:val="auto"/>
        </w:rPr>
        <w:t>We have filed a registration statement on Form S-8 under the Securities Act to register shares of our Class A common stock or securities convertible into or exchangeable for shares of our Class A common stock issued</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80"/>
          </w:cols>
          <w:pgMar w:left="320" w:top="452" w:right="4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80"/>
        <w:spacing w:after="0" w:line="278" w:lineRule="auto"/>
        <w:rPr>
          <w:sz w:val="20"/>
          <w:szCs w:val="20"/>
          <w:color w:val="auto"/>
        </w:rPr>
      </w:pPr>
      <w:r>
        <w:rPr>
          <w:rFonts w:ascii="Times New Roman" w:cs="Times New Roman" w:eastAsia="Times New Roman" w:hAnsi="Times New Roman"/>
          <w:sz w:val="18"/>
          <w:szCs w:val="18"/>
          <w:color w:val="auto"/>
        </w:rPr>
        <w:t>pursuant to our Omnibus Incentive Plan and our ESPP. Accordingly, shares registered under such registration statements will be available for sale in the open market.</w:t>
      </w:r>
    </w:p>
    <w:p>
      <w:pPr>
        <w:spacing w:after="0" w:line="162" w:lineRule="exact"/>
        <w:rPr>
          <w:sz w:val="20"/>
          <w:szCs w:val="20"/>
          <w:color w:val="auto"/>
        </w:rPr>
      </w:pPr>
    </w:p>
    <w:p>
      <w:pPr>
        <w:ind w:left="160" w:right="80" w:firstLine="436"/>
        <w:spacing w:after="0" w:line="254" w:lineRule="auto"/>
        <w:rPr>
          <w:sz w:val="20"/>
          <w:szCs w:val="20"/>
          <w:color w:val="auto"/>
        </w:rPr>
      </w:pPr>
      <w:r>
        <w:rPr>
          <w:rFonts w:ascii="Times New Roman" w:cs="Times New Roman" w:eastAsia="Times New Roman" w:hAnsi="Times New Roman"/>
          <w:sz w:val="18"/>
          <w:szCs w:val="18"/>
          <w:color w:val="auto"/>
        </w:rPr>
        <w:t>In the future, we may also issue our securities in connection with investments or acquisitions. The amount of shares of our Class A common stock issued in connection with an investment or acquisition could constitute a material portion of our then outstanding shares of Class A common stock. As the lock-up period or other restrictions on resale end, the market price of our shares of common stock could drop significantly if the holders of these restricted shares sell them or are perceived by the market as intending to sell them. These factors could also make it more difficult for us to raise additional funds through future offerings of our Class A common stock or other securities or to use our Class A common stock as consideration for acquisitions of other businesses, investments, or other corporate purposes.</w:t>
      </w:r>
    </w:p>
    <w:p>
      <w:pPr>
        <w:spacing w:after="0" w:line="287" w:lineRule="exact"/>
        <w:rPr>
          <w:sz w:val="20"/>
          <w:szCs w:val="20"/>
          <w:color w:val="auto"/>
        </w:rPr>
      </w:pPr>
    </w:p>
    <w:p>
      <w:pPr>
        <w:ind w:left="160" w:right="2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and Delaware law might discourage or delay acquisition attempts for us that you might consider favorable.</w:t>
      </w:r>
    </w:p>
    <w:p>
      <w:pPr>
        <w:spacing w:after="0" w:line="53" w:lineRule="exact"/>
        <w:rPr>
          <w:sz w:val="20"/>
          <w:szCs w:val="20"/>
          <w:color w:val="auto"/>
        </w:rPr>
      </w:pPr>
    </w:p>
    <w:p>
      <w:pPr>
        <w:ind w:left="160" w:right="760" w:firstLine="436"/>
        <w:spacing w:after="0" w:line="278"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may make the merger or acquisition of our company more difficult without the approval of our board of directors. Among other things, these provisions:</w:t>
      </w:r>
    </w:p>
    <w:p>
      <w:pPr>
        <w:spacing w:after="0" w:line="69" w:lineRule="exact"/>
        <w:rPr>
          <w:sz w:val="20"/>
          <w:szCs w:val="20"/>
          <w:color w:val="auto"/>
        </w:rPr>
      </w:pPr>
    </w:p>
    <w:p>
      <w:pPr>
        <w:ind w:left="1140" w:right="260" w:hanging="438"/>
        <w:spacing w:after="0" w:line="255"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allow us to authorize the issuance of shares of one or more series of preferred stock, including in connection with a stockholder rights plan, financing transactions or otherwise, the terms of which series may be established and the shares of which may be issued without stockholder approval, and which terms may include super voting rights, special approval rights, special or preferential rights to dividends or distributions upon a liquidation, dissolution or winding up, conversion rights, redemption rights, or other rights, powers, or preferences prior or superior to the rights of the holders of common stock;</w:t>
      </w:r>
    </w:p>
    <w:p>
      <w:pPr>
        <w:spacing w:after="0" w:line="90" w:lineRule="exact"/>
        <w:rPr>
          <w:rFonts w:ascii="Times New Roman" w:cs="Times New Roman" w:eastAsia="Times New Roman" w:hAnsi="Times New Roman"/>
          <w:sz w:val="18"/>
          <w:szCs w:val="18"/>
          <w:color w:val="auto"/>
        </w:rPr>
      </w:pPr>
    </w:p>
    <w:p>
      <w:pPr>
        <w:ind w:left="1140" w:right="480" w:hanging="438"/>
        <w:spacing w:after="0" w:line="263"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consent in lieu of a meeting from and after the date on which our Designating Stockholders cease to beneficially own or control, in the aggregate, at least 30% of the total voting power of all then outstanding shares of our capital stock entitled to vote generally in the election of directors unless such action is recommended by all directors then in office;</w:t>
      </w:r>
    </w:p>
    <w:p>
      <w:pPr>
        <w:spacing w:after="0" w:line="81"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certain limitations on convening special stockholder meetings; and</w:t>
      </w:r>
    </w:p>
    <w:p>
      <w:pPr>
        <w:spacing w:after="0" w:line="127" w:lineRule="exact"/>
        <w:rPr>
          <w:rFonts w:ascii="Times New Roman" w:cs="Times New Roman" w:eastAsia="Times New Roman" w:hAnsi="Times New Roman"/>
          <w:sz w:val="18"/>
          <w:szCs w:val="18"/>
          <w:color w:val="auto"/>
        </w:rPr>
      </w:pPr>
    </w:p>
    <w:p>
      <w:pPr>
        <w:ind w:left="1140" w:right="100" w:hanging="438"/>
        <w:spacing w:after="0" w:line="278"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elections to our board or for proposing other items of business that can be acted upon by stockholders at annual or special meetings.</w:t>
      </w:r>
    </w:p>
    <w:p>
      <w:pPr>
        <w:spacing w:after="0" w:line="162"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We have elected not to be governed by Section 203 of the General Corporation Law of the State of Delaware (the “DGCL”), which is Delaware’s anti-takeover statute that, subject to certain exceptions and approvals, restricts “business combinations,” including specified mergers, asset sales, stock sales and other transactions, between a corporation and its subsidiaries, on the one hand, and any interested stockholder (generally defined to mean a person who, together with such person’s affiliates and associates, owns 15% or more of the outstanding voting stock of the corporation), on the other, for a three-year period following the time the person became an interested stockholder.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 the transaction fits within an enumerated exception, such as board approval of the business combination or the transaction that resulted in a person becoming an interested stockholder prior to the time such person became an interested stockholder. Our amended and restated certificate of incorporation provides that our Designating Stockholders and their affiliates, and any of their respective direct or indirect transferees, and any group as to which such persons are a party, do not constitute “interested stockholders” for purposes of this provision. See “Description of Capital Stock—Anti-Takeover Effects of Our Amended and Restated Certificate of Incorporation and Amended and Restated Bylaws and Certain Provisions of Delaware Law—Business Combinations.” These anti-takeover provisions and other provisions under Delaware law could discourage,</w:t>
      </w:r>
    </w:p>
    <w:p>
      <w:pPr>
        <w:spacing w:after="0" w:line="1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80"/>
          </w:cols>
          <w:pgMar w:left="320" w:top="451" w:right="4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140"/>
        <w:spacing w:after="0" w:line="255" w:lineRule="auto"/>
        <w:rPr>
          <w:sz w:val="20"/>
          <w:szCs w:val="20"/>
          <w:color w:val="auto"/>
        </w:rPr>
      </w:pPr>
      <w:r>
        <w:rPr>
          <w:rFonts w:ascii="Times New Roman" w:cs="Times New Roman" w:eastAsia="Times New Roman" w:hAnsi="Times New Roman"/>
          <w:sz w:val="18"/>
          <w:szCs w:val="18"/>
          <w:color w:val="auto"/>
        </w:rPr>
        <w:t>delay, or prevent a transaction involving a change in control of our company, including actions that our stockholders may deem advantageous, or negatively affect the trading price of our Class A common stock. These provisions could also discourage proxy contests and make it more difficult for you and other stockholders to elect directors of your choosing and to cause us to take other corporate actions you desire. For further discussion of these and other such anti-takeover provisions, see “Description of Capital Stock—Anti-Takeover Effects of Our Amended and Restated Certificate of Incorporation and Amended and Restated Bylaws and Certain Provisions of Delaware Law.”</w:t>
      </w:r>
    </w:p>
    <w:p>
      <w:pPr>
        <w:spacing w:after="0" w:line="287" w:lineRule="exact"/>
        <w:rPr>
          <w:sz w:val="20"/>
          <w:szCs w:val="20"/>
          <w:color w:val="auto"/>
        </w:rPr>
      </w:pPr>
    </w:p>
    <w:p>
      <w:pPr>
        <w:ind w:left="160"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or the federal district courts of the United States of America, as applicable, as the sole and exclusive forum for certain types of actions and proceedings that may be initiated by our stockholders, which could limit our stockholders’ ability to obtain a favorable judicial forum for disputes with the Company or the Company’s directors, officers, or other employees.</w:t>
      </w:r>
    </w:p>
    <w:p>
      <w:pPr>
        <w:spacing w:after="0" w:line="73" w:lineRule="exact"/>
        <w:rPr>
          <w:sz w:val="20"/>
          <w:szCs w:val="20"/>
          <w:color w:val="auto"/>
        </w:rPr>
      </w:pPr>
    </w:p>
    <w:p>
      <w:pPr>
        <w:ind w:left="160" w:right="240" w:firstLine="436"/>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to the selection of an alternative forum, the Court of Chancery of the State of Delaware will, to the fullest extent permitted by law, be the sole and exclusive forum for: (i) any derivative action or proceeding brought on our behalf; (ii) any action asserting a breach of fiduciary duty owed by any current or former director, officer, stockholder or employee of the company to the company or our stockholders; (iii) any action asserting a claim against us arising under the DGCL, our amended and restated certificate of incorporation or our bylaws or as to which the DGCL confers jurisdiction on the Court of Chancery of the State of Delaware; or (iv) any action asserting a claim against us that is governed by the internal affairs doctrine.</w:t>
      </w:r>
    </w:p>
    <w:p>
      <w:pPr>
        <w:spacing w:after="0" w:line="184"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further provides that, unless we consent in writing to the selection of an alternative forum, to the fullest extent permitted by law, the federal district courts of the United States of America will be the exclusive forum for the resolution of any complaint asserting a cause of action arising under the federal securities laws of the United States, including, in each case, the applicable rules and regulations promulgated thereunder.</w:t>
      </w:r>
    </w:p>
    <w:p>
      <w:pPr>
        <w:spacing w:after="0" w:line="180" w:lineRule="exact"/>
        <w:rPr>
          <w:sz w:val="20"/>
          <w:szCs w:val="20"/>
          <w:color w:val="auto"/>
        </w:rPr>
      </w:pPr>
    </w:p>
    <w:p>
      <w:pPr>
        <w:ind w:left="160" w:right="40" w:firstLine="436"/>
        <w:spacing w:after="0" w:line="251"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any shares of our capital stock shall be deemed to have notice of and to have consented to the forum provision in our amended and restated certificate of incorporation. This choice-of-forum provision may limit a stockholder’s ability to bring a claim in a different judicial forum, including one that it may find favorable or convenient for a specified class of disputes with the Company or the Company’s directors, officers, other stockholders, or employees or result in increased costs for a stockholder to bring a claim, particularly if they do not reside in or near Delaware, each of which may discourage lawsuits against us or our directors, officers, other stockholders, or employees. Alternatively, if a court were to find this provision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board of directors.</w:t>
      </w:r>
    </w:p>
    <w:p>
      <w:pPr>
        <w:spacing w:after="0" w:line="1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80"/>
          </w:cols>
          <w:pgMar w:left="320" w:top="451" w:right="4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5"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This prospectus contains forward-looking statements that reflect our current views with respect to, among other things, our operations, our financial performance, and our industry. Forward-looking statements include all statements that are not historical facts. These forward-looking statements are included throughout this prospectus, including in the sections entitled “Summary,” “Risk Factors,” “Management’s Discussion and Analysis of Financial Condition and Results of Operations,” and “Business” and relate to matters such as our industry, business strategy, goals and expectations concerning our market position, future operations, margins, profitability, capital expenditures, liquidity and capital resources, and other financial and operating information. We may, in some cases, use words such as “anticipate,” “assume,” “believe” “contemplate,” “continue,” “could,” “estimate,” “expect,” “foreseeable,” “intend,” “may,” “plan,” “potentially,” “predict,” “project,” “seek,” “should,” “will,” or “would,” or similar words or phrases that convey uncertainty of future events or outcomes, to identify forward-looking statements in this prospectus. Factors that may cause actual results to differ from expected results include:</w:t>
      </w:r>
    </w:p>
    <w:p>
      <w:pPr>
        <w:spacing w:after="0" w:line="98" w:lineRule="exact"/>
        <w:rPr>
          <w:sz w:val="20"/>
          <w:szCs w:val="20"/>
          <w:color w:val="auto"/>
        </w:rPr>
      </w:pPr>
    </w:p>
    <w:p>
      <w:pPr>
        <w:ind w:left="1140" w:right="340" w:hanging="438"/>
        <w:spacing w:after="0" w:line="308" w:lineRule="auto"/>
        <w:tabs>
          <w:tab w:leader="none" w:pos="11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the proper function, security, and availability of our information technology systems and data, as well as those of third parties throughout our global supply chain, and the impact of a breach, cyber-attack, or other disruption to these systems or data;</w:t>
      </w:r>
    </w:p>
    <w:p>
      <w:pPr>
        <w:spacing w:after="0" w:line="46" w:lineRule="exact"/>
        <w:rPr>
          <w:rFonts w:ascii="Times New Roman" w:cs="Times New Roman" w:eastAsia="Times New Roman" w:hAnsi="Times New Roman"/>
          <w:sz w:val="17"/>
          <w:szCs w:val="17"/>
          <w:color w:val="auto"/>
        </w:rPr>
      </w:pPr>
    </w:p>
    <w:p>
      <w:pPr>
        <w:ind w:left="1140" w:hanging="438"/>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inherent risks in our global operations;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extensive and complex laws and governmental regulations and the cost of adverse regulatory actions;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compliance with environmental, health, and safety requirements;</w:t>
      </w:r>
    </w:p>
    <w:p>
      <w:pPr>
        <w:spacing w:after="0" w:line="127" w:lineRule="exact"/>
        <w:rPr>
          <w:rFonts w:ascii="Times New Roman" w:cs="Times New Roman" w:eastAsia="Times New Roman" w:hAnsi="Times New Roman"/>
          <w:sz w:val="18"/>
          <w:szCs w:val="18"/>
          <w:color w:val="auto"/>
        </w:rPr>
      </w:pPr>
    </w:p>
    <w:p>
      <w:pPr>
        <w:ind w:left="1140" w:right="40" w:hanging="438"/>
        <w:spacing w:after="0" w:line="278"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expected benefits from the entry into new or amended contracts, planned cost savings, and business improvement initiatives;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the healthcare industry;</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inflationary pressures;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global macro-economic and political conditions;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government-imposed import policies, tariffs, and legislation;</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accelerating price pressure in our markets;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anti-bribery laws, anti-corruption laws, and those laws and regulations pertaining to economic sanctions;</w:t>
      </w:r>
    </w:p>
    <w:p>
      <w:pPr>
        <w:spacing w:after="0" w:line="127" w:lineRule="exact"/>
        <w:rPr>
          <w:rFonts w:ascii="Times New Roman" w:cs="Times New Roman" w:eastAsia="Times New Roman" w:hAnsi="Times New Roman"/>
          <w:sz w:val="18"/>
          <w:szCs w:val="18"/>
          <w:color w:val="auto"/>
        </w:rPr>
      </w:pPr>
    </w:p>
    <w:p>
      <w:pPr>
        <w:ind w:left="1140" w:right="420" w:hanging="438"/>
        <w:spacing w:after="0" w:line="278"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third parties we work with to comply with complex and rapidly evolving data privacy, security, and data protection laws and regulations;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increasing use of Machine Learning Technology;</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tax legislation and audits by tax authorities;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U.S. and global healthcare environments;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manufacturers, certain significant suppliers and third-party shippers;</w:t>
      </w:r>
    </w:p>
    <w:p>
      <w:pPr>
        <w:spacing w:after="0" w:line="127" w:lineRule="exact"/>
        <w:rPr>
          <w:rFonts w:ascii="Times New Roman" w:cs="Times New Roman" w:eastAsia="Times New Roman" w:hAnsi="Times New Roman"/>
          <w:sz w:val="18"/>
          <w:szCs w:val="18"/>
          <w:color w:val="auto"/>
        </w:rPr>
      </w:pPr>
    </w:p>
    <w:p>
      <w:pPr>
        <w:ind w:left="1140" w:right="980" w:hanging="438"/>
        <w:spacing w:after="0" w:line="278"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price fluctuations of key commodities and other factors of production including labor and transportation on our manufacturing business;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significant challenges or delays in the Company’s sourcing of new products and technologies;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concentration in and dependence on certain healthcare provider customers and GPOs;</w:t>
      </w:r>
    </w:p>
    <w:p>
      <w:pPr>
        <w:spacing w:after="0" w:line="15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20"/>
          </w:cols>
          <w:pgMar w:left="320" w:top="451" w:right="5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and retain key employees;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the proper functioning of critical facilities and distribution networks;</w:t>
      </w:r>
    </w:p>
    <w:p>
      <w:pPr>
        <w:spacing w:after="0" w:line="127" w:lineRule="exact"/>
        <w:rPr>
          <w:rFonts w:ascii="Times New Roman" w:cs="Times New Roman" w:eastAsia="Times New Roman" w:hAnsi="Times New Roman"/>
          <w:sz w:val="18"/>
          <w:szCs w:val="18"/>
          <w:color w:val="auto"/>
        </w:rPr>
      </w:pPr>
    </w:p>
    <w:p>
      <w:pPr>
        <w:ind w:left="1140" w:right="40" w:hanging="438"/>
        <w:spacing w:after="0" w:line="278"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litigation brought by third parties claiming infringement, misappropriation, or other violation by us of their intellectual property rights;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requirements to recognize impairment charges related to goodwill, identified intangible assets, and fixed assets;</w:t>
      </w:r>
    </w:p>
    <w:p>
      <w:pPr>
        <w:spacing w:after="0" w:line="127"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derive fully the anticipated benefits from our existing or future acquisitions, joint ventures, investments, dispositions, or other strategic transactions;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problems, recalls, and product liability claims;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and legal, regulatory, and market measures to address climate change;</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aspirations, goals, and disclosures related to ESG and sustainability matters;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outcome of legal proceedings we are involved in;</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relating to reimbursement of healthcare goods and services;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third parties we work with to reduce expenses if we experience decreasing prices for our goods and services;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insurance program to cover future losses;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rights;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positive perceptions of our reputation;</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 and ability to incur substantially more debt;</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the financial risks associated with interest rate fluctuations on our variable rate debt;</w:t>
      </w:r>
    </w:p>
    <w:p>
      <w:pPr>
        <w:spacing w:after="0" w:line="127" w:lineRule="exact"/>
        <w:rPr>
          <w:rFonts w:ascii="Times New Roman" w:cs="Times New Roman" w:eastAsia="Times New Roman" w:hAnsi="Times New Roman"/>
          <w:sz w:val="18"/>
          <w:szCs w:val="18"/>
          <w:color w:val="auto"/>
        </w:rPr>
      </w:pPr>
    </w:p>
    <w:p>
      <w:pPr>
        <w:ind w:left="1140" w:right="20" w:hanging="438"/>
        <w:spacing w:after="0" w:line="278"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in our debt agreements, which may restrict our ability to pursue our business strategies and our ability to comply with them; and</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under “Risk Factors” and elsewhere in this prospectus.</w:t>
      </w:r>
    </w:p>
    <w:p>
      <w:pPr>
        <w:spacing w:after="0" w:line="221" w:lineRule="exact"/>
        <w:rPr>
          <w:sz w:val="20"/>
          <w:szCs w:val="20"/>
          <w:color w:val="auto"/>
        </w:rPr>
      </w:pPr>
    </w:p>
    <w:p>
      <w:pPr>
        <w:ind w:left="160" w:right="100" w:firstLine="436"/>
        <w:spacing w:after="0" w:line="252"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based on management’s current expectations and are subject to uncertainty and changes in circumstances. Although we believe that the assumptions underlying the forward-looking statements are reasonable, we cannot guarantee future results, level of activity, performance, or achievements. There are a number of factors, many of which are beyond our control, that could cause actual results to differ materially from the results anticipated by these forward-looking statements. For a more detailed discussion of these and other factors, see the information under the section “Risk Factors” herein and “Management’s Discussion and Analysis of Financial Condition and Results of Operations.” These factors should not be construed as exhaustive and should be read in conjunction with the other cautionary statements that are included in this prospectus. Should one or more of these risks or uncertainties materialize, or should any of our assumptions prove incorrect, our actual results may vary in material respects from those expressed or implied in these forward-looking statements.</w:t>
      </w:r>
    </w:p>
    <w:p>
      <w:pPr>
        <w:spacing w:after="0" w:line="187" w:lineRule="exact"/>
        <w:rPr>
          <w:sz w:val="20"/>
          <w:szCs w:val="20"/>
          <w:color w:val="auto"/>
        </w:rPr>
      </w:pPr>
    </w:p>
    <w:p>
      <w:pPr>
        <w:ind w:left="160" w:right="260" w:firstLine="436"/>
        <w:spacing w:after="0" w:line="255" w:lineRule="auto"/>
        <w:rPr>
          <w:sz w:val="20"/>
          <w:szCs w:val="20"/>
          <w:color w:val="auto"/>
        </w:rPr>
      </w:pPr>
      <w:r>
        <w:rPr>
          <w:rFonts w:ascii="Times New Roman" w:cs="Times New Roman" w:eastAsia="Times New Roman" w:hAnsi="Times New Roman"/>
          <w:sz w:val="18"/>
          <w:szCs w:val="18"/>
          <w:color w:val="auto"/>
        </w:rPr>
        <w:t>The forward-looking statements included in this prospectus speak only as of the date of this prospectus or as of the date they are made, as applicable.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60"/>
          </w:cols>
          <w:pgMar w:left="320" w:top="451" w:right="5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200"/>
        <w:spacing w:after="0" w:line="278" w:lineRule="auto"/>
        <w:rPr>
          <w:sz w:val="20"/>
          <w:szCs w:val="20"/>
          <w:color w:val="auto"/>
        </w:rPr>
      </w:pPr>
      <w:r>
        <w:rPr>
          <w:rFonts w:ascii="Times New Roman" w:cs="Times New Roman" w:eastAsia="Times New Roman" w:hAnsi="Times New Roman"/>
          <w:sz w:val="18"/>
          <w:szCs w:val="18"/>
          <w:color w:val="auto"/>
        </w:rPr>
        <w:t>make. Except as otherwise required by law, we disclaim any intent or obligation to update any “forward-looking statement” made in this prospectus to reflect changed assumptions, the occurrence of unanticipated events, or changes to future operating results over time.</w:t>
      </w:r>
    </w:p>
    <w:p>
      <w:pPr>
        <w:spacing w:after="0" w:line="37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5" w:lineRule="exact"/>
        <w:rPr>
          <w:sz w:val="20"/>
          <w:szCs w:val="20"/>
          <w:color w:val="auto"/>
        </w:rPr>
      </w:pPr>
    </w:p>
    <w:p>
      <w:pPr>
        <w:ind w:left="160" w:right="60" w:firstLine="436"/>
        <w:spacing w:after="0" w:line="258" w:lineRule="auto"/>
        <w:rPr>
          <w:sz w:val="20"/>
          <w:szCs w:val="20"/>
          <w:color w:val="auto"/>
        </w:rPr>
      </w:pPr>
      <w:r>
        <w:rPr>
          <w:rFonts w:ascii="Times New Roman" w:cs="Times New Roman" w:eastAsia="Times New Roman" w:hAnsi="Times New Roman"/>
          <w:sz w:val="18"/>
          <w:szCs w:val="18"/>
          <w:color w:val="auto"/>
        </w:rPr>
        <w:t>This prospectus includes market and industry data and forecasts that we have derived from independent consultant reports, publicly available information, various independent industry publications, other independent sources, and our internal data, surveys, and estimates. Independent consultant reports, independent industry publications, and other independent sources generally indicate that the information contained therein was obtained from sources believed to be reliable.</w:t>
      </w:r>
    </w:p>
    <w:p>
      <w:pPr>
        <w:spacing w:after="0" w:line="180" w:lineRule="exact"/>
        <w:rPr>
          <w:sz w:val="20"/>
          <w:szCs w:val="20"/>
          <w:color w:val="auto"/>
        </w:rPr>
      </w:pPr>
    </w:p>
    <w:p>
      <w:pPr>
        <w:ind w:left="160" w:right="20" w:firstLine="436"/>
        <w:spacing w:after="0" w:line="251" w:lineRule="auto"/>
        <w:rPr>
          <w:sz w:val="20"/>
          <w:szCs w:val="20"/>
          <w:color w:val="auto"/>
        </w:rPr>
      </w:pPr>
      <w:r>
        <w:rPr>
          <w:rFonts w:ascii="Times New Roman" w:cs="Times New Roman" w:eastAsia="Times New Roman" w:hAnsi="Times New Roman"/>
          <w:sz w:val="18"/>
          <w:szCs w:val="18"/>
          <w:color w:val="auto"/>
        </w:rPr>
        <w:t>Although we believe that these third-party sources are reliable, we do not guarantee the accuracy or completeness of this information, and neither we nor the underwriters have independently verified this information. Some market data and statistical information are also based on our good faith estimates, which are derived from management’s knowledge of our industry and such independent sources referred to above. Certain market, ranking, and industry data included elsewhere in this prospectus, including the size of certain markets and our size or position and the positions of our competitors within these markets, including our services relative to our competitors, are based on estimates of our management. These estimates have been derived from our management’s knowledge and experience in the markets in which we operate, as well as information obtained from surveys, reports by market research firms, our customers, distributors, suppliers, trade and business organizations, and other contacts in the markets in which we operate and have not been verified by independent sources. Our internal data and estimates are based upon information obtained from trade and business organizations and other contacts in the markets in which we operate, internal surveys, and our management’s understanding of industry conditions. Although we believe that such information is reliable, we have not had this information verified by any independent sources.</w:t>
      </w:r>
    </w:p>
    <w:p>
      <w:pPr>
        <w:spacing w:after="0" w:line="189"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In addition, assumptions and estimates of our and our industry’s future performance are subject to a high degree of uncertainty and risk due to a variety of factors, including those described in “Risk Factors.” These and other factors could cause our future performance to differ materially from our assumptions and estimates. See “Forward-Looking Statements.” As a result, you should be aware that market, ranking, and other similar industry data included in this prospectus, and estimates and beliefs based on that data, may not be reliable. Neither we nor the underwriters can guarantee the accuracy or completeness of any such information contained in this prospectus.</w:t>
      </w:r>
    </w:p>
    <w:p>
      <w:pPr>
        <w:spacing w:after="0" w:line="184" w:lineRule="exact"/>
        <w:rPr>
          <w:sz w:val="20"/>
          <w:szCs w:val="20"/>
          <w:color w:val="auto"/>
        </w:rPr>
      </w:pPr>
    </w:p>
    <w:p>
      <w:pPr>
        <w:ind w:left="160" w:firstLine="436"/>
        <w:spacing w:after="0" w:line="277" w:lineRule="auto"/>
        <w:rPr>
          <w:sz w:val="20"/>
          <w:szCs w:val="20"/>
          <w:color w:val="auto"/>
        </w:rPr>
      </w:pPr>
      <w:r>
        <w:rPr>
          <w:rFonts w:ascii="Times New Roman" w:cs="Times New Roman" w:eastAsia="Times New Roman" w:hAnsi="Times New Roman"/>
          <w:sz w:val="17"/>
          <w:szCs w:val="17"/>
          <w:color w:val="auto"/>
        </w:rPr>
        <w:t>Statements regarding our market position (including statements that we are the largest company in a particular market), unless otherwise noted, are based on our 2024 net sales in the relevant market relative to the publicly reported net sales of our competitors in such market, including with respect to our statement of being the largest provider of med-surg products and supply chain solutions serving all points of care, as that statement is based on our 2024 net sales relative to the publicly reported net sales of med-surg products by companies that are both med-surg manufacturers and distributors.</w:t>
      </w:r>
    </w:p>
    <w:p>
      <w:pPr>
        <w:spacing w:after="0" w:line="167" w:lineRule="exact"/>
        <w:rPr>
          <w:sz w:val="20"/>
          <w:szCs w:val="20"/>
          <w:color w:val="auto"/>
        </w:rPr>
      </w:pPr>
    </w:p>
    <w:p>
      <w:pPr>
        <w:ind w:left="160" w:right="220" w:firstLine="436"/>
        <w:spacing w:after="0" w:line="254" w:lineRule="auto"/>
        <w:rPr>
          <w:sz w:val="20"/>
          <w:szCs w:val="20"/>
          <w:color w:val="auto"/>
        </w:rPr>
      </w:pPr>
      <w:r>
        <w:rPr>
          <w:rFonts w:ascii="Times New Roman" w:cs="Times New Roman" w:eastAsia="Times New Roman" w:hAnsi="Times New Roman"/>
          <w:sz w:val="18"/>
          <w:szCs w:val="18"/>
          <w:color w:val="auto"/>
        </w:rPr>
        <w:t>We define our TAM as the U.S. and international med-surg markets and calculate our TAM based on our customer footprint, competencies, and commercial strategy. As a result, our TAM figures exclude categories that could otherwise be considered as potentially addressable because we do not have current plans to directly pursue them through our manufacturing or sourcing networks. We define our SAM for Medline Brand products as the portion of our U.S. TAM directly addressable by our existing Medline Brand portfolio and capabilities. We calculate our TAM and SAM estimates included in this prospectus using internally prepared analyses that rely on independent data extracts and research, publicly available information regarding our competitors, and internal market estimates.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80"/>
          </w:cols>
          <w:pgMar w:left="320" w:top="451" w:right="4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225" w:lineRule="exact"/>
        <w:rPr>
          <w:sz w:val="20"/>
          <w:szCs w:val="20"/>
          <w:color w:val="auto"/>
        </w:rPr>
      </w:pPr>
    </w:p>
    <w:p>
      <w:pPr>
        <w:ind w:left="160" w:firstLine="436"/>
        <w:spacing w:after="0" w:line="236" w:lineRule="auto"/>
        <w:rPr>
          <w:sz w:val="20"/>
          <w:szCs w:val="20"/>
          <w:color w:val="auto"/>
        </w:rPr>
      </w:pPr>
      <w:r>
        <w:rPr>
          <w:rFonts w:ascii="Times New Roman" w:cs="Times New Roman" w:eastAsia="Times New Roman" w:hAnsi="Times New Roman"/>
          <w:sz w:val="18"/>
          <w:szCs w:val="18"/>
          <w:color w:val="auto"/>
        </w:rPr>
        <w:t xml:space="preserve">We own or have the right to use trademarks, trade names, and service marks used in connection with our business, including, but not limited to, Medline, Curad, Microtek, Hudson, and Proxima, which are protected under applicable intellectual property laws. All trademarks, trade names, and service marks referred to in this prospectus are the property of their respective owners. Solely for convenience, our trademarks, trade names, and service marks referred to in this prospectus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permitted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60"/>
          </w:cols>
          <w:pgMar w:left="320" w:top="451" w:right="5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Organizational Structure Following the IPO</w:t>
      </w:r>
    </w:p>
    <w:p>
      <w:pPr>
        <w:spacing w:after="0" w:line="118" w:lineRule="exact"/>
        <w:rPr>
          <w:sz w:val="20"/>
          <w:szCs w:val="20"/>
          <w:color w:val="auto"/>
        </w:rPr>
      </w:pPr>
    </w:p>
    <w:p>
      <w:pPr>
        <w:ind w:left="160" w:right="20" w:firstLine="436"/>
        <w:spacing w:after="0" w:line="252" w:lineRule="auto"/>
        <w:rPr>
          <w:sz w:val="20"/>
          <w:szCs w:val="20"/>
          <w:color w:val="auto"/>
        </w:rPr>
      </w:pPr>
      <w:r>
        <w:rPr>
          <w:rFonts w:ascii="Times New Roman" w:cs="Times New Roman" w:eastAsia="Times New Roman" w:hAnsi="Times New Roman"/>
          <w:sz w:val="18"/>
          <w:szCs w:val="18"/>
          <w:color w:val="auto"/>
        </w:rPr>
        <w:t>Medline Inc. is a holding company, and its sole material assets are its equity interests held directly or indirectly through wholly owned subsidiaries in Medline Holdings. As the general partner of Medline Holdings, Medline Inc. operates and controls all of the business and affairs of Medline Holdings and, through Medline Holdings and its subsidiaries, conducts our business. The Reorganization Transactions lacked economic substance and therefore were accounted for in a manner consistent with a reorganization of entities under common control. As a result, the consolidated financial statements of Medline Inc. recognize the assets and liabilities received in the reorganization at their historical carrying amounts, as reflected in the historical consolidated financial statements of Medline Holdings, the accounting predecessor. Medline Inc. consolidates Medline Holdings in its consolidated financial statements and records a non-controlling interest related to the Units held by the Continuing Unitholders on its consolidated balance sheet and statement of income. As further described herein, prior to the completion of the IPO:</w:t>
      </w:r>
    </w:p>
    <w:p>
      <w:pPr>
        <w:spacing w:after="0" w:line="94" w:lineRule="exact"/>
        <w:rPr>
          <w:sz w:val="20"/>
          <w:szCs w:val="20"/>
          <w:color w:val="auto"/>
        </w:rPr>
      </w:pPr>
    </w:p>
    <w:p>
      <w:pPr>
        <w:ind w:left="1140" w:right="460" w:hanging="545"/>
        <w:spacing w:after="0" w:line="278"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Pre-IPO Stockholders received shares of Class A common stock of Medline Inc. pursuant to the Blocker Transfers as defined and described in “Organizational Structure—Blocker Transfers”;</w:t>
      </w:r>
    </w:p>
    <w:p>
      <w:pPr>
        <w:spacing w:after="0" w:line="68" w:lineRule="exact"/>
        <w:rPr>
          <w:rFonts w:ascii="Times New Roman" w:cs="Times New Roman" w:eastAsia="Times New Roman" w:hAnsi="Times New Roman"/>
          <w:sz w:val="18"/>
          <w:szCs w:val="18"/>
          <w:color w:val="auto"/>
        </w:rPr>
      </w:pPr>
    </w:p>
    <w:p>
      <w:pPr>
        <w:ind w:left="1140" w:right="240" w:hanging="545"/>
        <w:spacing w:after="0" w:line="263"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partnership agreement of Medline Holdings was amended and restated to, among other things, modify its capital structure by reclassifying its interests as follows (as further described under “Organizational Structure—Reclassification and Amendment and Restatement of the Limited Partnership Agreement of Medline Holdings”):</w:t>
      </w:r>
    </w:p>
    <w:p>
      <w:pPr>
        <w:spacing w:after="0" w:line="81" w:lineRule="exact"/>
        <w:rPr>
          <w:rFonts w:ascii="Times New Roman" w:cs="Times New Roman" w:eastAsia="Times New Roman" w:hAnsi="Times New Roman"/>
          <w:sz w:val="18"/>
          <w:szCs w:val="18"/>
          <w:color w:val="auto"/>
        </w:rPr>
      </w:pPr>
    </w:p>
    <w:p>
      <w:pPr>
        <w:ind w:left="1580" w:hanging="329"/>
        <w:spacing w:after="0"/>
        <w:tabs>
          <w:tab w:leader="none" w:pos="15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Units held by Continuing Common Unitholders were converted into Common Units;</w:t>
      </w:r>
    </w:p>
    <w:p>
      <w:pPr>
        <w:spacing w:after="0" w:line="127" w:lineRule="exact"/>
        <w:rPr>
          <w:rFonts w:ascii="Times New Roman" w:cs="Times New Roman" w:eastAsia="Times New Roman" w:hAnsi="Times New Roman"/>
          <w:sz w:val="18"/>
          <w:szCs w:val="18"/>
          <w:color w:val="auto"/>
        </w:rPr>
      </w:pPr>
    </w:p>
    <w:p>
      <w:pPr>
        <w:ind w:left="1580" w:hanging="329"/>
        <w:spacing w:after="0"/>
        <w:tabs>
          <w:tab w:leader="none" w:pos="15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CUPI Units held by Continuing Common Unitholders were converted into Common Units; and</w:t>
      </w:r>
    </w:p>
    <w:p>
      <w:pPr>
        <w:spacing w:after="0" w:line="127" w:lineRule="exact"/>
        <w:rPr>
          <w:rFonts w:ascii="Times New Roman" w:cs="Times New Roman" w:eastAsia="Times New Roman" w:hAnsi="Times New Roman"/>
          <w:sz w:val="18"/>
          <w:szCs w:val="18"/>
          <w:color w:val="auto"/>
        </w:rPr>
      </w:pPr>
    </w:p>
    <w:p>
      <w:pPr>
        <w:ind w:left="1580" w:hanging="329"/>
        <w:spacing w:after="0"/>
        <w:tabs>
          <w:tab w:leader="none" w:pos="15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Units held by Continuing Incentive Unitholders were converted into Incentive Units;</w:t>
      </w:r>
    </w:p>
    <w:p>
      <w:pPr>
        <w:spacing w:after="0" w:line="127" w:lineRule="exact"/>
        <w:rPr>
          <w:rFonts w:ascii="Times New Roman" w:cs="Times New Roman" w:eastAsia="Times New Roman" w:hAnsi="Times New Roman"/>
          <w:sz w:val="18"/>
          <w:szCs w:val="18"/>
          <w:color w:val="auto"/>
        </w:rPr>
      </w:pPr>
    </w:p>
    <w:p>
      <w:pPr>
        <w:ind w:left="1140" w:right="60" w:hanging="545"/>
        <w:spacing w:after="0" w:line="278"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Common Unitholders received the number of shares of Class B common stock of Medline Inc. equivalent to the number of Common Units held by each such Continuing Common Unitholder; and</w:t>
      </w:r>
    </w:p>
    <w:p>
      <w:pPr>
        <w:spacing w:after="0" w:line="68"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Units, CUPI Units, and Class B Units that are not reclassified as set forth in (2) above were treated as follows:</w:t>
      </w:r>
    </w:p>
    <w:p>
      <w:pPr>
        <w:spacing w:after="0" w:line="127" w:lineRule="exact"/>
        <w:rPr>
          <w:rFonts w:ascii="Times New Roman" w:cs="Times New Roman" w:eastAsia="Times New Roman" w:hAnsi="Times New Roman"/>
          <w:sz w:val="18"/>
          <w:szCs w:val="18"/>
          <w:color w:val="auto"/>
        </w:rPr>
      </w:pPr>
    </w:p>
    <w:p>
      <w:pPr>
        <w:ind w:left="1580" w:hanging="329"/>
        <w:spacing w:after="0"/>
        <w:tabs>
          <w:tab w:leader="none" w:pos="15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Units held by Exchanging Class A Unitholders were directly or indirectly exchanged for shares of Class A common stock;</w:t>
      </w:r>
    </w:p>
    <w:p>
      <w:pPr>
        <w:spacing w:after="0" w:line="127" w:lineRule="exact"/>
        <w:rPr>
          <w:rFonts w:ascii="Times New Roman" w:cs="Times New Roman" w:eastAsia="Times New Roman" w:hAnsi="Times New Roman"/>
          <w:sz w:val="18"/>
          <w:szCs w:val="18"/>
          <w:color w:val="auto"/>
        </w:rPr>
      </w:pPr>
    </w:p>
    <w:p>
      <w:pPr>
        <w:ind w:left="1580" w:hanging="329"/>
        <w:spacing w:after="0"/>
        <w:tabs>
          <w:tab w:leader="none" w:pos="15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CUPI Units held by Exchanging CUPI Unitholders were directly or indirectly exchanged for shares of Class A common stock; and</w:t>
      </w:r>
    </w:p>
    <w:p>
      <w:pPr>
        <w:spacing w:after="0" w:line="127" w:lineRule="exact"/>
        <w:rPr>
          <w:rFonts w:ascii="Times New Roman" w:cs="Times New Roman" w:eastAsia="Times New Roman" w:hAnsi="Times New Roman"/>
          <w:sz w:val="18"/>
          <w:szCs w:val="18"/>
          <w:color w:val="auto"/>
        </w:rPr>
      </w:pPr>
    </w:p>
    <w:p>
      <w:pPr>
        <w:ind w:left="1580" w:hanging="329"/>
        <w:spacing w:after="0" w:line="278" w:lineRule="auto"/>
        <w:tabs>
          <w:tab w:leader="none" w:pos="15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Units held by Exchanging Class B Unitholders were directly or indirectly exchanged for shares of Class A common stock (in the case of vested Class B Units) and/or restricted shares of Class A common stock (in the case of unvested Class B Units).</w:t>
      </w:r>
    </w:p>
    <w:p>
      <w:pPr>
        <w:spacing w:after="0" w:line="162" w:lineRule="exact"/>
        <w:rPr>
          <w:sz w:val="20"/>
          <w:szCs w:val="20"/>
          <w:color w:val="auto"/>
        </w:rPr>
      </w:pPr>
    </w:p>
    <w:p>
      <w:pPr>
        <w:jc w:val="both"/>
        <w:ind w:left="160" w:right="120" w:firstLine="436"/>
        <w:spacing w:after="0" w:line="255" w:lineRule="auto"/>
        <w:rPr>
          <w:sz w:val="20"/>
          <w:szCs w:val="20"/>
          <w:color w:val="auto"/>
        </w:rPr>
      </w:pPr>
      <w:r>
        <w:rPr>
          <w:rFonts w:ascii="Times New Roman" w:cs="Times New Roman" w:eastAsia="Times New Roman" w:hAnsi="Times New Roman"/>
          <w:sz w:val="18"/>
          <w:szCs w:val="18"/>
          <w:color w:val="auto"/>
        </w:rPr>
        <w:t>Incentive Units received by Continuing Incentive Unitholders upon conversion of their Class B Units generally vest in equal annual installments over a period of five years from the date of grant, subject to the holder’s continued employment through the applicable vesting date. In addition, certain Incentive Units held by certain of our executive officers vest based on achievement of performance metrics tied to multiples of our Sponsors’ invested capital in Medline Holdings. See “Management—Outstanding Equity Awards at Fiscal Year End.” The Incentive Units are referred to as “Time-Vested Units” and “Performance-Vested Units” in such table.</w:t>
      </w:r>
    </w:p>
    <w:p>
      <w:pPr>
        <w:spacing w:after="0" w:line="184" w:lineRule="exact"/>
        <w:rPr>
          <w:sz w:val="20"/>
          <w:szCs w:val="20"/>
          <w:color w:val="auto"/>
        </w:rPr>
      </w:pPr>
    </w:p>
    <w:p>
      <w:pPr>
        <w:jc w:val="both"/>
        <w:ind w:left="160" w:right="100" w:firstLine="436"/>
        <w:spacing w:after="0" w:line="263" w:lineRule="auto"/>
        <w:rPr>
          <w:sz w:val="20"/>
          <w:szCs w:val="20"/>
          <w:color w:val="auto"/>
        </w:rPr>
      </w:pPr>
      <w:r>
        <w:rPr>
          <w:rFonts w:ascii="Times New Roman" w:cs="Times New Roman" w:eastAsia="Times New Roman" w:hAnsi="Times New Roman"/>
          <w:sz w:val="18"/>
          <w:szCs w:val="18"/>
          <w:color w:val="auto"/>
        </w:rPr>
        <w:t>Subject to certain restrictions, pursuant to the terms of the amended and restated limited partnership agreement of Medline Holdings, the holders of vested Incentive Units have the right to convert their vested Incentive Units into a number of Common Units of Medline Holdings that will generally be equal to (a) the</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80"/>
          </w:cols>
          <w:pgMar w:left="320" w:top="451" w:right="4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line="253" w:lineRule="auto"/>
        <w:rPr>
          <w:sz w:val="20"/>
          <w:szCs w:val="20"/>
          <w:color w:val="auto"/>
        </w:rPr>
      </w:pPr>
      <w:r>
        <w:rPr>
          <w:rFonts w:ascii="Times New Roman" w:cs="Times New Roman" w:eastAsia="Times New Roman" w:hAnsi="Times New Roman"/>
          <w:sz w:val="18"/>
          <w:szCs w:val="18"/>
          <w:color w:val="auto"/>
        </w:rPr>
        <w:t>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 Common Units received upon conversion are exchangeable on a one-for-one basis for shares of Class A common stock of Medline Inc. in accordance with the terms of the exchange agreement. An unvested Incentive Unit is not exchangeable unless and until such Incentive Unit vests. See “Certain Relationships and Related Person Transactions—Medline Holdings Amended and Restated Limited Partnership Agreement.”</w:t>
      </w:r>
    </w:p>
    <w:p>
      <w:pPr>
        <w:spacing w:after="0" w:line="184"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Following the IPO, the Continuing Common Unitholders held all of the outstanding shares of our Class B common stock, and, upon conversion of vested Incentive Units for Common Units, the converting holders will also receive an equivalent number of shares of Class B common stock. The shares of Class B common stock have no economic rights but entitle each holder to one vote for each share held of record on all matters to be voted on by stockholders generally, with the number of shares of Class B common stock held by each Continuing Unitholder being equivalent to the number of Common Units held by each such Continuing Unitholder. If at any time the ratio at which Common Units are exchangeable for shares of Class A common stock of Medline Inc. changes from one-for-one as described under “Certain Relationships and Related Person Transactions—Exchange Agreement,” the number of votes to which Class B common stockholders are entitled will be adjusted accordingly. Holders of shares of our Class B common stock vote together with holders of our Class A common stock as a single class on all matters on which stockholders are entitled to vote generally, except as otherwise required by law.</w:t>
      </w:r>
    </w:p>
    <w:p>
      <w:pPr>
        <w:spacing w:after="0" w:line="192" w:lineRule="exact"/>
        <w:rPr>
          <w:sz w:val="20"/>
          <w:szCs w:val="20"/>
          <w:color w:val="auto"/>
        </w:rPr>
      </w:pPr>
    </w:p>
    <w:p>
      <w:pPr>
        <w:ind w:left="160" w:right="20" w:firstLine="436"/>
        <w:spacing w:after="0" w:line="253" w:lineRule="auto"/>
        <w:rPr>
          <w:sz w:val="20"/>
          <w:szCs w:val="20"/>
          <w:color w:val="auto"/>
        </w:rPr>
      </w:pPr>
      <w:r>
        <w:rPr>
          <w:rFonts w:ascii="Times New Roman" w:cs="Times New Roman" w:eastAsia="Times New Roman" w:hAnsi="Times New Roman"/>
          <w:sz w:val="18"/>
          <w:szCs w:val="18"/>
          <w:color w:val="auto"/>
        </w:rPr>
        <w:t>Our organizational structure, as described above, is commonly referred to as an umbrella partnership-C-corporation (or UP-C) structure. This organizational structure allows the Continuing Unitholders to retain their equity ownership in Medline Holdings, an entity that is classified as a partnership for U.S. federal income tax purposes, in the form of Units. Investors in the IPO and this offering, the Pre-IPO Stockholders, and the Exchanging Unitholders, by contrast, hold their equity ownership in Medline Inc., a Delaware corporation that is a domestic corporation for U.S. federal income tax purposes, in the form of shares of Class A common stock. We believe that the Continuing Unitholders generally find it advantageous to continue to hold their equity interests in an entity that is not taxable as a corporation for U.S. federal income tax purposes. We do not believe that our UP-C organizational structure gives rise to any significant business or strategic benefit or detriment to us.</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60"/>
          </w:cols>
          <w:pgMar w:left="320" w:top="451" w:right="5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simplified diagram below depicts our organizational structure immediately after our IPO and this offering, after giving effect to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176530</wp:posOffset>
            </wp:positionV>
            <wp:extent cx="6012815" cy="33032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12815" cy="330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i w:val="1"/>
          <w:iCs w:val="1"/>
          <w:color w:val="auto"/>
        </w:rPr>
        <w:t>Note: Certain intermediate holding companies that are not material to this offering have been omitted from the structure chart.</w:t>
      </w:r>
    </w:p>
    <w:p>
      <w:pPr>
        <w:spacing w:after="0" w:line="108" w:lineRule="exact"/>
        <w:rPr>
          <w:sz w:val="20"/>
          <w:szCs w:val="20"/>
          <w:color w:val="auto"/>
        </w:rPr>
      </w:pPr>
    </w:p>
    <w:p>
      <w:pPr>
        <w:ind w:left="600" w:right="560" w:hanging="433"/>
        <w:spacing w:after="0" w:line="231" w:lineRule="auto"/>
        <w:tabs>
          <w:tab w:leader="none" w:pos="6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our Class A common stock and Class B common stock entitles its holder to one vote on all matters to be voted on by the stockholders generally. For additional information, see “Description of Capital Stock—Common Stock.”</w:t>
      </w:r>
    </w:p>
    <w:tbl>
      <w:tblPr>
        <w:tblLayout w:type="fixed"/>
        <w:tblInd w:w="160" w:type="dxa"/>
        <w:tblCellMar>
          <w:top w:w="0" w:type="dxa"/>
          <w:left w:w="0" w:type="dxa"/>
          <w:bottom w:w="0" w:type="dxa"/>
          <w:right w:w="0" w:type="dxa"/>
        </w:tblCellMar>
      </w:tblPr>
      <w:tr>
        <w:trPr>
          <w:trHeight w:val="131"/>
        </w:trPr>
        <w:tc>
          <w:tcPr>
            <w:tcW w:w="300" w:type="dxa"/>
            <w:vAlign w:val="bottom"/>
          </w:tcPr>
          <w:p>
            <w:pPr>
              <w:jc w:val="right"/>
              <w:ind w:right="49"/>
              <w:spacing w:after="0" w:line="131" w:lineRule="exact"/>
              <w:rPr>
                <w:sz w:val="20"/>
                <w:szCs w:val="20"/>
                <w:color w:val="auto"/>
              </w:rPr>
            </w:pPr>
            <w:r>
              <w:rPr>
                <w:rFonts w:ascii="Times New Roman" w:cs="Times New Roman" w:eastAsia="Times New Roman" w:hAnsi="Times New Roman"/>
                <w:sz w:val="14"/>
                <w:szCs w:val="14"/>
                <w:color w:val="auto"/>
                <w:w w:val="97"/>
              </w:rPr>
              <w:t>(2)</w:t>
            </w:r>
          </w:p>
        </w:tc>
        <w:tc>
          <w:tcPr>
            <w:tcW w:w="10480" w:type="dxa"/>
            <w:vAlign w:val="bottom"/>
          </w:tcPr>
          <w:p>
            <w:pPr>
              <w:ind w:left="140"/>
              <w:spacing w:after="0" w:line="131" w:lineRule="exact"/>
              <w:rPr>
                <w:sz w:val="20"/>
                <w:szCs w:val="20"/>
                <w:color w:val="auto"/>
              </w:rPr>
            </w:pPr>
            <w:r>
              <w:rPr>
                <w:rFonts w:ascii="Times New Roman" w:cs="Times New Roman" w:eastAsia="Times New Roman" w:hAnsi="Times New Roman"/>
                <w:sz w:val="14"/>
                <w:szCs w:val="14"/>
                <w:color w:val="auto"/>
              </w:rPr>
              <w:t>As of         , 2026 (assuming the $         closing price per share of our Class A common stock on such date),             shares of Class A common stock would be issuable upon the</w:t>
            </w:r>
          </w:p>
        </w:tc>
      </w:tr>
      <w:tr>
        <w:trPr>
          <w:trHeight w:val="147"/>
        </w:trPr>
        <w:tc>
          <w:tcPr>
            <w:tcW w:w="300" w:type="dxa"/>
            <w:vAlign w:val="bottom"/>
          </w:tcPr>
          <w:p>
            <w:pPr>
              <w:spacing w:after="0"/>
              <w:rPr>
                <w:sz w:val="12"/>
                <w:szCs w:val="12"/>
                <w:color w:val="auto"/>
              </w:rPr>
            </w:pPr>
          </w:p>
        </w:tc>
        <w:tc>
          <w:tcPr>
            <w:tcW w:w="1048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exchange of an equivalent number of Common Units into which Incentive Units held by the Continuing Incentive Unitholders may be converted (assuming such Incentive Units are</w:t>
            </w:r>
          </w:p>
        </w:tc>
      </w:tr>
      <w:tr>
        <w:trPr>
          <w:trHeight w:val="147"/>
        </w:trPr>
        <w:tc>
          <w:tcPr>
            <w:tcW w:w="300" w:type="dxa"/>
            <w:vAlign w:val="bottom"/>
          </w:tcPr>
          <w:p>
            <w:pPr>
              <w:spacing w:after="0"/>
              <w:rPr>
                <w:sz w:val="12"/>
                <w:szCs w:val="12"/>
                <w:color w:val="auto"/>
              </w:rPr>
            </w:pPr>
          </w:p>
        </w:tc>
        <w:tc>
          <w:tcPr>
            <w:tcW w:w="1048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fully vested and converted to Common Units). For additional information, see “Organizational Structure—Reclassification and Amendment and Restatement of the Limited</w:t>
            </w:r>
          </w:p>
        </w:tc>
      </w:tr>
      <w:tr>
        <w:trPr>
          <w:trHeight w:val="147"/>
        </w:trPr>
        <w:tc>
          <w:tcPr>
            <w:tcW w:w="300" w:type="dxa"/>
            <w:vAlign w:val="bottom"/>
          </w:tcPr>
          <w:p>
            <w:pPr>
              <w:spacing w:after="0"/>
              <w:rPr>
                <w:sz w:val="12"/>
                <w:szCs w:val="12"/>
                <w:color w:val="auto"/>
              </w:rPr>
            </w:pPr>
          </w:p>
        </w:tc>
        <w:tc>
          <w:tcPr>
            <w:tcW w:w="1048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Partnership Agreement of Medline Holdings” and “Certain Relationships and Related Person Transactions—Medline Holdings Amended and Restated Limited Partnership</w:t>
            </w:r>
          </w:p>
        </w:tc>
      </w:tr>
      <w:tr>
        <w:trPr>
          <w:trHeight w:val="185"/>
        </w:trPr>
        <w:tc>
          <w:tcPr>
            <w:tcW w:w="300" w:type="dxa"/>
            <w:vAlign w:val="bottom"/>
          </w:tcPr>
          <w:p>
            <w:pPr>
              <w:spacing w:after="0"/>
              <w:rPr>
                <w:sz w:val="16"/>
                <w:szCs w:val="16"/>
                <w:color w:val="auto"/>
              </w:rPr>
            </w:pPr>
          </w:p>
        </w:tc>
        <w:tc>
          <w:tcPr>
            <w:tcW w:w="10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Agreement.”</w:t>
            </w:r>
          </w:p>
        </w:tc>
      </w:tr>
    </w:tbl>
    <w:p>
      <w:pPr>
        <w:spacing w:after="0" w:line="180" w:lineRule="exact"/>
        <w:rPr>
          <w:sz w:val="20"/>
          <w:szCs w:val="20"/>
          <w:color w:val="auto"/>
        </w:rPr>
      </w:pPr>
    </w:p>
    <w:p>
      <w:pPr>
        <w:ind w:left="160" w:right="20" w:firstLine="436"/>
        <w:spacing w:after="0" w:line="270" w:lineRule="auto"/>
        <w:rPr>
          <w:sz w:val="20"/>
          <w:szCs w:val="20"/>
          <w:color w:val="auto"/>
        </w:rPr>
      </w:pPr>
      <w:r>
        <w:rPr>
          <w:rFonts w:ascii="Times New Roman" w:cs="Times New Roman" w:eastAsia="Times New Roman" w:hAnsi="Times New Roman"/>
          <w:sz w:val="17"/>
          <w:szCs w:val="17"/>
          <w:color w:val="auto"/>
        </w:rPr>
        <w:t>After consummation of the Reorganization Transactions and immediately prior to our IPO, our pre-IPO owners held shares and interests that may be exchanged or settled for an aggregate of 1,153,325,829 shares of Class A common stock, which we refer to as the “diluted pre-IPO shares outstanding,” consisting of (i) issued and outstanding shares of Class A common stock held by our Pre-IPO Stockholders and Exchanging Unitholders;</w:t>
      </w:r>
    </w:p>
    <w:p>
      <w:pPr>
        <w:spacing w:after="0" w:line="1" w:lineRule="exact"/>
        <w:rPr>
          <w:sz w:val="20"/>
          <w:szCs w:val="20"/>
          <w:color w:val="auto"/>
        </w:rPr>
      </w:pPr>
    </w:p>
    <w:p>
      <w:pPr>
        <w:ind w:left="420" w:hanging="253"/>
        <w:spacing w:after="0"/>
        <w:tabs>
          <w:tab w:leader="none" w:pos="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issuable on a one-for-one basis in exchange for Common Units held by our Continuing Common Unitholders;</w:t>
      </w:r>
    </w:p>
    <w:p>
      <w:pPr>
        <w:spacing w:after="0" w:line="6" w:lineRule="exact"/>
        <w:rPr>
          <w:rFonts w:ascii="Times New Roman" w:cs="Times New Roman" w:eastAsia="Times New Roman" w:hAnsi="Times New Roman"/>
          <w:sz w:val="18"/>
          <w:szCs w:val="18"/>
          <w:color w:val="auto"/>
        </w:rPr>
      </w:pPr>
    </w:p>
    <w:p>
      <w:pPr>
        <w:ind w:left="160" w:firstLine="7"/>
        <w:spacing w:after="0" w:line="262" w:lineRule="auto"/>
        <w:tabs>
          <w:tab w:leader="none" w:pos="472"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Class A common stock issuable on a one-for-one basis in exchange for Common Units into which outstanding Incentive Units that are held by the Continuing Incentive Unitholders may be converted; (iv) shares of Class A common stock in respect of RSUs granted to certain Exchanging Unitholders to compensate them for the loss of the opportunity to participate in the tax receivable agreement; (v) shares of Class A common stock underlying RSUs held by certain independent non-employee members of our board of directors with respect to RSUs covering Class A Units; and</w:t>
      </w:r>
    </w:p>
    <w:p>
      <w:pPr>
        <w:spacing w:after="0" w:line="2" w:lineRule="exact"/>
        <w:rPr>
          <w:rFonts w:ascii="Times New Roman" w:cs="Times New Roman" w:eastAsia="Times New Roman" w:hAnsi="Times New Roman"/>
          <w:sz w:val="17"/>
          <w:szCs w:val="17"/>
          <w:color w:val="auto"/>
        </w:rPr>
      </w:pPr>
    </w:p>
    <w:p>
      <w:pPr>
        <w:ind w:left="160" w:right="340" w:firstLine="7"/>
        <w:spacing w:after="0" w:line="252" w:lineRule="auto"/>
        <w:tabs>
          <w:tab w:leader="none" w:pos="46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underlying RSUs having a value of $300,000 based on the initial public offering price per share of Class A common stock in our IPO granted to an independent non-employee member of our board of directors upon appointment to the board of directors in connection with our IPO.</w:t>
      </w:r>
    </w:p>
    <w:p>
      <w:pPr>
        <w:spacing w:after="0" w:line="11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0"/>
          </w:cols>
          <w:pgMar w:left="320" w:top="451" w:right="5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table below sets forth the relative ownership of the diluted pre-IPO shares that were outstanding among our pre-IPO owners at the time of our</w:t>
      </w:r>
    </w:p>
    <w:p>
      <w:pPr>
        <w:spacing w:after="0" w:line="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IPO.</w:t>
      </w:r>
    </w:p>
    <w:p>
      <w:pPr>
        <w:spacing w:after="0" w:line="247"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Class A common stock held by Pre-IPO Stockholders and Exchanging Unitholders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607,521,662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Shares of Class A common stock issuable upon exchange of Common Units held by our Continuing Common Unitholders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527,195,560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Shares of Class A common stock issuable upon exchange of as-converted Incentive Units held by Continuing Incentive</w:t>
            </w: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460" w:type="dxa"/>
            <w:vAlign w:val="bottom"/>
            <w:shd w:val="clear" w:color="auto" w:fill="CCEEFF"/>
          </w:tcPr>
          <w:p>
            <w:pPr>
              <w:ind w:left="160"/>
              <w:spacing w:after="0" w:line="232" w:lineRule="exact"/>
              <w:rPr>
                <w:sz w:val="20"/>
                <w:szCs w:val="20"/>
                <w:color w:val="auto"/>
              </w:rPr>
            </w:pPr>
            <w:r>
              <w:rPr>
                <w:rFonts w:ascii="Times New Roman" w:cs="Times New Roman" w:eastAsia="Times New Roman" w:hAnsi="Times New Roman"/>
                <w:sz w:val="18"/>
                <w:szCs w:val="18"/>
                <w:color w:val="auto"/>
              </w:rPr>
              <w:t>Unitholders</w:t>
            </w:r>
            <w:r>
              <w:rPr>
                <w:rFonts w:ascii="Times New Roman" w:cs="Times New Roman" w:eastAsia="Times New Roman" w:hAnsi="Times New Roman"/>
                <w:sz w:val="26"/>
                <w:szCs w:val="26"/>
                <w:color w:val="auto"/>
                <w:vertAlign w:val="superscript"/>
              </w:rPr>
              <w:t>(1)</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18,084,823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Shares of Class A common stock in respect of RSUs granted to certain Exchanging Unitholders</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490,021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Shares of Class A common stock with respect to RSUs held by certain independent non-employee members of our board of</w:t>
            </w: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directors</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23,418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Shares of Class A common stock with respect to RSUs granted to an independent non-employee member of our board of directors</w:t>
            </w: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upon appointment to our board of directors in connection with our IPO</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6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1,153,325,829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8" w:lineRule="exact"/>
        <w:rPr>
          <w:sz w:val="20"/>
          <w:szCs w:val="20"/>
          <w:color w:val="auto"/>
        </w:rPr>
      </w:pPr>
    </w:p>
    <w:p>
      <w:pPr>
        <w:ind w:left="600" w:hanging="433"/>
        <w:spacing w:after="0"/>
        <w:tabs>
          <w:tab w:leader="none" w:pos="6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Incentive Unitholders held an aggregate of 42,197,933 participating Incentive Units with a weighted-average participation threshold of $16.57 per Incentive Unit.</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diluted pre-IPO shares outstanding presented in the foregoing table do not reflect shares of Class A common stock issuable:</w:t>
      </w:r>
    </w:p>
    <w:p>
      <w:pPr>
        <w:spacing w:after="0" w:line="127" w:lineRule="exact"/>
        <w:rPr>
          <w:sz w:val="20"/>
          <w:szCs w:val="20"/>
          <w:color w:val="auto"/>
        </w:rPr>
      </w:pPr>
    </w:p>
    <w:p>
      <w:pPr>
        <w:ind w:left="1140" w:right="60" w:hanging="438"/>
        <w:spacing w:after="0" w:line="263"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stock options to purchase 6,770,442 shares of Class A common stock. These stock options had an exercise price per share that is equal to or greater than the initial public offering price per share of Class A common stock in our IPO, and the shares of Class A common stock underlying such options are not reflected in the foregoing table because they were not “in the money”; or</w:t>
      </w:r>
    </w:p>
    <w:p>
      <w:pPr>
        <w:spacing w:after="0" w:line="81" w:lineRule="exact"/>
        <w:rPr>
          <w:rFonts w:ascii="Times New Roman" w:cs="Times New Roman" w:eastAsia="Times New Roman" w:hAnsi="Times New Roman"/>
          <w:sz w:val="18"/>
          <w:szCs w:val="18"/>
          <w:color w:val="auto"/>
        </w:rPr>
      </w:pPr>
    </w:p>
    <w:p>
      <w:pPr>
        <w:ind w:left="1140" w:right="300" w:hanging="438"/>
        <w:spacing w:after="0" w:line="255"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grants that may be made to certain employees on or near April 1, 2026 upon fulfillment of certain performance conditions pursuant to awards classified as a liability until the official grant date. As of September 27, 2025, the total fair value of these awards probable to be issued was $15 million. Shares of Class A common stock underlying such future grants are not reflected in the foregoing table because they will not be granted until on or near April 1, 2026. See “Note 12—Stock-Based Compensation—Liability-classified units” of our unaudited condensed consolidated financial statements.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Incorporation of Medline Inc.</w:t>
      </w:r>
    </w:p>
    <w:p>
      <w:pPr>
        <w:spacing w:after="0" w:line="118" w:lineRule="exact"/>
        <w:rPr>
          <w:sz w:val="20"/>
          <w:szCs w:val="20"/>
          <w:color w:val="auto"/>
        </w:rPr>
      </w:pPr>
    </w:p>
    <w:p>
      <w:pPr>
        <w:jc w:val="both"/>
        <w:ind w:left="160" w:right="260" w:firstLine="436"/>
        <w:spacing w:after="0" w:line="285" w:lineRule="auto"/>
        <w:rPr>
          <w:sz w:val="20"/>
          <w:szCs w:val="20"/>
          <w:color w:val="auto"/>
        </w:rPr>
      </w:pPr>
      <w:r>
        <w:rPr>
          <w:rFonts w:ascii="Times New Roman" w:cs="Times New Roman" w:eastAsia="Times New Roman" w:hAnsi="Times New Roman"/>
          <w:sz w:val="17"/>
          <w:szCs w:val="17"/>
          <w:color w:val="auto"/>
        </w:rPr>
        <w:t>Medline Inc. was incorporated as a Delaware corporation on November 6, 2024. Until the IPO, Medline Inc. did not engage in any business or other activities except in connection with its formation and the IPO. The amended and restated certificate of incorporation of Medline Inc. authorizes two classes of common stock, Class A common stock and Class B common stock, each having the terms described in “Description of Capital Stock.”</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Blocker Transfers</w:t>
      </w:r>
    </w:p>
    <w:p>
      <w:pPr>
        <w:spacing w:after="0" w:line="118" w:lineRule="exact"/>
        <w:rPr>
          <w:sz w:val="20"/>
          <w:szCs w:val="20"/>
          <w:color w:val="auto"/>
        </w:rPr>
      </w:pPr>
    </w:p>
    <w:p>
      <w:pPr>
        <w:ind w:left="160" w:right="40" w:firstLine="436"/>
        <w:spacing w:after="0" w:line="254" w:lineRule="auto"/>
        <w:rPr>
          <w:sz w:val="20"/>
          <w:szCs w:val="20"/>
          <w:color w:val="auto"/>
        </w:rPr>
      </w:pPr>
      <w:r>
        <w:rPr>
          <w:rFonts w:ascii="Times New Roman" w:cs="Times New Roman" w:eastAsia="Times New Roman" w:hAnsi="Times New Roman"/>
          <w:sz w:val="18"/>
          <w:szCs w:val="18"/>
          <w:color w:val="auto"/>
        </w:rPr>
        <w:t>Prior to the completion of the IPO, our Pre-IPO Stockholders held their interests in Medline Holdings through Blocker Companies that are taxable as corporations for U.S. federal income tax purposes. At the time of the IPO, we entered into certain restructuring transactions (such transactions, the “Blocker Transfers”) that resulted in the Pre-IPO Stockholders acquiring newly issued shares of Class A common stock in exchange for the acquisition by Medline Inc. of the Blocker Companies and, indirectly, the equivalent number of Common Units held by the Blocker Companies. Each of the Blocker Companies initially became a wholly owned subsidiary of Medline Inc. and were either merged into Medline Inc. or remained a wholly owned subsidiary that is part of the same consolidated group for U.S. federal income tax purposes.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80"/>
          </w:cols>
          <w:pgMar w:left="320" w:top="451" w:right="4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Reclassification and Amendment and Restatement of the Limited Partnership Agreement of Medline Holdings</w:t>
      </w:r>
    </w:p>
    <w:p>
      <w:pPr>
        <w:spacing w:after="0" w:line="118" w:lineRule="exact"/>
        <w:rPr>
          <w:sz w:val="20"/>
          <w:szCs w:val="20"/>
          <w:color w:val="auto"/>
        </w:rPr>
      </w:pPr>
    </w:p>
    <w:p>
      <w:pPr>
        <w:ind w:left="160" w:right="40" w:firstLine="436"/>
        <w:spacing w:after="0" w:line="252" w:lineRule="auto"/>
        <w:rPr>
          <w:sz w:val="20"/>
          <w:szCs w:val="20"/>
          <w:color w:val="auto"/>
        </w:rPr>
      </w:pPr>
      <w:r>
        <w:rPr>
          <w:rFonts w:ascii="Times New Roman" w:cs="Times New Roman" w:eastAsia="Times New Roman" w:hAnsi="Times New Roman"/>
          <w:sz w:val="18"/>
          <w:szCs w:val="18"/>
          <w:color w:val="auto"/>
        </w:rPr>
        <w:t>Prior to the IPO, the limited partnership agreement of Medline Holdings was amended and restated to, among other things, modify its capital structure by reclassifying its outstanding Class A Units and CUPI Units held by the Continuing Common Unitholders into a new class of limited partnership interests that we refer to as “Common Units” and reclassifying its outstanding Class B Units held by the Continuing Incentive Unitholders into a new class of limited partnership interests that we refer to as “Incentive Units.” We refer to this reclassification (the “Reclassification”) and amendment and restatement, together with the transactions described above under “—Blocker Transfers” and the entry into the exchange agreement and tax receivable agreement described below as the “Reorganization Transactions.” As a result of these transactions, our pre-IPO owners hold their ownership interests directly in Medline Holdings (in the case of the Continuing Unitholders) or Medline Inc. (in the case of the Pre-IPO Stockholders and the Exchanging Unitholders).</w:t>
      </w:r>
    </w:p>
    <w:p>
      <w:pPr>
        <w:spacing w:after="0" w:line="187"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color w:val="auto"/>
        </w:rPr>
        <w:t>In connection with the Reclassification, Class A Units, CUPI Units, and all vested and unvested Class B Units held by the Exchanging Unitholders that were not reclassified into Units of Medline Holdings were directly or indirectly exchanged for shares of Class A common stock (in the case of Class A Units, CUPI Units, and vested Class B Units) and restricted shares of Class A common stock (in the case of unvested Class B Units). The number of shares of Class A common stock delivered in respect of the units held by the Exchanging Unitholders was determined based on the amount of proceeds that would be distributed to such units if the Company were to be sold at a value derived from the initial public offering price, and the intrinsic value of the shares of Class A common stock issued in respect of each unit has a value equal to the hypothetical proceeds such unit would have received. Such shares of Class A common stock are restricted shares of Class A common stock, to the extent such shares related to unvested Class B Units, or vested shares of Class A common stock, to the extent such shares related to Class A Units, CUPI Units, or vested Class B Units.</w:t>
      </w:r>
    </w:p>
    <w:p>
      <w:pPr>
        <w:spacing w:after="0" w:line="187" w:lineRule="exact"/>
        <w:rPr>
          <w:sz w:val="20"/>
          <w:szCs w:val="20"/>
          <w:color w:val="auto"/>
        </w:rPr>
      </w:pPr>
    </w:p>
    <w:p>
      <w:pPr>
        <w:ind w:left="160" w:right="120" w:firstLine="436"/>
        <w:spacing w:after="0" w:line="255" w:lineRule="auto"/>
        <w:rPr>
          <w:sz w:val="20"/>
          <w:szCs w:val="20"/>
          <w:color w:val="auto"/>
        </w:rPr>
      </w:pPr>
      <w:r>
        <w:rPr>
          <w:rFonts w:ascii="Times New Roman" w:cs="Times New Roman" w:eastAsia="Times New Roman" w:hAnsi="Times New Roman"/>
          <w:sz w:val="18"/>
          <w:szCs w:val="18"/>
          <w:color w:val="auto"/>
        </w:rPr>
        <w:t>In addition, we (i) granted options to purchase shares of Class A common stock under the Omnibus Incentive Plan to certain Exchanging Class B Unitholders in substitution for a portion of the economic benefit to which the Class B Units were entitled prior to the IPO that was not reflected in the exchange of Class B Units to shares of Class A common stock and (ii) granted RSUs in respect of Class A common stock to certain Exchanging Unitholders to compensate them for the loss of opportunity to participate in the tax receivable agreement in which they would have had the opportunity to participate had their units not been exchanged for shares of Class A common stock.</w:t>
      </w:r>
    </w:p>
    <w:p>
      <w:pPr>
        <w:spacing w:after="0" w:line="184" w:lineRule="exact"/>
        <w:rPr>
          <w:sz w:val="20"/>
          <w:szCs w:val="20"/>
          <w:color w:val="auto"/>
        </w:rPr>
      </w:pPr>
    </w:p>
    <w:p>
      <w:pPr>
        <w:ind w:left="160" w:right="60" w:firstLine="436"/>
        <w:spacing w:after="0" w:line="252" w:lineRule="auto"/>
        <w:rPr>
          <w:sz w:val="20"/>
          <w:szCs w:val="20"/>
          <w:color w:val="auto"/>
        </w:rPr>
      </w:pPr>
      <w:r>
        <w:rPr>
          <w:rFonts w:ascii="Times New Roman" w:cs="Times New Roman" w:eastAsia="Times New Roman" w:hAnsi="Times New Roman"/>
          <w:sz w:val="18"/>
          <w:szCs w:val="18"/>
          <w:color w:val="auto"/>
        </w:rPr>
        <w:t>Pursuant to the amended and restated limited partnership agreement of Medline Holdings, Medline Inc. is the sole general partner of Medline Holdings. Accordingly, Medline Inc. has the right to determine when distributions will be made to the holders of Common Units and the amount of any such distributions. If Medline Inc., as the general partner, authorizes a distribution, such distribution will be made to the holders of Common Units and any participating Incentive Units (as described below) pro rata in accordance with the percentages of their respective Common Units or Incentive Units, as applicable, held. Incentive Units initially are not entitled to receive distributions (other than tax distributions) until holders of Common Units have received a minimum return as provided in the amended and restated limited partnership agreement of Medline Holdings. However, Incentive Units have the benefit of adjustment provisions that will reduce the participation threshold for distributions in respect of which they do not participate until there is no participation threshold, at and after which time the Incentive Units would participate pro rata with distributions on Common Units.</w:t>
      </w:r>
    </w:p>
    <w:p>
      <w:pPr>
        <w:spacing w:after="0" w:line="187" w:lineRule="exact"/>
        <w:rPr>
          <w:sz w:val="20"/>
          <w:szCs w:val="20"/>
          <w:color w:val="auto"/>
        </w:rPr>
      </w:pPr>
    </w:p>
    <w:p>
      <w:pPr>
        <w:ind w:left="160" w:right="260" w:firstLine="436"/>
        <w:spacing w:after="0" w:line="255" w:lineRule="auto"/>
        <w:rPr>
          <w:sz w:val="20"/>
          <w:szCs w:val="20"/>
          <w:color w:val="auto"/>
        </w:rPr>
      </w:pPr>
      <w:r>
        <w:rPr>
          <w:rFonts w:ascii="Times New Roman" w:cs="Times New Roman" w:eastAsia="Times New Roman" w:hAnsi="Times New Roman"/>
          <w:sz w:val="18"/>
          <w:szCs w:val="18"/>
          <w:color w:val="auto"/>
        </w:rPr>
        <w:t>The Continuing Unitholders, including Medline Inc., incur U.S. federal, state, and local income taxes on their allocable share of any taxable income of Medline Holdings. Net profits and net losses of Medline Holdings are generally allocated to its owners (including Medline Inc.) pro rata in accordance with the percentages of their respective Units held, except as otherwise required by law. The amended and restated limited partnership agreement provides for cash distributions to the Continuing Unitholders if Medline Inc. determines that the taxable income of Medline Holdings will give rise to taxable income for such holders. In accordance with the</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80"/>
          </w:cols>
          <w:pgMar w:left="320" w:top="452" w:right="4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20"/>
        <w:spacing w:after="0" w:line="254" w:lineRule="auto"/>
        <w:rPr>
          <w:sz w:val="20"/>
          <w:szCs w:val="20"/>
          <w:color w:val="auto"/>
        </w:rPr>
      </w:pPr>
      <w:r>
        <w:rPr>
          <w:rFonts w:ascii="Times New Roman" w:cs="Times New Roman" w:eastAsia="Times New Roman" w:hAnsi="Times New Roman"/>
          <w:sz w:val="18"/>
          <w:szCs w:val="18"/>
          <w:color w:val="auto"/>
        </w:rPr>
        <w:t>amended and restated limited partnership agreement, we intend to cause Medline Holdings to make cash distributions to the Continuing Unitholders, including us, for purposes of funding their tax obligations in respect of the income of Medline Holdings that is allocated to them. Generally, these tax distributions will be computed based on our estimate of the taxable income of Medline Holdings allocated to the Continuing Unitholder that receives the greatest proportionate allocation of income multiplied by an assumed tax rate equal to 36% with respect to ordinary income or 30% with respect to capital gains or qualified dividend income, in each case, subject to adjustment by the board. Tax distributions will be pro rata as among the Common Units. See “Certain Relationships and Related Person Transactions—Medline Holdings Amended and Restated Limited Partnership Agreement.”</w:t>
      </w:r>
    </w:p>
    <w:p>
      <w:pPr>
        <w:spacing w:after="0" w:line="184" w:lineRule="exact"/>
        <w:rPr>
          <w:sz w:val="20"/>
          <w:szCs w:val="20"/>
          <w:color w:val="auto"/>
        </w:rPr>
      </w:pPr>
    </w:p>
    <w:p>
      <w:pPr>
        <w:ind w:left="160" w:right="60" w:firstLine="436"/>
        <w:spacing w:after="0" w:line="252" w:lineRule="auto"/>
        <w:rPr>
          <w:sz w:val="20"/>
          <w:szCs w:val="20"/>
          <w:color w:val="auto"/>
        </w:rPr>
      </w:pPr>
      <w:r>
        <w:rPr>
          <w:rFonts w:ascii="Times New Roman" w:cs="Times New Roman" w:eastAsia="Times New Roman" w:hAnsi="Times New Roman"/>
          <w:sz w:val="18"/>
          <w:szCs w:val="18"/>
          <w:color w:val="auto"/>
        </w:rPr>
        <w:t>Subject to certain restrictions, pursuant to the terms of the amended and restated limited partnership agreement of Medline Holdings, the holders of vested Incentive Units have the right to convert their vested Incentive Units into a number of Common Units of Medline Holdings that are generally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 Common Units received upon conversion are exchangeable on a one-for-one basis for shares of Class A common stock of Medline Inc. in accordance with the terms of the exchange agreement as described below. An unvested Incentive Unit is not exchangeable unless and until such Incentive Unit vests.</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Exchange Agreement</w:t>
      </w:r>
    </w:p>
    <w:p>
      <w:pPr>
        <w:spacing w:after="0" w:line="118"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We and the Continuing Unitholders entered into an exchange agreement at the time of our IPO under which they (or certain permitted transferees thereof) may (subject to the terms of the exchange agreement) exchange their Common Units (including Common Units issued upon conversion of vested Incentive Units) for shares of our Class A common stock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Class A common stock received by such Continuing Unitholder upon such exchanges during an applicable restricted period is subject to the applicable restrictions. The exchange agreement also provides that a holder of Common Units does not have the right to exchange Common Units if Medline Inc. determines that such exchange would be prohibited by law or regulation or would violate other agreements with Medline Inc. to which the holder of Common Units may be subject. Medline Inc. may impose additional restrictions on exchange that it determines to be necessary or advisable so that Medline Holdings is not treated as a “publicly traded partnership” for U.S. federal income tax purposes. As a holder exchanges Common Units for shares of Class A common stock, the number of Common Units held by Medline Inc. is correspondingly increased as it acquires the exchanged Common Units. Holders of outstanding Common Units do not have the right to require a redemption of the Common Units. If at any time the ratio at which Common Units are exchangeable for shares of Class A common stock of Medline Inc. changes from one-for-one as described under “Certain Relationships and Related Person Transactions— Exchange Agreement,” the number of votes to which Class B common stockholders are entitled will be adjusted accordingly. See “Certain Relationships and Related Person Transactions—Exchange Agreement.”</w:t>
      </w:r>
    </w:p>
    <w:p>
      <w:pPr>
        <w:spacing w:after="0" w:line="2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118" w:lineRule="exact"/>
        <w:rPr>
          <w:sz w:val="20"/>
          <w:szCs w:val="20"/>
          <w:color w:val="auto"/>
        </w:rPr>
      </w:pPr>
    </w:p>
    <w:p>
      <w:pPr>
        <w:ind w:left="160" w:right="140" w:firstLine="436"/>
        <w:spacing w:after="0" w:line="285" w:lineRule="auto"/>
        <w:rPr>
          <w:sz w:val="20"/>
          <w:szCs w:val="20"/>
          <w:color w:val="auto"/>
        </w:rPr>
      </w:pPr>
      <w:r>
        <w:rPr>
          <w:rFonts w:ascii="Times New Roman" w:cs="Times New Roman" w:eastAsia="Times New Roman" w:hAnsi="Times New Roman"/>
          <w:sz w:val="17"/>
          <w:szCs w:val="17"/>
          <w:color w:val="auto"/>
        </w:rPr>
        <w:t>Prior to the completion of our IPO, Medline Inc. entered into a tax receivable agreement with certain of our pre-IPO owners that provides for the payment by Medline Inc. to such pre-IPO owners of 90% of certain tax benefits, if any, that Medline Inc. actually realizes, or is deemed to realize (calculated using certain assumptions), as a result of (i) Medline Inc.’s allocable share of existing tax basis in Medline Holdings’ assets acquired in our</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60"/>
          </w:cols>
          <w:pgMar w:left="320" w:top="451" w:right="5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line="250" w:lineRule="auto"/>
        <w:rPr>
          <w:sz w:val="20"/>
          <w:szCs w:val="20"/>
          <w:color w:val="auto"/>
        </w:rPr>
      </w:pPr>
      <w:r>
        <w:rPr>
          <w:rFonts w:ascii="Times New Roman" w:cs="Times New Roman" w:eastAsia="Times New Roman" w:hAnsi="Times New Roman"/>
          <w:sz w:val="18"/>
          <w:szCs w:val="18"/>
          <w:color w:val="auto"/>
        </w:rPr>
        <w:t>IPO,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our IPO, including the exchange of Common Units for shares of our Class A common stock by the selling stockholders in connection with this offering, (iii) Medline Inc.’s utilization of certain tax attributes (including any existing tax basis) of the Blocker Companies, which Medline Inc. acquired in connection with our IPO, and (iv) certain other tax benefits related to our entering into the tax receivable agreement, including tax benefits attributable to payments under the tax receivable agreement. Sales or exchanges of Common Units (including Common Units issued upon conversion of vested Incentive Units) are expected to result in increases in the tax basis of the assets of Medline Holdings. The existing tax basis, increases in existing tax basis, and the tax basis adjustments generated over time may increase (for tax purposes) depreciation and amortization deductions available to Medline Inc. and, therefore, may reduce the amount of U.S. federal, state, and local tax that Medline Inc. would otherwise be required to pay in the future. Actual tax benefits realized by Medline Inc. may differ from tax benefits calculated under the tax receivable agreement as a result of the use of certain assumptions in the tax receivable agreement, including the use of an assumed blended state and local income tax rate of 6% (as adjusted to take into account the U.S. federal tax benefit of such taxes) to calculate tax benefits. This payment obligation is an obligation of Medline Inc. and not of Medline Holdings. See “Certain Relationships and Related Person Transactions—Tax Receivable Agreement.”</w:t>
      </w:r>
    </w:p>
    <w:p>
      <w:pPr>
        <w:spacing w:after="0" w:line="2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IPO Transactions</w:t>
      </w:r>
    </w:p>
    <w:p>
      <w:pPr>
        <w:spacing w:after="0" w:line="118" w:lineRule="exact"/>
        <w:rPr>
          <w:sz w:val="20"/>
          <w:szCs w:val="20"/>
          <w:color w:val="auto"/>
        </w:rPr>
      </w:pPr>
    </w:p>
    <w:p>
      <w:pPr>
        <w:ind w:left="160" w:right="40" w:firstLine="436"/>
        <w:spacing w:after="0" w:line="251" w:lineRule="auto"/>
        <w:rPr>
          <w:sz w:val="20"/>
          <w:szCs w:val="20"/>
          <w:color w:val="auto"/>
        </w:rPr>
      </w:pPr>
      <w:r>
        <w:rPr>
          <w:rFonts w:ascii="Times New Roman" w:cs="Times New Roman" w:eastAsia="Times New Roman" w:hAnsi="Times New Roman"/>
          <w:sz w:val="18"/>
          <w:szCs w:val="18"/>
          <w:color w:val="auto"/>
        </w:rPr>
        <w:t>On December 18, 2025, Medline Inc. completed its initial public offering of its Class A common stock in which it issued and sold 248,439,654 shares of Class A common stock (including shares issued pursuant to the exercise in full of the underwriters’ option to purchase additional shares). The shares were sold at an initial offering price of $29.00 per share, which generated net proceeds of approximately $7,048 million after deducting underwriting discounts and commissions of $157 million. We estimated that we incurred offering expenses of approximately $38 million. We used the proceeds (net of underwriting discounts) from the issuance of 179,000,000 shares ($5,078 million) in the IPO to purchase an equivalent number of newly issued Common Units from Medline Holdings, which Medline Holdings in turn used to repay in full all outstanding indebtedness under our New Euro Term Loan Facility, approximately $3,280 million to repay a portion of the outstanding indebtedness under our 2028 Refinancing Term Loan Facility, and the remainder for general corporate purposes and to bear all of the expenses of the IPO. We used the proceeds from the issuance of 69,439,654 shares ($1,970 million) in the IPO (including shares issued pursuant to the exercise in full of the underwriters’ option to purchase additional shares) to purchase or redeem outstanding equity interests from certain of our pre-IPO owners.</w:t>
      </w:r>
    </w:p>
    <w:p>
      <w:pPr>
        <w:spacing w:after="0" w:line="189" w:lineRule="exact"/>
        <w:rPr>
          <w:sz w:val="20"/>
          <w:szCs w:val="20"/>
          <w:color w:val="auto"/>
        </w:rPr>
      </w:pPr>
    </w:p>
    <w:p>
      <w:pPr>
        <w:ind w:left="160" w:right="80" w:firstLine="436"/>
        <w:spacing w:after="0" w:line="263" w:lineRule="auto"/>
        <w:rPr>
          <w:sz w:val="20"/>
          <w:szCs w:val="20"/>
          <w:color w:val="auto"/>
        </w:rPr>
      </w:pPr>
      <w:r>
        <w:rPr>
          <w:rFonts w:ascii="Times New Roman" w:cs="Times New Roman" w:eastAsia="Times New Roman" w:hAnsi="Times New Roman"/>
          <w:sz w:val="18"/>
          <w:szCs w:val="18"/>
          <w:color w:val="auto"/>
        </w:rPr>
        <w:t>Accordingly, Medline Inc. directly or indirectly holds a number of Common Units that is equal to the number of shares of Class A common stock that it has issued, a relationship that we believe fosters transparency because it results in a single share of Class A common stock representing (albeit indirectly) the same percentage equity interests in Medline Holdings as a single Common Unit.</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refer to the foregoing transactions as the “IPO Transactions.” As a result of the IPO Transactions:</w:t>
      </w:r>
    </w:p>
    <w:p>
      <w:pPr>
        <w:spacing w:after="0" w:line="127" w:lineRule="exact"/>
        <w:rPr>
          <w:sz w:val="20"/>
          <w:szCs w:val="20"/>
          <w:color w:val="auto"/>
        </w:rPr>
      </w:pPr>
    </w:p>
    <w:p>
      <w:pPr>
        <w:ind w:left="1140" w:hanging="438"/>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investors in our IPO collectively owned 248,439,654 shares of our Class A common stock;</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Pre-IPO Stockholders and the Exchanging Unitholders collectively held 555,591,996 shares of our Class A common stock;</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Common Unitholders held 502,299,043 Common Units;</w:t>
      </w:r>
    </w:p>
    <w:p>
      <w:pPr>
        <w:spacing w:after="0" w:line="127" w:lineRule="exact"/>
        <w:rPr>
          <w:rFonts w:ascii="Times New Roman" w:cs="Times New Roman" w:eastAsia="Times New Roman" w:hAnsi="Times New Roman"/>
          <w:sz w:val="18"/>
          <w:szCs w:val="18"/>
          <w:color w:val="auto"/>
        </w:rPr>
      </w:pPr>
    </w:p>
    <w:p>
      <w:pPr>
        <w:ind w:left="1140" w:right="640" w:hanging="438"/>
        <w:spacing w:after="0" w:line="278" w:lineRule="auto"/>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Incentive Unitholders held 42,197,933 participating Incentive Units with a weighted-average per unit participation threshold of $16.57 per Incentive Unit;</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Medline Inc. directly or indirectly held 811,418,179 Common Units;</w:t>
      </w:r>
    </w:p>
    <w:p>
      <w:pPr>
        <w:spacing w:after="0" w:line="15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40"/>
          </w:cols>
          <w:pgMar w:left="320" w:top="451" w:right="5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140" w:hanging="438"/>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investors in our IPO collectively had 18.9% of the voting power in Medline Inc.; and</w:t>
      </w:r>
    </w:p>
    <w:p>
      <w:pPr>
        <w:spacing w:after="0" w:line="127" w:lineRule="exact"/>
        <w:rPr>
          <w:rFonts w:ascii="Times New Roman" w:cs="Times New Roman" w:eastAsia="Times New Roman" w:hAnsi="Times New Roman"/>
          <w:sz w:val="18"/>
          <w:szCs w:val="18"/>
          <w:color w:val="auto"/>
        </w:rPr>
      </w:pPr>
    </w:p>
    <w:p>
      <w:pPr>
        <w:jc w:val="both"/>
        <w:ind w:left="1140" w:hanging="438"/>
        <w:spacing w:after="0" w:line="308" w:lineRule="auto"/>
        <w:tabs>
          <w:tab w:leader="none" w:pos="11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Pre-IPO Stockholders and the Exchanging Unitholders collectively had 42.9% of the voting power in Medline Inc. and the Continuing Common Unitholders, as holders of all of the outstanding shares of Class B common stock, had 38.2% of the voting power in Medline Inc.</w:t>
      </w:r>
    </w:p>
    <w:p>
      <w:pPr>
        <w:spacing w:after="0" w:line="7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40"/>
          </w:cols>
          <w:pgMar w:left="320" w:top="451" w:right="5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5"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We will not receive any proceeds from the sale of the shares of our Class A common stock offered by the selling stockholders (including any sales pursuant to the underwriters’ option to purchase additional shares from the selling stockholders).</w:t>
      </w:r>
    </w:p>
    <w:p>
      <w:pPr>
        <w:spacing w:after="0" w:line="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20"/>
          </w:cols>
          <w:pgMar w:left="320" w:top="451" w:right="5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5" w:lineRule="exact"/>
        <w:rPr>
          <w:sz w:val="20"/>
          <w:szCs w:val="20"/>
          <w:color w:val="auto"/>
        </w:rPr>
      </w:pPr>
    </w:p>
    <w:p>
      <w:pPr>
        <w:ind w:left="160" w:right="60" w:firstLine="436"/>
        <w:spacing w:after="0" w:line="251" w:lineRule="auto"/>
        <w:rPr>
          <w:sz w:val="20"/>
          <w:szCs w:val="20"/>
          <w:color w:val="auto"/>
        </w:rPr>
      </w:pPr>
      <w:r>
        <w:rPr>
          <w:rFonts w:ascii="Times New Roman" w:cs="Times New Roman" w:eastAsia="Times New Roman" w:hAnsi="Times New Roman"/>
          <w:sz w:val="18"/>
          <w:szCs w:val="18"/>
          <w:color w:val="auto"/>
        </w:rPr>
        <w:t>We have no current plans to pay dividends on our Class A common stock. The declaration, amount and payment of any future dividends on shares of Class A common stock will be at the sole discretion of our board of directors subject to capital availability, applicable laws, and compliance with contractual restrictions and covenants in the agreements governing our current and future indebtedness, as well as our amended and restated certificate of incorporation. We may reduce or discontinue entirely the payment of such dividends at any time. Our board of directors may take into account general and economic conditions, our financial condition and operating results, our available cash, current and anticipated cash needs, capital requirements, contractual, legal, tax, and regulatory restrictions and implications on the payment of dividends by us to our stockholders or by our subsidiaries to us, and such other factors as our board of directors may deem relevant. Our amended and restated certificate of incorporation provides that holders of Class B common stock shall not be entitled to any dividends on their shares of Class B common stock (other than dividends payable in the form of additional shares of Class B common stock).</w:t>
      </w:r>
    </w:p>
    <w:p>
      <w:pPr>
        <w:spacing w:after="0" w:line="192"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Medline Inc. is a holding company and has no material assets other than its ownership of Common Units held directly or indirectly through wholly owned subsidiaries in Medline Holdings. We intend to cause Medline Holdings to make distributions to us in an amount sufficient to cover our taxes, expenses, and obligations under the tax receivable agreement as well as any cash dividends declared by us. If Medline Holdings makes such distributions to Medline Inc., the other holders of Common Units and any participating Incentive Units (as described below) will also be entitled to receive distributions pro rata in accordance with the percentages of their respective Common Units or Incentive Units, as applicable, held. Incentive Units initially will not be entitled to receive distributions (other than tax distributions) until holders of Common Units have received a minimum return as provided in the amended and restated limited partnership agreement of Medline Holdings. However, Incentive Units will have the benefit of adjustment provisions that will reduce the participation threshold for distributions in respect of which they do not participate until there is no participation threshold, at and after which time the Incentive Units would participate pro rata with distributions on Common Units. The adjustment to the participation threshold of an Incentive Unit for distributions in respect of which such Incentive Unit does not participate will be factored into calculating the number of Common Units the holder of vested Incentive Units would receive upon conversion of a vested Incentive Unit for a Common Unit.</w:t>
      </w:r>
    </w:p>
    <w:p>
      <w:pPr>
        <w:spacing w:after="0" w:line="194" w:lineRule="exact"/>
        <w:rPr>
          <w:sz w:val="20"/>
          <w:szCs w:val="20"/>
          <w:color w:val="auto"/>
        </w:rPr>
      </w:pPr>
    </w:p>
    <w:p>
      <w:pPr>
        <w:ind w:left="160" w:right="20" w:firstLine="436"/>
        <w:spacing w:after="0" w:line="250" w:lineRule="auto"/>
        <w:rPr>
          <w:sz w:val="20"/>
          <w:szCs w:val="20"/>
          <w:color w:val="auto"/>
        </w:rPr>
      </w:pPr>
      <w:r>
        <w:rPr>
          <w:rFonts w:ascii="Times New Roman" w:cs="Times New Roman" w:eastAsia="Times New Roman" w:hAnsi="Times New Roman"/>
          <w:sz w:val="18"/>
          <w:szCs w:val="18"/>
          <w:color w:val="auto"/>
        </w:rPr>
        <w:t>The amended and restated limited partnership agreement of Medline Holdings provides that pro rata cash distributions be made to Continuing Unitholders (including Medline Inc.) at certain assumed tax rates, which we refer to as “tax distributions.” Tax distributions will be pro rata as among the Common Units. See “Certain Relationships and Related Person Transactions—Medline Holdings Amended and Restated Limited Partnership Agreement.” We anticipate that amounts received by Medline Inc. in certain periods are likely to exceed Medline Inc.’s actual tax liabilities and obligations to make payments under the tax receivable agreement. Our board of directors, in its sole discretion, will make any determination from time to time with respect to the use of any such excess cash so accumulated, which may include, among other uses, funding repurchases of Class A common stock; acquiring additional Common Units at a per unit price determined by reference to the market value of the Class A common stock; paying dividends, which may include special dividends, on its Class A common stock; or any combination of the foregoing. We also expect, if necessary, to undertake ameliorative actions, which may include pro rata or non-pro rata reclassifications, combinations, subdivisions or adjustments of outstanding Common Units, to maintain 1:1 parity between Common Units and shares of Class A common stock. See “Risk Factors—Risks Related to Our Organizational Structure—Medline Inc. is a holding company and its only material assets are its equity interests held directly or indirectly through wholly owned subsidiaries in Medline Holdings, and it is accordingly dependent upon distributions from Medline Holdings to pay taxes, make payments under the tax receivable agreement, and pay any dividends.”</w:t>
      </w:r>
    </w:p>
    <w:p>
      <w:pPr>
        <w:spacing w:after="0" w:line="193" w:lineRule="exact"/>
        <w:rPr>
          <w:sz w:val="20"/>
          <w:szCs w:val="20"/>
          <w:color w:val="auto"/>
        </w:rPr>
      </w:pPr>
    </w:p>
    <w:p>
      <w:pPr>
        <w:ind w:left="160" w:right="60" w:firstLine="436"/>
        <w:spacing w:after="0" w:line="263" w:lineRule="auto"/>
        <w:rPr>
          <w:sz w:val="20"/>
          <w:szCs w:val="20"/>
          <w:color w:val="auto"/>
        </w:rPr>
      </w:pPr>
      <w:r>
        <w:rPr>
          <w:rFonts w:ascii="Times New Roman" w:cs="Times New Roman" w:eastAsia="Times New Roman" w:hAnsi="Times New Roman"/>
          <w:sz w:val="18"/>
          <w:szCs w:val="18"/>
          <w:color w:val="auto"/>
        </w:rPr>
        <w:t>The credit agreement governing our Senior Secured Credit Facilities and the indentures governing our Senior Notes contain a number of covenants that restrict, subject to certain exceptions, the ability of the restricted subsidiaries of Medline Holdings to pay dividends or distributions to us. See “Description of Certain Indebtedness.”</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80"/>
          </w:cols>
          <w:pgMar w:left="320" w:top="451" w:right="4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Any financing arrangements that we enter into in the future may include restrictive covenants that limit our ability to pay dividends. In addition, Medline Holdings is generally prohibited under Delaware law from making a distribution to a member to the extent that, at the time of the distribution, after giving effect to the distribution, liabilities of Medline Holdings (with certain exceptions) exceed the fair value of its assets. Subsidiaries of Medline Holdings are generally subject to similar legal limitations on their ability to make distributions to Medline Holdings.</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40"/>
          </w:cols>
          <w:pgMar w:left="320" w:top="451" w:right="5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our consolidated cash and cash equivalents and capitalization as of September 27, 2025:</w:t>
      </w:r>
    </w:p>
    <w:p>
      <w:pPr>
        <w:spacing w:after="0" w:line="127" w:lineRule="exact"/>
        <w:rPr>
          <w:sz w:val="20"/>
          <w:szCs w:val="20"/>
          <w:color w:val="auto"/>
        </w:rPr>
      </w:pPr>
    </w:p>
    <w:p>
      <w:pPr>
        <w:ind w:left="1140" w:hanging="438"/>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historical basis; and</w:t>
      </w:r>
    </w:p>
    <w:p>
      <w:pPr>
        <w:spacing w:after="0" w:line="127" w:lineRule="exact"/>
        <w:rPr>
          <w:rFonts w:ascii="Times New Roman" w:cs="Times New Roman" w:eastAsia="Times New Roman" w:hAnsi="Times New Roman"/>
          <w:sz w:val="18"/>
          <w:szCs w:val="18"/>
          <w:color w:val="auto"/>
        </w:rPr>
      </w:pPr>
    </w:p>
    <w:p>
      <w:pPr>
        <w:ind w:left="1140" w:hanging="438"/>
        <w:spacing w:after="0" w:line="258"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prepared in accordance with Article 11 of Regulation S-X giving effect to the transactions described under “Unaudited Pro Forma Condensed Consolidated Financial Information,” included elsewhere in the prospectus, which reflects the sale by us of 216,034,482 shares of Class A common stock in the IPO at the initial public offering price of $29.00 per share and the application of the proceeds therefrom as described in “Use of Proceeds.”</w:t>
      </w:r>
    </w:p>
    <w:p>
      <w:pPr>
        <w:spacing w:after="0" w:line="180" w:lineRule="exact"/>
        <w:rPr>
          <w:sz w:val="20"/>
          <w:szCs w:val="20"/>
          <w:color w:val="auto"/>
        </w:rPr>
      </w:pPr>
    </w:p>
    <w:p>
      <w:pPr>
        <w:ind w:left="160" w:right="80" w:firstLine="436"/>
        <w:spacing w:after="0" w:line="258" w:lineRule="auto"/>
        <w:rPr>
          <w:sz w:val="20"/>
          <w:szCs w:val="20"/>
          <w:color w:val="auto"/>
        </w:rPr>
      </w:pPr>
      <w:r>
        <w:rPr>
          <w:rFonts w:ascii="Times New Roman" w:cs="Times New Roman" w:eastAsia="Times New Roman" w:hAnsi="Times New Roman"/>
          <w:sz w:val="18"/>
          <w:szCs w:val="18"/>
          <w:color w:val="auto"/>
        </w:rPr>
        <w:t>Cash and cash equivalents are not components of our total capitalization. You should read this table together with the other information contained in this prospectus, including “Organizational Structure,” “Use of Proceeds,” “Unaudited Pro Forma Condensed Consolidated Financial Information,” “Management’s Discussion and Analysis of Financial Condition and Results of Operations,” and the historical financial statements and related notes thereto included elsewhere in this prospectus.</w:t>
      </w:r>
    </w:p>
    <w:p>
      <w:pPr>
        <w:sectPr>
          <w:pgSz w:w="11900" w:h="16838" w:orient="portrait"/>
          <w:cols w:equalWidth="0" w:num="1">
            <w:col w:w="11080"/>
          </w:cols>
          <w:pgMar w:left="320" w:top="45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-119380</wp:posOffset>
            </wp:positionV>
            <wp:extent cx="6929755" cy="144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29755" cy="144145"/>
                    </a:xfrm>
                    <a:prstGeom prst="rect">
                      <a:avLst/>
                    </a:prstGeom>
                    <a:noFill/>
                  </pic:spPr>
                </pic:pic>
              </a:graphicData>
            </a:graphic>
          </wp:anchor>
        </w:drawing>
      </w:r>
    </w:p>
    <w:p>
      <w:pPr>
        <w:spacing w:after="0" w:line="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Total debt (including current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15875</wp:posOffset>
            </wp:positionV>
            <wp:extent cx="6929755" cy="135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pacing w:after="0" w:line="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Senior Secured Credit Facilities</w:t>
      </w:r>
    </w:p>
    <w:p>
      <w:pPr>
        <w:ind w:left="880"/>
        <w:spacing w:after="0" w:line="185" w:lineRule="auto"/>
        <w:rPr>
          <w:sz w:val="20"/>
          <w:szCs w:val="20"/>
          <w:color w:val="auto"/>
        </w:rPr>
      </w:pPr>
      <w:r>
        <w:rPr>
          <w:rFonts w:ascii="Times New Roman" w:cs="Times New Roman" w:eastAsia="Times New Roman" w:hAnsi="Times New Roman"/>
          <w:sz w:val="17"/>
          <w:szCs w:val="17"/>
          <w:color w:val="auto"/>
        </w:rPr>
        <w:t>New Dollar Term Loan Facility</w:t>
      </w:r>
      <w:r>
        <w:rPr>
          <w:rFonts w:ascii="Times New Roman" w:cs="Times New Roman" w:eastAsia="Times New Roman" w:hAnsi="Times New Roman"/>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0</wp:posOffset>
            </wp:positionV>
            <wp:extent cx="6929755" cy="135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880"/>
        <w:spacing w:after="0" w:line="186" w:lineRule="auto"/>
        <w:rPr>
          <w:sz w:val="20"/>
          <w:szCs w:val="20"/>
          <w:color w:val="auto"/>
        </w:rPr>
      </w:pPr>
      <w:r>
        <w:rPr>
          <w:rFonts w:ascii="Times New Roman" w:cs="Times New Roman" w:eastAsia="Times New Roman" w:hAnsi="Times New Roman"/>
          <w:sz w:val="17"/>
          <w:szCs w:val="17"/>
          <w:color w:val="auto"/>
        </w:rPr>
        <w:t>New Euro Term Loan Facility</w:t>
      </w:r>
      <w:r>
        <w:rPr>
          <w:rFonts w:ascii="Times New Roman" w:cs="Times New Roman" w:eastAsia="Times New Roman" w:hAnsi="Times New Roman"/>
          <w:sz w:val="24"/>
          <w:szCs w:val="24"/>
          <w:color w:val="auto"/>
          <w:vertAlign w:val="superscript"/>
        </w:rPr>
        <w:t>(2)</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3.875% Senior Secured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3175</wp:posOffset>
            </wp:positionV>
            <wp:extent cx="6929755" cy="135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520"/>
        <w:spacing w:after="0"/>
        <w:rPr>
          <w:sz w:val="20"/>
          <w:szCs w:val="20"/>
          <w:color w:val="auto"/>
        </w:rPr>
      </w:pPr>
      <w:r>
        <w:rPr>
          <w:rFonts w:ascii="Times New Roman" w:cs="Times New Roman" w:eastAsia="Times New Roman" w:hAnsi="Times New Roman"/>
          <w:sz w:val="18"/>
          <w:szCs w:val="18"/>
          <w:color w:val="auto"/>
        </w:rPr>
        <w:t>5.250% Senior Notes due 2029</w:t>
      </w:r>
    </w:p>
    <w:p>
      <w:pPr>
        <w:spacing w:after="0" w:line="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6.250% Senior Secured Notes due 2029</w:t>
      </w:r>
    </w:p>
    <w:p>
      <w:pPr>
        <w:ind w:left="160"/>
        <w:spacing w:after="0" w:line="199" w:lineRule="auto"/>
        <w:rPr>
          <w:sz w:val="20"/>
          <w:szCs w:val="20"/>
          <w:color w:val="auto"/>
        </w:rPr>
      </w:pPr>
      <w:r>
        <w:rPr>
          <w:rFonts w:ascii="Times New Roman" w:cs="Times New Roman" w:eastAsia="Times New Roman" w:hAnsi="Times New Roman"/>
          <w:sz w:val="18"/>
          <w:szCs w:val="18"/>
          <w:color w:val="auto"/>
        </w:rPr>
        <w:t>Total debt (including current maturities)</w:t>
      </w:r>
      <w:r>
        <w:rPr>
          <w:rFonts w:ascii="Times New Roman" w:cs="Times New Roman" w:eastAsia="Times New Roman" w:hAnsi="Times New Roman"/>
          <w:sz w:val="26"/>
          <w:szCs w:val="2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6929755" cy="135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Mezzanine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3175</wp:posOffset>
            </wp:positionV>
            <wp:extent cx="6929755" cy="135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520" w:right="200"/>
        <w:spacing w:after="0" w:line="267" w:lineRule="auto"/>
        <w:rPr>
          <w:sz w:val="20"/>
          <w:szCs w:val="20"/>
          <w:color w:val="auto"/>
        </w:rPr>
      </w:pPr>
      <w:r>
        <w:rPr>
          <w:rFonts w:ascii="Times New Roman" w:cs="Times New Roman" w:eastAsia="Times New Roman" w:hAnsi="Times New Roman"/>
          <w:sz w:val="17"/>
          <w:szCs w:val="17"/>
          <w:color w:val="auto"/>
        </w:rPr>
        <w:t>Class A Units, no par value; 127,967,620 units issued and outstanding as of September 27, 2025 Stock-based compensation, no par value; 100,992,339 units outstanding as of September 27, 2025</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Total mezzanine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-119380</wp:posOffset>
            </wp:positionV>
            <wp:extent cx="6929755" cy="135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Partners’ capital/shareholders’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3810</wp:posOffset>
            </wp:positionV>
            <wp:extent cx="6929755" cy="135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520" w:right="120"/>
        <w:spacing w:after="0" w:line="248" w:lineRule="auto"/>
        <w:rPr>
          <w:sz w:val="20"/>
          <w:szCs w:val="20"/>
          <w:color w:val="auto"/>
        </w:rPr>
      </w:pPr>
      <w:r>
        <w:rPr>
          <w:rFonts w:ascii="Times New Roman" w:cs="Times New Roman" w:eastAsia="Times New Roman" w:hAnsi="Times New Roman"/>
          <w:sz w:val="18"/>
          <w:szCs w:val="18"/>
          <w:color w:val="auto"/>
        </w:rPr>
        <w:t>Class A Units, no par value, 16,722,723,899 units issued and outstanding as of September 27, 2025 Class B Units, no par value, 734,395,148 units issued and outstanding as of September 27, 2025 Class B CUPI Units, no par value, 23,130,426 units issued and outstanding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-135255</wp:posOffset>
            </wp:positionV>
            <wp:extent cx="6929755" cy="2717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29755" cy="271780"/>
                    </a:xfrm>
                    <a:prstGeom prst="rect">
                      <a:avLst/>
                    </a:prstGeom>
                    <a:noFill/>
                  </pic:spPr>
                </pic:pic>
              </a:graphicData>
            </a:graphic>
          </wp:anchor>
        </w:drawing>
      </w:r>
    </w:p>
    <w:p>
      <w:pPr>
        <w:ind w:left="700"/>
        <w:spacing w:after="0"/>
        <w:rPr>
          <w:sz w:val="20"/>
          <w:szCs w:val="20"/>
          <w:color w:val="auto"/>
        </w:rPr>
      </w:pPr>
      <w:r>
        <w:rPr>
          <w:rFonts w:ascii="Times New Roman" w:cs="Times New Roman" w:eastAsia="Times New Roman" w:hAnsi="Times New Roman"/>
          <w:sz w:val="18"/>
          <w:szCs w:val="18"/>
          <w:color w:val="auto"/>
        </w:rPr>
        <w:t>September 27, 2025</w:t>
      </w:r>
    </w:p>
    <w:p>
      <w:pPr>
        <w:spacing w:after="0" w:line="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Accumulated other comprehensive income</w:t>
      </w:r>
    </w:p>
    <w:p>
      <w:pPr>
        <w:spacing w:after="0" w:line="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Total partners’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-119380</wp:posOffset>
            </wp:positionV>
            <wp:extent cx="6929755" cy="135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pacing w:after="0" w:line="1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80" w:type="dxa"/>
            <w:vAlign w:val="bottom"/>
          </w:tcPr>
          <w:p>
            <w:pPr>
              <w:spacing w:after="0"/>
              <w:rPr>
                <w:sz w:val="14"/>
                <w:szCs w:val="14"/>
                <w:color w:val="auto"/>
              </w:rPr>
            </w:pPr>
          </w:p>
        </w:tc>
        <w:tc>
          <w:tcPr>
            <w:tcW w:w="252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0" w:type="dxa"/>
            <w:vAlign w:val="bottom"/>
          </w:tcPr>
          <w:p>
            <w:pPr>
              <w:spacing w:after="0"/>
              <w:rPr>
                <w:sz w:val="1"/>
                <w:szCs w:val="1"/>
                <w:color w:val="auto"/>
              </w:rPr>
            </w:pPr>
          </w:p>
        </w:tc>
      </w:tr>
      <w:tr>
        <w:trPr>
          <w:trHeight w:val="140"/>
        </w:trPr>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center"/>
              <w:ind w:left="80"/>
              <w:spacing w:after="0" w:line="141"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90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660" w:type="dxa"/>
            <w:vAlign w:val="bottom"/>
            <w:gridSpan w:val="2"/>
          </w:tcPr>
          <w:p>
            <w:pPr>
              <w:jc w:val="center"/>
              <w:ind w:right="100"/>
              <w:spacing w:after="0" w:line="116" w:lineRule="exact"/>
              <w:rPr>
                <w:sz w:val="20"/>
                <w:szCs w:val="20"/>
                <w:color w:val="auto"/>
              </w:rPr>
            </w:pPr>
            <w:r>
              <w:rPr>
                <w:rFonts w:ascii="Times New Roman" w:cs="Times New Roman" w:eastAsia="Times New Roman" w:hAnsi="Times New Roman"/>
                <w:sz w:val="13"/>
                <w:szCs w:val="13"/>
                <w:b w:val="1"/>
                <w:bCs w:val="1"/>
                <w:color w:val="auto"/>
              </w:rPr>
              <w:t>Medline</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Medline Inc.</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66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Holdings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16"/>
        </w:trPr>
        <w:tc>
          <w:tcPr>
            <w:tcW w:w="80" w:type="dxa"/>
            <w:vAlign w:val="bottom"/>
            <w:tcBorders>
              <w:top w:val="single" w:sz="8" w:color="auto"/>
            </w:tcBorders>
          </w:tcPr>
          <w:p>
            <w:pPr>
              <w:spacing w:after="0"/>
              <w:rPr>
                <w:sz w:val="10"/>
                <w:szCs w:val="10"/>
                <w:color w:val="auto"/>
              </w:rPr>
            </w:pPr>
          </w:p>
        </w:tc>
        <w:tc>
          <w:tcPr>
            <w:tcW w:w="2500" w:type="dxa"/>
            <w:vAlign w:val="bottom"/>
            <w:tcBorders>
              <w:top w:val="single" w:sz="8" w:color="auto"/>
            </w:tcBorders>
            <w:gridSpan w:val="5"/>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(Dollars in millions, except par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252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value, unit, and share amounts)</w:t>
            </w:r>
          </w:p>
        </w:tc>
        <w:tc>
          <w:tcPr>
            <w:tcW w:w="0" w:type="dxa"/>
            <w:vAlign w:val="bottom"/>
          </w:tcPr>
          <w:p>
            <w:pPr>
              <w:spacing w:after="0"/>
              <w:rPr>
                <w:sz w:val="1"/>
                <w:szCs w:val="1"/>
                <w:color w:val="auto"/>
              </w:rPr>
            </w:pPr>
          </w:p>
        </w:tc>
      </w:tr>
      <w:tr>
        <w:trPr>
          <w:trHeight w:val="207"/>
        </w:trPr>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952</w:t>
            </w: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7"/>
        </w:trPr>
        <w:tc>
          <w:tcPr>
            <w:tcW w:w="8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7,574</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729</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96"/>
              </w:rPr>
              <w:t>— </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4,500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w:t>
            </w:r>
          </w:p>
        </w:tc>
        <w:tc>
          <w:tcPr>
            <w:tcW w:w="8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16,803</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8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96"/>
              </w:rPr>
              <w:t>— </w:t>
            </w:r>
          </w:p>
        </w:tc>
        <w:tc>
          <w:tcPr>
            <w:tcW w:w="0" w:type="dxa"/>
            <w:vAlign w:val="bottom"/>
          </w:tcPr>
          <w:p>
            <w:pPr>
              <w:spacing w:after="0"/>
              <w:rPr>
                <w:sz w:val="1"/>
                <w:szCs w:val="1"/>
                <w:color w:val="auto"/>
              </w:rPr>
            </w:pPr>
          </w:p>
        </w:tc>
      </w:tr>
      <w:tr>
        <w:trPr>
          <w:trHeight w:val="232"/>
        </w:trPr>
        <w:tc>
          <w:tcPr>
            <w:tcW w:w="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96"/>
              </w:rPr>
              <w:t>— </w:t>
            </w:r>
          </w:p>
        </w:tc>
        <w:tc>
          <w:tcPr>
            <w:tcW w:w="0" w:type="dxa"/>
            <w:vAlign w:val="bottom"/>
          </w:tcPr>
          <w:p>
            <w:pPr>
              <w:spacing w:after="0"/>
              <w:rPr>
                <w:sz w:val="1"/>
                <w:szCs w:val="1"/>
                <w:color w:val="auto"/>
              </w:rPr>
            </w:pPr>
          </w:p>
        </w:tc>
      </w:tr>
      <w:tr>
        <w:trPr>
          <w:trHeight w:val="226"/>
        </w:trPr>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367</w:t>
            </w:r>
          </w:p>
        </w:tc>
        <w:tc>
          <w:tcPr>
            <w:tcW w:w="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8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16,524</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96"/>
              </w:rPr>
              <w:t>— </w:t>
            </w:r>
          </w:p>
        </w:tc>
        <w:tc>
          <w:tcPr>
            <w:tcW w:w="0" w:type="dxa"/>
            <w:vAlign w:val="bottom"/>
          </w:tcPr>
          <w:p>
            <w:pPr>
              <w:spacing w:after="0"/>
              <w:rPr>
                <w:sz w:val="1"/>
                <w:szCs w:val="1"/>
                <w:color w:val="auto"/>
              </w:rPr>
            </w:pPr>
          </w:p>
        </w:tc>
      </w:tr>
      <w:tr>
        <w:trPr>
          <w:trHeight w:val="233"/>
        </w:trPr>
        <w:tc>
          <w:tcPr>
            <w:tcW w:w="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96"/>
              </w:rPr>
              <w:t>— </w:t>
            </w:r>
          </w:p>
        </w:tc>
        <w:tc>
          <w:tcPr>
            <w:tcW w:w="0" w:type="dxa"/>
            <w:vAlign w:val="bottom"/>
          </w:tcPr>
          <w:p>
            <w:pPr>
              <w:spacing w:after="0"/>
              <w:rPr>
                <w:sz w:val="1"/>
                <w:szCs w:val="1"/>
                <w:color w:val="auto"/>
              </w:rPr>
            </w:pPr>
          </w:p>
        </w:tc>
      </w:tr>
      <w:tr>
        <w:trPr>
          <w:trHeight w:val="409"/>
        </w:trPr>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96"/>
              </w:rPr>
              <w:t>— </w:t>
            </w:r>
          </w:p>
        </w:tc>
        <w:tc>
          <w:tcPr>
            <w:tcW w:w="0" w:type="dxa"/>
            <w:vAlign w:val="bottom"/>
          </w:tcPr>
          <w:p>
            <w:pPr>
              <w:spacing w:after="0"/>
              <w:rPr>
                <w:sz w:val="1"/>
                <w:szCs w:val="1"/>
                <w:color w:val="auto"/>
              </w:rPr>
            </w:pPr>
          </w:p>
        </w:tc>
      </w:tr>
      <w:tr>
        <w:trPr>
          <w:trHeight w:val="232"/>
        </w:trPr>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16,774</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2">
            <w:col w:w="7720" w:space="720"/>
            <w:col w:w="2640"/>
          </w:cols>
          <w:pgMar w:left="320" w:top="451" w:right="49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4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ectPr>
          <w:pgSz w:w="11900" w:h="16838" w:orient="portrait"/>
          <w:cols w:equalWidth="0" w:num="1">
            <w:col w:w="11080"/>
          </w:cols>
          <w:pgMar w:left="320" w:top="45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700" w:right="180" w:hanging="177"/>
        <w:spacing w:after="0" w:line="255" w:lineRule="auto"/>
        <w:rPr>
          <w:sz w:val="20"/>
          <w:szCs w:val="20"/>
          <w:color w:val="auto"/>
        </w:rPr>
      </w:pPr>
      <w:r>
        <w:rPr>
          <w:rFonts w:ascii="Times New Roman" w:cs="Times New Roman" w:eastAsia="Times New Roman" w:hAnsi="Times New Roman"/>
          <w:sz w:val="18"/>
          <w:szCs w:val="18"/>
          <w:color w:val="auto"/>
        </w:rPr>
        <w:t>Class A common stock, par value $0.0001 per share, 100,000 shares authorized and no shares issued and outstanding, actual; and 50,000,000,000 shares authorized and 799,799,804 shares issued and outstanding on a pro forma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-406400</wp:posOffset>
            </wp:positionV>
            <wp:extent cx="6929755" cy="4076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ind w:left="700" w:hanging="177"/>
        <w:spacing w:after="0" w:line="248" w:lineRule="auto"/>
        <w:rPr>
          <w:sz w:val="20"/>
          <w:szCs w:val="20"/>
          <w:color w:val="auto"/>
        </w:rPr>
      </w:pPr>
      <w:r>
        <w:rPr>
          <w:rFonts w:ascii="Times New Roman" w:cs="Times New Roman" w:eastAsia="Times New Roman" w:hAnsi="Times New Roman"/>
          <w:sz w:val="18"/>
          <w:szCs w:val="18"/>
          <w:color w:val="auto"/>
        </w:rPr>
        <w:t>Class B common stock, par value $0.0001 per share, 100,000 shares authorized and 10,000 shares issued and outstanding, actual; and 50,000,000,000 shares authorized and 513,917,418 shares issued and outstanding on a pro forma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0</wp:posOffset>
            </wp:positionV>
            <wp:extent cx="6929755" cy="135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52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3810</wp:posOffset>
            </wp:positionV>
            <wp:extent cx="6929755" cy="135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520"/>
        <w:spacing w:after="0"/>
        <w:rPr>
          <w:sz w:val="20"/>
          <w:szCs w:val="20"/>
          <w:color w:val="auto"/>
        </w:rPr>
      </w:pPr>
      <w:r>
        <w:rPr>
          <w:rFonts w:ascii="Times New Roman" w:cs="Times New Roman" w:eastAsia="Times New Roman" w:hAnsi="Times New Roman"/>
          <w:sz w:val="18"/>
          <w:szCs w:val="18"/>
          <w:color w:val="auto"/>
        </w:rPr>
        <w:t>Noncontrolling interests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15373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537335" cy="8255"/>
                    </a:xfrm>
                    <a:prstGeom prst="rect">
                      <a:avLst/>
                    </a:prstGeom>
                    <a:noFill/>
                  </pic:spPr>
                </pic:pic>
              </a:graphicData>
            </a:graphic>
          </wp:anchor>
        </w:drawing>
      </w: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Unaudited</w:t>
      </w:r>
    </w:p>
    <w:tbl>
      <w:tblPr>
        <w:tblLayout w:type="fixed"/>
        <w:tblInd w:w="0" w:type="dxa"/>
        <w:tblCellMar>
          <w:top w:w="0" w:type="dxa"/>
          <w:left w:w="0" w:type="dxa"/>
          <w:bottom w:w="0" w:type="dxa"/>
          <w:right w:w="0" w:type="dxa"/>
        </w:tblCellMar>
      </w:tblPr>
      <w:tr>
        <w:trPr>
          <w:trHeight w:val="116"/>
        </w:trPr>
        <w:tc>
          <w:tcPr>
            <w:tcW w:w="1080" w:type="dxa"/>
            <w:vAlign w:val="bottom"/>
            <w:tcBorders>
              <w:top w:val="single" w:sz="8" w:color="auto"/>
            </w:tcBorders>
          </w:tcPr>
          <w:p>
            <w:pPr>
              <w:jc w:val="center"/>
              <w:ind w:right="270"/>
              <w:spacing w:after="0" w:line="116" w:lineRule="exact"/>
              <w:rPr>
                <w:sz w:val="20"/>
                <w:szCs w:val="20"/>
                <w:color w:val="auto"/>
              </w:rPr>
            </w:pPr>
            <w:r>
              <w:rPr>
                <w:rFonts w:ascii="Times New Roman" w:cs="Times New Roman" w:eastAsia="Times New Roman" w:hAnsi="Times New Roman"/>
                <w:sz w:val="13"/>
                <w:szCs w:val="13"/>
                <w:b w:val="1"/>
                <w:bCs w:val="1"/>
                <w:color w:val="auto"/>
              </w:rPr>
              <w:t>Medline</w:t>
            </w:r>
          </w:p>
        </w:tc>
        <w:tc>
          <w:tcPr>
            <w:tcW w:w="1340" w:type="dxa"/>
            <w:vAlign w:val="bottom"/>
            <w:tcBorders>
              <w:top w:val="single" w:sz="8" w:color="auto"/>
            </w:tcBorders>
            <w:vMerge w:val="restart"/>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rPr>
              <w:t>Medline Inc.</w:t>
            </w:r>
          </w:p>
        </w:tc>
        <w:tc>
          <w:tcPr>
            <w:tcW w:w="0" w:type="dxa"/>
            <w:vAlign w:val="bottom"/>
          </w:tcPr>
          <w:p>
            <w:pPr>
              <w:spacing w:after="0"/>
              <w:rPr>
                <w:sz w:val="1"/>
                <w:szCs w:val="1"/>
                <w:color w:val="auto"/>
              </w:rPr>
            </w:pPr>
          </w:p>
        </w:tc>
      </w:tr>
      <w:tr>
        <w:trPr>
          <w:trHeight w:val="147"/>
        </w:trPr>
        <w:tc>
          <w:tcPr>
            <w:tcW w:w="1080" w:type="dxa"/>
            <w:vAlign w:val="bottom"/>
          </w:tcPr>
          <w:p>
            <w:pPr>
              <w:jc w:val="center"/>
              <w:ind w:right="290"/>
              <w:spacing w:after="0" w:line="147" w:lineRule="exact"/>
              <w:rPr>
                <w:sz w:val="20"/>
                <w:szCs w:val="20"/>
                <w:color w:val="auto"/>
              </w:rPr>
            </w:pPr>
            <w:r>
              <w:rPr>
                <w:rFonts w:ascii="Times New Roman" w:cs="Times New Roman" w:eastAsia="Times New Roman" w:hAnsi="Times New Roman"/>
                <w:sz w:val="14"/>
                <w:szCs w:val="14"/>
                <w:b w:val="1"/>
                <w:bCs w:val="1"/>
                <w:color w:val="auto"/>
              </w:rPr>
              <w:t>Holdings</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80" w:type="dxa"/>
            <w:vAlign w:val="bottom"/>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340" w:type="dxa"/>
            <w:vAlign w:val="bottom"/>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15373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37335" cy="8255"/>
                    </a:xfrm>
                    <a:prstGeom prst="rect">
                      <a:avLst/>
                    </a:prstGeom>
                    <a:noFill/>
                  </pic:spPr>
                </pic:pic>
              </a:graphicData>
            </a:graphic>
          </wp:anchor>
        </w:drawing>
      </w:r>
    </w:p>
    <w:p>
      <w:pPr>
        <w:jc w:val="both"/>
        <w:ind w:left="240" w:right="360" w:firstLine="21"/>
        <w:spacing w:after="0" w:line="235" w:lineRule="auto"/>
        <w:rPr>
          <w:sz w:val="20"/>
          <w:szCs w:val="20"/>
          <w:color w:val="auto"/>
        </w:rPr>
      </w:pPr>
      <w:r>
        <w:rPr>
          <w:rFonts w:ascii="Times New Roman" w:cs="Times New Roman" w:eastAsia="Times New Roman" w:hAnsi="Times New Roman"/>
          <w:sz w:val="14"/>
          <w:szCs w:val="14"/>
          <w:b w:val="1"/>
          <w:bCs w:val="1"/>
          <w:color w:val="auto"/>
        </w:rPr>
        <w:t>(Dollars in millions, except par value, unit, and share amounts)</w:t>
      </w:r>
    </w:p>
    <w:p>
      <w:pPr>
        <w:spacing w:after="0" w:line="395" w:lineRule="exact"/>
        <w:rPr>
          <w:sz w:val="20"/>
          <w:szCs w:val="20"/>
          <w:color w:val="auto"/>
        </w:rPr>
      </w:pPr>
    </w:p>
    <w:tbl>
      <w:tblPr>
        <w:tblLayout w:type="fixed"/>
        <w:tblInd w:w="460" w:type="dxa"/>
        <w:tblCellMar>
          <w:top w:w="0" w:type="dxa"/>
          <w:left w:w="0" w:type="dxa"/>
          <w:bottom w:w="0" w:type="dxa"/>
          <w:right w:w="0" w:type="dxa"/>
        </w:tblCellMar>
      </w:tblPr>
      <w:tr>
        <w:trPr>
          <w:trHeight w:val="23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— </w:t>
            </w:r>
          </w:p>
        </w:tc>
      </w:tr>
      <w:tr>
        <w:trPr>
          <w:trHeight w:val="62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— </w:t>
            </w:r>
          </w:p>
        </w:tc>
      </w:tr>
      <w:tr>
        <w:trPr>
          <w:trHeight w:val="21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10,346</w:t>
            </w:r>
          </w:p>
        </w:tc>
      </w:tr>
      <w:tr>
        <w:trPr>
          <w:trHeight w:val="21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8,919</w:t>
            </w:r>
          </w:p>
        </w:tc>
      </w:tr>
    </w:tbl>
    <w:p>
      <w:pPr>
        <w:spacing w:after="0" w:line="1" w:lineRule="exact"/>
        <w:rPr>
          <w:sz w:val="20"/>
          <w:szCs w:val="20"/>
          <w:color w:val="auto"/>
        </w:rPr>
      </w:pPr>
    </w:p>
    <w:p>
      <w:pPr>
        <w:sectPr>
          <w:pgSz w:w="11900" w:h="16838" w:orient="portrait"/>
          <w:cols w:equalWidth="0" w:num="2">
            <w:col w:w="7860" w:space="700"/>
            <w:col w:w="2520"/>
          </w:cols>
          <w:pgMar w:left="320" w:top="451" w:right="499" w:bottom="1440" w:gutter="0" w:footer="0" w:header="0"/>
          <w:type w:val="continuous"/>
        </w:sectPr>
      </w:pPr>
    </w:p>
    <w:tbl>
      <w:tblPr>
        <w:tblLayout w:type="fixed"/>
        <w:tblInd w:w="160" w:type="dxa"/>
        <w:tblCellMar>
          <w:top w:w="0" w:type="dxa"/>
          <w:left w:w="0" w:type="dxa"/>
          <w:bottom w:w="0" w:type="dxa"/>
          <w:right w:w="0" w:type="dxa"/>
        </w:tblCellMar>
      </w:tblPr>
      <w:tr>
        <w:trPr>
          <w:trHeight w:val="227"/>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partners’ capital/shareholders’ equity</w:t>
            </w:r>
          </w:p>
        </w:tc>
        <w:tc>
          <w:tcPr>
            <w:tcW w:w="26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16,774</w:t>
            </w:r>
          </w:p>
        </w:tc>
        <w:tc>
          <w:tcPr>
            <w:tcW w:w="7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19,273</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3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33,944</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32,067</w:t>
            </w: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8" w:lineRule="exact"/>
        <w:rPr>
          <w:sz w:val="20"/>
          <w:szCs w:val="20"/>
          <w:color w:val="auto"/>
        </w:rPr>
      </w:pPr>
    </w:p>
    <w:p>
      <w:pPr>
        <w:ind w:left="600" w:hanging="433"/>
        <w:spacing w:after="0"/>
        <w:tabs>
          <w:tab w:leader="none" w:pos="6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July 31, 2025, the New Dollar Term Loan Facility was refinanced into the 2025 Refinancing Dollar Term Facility.</w:t>
      </w:r>
    </w:p>
    <w:p>
      <w:pPr>
        <w:spacing w:after="0" w:line="2" w:lineRule="exact"/>
        <w:rPr>
          <w:rFonts w:ascii="Times New Roman" w:cs="Times New Roman" w:eastAsia="Times New Roman" w:hAnsi="Times New Roman"/>
          <w:sz w:val="14"/>
          <w:szCs w:val="14"/>
          <w:color w:val="auto"/>
        </w:rPr>
      </w:pPr>
    </w:p>
    <w:p>
      <w:pPr>
        <w:ind w:left="600" w:hanging="433"/>
        <w:spacing w:after="0" w:line="219" w:lineRule="auto"/>
        <w:tabs>
          <w:tab w:leader="none" w:pos="6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exchange rate adjustments.</w:t>
      </w:r>
    </w:p>
    <w:p>
      <w:pPr>
        <w:ind w:left="600" w:hanging="433"/>
        <w:spacing w:after="0"/>
        <w:tabs>
          <w:tab w:leader="none" w:pos="6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unamortized discounts and deferred finance charges of $226 million as of September 27, 2025 and $162 million on a pro forma basis.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80"/>
          </w:cols>
          <w:pgMar w:left="320" w:top="451" w:right="49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FINANCIAL INFORMATION</w:t>
      </w:r>
    </w:p>
    <w:p>
      <w:pPr>
        <w:spacing w:after="0" w:line="225"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Medline Inc. was formed on November 6, 2024. Until the IPO, Medline Inc. had no assets or liabilities and had conducted no operations to date other than in connection with its incorporation and the IPO. The following unaudited pro forma condensed consolidated financial information reflects the impact of the Transactions (as defined herein). The Reorganization Transactions lacked economic substance and therefore are accounted for in a manner consistent with a reorganization of entities under common control. As a result, the consolidated financial statements of Medline Inc. recognize the assets and liabilities received in the reorganization at their historical carrying amounts, as reflected in the historical financial statements of Medline Holdings. Following the completion of the Transactions, Medline Inc. is a holding company and its sole material assets consist of 60.9% of the outstanding Common Units, which it holds directly or indirectly through wholly owned subsidiaries and acquired as described in “Organizational Structure—IPO Transactions.” The remaining Common Units are held by the Continuing Common Unitholders. Medline Inc. is the sole general partner of Medline Holdings. As the general partner of Medline Holdings, Medline Inc. operates and controls all of the business and affairs of Medline Holdings and its direct and indirect subsidiaries, and, through Medline Holdings, LP and its direct and indirect subsidiaries, conducts its business.</w:t>
      </w:r>
    </w:p>
    <w:p>
      <w:pPr>
        <w:spacing w:after="0" w:line="189" w:lineRule="exact"/>
        <w:rPr>
          <w:sz w:val="20"/>
          <w:szCs w:val="20"/>
          <w:color w:val="auto"/>
        </w:rPr>
      </w:pPr>
    </w:p>
    <w:p>
      <w:pPr>
        <w:ind w:left="160" w:right="260" w:firstLine="436"/>
        <w:spacing w:after="0" w:line="263" w:lineRule="auto"/>
        <w:rPr>
          <w:sz w:val="20"/>
          <w:szCs w:val="20"/>
          <w:color w:val="auto"/>
        </w:rPr>
      </w:pPr>
      <w:r>
        <w:rPr>
          <w:rFonts w:ascii="Times New Roman" w:cs="Times New Roman" w:eastAsia="Times New Roman" w:hAnsi="Times New Roman"/>
          <w:sz w:val="18"/>
          <w:szCs w:val="18"/>
          <w:color w:val="auto"/>
        </w:rPr>
        <w:t>The unaudited pro forma condensed consolidated balance sheet as of September 27, 2025 and the unaudited pro forma condensed consolidated statements of income for the nine months ended September 27, 2025 and for the year ended December 31, 2024 present our consolidated financial position and results of operations after giving effect to the following transactions (collectively, the “Transactions”):</w:t>
      </w:r>
    </w:p>
    <w:p>
      <w:pPr>
        <w:spacing w:after="0" w:line="82" w:lineRule="exact"/>
        <w:rPr>
          <w:sz w:val="20"/>
          <w:szCs w:val="20"/>
          <w:color w:val="auto"/>
        </w:rPr>
      </w:pPr>
    </w:p>
    <w:p>
      <w:pPr>
        <w:ind w:left="1140" w:hanging="438"/>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Reorganization Transactions, as described and defined under “Organizational Structure”;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IPO Transactions.</w:t>
      </w:r>
    </w:p>
    <w:p>
      <w:pPr>
        <w:spacing w:after="0" w:line="221" w:lineRule="exact"/>
        <w:rPr>
          <w:sz w:val="20"/>
          <w:szCs w:val="20"/>
          <w:color w:val="auto"/>
        </w:rPr>
      </w:pPr>
    </w:p>
    <w:p>
      <w:pPr>
        <w:ind w:left="160" w:right="180" w:firstLine="436"/>
        <w:spacing w:after="0" w:line="278" w:lineRule="auto"/>
        <w:rPr>
          <w:sz w:val="20"/>
          <w:szCs w:val="20"/>
          <w:color w:val="auto"/>
        </w:rPr>
      </w:pPr>
      <w:r>
        <w:rPr>
          <w:rFonts w:ascii="Times New Roman" w:cs="Times New Roman" w:eastAsia="Times New Roman" w:hAnsi="Times New Roman"/>
          <w:sz w:val="18"/>
          <w:szCs w:val="18"/>
          <w:color w:val="auto"/>
        </w:rPr>
        <w:t>Except as otherwise indicated, the unaudited pro forma consolidated financial information presented assumes no exercise by the underwriters of their option to purchase additional shares of Class A common stock in the IPO.</w:t>
      </w:r>
    </w:p>
    <w:p>
      <w:pPr>
        <w:spacing w:after="0" w:line="162" w:lineRule="exact"/>
        <w:rPr>
          <w:sz w:val="20"/>
          <w:szCs w:val="20"/>
          <w:color w:val="auto"/>
        </w:rPr>
      </w:pPr>
    </w:p>
    <w:p>
      <w:pPr>
        <w:ind w:left="160" w:right="140" w:firstLine="436"/>
        <w:spacing w:after="0" w:line="277" w:lineRule="auto"/>
        <w:rPr>
          <w:sz w:val="20"/>
          <w:szCs w:val="20"/>
          <w:color w:val="auto"/>
        </w:rPr>
      </w:pPr>
      <w:r>
        <w:rPr>
          <w:rFonts w:ascii="Times New Roman" w:cs="Times New Roman" w:eastAsia="Times New Roman" w:hAnsi="Times New Roman"/>
          <w:sz w:val="17"/>
          <w:szCs w:val="17"/>
          <w:color w:val="auto"/>
        </w:rPr>
        <w:t>The following unaudited pro forma condensed consolidated financial information is derived from the historical consolidated financial statements of Medline Holdings. The unaudited pro forma condensed consolidated balance sheet as of September 27, 2025 gives effect to the Transactions as if they had occurred on September 27, 2025. The unaudited condensed pro forma consolidated statements of income for the nine months ended September 27, 2025 and the year ended December 31, 2024 gives pro forma effect to the Transactions as if they had occurred on January 1, 2024.</w:t>
      </w:r>
    </w:p>
    <w:p>
      <w:pPr>
        <w:spacing w:after="0" w:line="167" w:lineRule="exact"/>
        <w:rPr>
          <w:sz w:val="20"/>
          <w:szCs w:val="20"/>
          <w:color w:val="auto"/>
        </w:rPr>
      </w:pPr>
    </w:p>
    <w:p>
      <w:pPr>
        <w:ind w:left="160" w:right="160" w:firstLine="436"/>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consolidated financial information was prepared in accordance with Article 11 of Regulation S-X, using the assumptions set forth in the notes to the unaudited pro forma condensed consolidated financial information. The unaudited pro forma condensed consolidated financial information has been adjusted to include transaction accounting adjustments, which reflect the application of the accounting required by GAAP, linking the effects of the Transactions listed above to Medline Holdings’ historical consolidated financial statements.</w:t>
      </w:r>
    </w:p>
    <w:p>
      <w:pPr>
        <w:spacing w:after="0" w:line="180"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For purposes of the unaudited pro forma condensed consolidated financial information, we assumed that shares of Class A common stock were issued by us in the IPO Transactions at the initial public offering price of $29.00 per share, the ownership percentage represented by Common Units not held by Medline Inc. was 39.1%, and net earnings attributable to Common Units and participating Incentive Units not held indirectly by Medline Inc. accordingly represented 40.3% of our net earnings. Because the underwriters’ option to purchase additional shares in the IPO transactions was exercised in full, the ownership percentage represented by Common Units not held by Medline Inc. was 38.2% and net earnings attributable to Common Units and participating Incentive Units not held by Medline Inc. accordingly represented 38.8% of our net earnings.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60"/>
          </w:cols>
          <w:pgMar w:left="320" w:top="451" w:right="5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As a public company, we have implemented additional procedures and processes for the purpose of addressing the standards and requirements applicable to public companies. We expect to incur additional annual expenses related to these additional procedures and processes and, among other things, additional directors’ and officers’ liability insurance; director fees; additional expenses associated with complying with the reporting requirements of the SEC; transfer agent fees; costs relating to additional accounting, legal, and administrative personnel; increased auditing (including audits over the effectiveness of the company’s internal controls), tax, and legal fees; stock exchange listing fees; and other public company expenses. We have not included any pro forma adjustments relating to these costs in the information below.</w:t>
      </w:r>
    </w:p>
    <w:p>
      <w:pPr>
        <w:spacing w:after="0" w:line="184" w:lineRule="exact"/>
        <w:rPr>
          <w:sz w:val="20"/>
          <w:szCs w:val="20"/>
          <w:color w:val="auto"/>
        </w:rPr>
      </w:pPr>
    </w:p>
    <w:p>
      <w:pPr>
        <w:ind w:left="160" w:right="100" w:firstLine="436"/>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consolidated financial information is for illustrative and informational purposes only and is not necessarily indicative of the operating results that would have occurred if the Transactions had been completed as of the dates set forth above, nor is it indicative of the future consolidated results of operations or financial position of Medline Inc. Further, pro forma adjustments represent management’s best estimates based on information available as of the date of this prospectus and are subject to change as additional information becomes available.</w:t>
      </w:r>
    </w:p>
    <w:p>
      <w:pPr>
        <w:spacing w:after="0" w:line="180" w:lineRule="exact"/>
        <w:rPr>
          <w:sz w:val="20"/>
          <w:szCs w:val="20"/>
          <w:color w:val="auto"/>
        </w:rPr>
      </w:pPr>
    </w:p>
    <w:p>
      <w:pPr>
        <w:ind w:left="160" w:right="40" w:firstLine="436"/>
        <w:spacing w:after="0" w:line="263" w:lineRule="auto"/>
        <w:rPr>
          <w:sz w:val="20"/>
          <w:szCs w:val="20"/>
          <w:color w:val="auto"/>
        </w:rPr>
      </w:pPr>
      <w:r>
        <w:rPr>
          <w:rFonts w:ascii="Times New Roman" w:cs="Times New Roman" w:eastAsia="Times New Roman" w:hAnsi="Times New Roman"/>
          <w:sz w:val="18"/>
          <w:szCs w:val="18"/>
          <w:color w:val="auto"/>
        </w:rPr>
        <w:t>The unaudited pro forma condensed consolidated financial information should be read together with “Organizational Structure,” “Use of Proceeds,” “Capitalization,” “Management’s Discussion and Analysis of Financial Condition and Results of Operations,” and the historical consolidated financial statements and related notes thereto included elsewhere in this prospectus.</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80"/>
          </w:cols>
          <w:pgMar w:left="320" w:top="451" w:right="4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BALANCE SHEET</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As of September 27, 2025</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0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7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Medline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540" w:type="dxa"/>
            <w:vAlign w:val="bottom"/>
          </w:tcPr>
          <w:p>
            <w:pPr>
              <w:spacing w:after="0"/>
              <w:rPr>
                <w:sz w:val="13"/>
                <w:szCs w:val="13"/>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9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Reorganization</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b w:val="1"/>
                <w:bCs w:val="1"/>
                <w:color w:val="auto"/>
              </w:rPr>
              <w:t>IPO</w:t>
            </w:r>
          </w:p>
        </w:tc>
        <w:tc>
          <w:tcPr>
            <w:tcW w:w="700" w:type="dxa"/>
            <w:vAlign w:val="bottom"/>
          </w:tcPr>
          <w:p>
            <w:pPr>
              <w:spacing w:after="0"/>
              <w:rPr>
                <w:sz w:val="12"/>
                <w:szCs w:val="12"/>
                <w:color w:val="auto"/>
              </w:rPr>
            </w:pPr>
          </w:p>
        </w:tc>
        <w:tc>
          <w:tcPr>
            <w:tcW w:w="8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7"/>
        </w:trPr>
        <w:tc>
          <w:tcPr>
            <w:tcW w:w="5920" w:type="dxa"/>
            <w:vAlign w:val="bottom"/>
          </w:tcPr>
          <w:p>
            <w:pPr>
              <w:spacing w:after="0"/>
              <w:rPr>
                <w:sz w:val="12"/>
                <w:szCs w:val="12"/>
                <w:color w:val="auto"/>
              </w:rPr>
            </w:pPr>
          </w:p>
        </w:tc>
        <w:tc>
          <w:tcPr>
            <w:tcW w:w="720" w:type="dxa"/>
            <w:vAlign w:val="bottom"/>
            <w:gridSpan w:val="3"/>
          </w:tcPr>
          <w:p>
            <w:pPr>
              <w:jc w:val="right"/>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Holdings</w:t>
            </w:r>
          </w:p>
        </w:tc>
        <w:tc>
          <w:tcPr>
            <w:tcW w:w="140" w:type="dxa"/>
            <w:vAlign w:val="bottom"/>
          </w:tcPr>
          <w:p>
            <w:pPr>
              <w:spacing w:after="0"/>
              <w:rPr>
                <w:sz w:val="12"/>
                <w:szCs w:val="12"/>
                <w:color w:val="auto"/>
              </w:rPr>
            </w:pPr>
          </w:p>
        </w:tc>
        <w:tc>
          <w:tcPr>
            <w:tcW w:w="1120" w:type="dxa"/>
            <w:vAlign w:val="bottom"/>
            <w:gridSpan w:val="3"/>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Transactions</w:t>
            </w:r>
          </w:p>
        </w:tc>
        <w:tc>
          <w:tcPr>
            <w:tcW w:w="540" w:type="dxa"/>
            <w:vAlign w:val="bottom"/>
          </w:tcPr>
          <w:p>
            <w:pPr>
              <w:spacing w:after="0"/>
              <w:rPr>
                <w:sz w:val="12"/>
                <w:szCs w:val="12"/>
                <w:color w:val="auto"/>
              </w:rPr>
            </w:pPr>
          </w:p>
        </w:tc>
        <w:tc>
          <w:tcPr>
            <w:tcW w:w="96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Transactions</w:t>
            </w:r>
          </w:p>
        </w:tc>
        <w:tc>
          <w:tcPr>
            <w:tcW w:w="7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9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40" w:type="dxa"/>
            <w:vAlign w:val="bottom"/>
          </w:tcPr>
          <w:p>
            <w:pPr>
              <w:spacing w:after="0"/>
              <w:rPr>
                <w:sz w:val="14"/>
                <w:szCs w:val="14"/>
                <w:color w:val="auto"/>
              </w:rPr>
            </w:pP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Medline Inc.</w:t>
            </w:r>
          </w:p>
        </w:tc>
        <w:tc>
          <w:tcPr>
            <w:tcW w:w="0" w:type="dxa"/>
            <w:vAlign w:val="bottom"/>
          </w:tcPr>
          <w:p>
            <w:pPr>
              <w:spacing w:after="0"/>
              <w:rPr>
                <w:sz w:val="1"/>
                <w:szCs w:val="1"/>
                <w:color w:val="auto"/>
              </w:rPr>
            </w:pPr>
          </w:p>
        </w:tc>
      </w:tr>
      <w:tr>
        <w:trPr>
          <w:trHeight w:val="194"/>
        </w:trPr>
        <w:tc>
          <w:tcPr>
            <w:tcW w:w="592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952</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1,013</w:t>
            </w: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accounts receivable, net of allowance for credit losses of $152</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w:t>
            </w: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988</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10,546</w:t>
            </w:r>
          </w:p>
        </w:tc>
        <w:tc>
          <w:tcPr>
            <w:tcW w:w="0" w:type="dxa"/>
            <w:vAlign w:val="bottom"/>
          </w:tcPr>
          <w:p>
            <w:pPr>
              <w:spacing w:after="0"/>
              <w:rPr>
                <w:sz w:val="1"/>
                <w:szCs w:val="1"/>
                <w:color w:val="auto"/>
              </w:rPr>
            </w:pPr>
          </w:p>
        </w:tc>
      </w:tr>
      <w:tr>
        <w:trPr>
          <w:trHeight w:val="21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asset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165</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w:t>
            </w:r>
          </w:p>
        </w:tc>
        <w:tc>
          <w:tcPr>
            <w:tcW w:w="180" w:type="dxa"/>
            <w:vAlign w:val="bottom"/>
          </w:tcPr>
          <w:p>
            <w:pPr>
              <w:spacing w:after="0"/>
              <w:rPr>
                <w:sz w:val="18"/>
                <w:szCs w:val="18"/>
                <w:color w:val="auto"/>
              </w:rPr>
            </w:pPr>
          </w:p>
        </w:tc>
        <w:tc>
          <w:tcPr>
            <w:tcW w:w="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424</w:t>
            </w:r>
          </w:p>
        </w:tc>
        <w:tc>
          <w:tcPr>
            <w:tcW w:w="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w:t>
            </w: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14,068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14,068</w:t>
            </w: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assets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27"/>
        </w:trPr>
        <w:tc>
          <w:tcPr>
            <w:tcW w:w="5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22,635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6"/>
              </w:rPr>
              <w:t>165</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88"/>
              </w:rPr>
              <w:t>424</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36,883</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165</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1,412</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38,460</w:t>
            </w:r>
          </w:p>
        </w:tc>
        <w:tc>
          <w:tcPr>
            <w:tcW w:w="0" w:type="dxa"/>
            <w:vAlign w:val="bottom"/>
          </w:tcPr>
          <w:p>
            <w:pPr>
              <w:spacing w:after="0"/>
              <w:rPr>
                <w:sz w:val="1"/>
                <w:szCs w:val="1"/>
                <w:color w:val="auto"/>
              </w:rPr>
            </w:pPr>
          </w:p>
        </w:tc>
      </w:tr>
      <w:tr>
        <w:trPr>
          <w:trHeight w:val="198"/>
        </w:trPr>
        <w:tc>
          <w:tcPr>
            <w:tcW w:w="5920" w:type="dxa"/>
            <w:vAlign w:val="bottom"/>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LIABILITIES, MEZZANINE EQUITY AND PARTNERS’ CAPITAL /</w:t>
            </w: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borrowings and other short-term borrowings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14"/>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(c)(e)</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borrowings, less current portion</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16,501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(3,951)</w:t>
            </w:r>
          </w:p>
        </w:tc>
        <w:tc>
          <w:tcPr>
            <w:tcW w:w="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w:t>
            </w: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12,550</w:t>
            </w: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 liability</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325</w:t>
            </w: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17,130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(3,626)</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16,638</w:t>
            </w:r>
          </w:p>
        </w:tc>
        <w:tc>
          <w:tcPr>
            <w:tcW w:w="0" w:type="dxa"/>
            <w:vAlign w:val="bottom"/>
          </w:tcPr>
          <w:p>
            <w:pPr>
              <w:spacing w:after="0"/>
              <w:rPr>
                <w:sz w:val="1"/>
                <w:szCs w:val="1"/>
                <w:color w:val="auto"/>
              </w:rPr>
            </w:pPr>
          </w:p>
        </w:tc>
      </w:tr>
      <w:tr>
        <w:trPr>
          <w:trHeight w:val="221"/>
        </w:trPr>
        <w:tc>
          <w:tcPr>
            <w:tcW w:w="5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19,742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Mezzanine equity</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920" w:type="dxa"/>
            <w:vAlign w:val="bottom"/>
            <w:shd w:val="clear" w:color="auto" w:fill="CCEEFF"/>
          </w:tcPr>
          <w:p>
            <w:pPr>
              <w:ind w:left="360"/>
              <w:spacing w:after="0" w:line="195" w:lineRule="exact"/>
              <w:rPr>
                <w:sz w:val="20"/>
                <w:szCs w:val="20"/>
                <w:color w:val="auto"/>
              </w:rPr>
            </w:pPr>
            <w:r>
              <w:rPr>
                <w:rFonts w:ascii="Times New Roman" w:cs="Times New Roman" w:eastAsia="Times New Roman" w:hAnsi="Times New Roman"/>
                <w:sz w:val="18"/>
                <w:szCs w:val="18"/>
                <w:color w:val="auto"/>
              </w:rPr>
              <w:t>Class A Units, no par value; 128 units issued and outstanding as of</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September 27, 2025</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(240)</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6"/>
        </w:trPr>
        <w:tc>
          <w:tcPr>
            <w:tcW w:w="5920" w:type="dxa"/>
            <w:vAlign w:val="bottom"/>
          </w:tcPr>
          <w:p>
            <w:pPr>
              <w:ind w:left="360"/>
              <w:spacing w:after="0" w:line="195" w:lineRule="exact"/>
              <w:rPr>
                <w:sz w:val="20"/>
                <w:szCs w:val="20"/>
                <w:color w:val="auto"/>
              </w:rPr>
            </w:pPr>
            <w:r>
              <w:rPr>
                <w:rFonts w:ascii="Times New Roman" w:cs="Times New Roman" w:eastAsia="Times New Roman" w:hAnsi="Times New Roman"/>
                <w:sz w:val="18"/>
                <w:szCs w:val="18"/>
                <w:color w:val="auto"/>
              </w:rPr>
              <w:t>Stock-based compensation, no par value; 101 units outstanding as of</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September 27, 2025</w:t>
            </w: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w:t>
            </w:r>
          </w:p>
        </w:tc>
        <w:tc>
          <w:tcPr>
            <w:tcW w:w="180" w:type="dxa"/>
            <w:vAlign w:val="bottom"/>
          </w:tcPr>
          <w:p>
            <w:pPr>
              <w:spacing w:after="0"/>
              <w:rPr>
                <w:sz w:val="20"/>
                <w:szCs w:val="20"/>
                <w:color w:val="auto"/>
              </w:rPr>
            </w:pPr>
          </w:p>
        </w:tc>
        <w:tc>
          <w:tcPr>
            <w:tcW w:w="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mezzanine equity</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(367)</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62"/>
        </w:trPr>
        <w:tc>
          <w:tcPr>
            <w:tcW w:w="5920" w:type="dxa"/>
            <w:vAlign w:val="bottom"/>
          </w:tcPr>
          <w:p>
            <w:pPr>
              <w:ind w:left="538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1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Medline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7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Reorganization</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IPO</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7"/>
        </w:trPr>
        <w:tc>
          <w:tcPr>
            <w:tcW w:w="5720" w:type="dxa"/>
            <w:vAlign w:val="bottom"/>
          </w:tcPr>
          <w:p>
            <w:pPr>
              <w:spacing w:after="0"/>
              <w:rPr>
                <w:sz w:val="12"/>
                <w:szCs w:val="12"/>
                <w:color w:val="auto"/>
              </w:rPr>
            </w:pPr>
          </w:p>
        </w:tc>
        <w:tc>
          <w:tcPr>
            <w:tcW w:w="62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b w:val="1"/>
                <w:bCs w:val="1"/>
                <w:color w:val="auto"/>
              </w:rPr>
              <w:t>Holdings</w:t>
            </w:r>
          </w:p>
        </w:tc>
        <w:tc>
          <w:tcPr>
            <w:tcW w:w="240" w:type="dxa"/>
            <w:vAlign w:val="bottom"/>
          </w:tcPr>
          <w:p>
            <w:pPr>
              <w:spacing w:after="0"/>
              <w:rPr>
                <w:sz w:val="12"/>
                <w:szCs w:val="12"/>
                <w:color w:val="auto"/>
              </w:rPr>
            </w:pPr>
          </w:p>
        </w:tc>
        <w:tc>
          <w:tcPr>
            <w:tcW w:w="1120" w:type="dxa"/>
            <w:vAlign w:val="bottom"/>
            <w:gridSpan w:val="3"/>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Transactions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Transactions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72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Historical</w:t>
            </w:r>
          </w:p>
        </w:tc>
        <w:tc>
          <w:tcPr>
            <w:tcW w:w="240" w:type="dxa"/>
            <w:vAlign w:val="bottom"/>
          </w:tcPr>
          <w:p>
            <w:pPr>
              <w:spacing w:after="0"/>
              <w:rPr>
                <w:sz w:val="14"/>
                <w:szCs w:val="14"/>
                <w:color w:val="auto"/>
              </w:rPr>
            </w:pP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8"/>
              </w:rPr>
              <w:t>Medline Inc.</w:t>
            </w:r>
          </w:p>
        </w:tc>
        <w:tc>
          <w:tcPr>
            <w:tcW w:w="0" w:type="dxa"/>
            <w:vAlign w:val="bottom"/>
          </w:tcPr>
          <w:p>
            <w:pPr>
              <w:spacing w:after="0"/>
              <w:rPr>
                <w:sz w:val="1"/>
                <w:szCs w:val="1"/>
                <w:color w:val="auto"/>
              </w:rPr>
            </w:pPr>
          </w:p>
        </w:tc>
      </w:tr>
      <w:tr>
        <w:trPr>
          <w:trHeight w:val="194"/>
        </w:trPr>
        <w:tc>
          <w:tcPr>
            <w:tcW w:w="572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Partners’ capital / Shareholders’ equity</w:t>
            </w:r>
          </w:p>
        </w:tc>
        <w:tc>
          <w:tcPr>
            <w:tcW w:w="6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20" w:type="dxa"/>
            <w:vAlign w:val="bottom"/>
          </w:tcPr>
          <w:p>
            <w:pPr>
              <w:ind w:left="360"/>
              <w:spacing w:after="0" w:line="195" w:lineRule="exact"/>
              <w:rPr>
                <w:sz w:val="20"/>
                <w:szCs w:val="20"/>
                <w:color w:val="auto"/>
              </w:rPr>
            </w:pPr>
            <w:r>
              <w:rPr>
                <w:rFonts w:ascii="Times New Roman" w:cs="Times New Roman" w:eastAsia="Times New Roman" w:hAnsi="Times New Roman"/>
                <w:sz w:val="18"/>
                <w:szCs w:val="18"/>
                <w:color w:val="auto"/>
              </w:rPr>
              <w:t>Class A Units, no par value, 16,723 units issued and outstanding as of</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September 27, 2025</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16,524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(16,524)</w:t>
            </w:r>
          </w:p>
        </w:tc>
        <w:tc>
          <w:tcPr>
            <w:tcW w:w="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6"/>
        </w:trPr>
        <w:tc>
          <w:tcPr>
            <w:tcW w:w="5720" w:type="dxa"/>
            <w:vAlign w:val="bottom"/>
            <w:shd w:val="clear" w:color="auto" w:fill="CCEEFF"/>
          </w:tcPr>
          <w:p>
            <w:pPr>
              <w:ind w:left="360"/>
              <w:spacing w:after="0" w:line="195" w:lineRule="exact"/>
              <w:rPr>
                <w:sz w:val="20"/>
                <w:szCs w:val="20"/>
                <w:color w:val="auto"/>
              </w:rPr>
            </w:pPr>
            <w:r>
              <w:rPr>
                <w:rFonts w:ascii="Times New Roman" w:cs="Times New Roman" w:eastAsia="Times New Roman" w:hAnsi="Times New Roman"/>
                <w:sz w:val="18"/>
                <w:szCs w:val="18"/>
                <w:color w:val="auto"/>
              </w:rPr>
              <w:t>Class B Units, no par value, 734 units issued and outstanding as of</w:t>
            </w: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September 27, 2025</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w:t>
            </w:r>
          </w:p>
        </w:tc>
        <w:tc>
          <w:tcPr>
            <w:tcW w:w="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6"/>
        </w:trPr>
        <w:tc>
          <w:tcPr>
            <w:tcW w:w="5720" w:type="dxa"/>
            <w:vAlign w:val="bottom"/>
          </w:tcPr>
          <w:p>
            <w:pPr>
              <w:ind w:left="360"/>
              <w:spacing w:after="0" w:line="195" w:lineRule="exact"/>
              <w:rPr>
                <w:sz w:val="20"/>
                <w:szCs w:val="20"/>
                <w:color w:val="auto"/>
              </w:rPr>
            </w:pPr>
            <w:r>
              <w:rPr>
                <w:rFonts w:ascii="Times New Roman" w:cs="Times New Roman" w:eastAsia="Times New Roman" w:hAnsi="Times New Roman"/>
                <w:sz w:val="18"/>
                <w:szCs w:val="18"/>
                <w:color w:val="auto"/>
              </w:rPr>
              <w:t>Class B CUPI Units, no par value, 23 units issued and outstanding as of</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September 27, 2025</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1"/>
        </w:trPr>
        <w:tc>
          <w:tcPr>
            <w:tcW w:w="57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partners’ capital</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(16,746)</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720" w:type="dxa"/>
            <w:vAlign w:val="bottom"/>
            <w:shd w:val="clear" w:color="auto" w:fill="CCEEFF"/>
          </w:tcPr>
          <w:p>
            <w:pPr>
              <w:ind w:left="360"/>
              <w:spacing w:after="0" w:line="195" w:lineRule="exact"/>
              <w:rPr>
                <w:sz w:val="20"/>
                <w:szCs w:val="20"/>
                <w:color w:val="auto"/>
              </w:rPr>
            </w:pPr>
            <w:r>
              <w:rPr>
                <w:rFonts w:ascii="Times New Roman" w:cs="Times New Roman" w:eastAsia="Times New Roman" w:hAnsi="Times New Roman"/>
                <w:sz w:val="18"/>
                <w:szCs w:val="18"/>
                <w:color w:val="auto"/>
              </w:rPr>
              <w:t>Class A common stock, par value $0.0001 per share; 800 shares issued</w:t>
            </w: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and outstanding on a pro forma basis</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6"/>
        </w:trPr>
        <w:tc>
          <w:tcPr>
            <w:tcW w:w="5720" w:type="dxa"/>
            <w:vAlign w:val="bottom"/>
          </w:tcPr>
          <w:p>
            <w:pPr>
              <w:ind w:left="360"/>
              <w:spacing w:after="0" w:line="195" w:lineRule="exact"/>
              <w:rPr>
                <w:sz w:val="20"/>
                <w:szCs w:val="20"/>
                <w:color w:val="auto"/>
              </w:rPr>
            </w:pPr>
            <w:r>
              <w:rPr>
                <w:rFonts w:ascii="Times New Roman" w:cs="Times New Roman" w:eastAsia="Times New Roman" w:hAnsi="Times New Roman"/>
                <w:sz w:val="18"/>
                <w:szCs w:val="18"/>
                <w:color w:val="auto"/>
              </w:rPr>
              <w:t>Class B common stock, par value $0.0001 per share; 514 shares issued</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outstanding on a pro forma basis</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(c)(g)</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1"/>
        </w:trPr>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6,178</w:t>
            </w:r>
          </w:p>
        </w:tc>
        <w:tc>
          <w:tcPr>
            <w:tcW w:w="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(a)(b)</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4,168</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10,346</w:t>
            </w:r>
          </w:p>
        </w:tc>
        <w:tc>
          <w:tcPr>
            <w:tcW w:w="0" w:type="dxa"/>
            <w:vAlign w:val="bottom"/>
          </w:tcPr>
          <w:p>
            <w:pPr>
              <w:spacing w:after="0"/>
              <w:rPr>
                <w:sz w:val="1"/>
                <w:szCs w:val="1"/>
                <w:color w:val="auto"/>
              </w:rPr>
            </w:pPr>
          </w:p>
        </w:tc>
      </w:tr>
      <w:tr>
        <w:trPr>
          <w:trHeight w:val="196"/>
        </w:trPr>
        <w:tc>
          <w:tcPr>
            <w:tcW w:w="5720" w:type="dxa"/>
            <w:vAlign w:val="bottom"/>
            <w:shd w:val="clear" w:color="auto" w:fill="CCEEFF"/>
          </w:tcPr>
          <w:p>
            <w:pPr>
              <w:ind w:left="720"/>
              <w:spacing w:after="0" w:line="195" w:lineRule="exact"/>
              <w:rPr>
                <w:sz w:val="20"/>
                <w:szCs w:val="20"/>
                <w:color w:val="auto"/>
              </w:rPr>
            </w:pPr>
            <w:r>
              <w:rPr>
                <w:rFonts w:ascii="Times New Roman" w:cs="Times New Roman" w:eastAsia="Times New Roman" w:hAnsi="Times New Roman"/>
                <w:sz w:val="18"/>
                <w:szCs w:val="18"/>
                <w:color w:val="auto"/>
              </w:rPr>
              <w:t>Total partners’ capital / shareholders’ equity attributable to</w:t>
            </w: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720" w:type="dxa"/>
            <w:vAlign w:val="bottom"/>
            <w:shd w:val="clear" w:color="auto" w:fill="CCEEFF"/>
          </w:tcPr>
          <w:p>
            <w:pPr>
              <w:ind w:left="900"/>
              <w:spacing w:after="0" w:line="232" w:lineRule="exact"/>
              <w:rPr>
                <w:sz w:val="20"/>
                <w:szCs w:val="20"/>
                <w:color w:val="auto"/>
              </w:rPr>
            </w:pPr>
            <w:r>
              <w:rPr>
                <w:rFonts w:ascii="Times New Roman" w:cs="Times New Roman" w:eastAsia="Times New Roman" w:hAnsi="Times New Roman"/>
                <w:sz w:val="18"/>
                <w:szCs w:val="18"/>
                <w:color w:val="auto"/>
              </w:rPr>
              <w:t>Medline Holdings / Medline Inc.</w:t>
            </w:r>
            <w:r>
              <w:rPr>
                <w:rFonts w:ascii="Times New Roman" w:cs="Times New Roman" w:eastAsia="Times New Roman" w:hAnsi="Times New Roman"/>
                <w:sz w:val="26"/>
                <w:szCs w:val="26"/>
                <w:color w:val="auto"/>
                <w:vertAlign w:val="superscript"/>
              </w:rPr>
              <w:t>(1)</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16,774</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(10,568)</w:t>
            </w: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4,148</w:t>
            </w:r>
          </w:p>
        </w:tc>
        <w:tc>
          <w:tcPr>
            <w:tcW w:w="5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10,354</w:t>
            </w:r>
          </w:p>
        </w:tc>
        <w:tc>
          <w:tcPr>
            <w:tcW w:w="0" w:type="dxa"/>
            <w:vAlign w:val="bottom"/>
          </w:tcPr>
          <w:p>
            <w:pPr>
              <w:spacing w:after="0"/>
              <w:rPr>
                <w:sz w:val="1"/>
                <w:szCs w:val="1"/>
                <w:color w:val="auto"/>
              </w:rPr>
            </w:pPr>
          </w:p>
        </w:tc>
      </w:tr>
      <w:tr>
        <w:trPr>
          <w:trHeight w:val="227"/>
        </w:trPr>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7,966</w:t>
            </w:r>
          </w:p>
        </w:tc>
        <w:tc>
          <w:tcPr>
            <w:tcW w:w="180" w:type="dxa"/>
            <w:vAlign w:val="bottom"/>
          </w:tcPr>
          <w:p>
            <w:pPr>
              <w:spacing w:after="0"/>
              <w:rPr>
                <w:sz w:val="19"/>
                <w:szCs w:val="19"/>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88"/>
              </w:rPr>
              <w:t>953</w:t>
            </w:r>
          </w:p>
        </w:tc>
        <w:tc>
          <w:tcPr>
            <w:tcW w:w="200" w:type="dxa"/>
            <w:vAlign w:val="bottom"/>
          </w:tcPr>
          <w:p>
            <w:pPr>
              <w:spacing w:after="0"/>
              <w:rPr>
                <w:sz w:val="19"/>
                <w:szCs w:val="19"/>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w:t>
            </w:r>
          </w:p>
        </w:tc>
        <w:tc>
          <w:tcPr>
            <w:tcW w:w="1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7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partners’ capital / shareholders’ equity</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(2,602)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5,101</w:t>
            </w:r>
          </w:p>
        </w:tc>
        <w:tc>
          <w:tcPr>
            <w:tcW w:w="5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19,273</w:t>
            </w:r>
          </w:p>
        </w:tc>
        <w:tc>
          <w:tcPr>
            <w:tcW w:w="0" w:type="dxa"/>
            <w:vAlign w:val="bottom"/>
          </w:tcPr>
          <w:p>
            <w:pPr>
              <w:spacing w:after="0"/>
              <w:rPr>
                <w:sz w:val="1"/>
                <w:szCs w:val="1"/>
                <w:color w:val="auto"/>
              </w:rPr>
            </w:pPr>
          </w:p>
        </w:tc>
      </w:tr>
      <w:tr>
        <w:trPr>
          <w:trHeight w:val="221"/>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mezzanine equity and partners’ capital / shareholders’ equity</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36,883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38,460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8" w:lineRule="exact"/>
        <w:rPr>
          <w:sz w:val="20"/>
          <w:szCs w:val="20"/>
          <w:color w:val="auto"/>
        </w:rPr>
      </w:pPr>
    </w:p>
    <w:p>
      <w:pPr>
        <w:ind w:left="600" w:right="460" w:hanging="433"/>
        <w:spacing w:after="0" w:line="255" w:lineRule="auto"/>
        <w:tabs>
          <w:tab w:leader="none" w:pos="6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historical amounts, represents total partners’ capital attributable to Medline Holdings. For Pro Forma amounts, represents total partners’/shareholders’ equity attributable to Medline Inc.</w:t>
      </w:r>
    </w:p>
    <w:p>
      <w:pPr>
        <w:spacing w:after="0" w:line="1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80"/>
          </w:cols>
          <w:pgMar w:left="320" w:top="451" w:right="4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STATEMENT OF INCOME</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27, 2025</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20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Medline</w:t>
            </w:r>
          </w:p>
        </w:tc>
        <w:tc>
          <w:tcPr>
            <w:tcW w:w="100" w:type="dxa"/>
            <w:vAlign w:val="bottom"/>
          </w:tcPr>
          <w:p>
            <w:pPr>
              <w:spacing w:after="0"/>
              <w:rPr>
                <w:sz w:val="13"/>
                <w:szCs w:val="13"/>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640" w:type="dxa"/>
            <w:vAlign w:val="bottom"/>
          </w:tcPr>
          <w:p>
            <w:pPr>
              <w:spacing w:after="0"/>
              <w:rPr>
                <w:sz w:val="13"/>
                <w:szCs w:val="13"/>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Reorganization</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b w:val="1"/>
                <w:bCs w:val="1"/>
                <w:color w:val="auto"/>
              </w:rPr>
              <w:t>IPO</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3"/>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Holdings</w:t>
            </w:r>
          </w:p>
        </w:tc>
        <w:tc>
          <w:tcPr>
            <w:tcW w:w="100" w:type="dxa"/>
            <w:vAlign w:val="bottom"/>
          </w:tcPr>
          <w:p>
            <w:pPr>
              <w:spacing w:after="0"/>
              <w:rPr>
                <w:sz w:val="12"/>
                <w:szCs w:val="12"/>
                <w:color w:val="auto"/>
              </w:rPr>
            </w:pPr>
          </w:p>
        </w:tc>
        <w:tc>
          <w:tcPr>
            <w:tcW w:w="1140" w:type="dxa"/>
            <w:vAlign w:val="bottom"/>
            <w:gridSpan w:val="3"/>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Transactions</w:t>
            </w:r>
          </w:p>
        </w:tc>
        <w:tc>
          <w:tcPr>
            <w:tcW w:w="640" w:type="dxa"/>
            <w:vAlign w:val="bottom"/>
          </w:tcPr>
          <w:p>
            <w:pPr>
              <w:spacing w:after="0"/>
              <w:rPr>
                <w:sz w:val="12"/>
                <w:szCs w:val="12"/>
                <w:color w:val="auto"/>
              </w:rPr>
            </w:pPr>
          </w:p>
        </w:tc>
        <w:tc>
          <w:tcPr>
            <w:tcW w:w="1040" w:type="dxa"/>
            <w:vAlign w:val="bottom"/>
            <w:gridSpan w:val="3"/>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Transactions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64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Medline Inc.</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20,645</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20,645</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5,604</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(k)</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3,276</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expense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1,770</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198</w:t>
            </w:r>
          </w:p>
        </w:tc>
        <w:tc>
          <w:tcPr>
            <w:tcW w:w="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(448)</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loss, net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88"/>
              </w:rPr>
              <w:t>198</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181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1,223</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101</w:t>
            </w: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(h)</w:t>
            </w:r>
          </w:p>
        </w:tc>
        <w:tc>
          <w:tcPr>
            <w:tcW w:w="2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(h)</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(101)</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1,017</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88"/>
              </w:rPr>
              <w:t>454</w:t>
            </w:r>
          </w:p>
        </w:tc>
        <w:tc>
          <w:tcPr>
            <w:tcW w:w="220" w:type="dxa"/>
            <w:vAlign w:val="bottom"/>
          </w:tcPr>
          <w:p>
            <w:pPr>
              <w:spacing w:after="0"/>
              <w:rPr>
                <w:sz w:val="19"/>
                <w:szCs w:val="19"/>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w:t>
            </w:r>
          </w:p>
        </w:tc>
        <w:tc>
          <w:tcPr>
            <w:tcW w:w="2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9"/>
                <w:szCs w:val="19"/>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w:t>
            </w: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4260" w:type="dxa"/>
            <w:vAlign w:val="bottom"/>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b w:val="1"/>
                <w:bCs w:val="1"/>
                <w:color w:val="auto"/>
              </w:rPr>
              <w:t>Net income (loss) attributable to</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Medline Inc.</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977</w:t>
            </w:r>
          </w:p>
        </w:tc>
        <w:tc>
          <w:tcPr>
            <w:tcW w:w="42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(555)</w:t>
            </w: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129</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551</w:t>
            </w:r>
          </w:p>
        </w:tc>
        <w:tc>
          <w:tcPr>
            <w:tcW w:w="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 Forma Net Income Per Share:</w:t>
            </w: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2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2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220" w:type="dxa"/>
            <w:vAlign w:val="bottom"/>
          </w:tcPr>
          <w:p>
            <w:pPr>
              <w:spacing w:after="0"/>
              <w:rPr>
                <w:sz w:val="18"/>
                <w:szCs w:val="18"/>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26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8"/>
                <w:szCs w:val="18"/>
                <w:b w:val="1"/>
                <w:bCs w:val="1"/>
                <w:color w:val="auto"/>
              </w:rPr>
              <w:t>Pro Forma Number of Shares Used in Computing</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Income Per Share:</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798,168,619</w:t>
            </w:r>
          </w:p>
        </w:tc>
        <w:tc>
          <w:tcPr>
            <w:tcW w:w="220" w:type="dxa"/>
            <w:vAlign w:val="bottom"/>
          </w:tcPr>
          <w:p>
            <w:pPr>
              <w:spacing w:after="0"/>
              <w:rPr>
                <w:sz w:val="18"/>
                <w:szCs w:val="18"/>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1,329,778,049</w:t>
            </w:r>
          </w:p>
        </w:tc>
        <w:tc>
          <w:tcPr>
            <w:tcW w:w="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4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2" w:right="4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 PRO FORMA CONSOLIDATED STATEMENT OF INCOME</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20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Medline</w:t>
            </w:r>
          </w:p>
        </w:tc>
        <w:tc>
          <w:tcPr>
            <w:tcW w:w="180" w:type="dxa"/>
            <w:vAlign w:val="bottom"/>
          </w:tcPr>
          <w:p>
            <w:pPr>
              <w:spacing w:after="0"/>
              <w:rPr>
                <w:sz w:val="13"/>
                <w:szCs w:val="13"/>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620" w:type="dxa"/>
            <w:vAlign w:val="bottom"/>
          </w:tcPr>
          <w:p>
            <w:pPr>
              <w:spacing w:after="0"/>
              <w:rPr>
                <w:sz w:val="13"/>
                <w:szCs w:val="13"/>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Reorganization</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b w:val="1"/>
                <w:bCs w:val="1"/>
                <w:color w:val="auto"/>
              </w:rPr>
              <w:t>IPO</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260" w:type="dxa"/>
            <w:vAlign w:val="bottom"/>
          </w:tcPr>
          <w:p>
            <w:pPr>
              <w:spacing w:after="0"/>
              <w:rPr>
                <w:sz w:val="12"/>
                <w:szCs w:val="12"/>
                <w:color w:val="auto"/>
              </w:rPr>
            </w:pPr>
          </w:p>
        </w:tc>
        <w:tc>
          <w:tcPr>
            <w:tcW w:w="1000" w:type="dxa"/>
            <w:vAlign w:val="bottom"/>
            <w:gridSpan w:val="3"/>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Holdings</w:t>
            </w:r>
          </w:p>
        </w:tc>
        <w:tc>
          <w:tcPr>
            <w:tcW w:w="180" w:type="dxa"/>
            <w:vAlign w:val="bottom"/>
          </w:tcPr>
          <w:p>
            <w:pPr>
              <w:spacing w:after="0"/>
              <w:rPr>
                <w:sz w:val="12"/>
                <w:szCs w:val="12"/>
                <w:color w:val="auto"/>
              </w:rPr>
            </w:pPr>
          </w:p>
        </w:tc>
        <w:tc>
          <w:tcPr>
            <w:tcW w:w="1160" w:type="dxa"/>
            <w:vAlign w:val="bottom"/>
            <w:gridSpan w:val="3"/>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Transactions</w:t>
            </w:r>
          </w:p>
        </w:tc>
        <w:tc>
          <w:tcPr>
            <w:tcW w:w="620" w:type="dxa"/>
            <w:vAlign w:val="bottom"/>
          </w:tcPr>
          <w:p>
            <w:pPr>
              <w:spacing w:after="0"/>
              <w:rPr>
                <w:sz w:val="12"/>
                <w:szCs w:val="12"/>
                <w:color w:val="auto"/>
              </w:rPr>
            </w:pPr>
          </w:p>
        </w:tc>
        <w:tc>
          <w:tcPr>
            <w:tcW w:w="1040" w:type="dxa"/>
            <w:vAlign w:val="bottom"/>
            <w:gridSpan w:val="3"/>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Transactions</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60" w:type="dxa"/>
            <w:vAlign w:val="bottom"/>
          </w:tcPr>
          <w:p>
            <w:pPr>
              <w:spacing w:after="0"/>
              <w:rPr>
                <w:sz w:val="14"/>
                <w:szCs w:val="14"/>
                <w:color w:val="auto"/>
              </w:rPr>
            </w:pP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8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2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Medline Inc.</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25,507</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center"/>
              <w:ind w:right="18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25,507</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6,976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6,976</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60" w:type="dxa"/>
            <w:vAlign w:val="bottom"/>
            <w:shd w:val="clear" w:color="auto" w:fill="CCEEFF"/>
          </w:tcPr>
          <w:p>
            <w:pPr>
              <w:ind w:left="360"/>
              <w:spacing w:after="0" w:line="195"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4,108</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167</w:t>
            </w:r>
          </w:p>
        </w:tc>
        <w:tc>
          <w:tcPr>
            <w:tcW w:w="1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(j)(k)(m)</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4,275</w:t>
            </w:r>
          </w:p>
        </w:tc>
        <w:tc>
          <w:tcPr>
            <w:tcW w:w="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expense</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w:t>
            </w: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88"/>
              </w:rPr>
              <w:t>167</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2,146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1,979</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366</w:t>
            </w:r>
          </w:p>
        </w:tc>
        <w:tc>
          <w:tcPr>
            <w:tcW w:w="1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(l)</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(498)</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(l)</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88"/>
              </w:rPr>
              <w:t>302</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1,246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135</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1,381</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123</w:t>
            </w:r>
          </w:p>
        </w:tc>
        <w:tc>
          <w:tcPr>
            <w:tcW w:w="22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(h)</w:t>
            </w:r>
          </w:p>
        </w:tc>
        <w:tc>
          <w:tcPr>
            <w:tcW w:w="2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(h)</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(123)</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1,177</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6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Net income (loss) attributable to noncontrolling</w:t>
            </w: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interests</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558</w:t>
            </w:r>
          </w:p>
        </w:tc>
        <w:tc>
          <w:tcPr>
            <w:tcW w:w="22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w:t>
            </w:r>
          </w:p>
        </w:tc>
        <w:tc>
          <w:tcPr>
            <w:tcW w:w="2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(i)</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538</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 (loss) attributable to Medline Inc.</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(681)</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120</w:t>
            </w:r>
          </w:p>
        </w:tc>
        <w:tc>
          <w:tcPr>
            <w:tcW w:w="10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639</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 Forma Net Income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2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2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220" w:type="dxa"/>
            <w:vAlign w:val="bottom"/>
          </w:tcPr>
          <w:p>
            <w:pPr>
              <w:spacing w:after="0"/>
              <w:rPr>
                <w:sz w:val="18"/>
                <w:szCs w:val="18"/>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26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8"/>
                <w:szCs w:val="18"/>
                <w:b w:val="1"/>
                <w:bCs w:val="1"/>
                <w:color w:val="auto"/>
              </w:rPr>
              <w:t>Pro Forma Number of Shares Used in Computing</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Income Per Share:</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797,952,430</w:t>
            </w:r>
          </w:p>
        </w:tc>
        <w:tc>
          <w:tcPr>
            <w:tcW w:w="220" w:type="dxa"/>
            <w:vAlign w:val="bottom"/>
          </w:tcPr>
          <w:p>
            <w:pPr>
              <w:spacing w:after="0"/>
              <w:rPr>
                <w:sz w:val="18"/>
                <w:szCs w:val="18"/>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71"/>
              </w:rPr>
              <w:t> </w:t>
            </w:r>
          </w:p>
        </w:tc>
        <w:tc>
          <w:tcPr>
            <w:tcW w:w="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1,327,322,578</w:t>
            </w:r>
          </w:p>
        </w:tc>
        <w:tc>
          <w:tcPr>
            <w:tcW w:w="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vMerge w:val="restart"/>
          </w:tcPr>
          <w:p>
            <w:pPr>
              <w:jc w:val="center"/>
              <w:ind w:right="26"/>
              <w:spacing w:after="0"/>
              <w:rPr>
                <w:sz w:val="20"/>
                <w:szCs w:val="20"/>
                <w:color w:val="auto"/>
              </w:rPr>
            </w:pPr>
            <w:r>
              <w:rPr>
                <w:rFonts w:ascii="Times New Roman" w:cs="Times New Roman" w:eastAsia="Times New Roman" w:hAnsi="Times New Roman"/>
                <w:sz w:val="18"/>
                <w:szCs w:val="18"/>
                <w:color w:val="auto"/>
                <w:w w:val="99"/>
              </w:rPr>
              <w:t>91</w:t>
            </w: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CONSOLIDATED FINANCIAL INFORMATION</w:t>
      </w:r>
    </w:p>
    <w:p>
      <w:pPr>
        <w:spacing w:after="0" w:line="248" w:lineRule="exact"/>
        <w:rPr>
          <w:sz w:val="20"/>
          <w:szCs w:val="20"/>
          <w:color w:val="auto"/>
        </w:rPr>
      </w:pPr>
    </w:p>
    <w:p>
      <w:pPr>
        <w:ind w:left="600" w:hanging="433"/>
        <w:spacing w:after="0"/>
        <w:tabs>
          <w:tab w:leader="none" w:pos="6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Reorganization Transactions and IPO Transactions</w:t>
      </w:r>
    </w:p>
    <w:p>
      <w:pPr>
        <w:spacing w:after="0" w:line="118" w:lineRule="exact"/>
        <w:rPr>
          <w:sz w:val="20"/>
          <w:szCs w:val="20"/>
          <w:color w:val="auto"/>
        </w:rPr>
      </w:pPr>
    </w:p>
    <w:p>
      <w:pPr>
        <w:ind w:left="160" w:right="60" w:firstLine="436"/>
        <w:spacing w:after="0" w:line="251" w:lineRule="auto"/>
        <w:rPr>
          <w:sz w:val="20"/>
          <w:szCs w:val="20"/>
          <w:color w:val="auto"/>
        </w:rPr>
      </w:pPr>
      <w:r>
        <w:rPr>
          <w:rFonts w:ascii="Times New Roman" w:cs="Times New Roman" w:eastAsia="Times New Roman" w:hAnsi="Times New Roman"/>
          <w:sz w:val="18"/>
          <w:szCs w:val="18"/>
          <w:color w:val="auto"/>
        </w:rPr>
        <w:t>The Company offered shares of Class A common stock in the IPO Transactions at the initial public offering price of $29.00 per share. Medline Inc. used the proceeds (net of underwriting discounts) from the issuance of 179,000,000 shares (approximately $5,078 million) to acquire an equivalent number of newly-issued Common Units from Medline Holdings L.P., which Medline Holdings L.P. in turn used approximately $729 million to repay in full all outstanding indebtedness under our New Euro Term Loan Facility, approximately $3,280 million to repay a portion of the outstanding indebtedness under the 2028 Refinancing Term Loan Facility, and the remainder for general corporate purposes and to bear all of the expenses of the IPO Transactions. We estimated these offering expenses (excluding underwriting discounts and commissions) to be approximately $38 million. Subsequently, Medline Inc. used the proceeds (net of underwriting discounts) from the issuance of 37,034,482 shares (approximately $1,051 million) and from the issuance of shares pursuant to the exercise by the underwriters of their option to purchase up to 32,405,172 additional shares of Class A common stock (approximately $919 million) to purchase or redeem an equivalent aggregate number of shares of Class A common stock and Common Units from our pre-IPO owners, as described under “Organizational Structure—IPO Transactions.”</w:t>
      </w:r>
    </w:p>
    <w:p>
      <w:pPr>
        <w:spacing w:after="0" w:line="189" w:lineRule="exact"/>
        <w:rPr>
          <w:sz w:val="20"/>
          <w:szCs w:val="20"/>
          <w:color w:val="auto"/>
        </w:rPr>
      </w:pPr>
    </w:p>
    <w:p>
      <w:pPr>
        <w:jc w:val="both"/>
        <w:ind w:left="160" w:right="320" w:firstLine="436"/>
        <w:spacing w:after="0" w:line="285" w:lineRule="auto"/>
        <w:rPr>
          <w:sz w:val="20"/>
          <w:szCs w:val="20"/>
          <w:color w:val="auto"/>
        </w:rPr>
      </w:pPr>
      <w:r>
        <w:rPr>
          <w:rFonts w:ascii="Times New Roman" w:cs="Times New Roman" w:eastAsia="Times New Roman" w:hAnsi="Times New Roman"/>
          <w:sz w:val="17"/>
          <w:szCs w:val="17"/>
          <w:color w:val="auto"/>
        </w:rPr>
        <w:t>As a result of the Reorganization Transactions, Medline Inc. is a holding company, and its sole material asset is a controlling equity interest in Medline Holdings. As a result of the Reorganization Transactions and IPO Transactions, immediately thereafter Medline Inc. owned approximately 59.7% of the economic interest in Medline Holdings but has 100.0% of the voting power and controls the management of Medline Holdings.</w:t>
      </w:r>
    </w:p>
    <w:p>
      <w:pPr>
        <w:spacing w:after="0" w:line="303" w:lineRule="exact"/>
        <w:rPr>
          <w:sz w:val="20"/>
          <w:szCs w:val="20"/>
          <w:color w:val="auto"/>
        </w:rPr>
      </w:pPr>
    </w:p>
    <w:p>
      <w:pPr>
        <w:ind w:left="600" w:hanging="433"/>
        <w:spacing w:after="0"/>
        <w:tabs>
          <w:tab w:leader="none" w:pos="6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to Unaudited Pro Forma Consolidated Balance Sheet</w:t>
      </w:r>
    </w:p>
    <w:p>
      <w:pPr>
        <w:spacing w:after="0" w:line="118" w:lineRule="exact"/>
        <w:rPr>
          <w:sz w:val="20"/>
          <w:szCs w:val="20"/>
          <w:color w:val="auto"/>
        </w:rPr>
      </w:pPr>
    </w:p>
    <w:p>
      <w:pPr>
        <w:ind w:left="160" w:right="620" w:firstLine="436"/>
        <w:spacing w:after="0" w:line="278" w:lineRule="auto"/>
        <w:rPr>
          <w:sz w:val="20"/>
          <w:szCs w:val="20"/>
          <w:color w:val="auto"/>
        </w:rPr>
      </w:pPr>
      <w:r>
        <w:rPr>
          <w:rFonts w:ascii="Times New Roman" w:cs="Times New Roman" w:eastAsia="Times New Roman" w:hAnsi="Times New Roman"/>
          <w:sz w:val="18"/>
          <w:szCs w:val="18"/>
          <w:color w:val="auto"/>
        </w:rPr>
        <w:t>Transaction accounting adjustments include the following adjustments related to the unaudited pro forma consolidated balance sheet as of September 27, 2025.</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Reorganization Adjustments</w:t>
      </w:r>
    </w:p>
    <w:p>
      <w:pPr>
        <w:spacing w:after="0" w:line="131" w:lineRule="exact"/>
        <w:rPr>
          <w:sz w:val="20"/>
          <w:szCs w:val="20"/>
          <w:color w:val="auto"/>
        </w:rPr>
      </w:pPr>
    </w:p>
    <w:p>
      <w:pPr>
        <w:ind w:left="1140" w:hanging="545"/>
        <w:spacing w:after="0" w:line="250"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in greater detail in “Organizational Structure,” prior to the completion of our IPO, we entered into the Reorganization Transactions, along with a tax receivable agreement (“TRA”) with certain of our pre-IPO owners that provides for the payment by Medline Inc. to such pre-IPO owners of 90% of certain tax benefits, if any, that Medline Inc. actually realizes, or is deemed to realize (calculated using certain assumptions), as a result of (i) Medline Inc.’s allocable share of existing tax basis in Medline Holdings’ assets acquired in our IPO,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our IPO, including the exchange of Common Units for shares of our Class A common stock by the selling stockholders in connection with this offering, (iii) Medline Inc.’s utilization of certain tax attributes (including any existing tax basis) of the Blocker Companies, which Medline Inc. acquired in connection with our IPO, and (iv) certain other tax benefits related to entering into the TRA, including tax benefits attributable to payments under the TRA. The TRA is accounted for as a contingent liability, with amounts accrued when considered probable and reasonably estimable. The following are the adjustments associated with the Reorganization Transactions:</w:t>
      </w:r>
    </w:p>
    <w:p>
      <w:pPr>
        <w:spacing w:after="0" w:line="100" w:lineRule="exact"/>
        <w:rPr>
          <w:rFonts w:ascii="Times New Roman" w:cs="Times New Roman" w:eastAsia="Times New Roman" w:hAnsi="Times New Roman"/>
          <w:sz w:val="18"/>
          <w:szCs w:val="18"/>
          <w:color w:val="auto"/>
        </w:rPr>
      </w:pPr>
    </w:p>
    <w:p>
      <w:pPr>
        <w:ind w:left="1580" w:right="120" w:hanging="436"/>
        <w:spacing w:after="0" w:line="258" w:lineRule="auto"/>
        <w:tabs>
          <w:tab w:leader="none" w:pos="15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a net deferred tax asset of $165 million. Following the Reorganization Transactions, Medline Inc. is subject to U.S. federal income taxes, in addition to state and local taxes as a corporation on its share of Medline Holdings’ taxable income. As a result, the pro forma balance sheet reflects an adjustment to our taxes assuming the federal rates currently in effect and the highest statutory rates apportioned to each state, local and foreign jurisdiction. The presented</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60"/>
          </w:cols>
          <w:pgMar w:left="320" w:top="451" w:right="5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580" w:right="300"/>
        <w:spacing w:after="0" w:line="285" w:lineRule="auto"/>
        <w:rPr>
          <w:sz w:val="20"/>
          <w:szCs w:val="20"/>
          <w:color w:val="auto"/>
        </w:rPr>
      </w:pPr>
      <w:r>
        <w:rPr>
          <w:rFonts w:ascii="Times New Roman" w:cs="Times New Roman" w:eastAsia="Times New Roman" w:hAnsi="Times New Roman"/>
          <w:sz w:val="17"/>
          <w:szCs w:val="17"/>
          <w:color w:val="auto"/>
        </w:rPr>
        <w:t>deferred tax asset is measured based on the following: (i) differences between financial reporting and tax basis associated with Medline Inc.’s investment in Medline Holdings; (ii) tax loss carryforwards and credits from the merged Blocker Companies; and (iii) tax benefits from future deductions attributable to payments under the TRA as a result of the Reorganization Transactions.</w:t>
      </w:r>
    </w:p>
    <w:p>
      <w:pPr>
        <w:spacing w:after="0" w:line="53" w:lineRule="exact"/>
        <w:rPr>
          <w:sz w:val="20"/>
          <w:szCs w:val="20"/>
          <w:color w:val="auto"/>
        </w:rPr>
      </w:pPr>
    </w:p>
    <w:p>
      <w:pPr>
        <w:ind w:left="1580" w:right="40"/>
        <w:spacing w:after="0" w:line="253" w:lineRule="auto"/>
        <w:rPr>
          <w:sz w:val="20"/>
          <w:szCs w:val="20"/>
          <w:color w:val="auto"/>
        </w:rPr>
      </w:pPr>
      <w:r>
        <w:rPr>
          <w:rFonts w:ascii="Times New Roman" w:cs="Times New Roman" w:eastAsia="Times New Roman" w:hAnsi="Times New Roman"/>
          <w:sz w:val="18"/>
          <w:szCs w:val="18"/>
          <w:color w:val="auto"/>
        </w:rPr>
        <w:t>The net deferred tax asset includes (i) a deferred tax liability of $423 million related to Medline Inc.’s investment in Medline Holdings, (ii) a deferred tax asset of $357 million related to the tax attributes acquired by Medline Inc. as part of the Reorganization Transactions, and (iii) a deferred tax asset of $231 million related to tax benefits from future deductions attributable to payments under the TRA. The deferred tax asset related to Medline Inc.’s investment in Medline Holdings is primarily due to differences between the purchase accounting and tax treatment of the Sponsors’ acquisition of Medline Holdings. To the extent we estimate that we will not realize either a portion or all of our deferred tax assets, based on an analysis of the available sources of taxable income, we will reduce our deferred tax assets with a valuation allowance.</w:t>
      </w:r>
    </w:p>
    <w:p>
      <w:pPr>
        <w:spacing w:after="0" w:line="91" w:lineRule="exact"/>
        <w:rPr>
          <w:sz w:val="20"/>
          <w:szCs w:val="20"/>
          <w:color w:val="auto"/>
        </w:rPr>
      </w:pPr>
    </w:p>
    <w:p>
      <w:pPr>
        <w:ind w:left="1580" w:hanging="436"/>
        <w:spacing w:after="0" w:line="255" w:lineRule="auto"/>
        <w:tabs>
          <w:tab w:leader="none" w:pos="15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a $3,134 million liability under the TRA based on our estimate of the aggregate amount that we will pay to the pre-IPO owners under the TRA as a result of the Reorganization Transactions. This amount is equal to 90% of certain tax benefits that the Company estimates that Medline Inc. will realize as a result of (i) Medline Inc.’s utilization of $3,195 million of certain tax attributes (tax effected and including any existing tax basis) of the Blocker Companies and (ii) $231 million of certain other tax benefits related to entering into the TRA, including tax benefits attributable to payments under the TRA.</w:t>
      </w:r>
    </w:p>
    <w:p>
      <w:pPr>
        <w:spacing w:after="0" w:line="90" w:lineRule="exact"/>
        <w:rPr>
          <w:rFonts w:ascii="Times New Roman" w:cs="Times New Roman" w:eastAsia="Times New Roman" w:hAnsi="Times New Roman"/>
          <w:sz w:val="18"/>
          <w:szCs w:val="18"/>
          <w:color w:val="auto"/>
        </w:rPr>
      </w:pPr>
    </w:p>
    <w:p>
      <w:pPr>
        <w:ind w:left="1580" w:right="480" w:hanging="436"/>
        <w:spacing w:after="0" w:line="278" w:lineRule="auto"/>
        <w:tabs>
          <w:tab w:leader="none" w:pos="15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an adjustment to additional paid-in capital of $(2,969) million, for the change in deferred tax assets and the increase in liabilities due to existing owners under the TRA as a result of the Reorganization Transactions.</w:t>
      </w:r>
    </w:p>
    <w:p>
      <w:pPr>
        <w:spacing w:after="0" w:line="68" w:lineRule="exact"/>
        <w:rPr>
          <w:rFonts w:ascii="Times New Roman" w:cs="Times New Roman" w:eastAsia="Times New Roman" w:hAnsi="Times New Roman"/>
          <w:sz w:val="18"/>
          <w:szCs w:val="18"/>
          <w:color w:val="auto"/>
        </w:rPr>
      </w:pPr>
    </w:p>
    <w:p>
      <w:pPr>
        <w:ind w:left="1140" w:right="20" w:hanging="545"/>
        <w:spacing w:after="0" w:line="251"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Medline Holdings has been, and we anticipate will continue to be, treated as a partnership for U.S. federal income tax purposes. As such, Medline Holdings’ earnings and losses will flow through to its partners, including Medline Inc., and are generally not subject to significant entity-level taxes at the Medline Holdings level. As described in “Organizational Structure,” after completion of the Reorganization Transactions, Medline Inc. is a holding company, and its sole material assets are its equity interests held directly or indirectly through wholly owned subsidiaries in Medline Holdings. As the sole general partner of Medline Holdings, Medline Inc. operates and controls all the business and affairs of Medline Holdings. As a result of the Reorganization Transactions, Medline Inc. directly or indirectly own approximately 53.5% of the economic interest in Medline Holdings but has 100.0% of the voting power and controls the management of Medline Holdings. Immediately following the completion of the Reorganization Transactions, the ownership percentage held by noncontrolling interest was approximately 46.5%.</w:t>
      </w:r>
    </w:p>
    <w:p>
      <w:pPr>
        <w:spacing w:after="0" w:line="84"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to equity reflecting (i) par value for Class A common stock and Class B common stock, (ii) a decrease in</w:t>
      </w:r>
    </w:p>
    <w:p>
      <w:pPr>
        <w:spacing w:after="0" w:line="25" w:lineRule="exact"/>
        <w:rPr>
          <w:rFonts w:ascii="Times New Roman" w:cs="Times New Roman" w:eastAsia="Times New Roman" w:hAnsi="Times New Roman"/>
          <w:sz w:val="18"/>
          <w:szCs w:val="18"/>
          <w:color w:val="auto"/>
        </w:rPr>
      </w:pPr>
    </w:p>
    <w:p>
      <w:pPr>
        <w:ind w:left="1140"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$7,942 million of partners’ interest to the noncontrolling interests related to the 46.5% economic interest held by the Continuing Common Unitholders and participating Incentive Unitholders, (iii) reclassification of partners’ interest of $9,147 million to additional paid-in capital, and (iv) reclassification of accumulated other comprehensive income of $24 million to noncontrolling interests.</w:t>
      </w:r>
    </w:p>
    <w:p>
      <w:pPr>
        <w:spacing w:after="0" w:line="78" w:lineRule="exact"/>
        <w:rPr>
          <w:rFonts w:ascii="Times New Roman" w:cs="Times New Roman" w:eastAsia="Times New Roman" w:hAnsi="Times New Roman"/>
          <w:sz w:val="18"/>
          <w:szCs w:val="18"/>
          <w:color w:val="auto"/>
        </w:rPr>
      </w:pPr>
    </w:p>
    <w:p>
      <w:pPr>
        <w:ind w:left="1140" w:right="580"/>
        <w:spacing w:after="0" w:line="27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our IPO, the Mezzanine equity units were recapitalized and converted into Common Units or Incentive Units in Medline Holdings. As a result, no Mezzanine equity units are outstanding following our IPO.</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Offering Adjustments</w:t>
      </w:r>
    </w:p>
    <w:p>
      <w:pPr>
        <w:spacing w:after="0" w:line="131" w:lineRule="exact"/>
        <w:rPr>
          <w:sz w:val="20"/>
          <w:szCs w:val="20"/>
          <w:color w:val="auto"/>
        </w:rPr>
      </w:pPr>
    </w:p>
    <w:p>
      <w:pPr>
        <w:ind w:left="1140" w:right="720" w:hanging="545"/>
        <w:spacing w:after="0" w:line="278"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deferring certain costs which primarily represent legal, accounting and other costs directly associated with our IPO. As of September 27, 2025, $25 million of these costs were recorded to “Other</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60"/>
          </w:cols>
          <w:pgMar w:left="320" w:top="451" w:right="5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140" w:right="280"/>
        <w:spacing w:after="0" w:line="263" w:lineRule="auto"/>
        <w:rPr>
          <w:sz w:val="20"/>
          <w:szCs w:val="20"/>
          <w:color w:val="auto"/>
        </w:rPr>
      </w:pPr>
      <w:r>
        <w:rPr>
          <w:rFonts w:ascii="Times New Roman" w:cs="Times New Roman" w:eastAsia="Times New Roman" w:hAnsi="Times New Roman"/>
          <w:sz w:val="18"/>
          <w:szCs w:val="18"/>
          <w:color w:val="auto"/>
        </w:rPr>
        <w:t>current assets,” and an additional $2 million of capitalizable costs are expected to be incurred subsequent to September 27, 2025. Upon completion of our IPO, these deferred costs will be charged against the proceeds from our IPO with a corresponding reduction to additional paid-in capital.</w:t>
      </w:r>
    </w:p>
    <w:p>
      <w:pPr>
        <w:spacing w:after="0" w:line="68" w:lineRule="exact"/>
        <w:rPr>
          <w:sz w:val="20"/>
          <w:szCs w:val="20"/>
          <w:color w:val="auto"/>
        </w:rPr>
      </w:pPr>
    </w:p>
    <w:p>
      <w:pPr>
        <w:ind w:left="1140" w:right="480"/>
        <w:spacing w:after="0" w:line="263" w:lineRule="auto"/>
        <w:rPr>
          <w:sz w:val="20"/>
          <w:szCs w:val="20"/>
          <w:color w:val="auto"/>
        </w:rPr>
      </w:pPr>
      <w:r>
        <w:rPr>
          <w:rFonts w:ascii="Times New Roman" w:cs="Times New Roman" w:eastAsia="Times New Roman" w:hAnsi="Times New Roman"/>
          <w:sz w:val="18"/>
          <w:szCs w:val="18"/>
          <w:color w:val="auto"/>
        </w:rPr>
        <w:t>Subsequent to September 27, 2025, we have accrued within Accrued expenses and other current liabilities an incremental amount of $13 million of costs in connection with our IPO (that are expected to be expensed) that were not included in the historical financial statements.</w:t>
      </w:r>
    </w:p>
    <w:p>
      <w:pPr>
        <w:spacing w:after="0" w:line="82" w:lineRule="exact"/>
        <w:rPr>
          <w:sz w:val="20"/>
          <w:szCs w:val="20"/>
          <w:color w:val="auto"/>
        </w:rPr>
      </w:pPr>
    </w:p>
    <w:p>
      <w:pPr>
        <w:ind w:left="1140" w:hanging="545"/>
        <w:spacing w:after="0" w:line="251" w:lineRule="auto"/>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in note (a) above, we entered into a TRA with certain of our pre-IPO owners that provides for the payment by Medline Inc. to such pre-IPO owners of 90% of certain tax benefits, if any, that Medline Inc. actually realizes, or is deemed to realize (calculated using certain assumptions), as a result of (i) Medline Inc.’s allocable share of existing tax basis in Medline Holdings’ assets acquired in our IPO,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our IPO, including the exchange of Common Units for shares of our Class A common stock by the selling stockholders in connection with this offering, (iii) Medline Inc.’s utilization of certain tax attributes (including any existing tax basis) of the Blocker Companies, which Medline Inc. acquired in connection with our IPO, and (iv) certain other tax benefits related to entering into the TRA, including tax benefits attributable to payments under the TRA. The TRA is accounted for as a contingent liability, with amounts accrued when considered probable and reasonably estimable. The following are the adjustments associated with the IPO Transactions:</w:t>
      </w:r>
    </w:p>
    <w:p>
      <w:pPr>
        <w:spacing w:after="0" w:line="93" w:lineRule="exact"/>
        <w:rPr>
          <w:sz w:val="20"/>
          <w:szCs w:val="20"/>
          <w:color w:val="auto"/>
        </w:rPr>
      </w:pPr>
    </w:p>
    <w:p>
      <w:pPr>
        <w:ind w:left="1580" w:right="40" w:hanging="436"/>
        <w:spacing w:after="0" w:line="252" w:lineRule="auto"/>
        <w:tabs>
          <w:tab w:leader="none" w:pos="15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a net deferred tax asset of $424 million (or $452 million if the underwriters exercise in full their option to purchase additional shares of Class A common stock). Following the Reorganization Transactions and IPO Transactions, Medline Inc. is subject to U.S. federal income taxes, in addition to state and local taxes, as a corporation on its share of Medline Holdings’ taxable income. As a result, the pro forma balance sheet reflects an adjustment to our taxes assuming the federal rates currently in effect and the highest statutory rates apportioned to each state, local and foreign jurisdiction. The presented deferred tax asset is measured based on the following: (i) differences between financial reporting and tax basis associated with Medline Inc.’s investment in Medline Holdings; and (ii) tax benefits from future deductions attributable to payments under the TRA as a result of the IPO Transactions.</w:t>
      </w:r>
    </w:p>
    <w:p>
      <w:pPr>
        <w:spacing w:after="0" w:line="80"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deferred tax asset includes (i) a deferred tax asset of $356 million related to Medline Inc.’s investment in Medline Holdings and</w:t>
      </w:r>
    </w:p>
    <w:p>
      <w:pPr>
        <w:spacing w:after="0" w:line="37" w:lineRule="exact"/>
        <w:rPr>
          <w:rFonts w:ascii="Times New Roman" w:cs="Times New Roman" w:eastAsia="Times New Roman" w:hAnsi="Times New Roman"/>
          <w:sz w:val="18"/>
          <w:szCs w:val="18"/>
          <w:color w:val="auto"/>
        </w:rPr>
      </w:pPr>
    </w:p>
    <w:p>
      <w:pPr>
        <w:ind w:left="1580" w:right="20" w:firstLine="6"/>
        <w:spacing w:after="0" w:line="250" w:lineRule="auto"/>
        <w:tabs>
          <w:tab w:leader="none" w:pos="184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deferred tax asset of $68 million related to tax benefits from future deductions attributable to payments under the TRA. The deferred tax asset related to Medline Inc.’s investment in Medline Holdings is primarily due to differences between the purchase accounting and tax treatment of the Sponsor Acquisition. To the extent we estimate that we will not realize either a portion or all of our deferred tax assets, based on an analysis of the available sources of taxable income, we will reduce our deferred tax assets with a valuation allowance.</w:t>
      </w:r>
    </w:p>
    <w:p>
      <w:pPr>
        <w:spacing w:after="0" w:line="93" w:lineRule="exact"/>
        <w:rPr>
          <w:rFonts w:ascii="Times New Roman" w:cs="Times New Roman" w:eastAsia="Times New Roman" w:hAnsi="Times New Roman"/>
          <w:sz w:val="18"/>
          <w:szCs w:val="18"/>
          <w:color w:val="auto"/>
        </w:rPr>
      </w:pPr>
    </w:p>
    <w:p>
      <w:pPr>
        <w:ind w:left="1580" w:hanging="436"/>
        <w:spacing w:after="0" w:line="251" w:lineRule="auto"/>
        <w:tabs>
          <w:tab w:leader="none" w:pos="15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a $325 million liability under the TRA (or $444 million if the underwriters exercise in full their option to purchase additional shares of Class A common stock) based on our estimate of the aggregate amount that we will pay to the pre-IPO owners under the TRA as a result of the IPO Transactions. This amount is equal to 90% of certain tax benefits that the Company estimates that Medline Inc. will realize as a result of (i) Medline Inc.’s allocable share of $172 million of existing tax basis (tax effected) in Medline Holdings’ assets acquired in the IPO Transactions and (ii) $105 million of interests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the IPO Transactions, and (iii) $68 million of certain other tax benefits related to entering into the TRA, including tax benefits attributable to payments under the TRA as a result of the IPO Transactions.</w:t>
      </w:r>
    </w:p>
    <w:p>
      <w:pPr>
        <w:spacing w:after="0" w:line="1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60"/>
          </w:cols>
          <w:pgMar w:left="320" w:top="451" w:right="5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580" w:right="100" w:hanging="436"/>
        <w:spacing w:after="0" w:line="278" w:lineRule="auto"/>
        <w:tabs>
          <w:tab w:leader="none" w:pos="15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an adjustment to additional paid-in capital of $99 million, for the change in deferred tax assets and the increase in liabilities due to existing owners under the TRA as a result of the IPO Transactions.</w:t>
      </w:r>
    </w:p>
    <w:p>
      <w:pPr>
        <w:spacing w:after="0" w:line="55" w:lineRule="exact"/>
        <w:rPr>
          <w:sz w:val="20"/>
          <w:szCs w:val="20"/>
          <w:color w:val="auto"/>
        </w:rPr>
      </w:pPr>
    </w:p>
    <w:p>
      <w:pPr>
        <w:ind w:left="1140"/>
        <w:spacing w:after="0" w:line="249" w:lineRule="auto"/>
        <w:rPr>
          <w:sz w:val="20"/>
          <w:szCs w:val="20"/>
          <w:color w:val="auto"/>
        </w:rPr>
      </w:pPr>
      <w:r>
        <w:rPr>
          <w:rFonts w:ascii="Times New Roman" w:cs="Times New Roman" w:eastAsia="Times New Roman" w:hAnsi="Times New Roman"/>
          <w:sz w:val="18"/>
          <w:szCs w:val="18"/>
          <w:color w:val="auto"/>
        </w:rPr>
        <w:t>As described in greater detail in “Organizational Structure,” the Continuing Common Unitholders held 502,299,043 Common Units immediately following our IPO. Due to the uncertainty as to the amount and timing of future exchanges of Common Units by the Continuing Unitholders and as to the price per share of our Class A common stock at the time of any such exchanges, the unaudited pro forma consolidated financial information does not assume that exchanges of Common Units have occurred. However, if the Continuing Unitholders were to exchange all of the Common Units that they hold immediately following our IPO for shares of Class A common stock and all Incentive Units were converted to Common Units and subsequently exchanged for shares of Class A common stock (based on the initial public offering price of $29.00 per share) immediately following the completion of our IPO, we would recognize an incremental deferred tax asset of approximately $2,987 million and a noncurrent liability of approximately $5,516 million based on the Company’s estimate of the aggregate amount that it will pay under the TRA as a result of such hypothetical exchange, assuming: (i) a price of $29.00 per share of our Class A common stock; (ii) a constant corporate tax rate of 25.7%; (iii) we will have sufficient taxable income to fully utilize the tax benefits; and (iv) no material changes in tax law. Accordingly, based upon the foregoing assumptions, if the Continuing Common Unitholders were to exchange all of the Common Units that they will hold immediately following our IPO, the Company estimates that it would, as a result of the IPO Transactions and such hypothetical exchange, record a deferred tax asset of approximately $3,577 million and that the aggregate noncurrent liability it would record based on its estimate of the aggregate amount that it would pay under the TRA is approximately $8,975 million, generally payable over a 15-year period. Further, if the Continuing Unitholders were to exchange all of the Common Units they will hold immediately following the completion of our IPO and assuming all other facts above are unchanged, for each 5% increase (decrease) in the price per share of our Class A common stock following the date of our IPO (and therefore the value of the Common Units exchanged), the Company’s deferred tax asset would increase (decrease) by approximately $268 million and the related liability for payments under the TRA would increase (decrease) by approximately $243 million. These amounts are estimates and have been prepared for informational purposes only. The actual amount of deferred tax assets and related noncurrent liabilities that we will recognize as a result of any such future exchanges will differ based on, among other things: (i) the amount and timing of future exchanges of Common Units by Continuing Unitholders (including any Common Units issued upon conversion of vested Incentive Units), and the extent to which such exchanges are taxable; (ii) the price per share of our Class A common stock at the time of the exchanges; (iii) the amount and timing of future income against which to offset the tax benefits; and (iv) the tax rates then in effect.</w:t>
      </w:r>
    </w:p>
    <w:p>
      <w:pPr>
        <w:spacing w:after="0" w:line="101" w:lineRule="exact"/>
        <w:rPr>
          <w:sz w:val="20"/>
          <w:szCs w:val="20"/>
          <w:color w:val="auto"/>
        </w:rPr>
      </w:pPr>
    </w:p>
    <w:p>
      <w:pPr>
        <w:ind w:left="1140" w:right="20" w:hanging="545"/>
        <w:spacing w:after="0" w:line="251"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the net primary proceeds of approximately $5,040 million from selling Class A common stock, based on the initial public offering price of $29.00 per share, after deducting assumed underwriting discounts and commissions and $38 million of estimated offering expenses; (ii) $25 million of cash proceeds related to capitalized direct offering costs previously paid; (iii) payment of approximately $729 million to repay in full our New Euro Term Loan Facility and $3 million of accrued interest; (iv) payment of approximately $3,280 million to partially repay our 2028 Refinancing Term Loan Facility and $40 million of accrued interest; and (v) $1,013 million of the proceeds remaining at the Company for general corporate purposes. The repayment of our 2028 Refinancing Term Loan Facility was treated as a partial extinguishment with the related proportional value of $60 million of the unamortized debt issuance costs written-off, and the repayment in full of our New Euro Term Loan Facility was treated as a full extinguishment with the value of $4 million of unamortized debt issuance costs written-off, both of which are recognized as a loss on debt extinguishment and recorded to accumulated deficit.</w:t>
      </w:r>
    </w:p>
    <w:p>
      <w:pPr>
        <w:spacing w:after="0" w:line="12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40"/>
          </w:cols>
          <w:pgMar w:left="320" w:top="451" w:right="5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adjustment to cash and cash equivalents as of September 27, 2025 is comprised of the following:</w:t>
      </w:r>
    </w:p>
    <w:p>
      <w:pPr>
        <w:spacing w:after="0" w:line="243" w:lineRule="exact"/>
        <w:rPr>
          <w:sz w:val="20"/>
          <w:szCs w:val="20"/>
          <w:color w:val="auto"/>
        </w:rPr>
      </w:pPr>
    </w:p>
    <w:tbl>
      <w:tblPr>
        <w:tblLayout w:type="fixed"/>
        <w:tblInd w:w="1920" w:type="dxa"/>
        <w:tblCellMar>
          <w:top w:w="0" w:type="dxa"/>
          <w:left w:w="0" w:type="dxa"/>
          <w:bottom w:w="0" w:type="dxa"/>
          <w:right w:w="0" w:type="dxa"/>
        </w:tblCellMar>
      </w:tblPr>
      <w:tr>
        <w:trPr>
          <w:trHeight w:val="170"/>
        </w:trPr>
        <w:tc>
          <w:tcPr>
            <w:tcW w:w="6460" w:type="dxa"/>
            <w:vAlign w:val="bottom"/>
          </w:tcPr>
          <w:p>
            <w:pPr>
              <w:spacing w:after="0"/>
              <w:rPr>
                <w:sz w:val="20"/>
                <w:szCs w:val="20"/>
                <w:color w:val="auto"/>
              </w:rPr>
            </w:pPr>
            <w:r>
              <w:rPr>
                <w:rFonts w:ascii="Times New Roman" w:cs="Times New Roman" w:eastAsia="Times New Roman" w:hAnsi="Times New Roman"/>
                <w:sz w:val="14"/>
                <w:szCs w:val="14"/>
                <w:color w:val="auto"/>
              </w:rPr>
              <w:t>(in millions)</w:t>
            </w:r>
          </w:p>
        </w:tc>
        <w:tc>
          <w:tcPr>
            <w:tcW w:w="940" w:type="dxa"/>
            <w:vAlign w:val="bottom"/>
          </w:tcPr>
          <w:p>
            <w:pPr>
              <w:spacing w:after="0"/>
              <w:rPr>
                <w:sz w:val="14"/>
                <w:szCs w:val="14"/>
                <w:color w:val="auto"/>
              </w:rPr>
            </w:pPr>
          </w:p>
        </w:tc>
      </w:tr>
      <w:tr>
        <w:trPr>
          <w:trHeight w:val="214"/>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to Medline Inc. from selling Class A common stock</w:t>
            </w: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$ 5,040</w:t>
            </w:r>
          </w:p>
        </w:tc>
      </w:tr>
      <w:tr>
        <w:trPr>
          <w:trHeight w:val="214"/>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Portion of cash proceeds related to capitalized direct offering expenses previously paid</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r>
      <w:tr>
        <w:trPr>
          <w:trHeight w:val="196"/>
        </w:trPr>
        <w:tc>
          <w:tcPr>
            <w:tcW w:w="64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Payment of accrued interest (2028 Refinancing Term Loan Facility and New Euro</w:t>
            </w:r>
          </w:p>
        </w:tc>
        <w:tc>
          <w:tcPr>
            <w:tcW w:w="940" w:type="dxa"/>
            <w:vAlign w:val="bottom"/>
            <w:shd w:val="clear" w:color="auto" w:fill="CCEEFF"/>
          </w:tcPr>
          <w:p>
            <w:pPr>
              <w:spacing w:after="0"/>
              <w:rPr>
                <w:sz w:val="17"/>
                <w:szCs w:val="17"/>
                <w:color w:val="auto"/>
              </w:rPr>
            </w:pPr>
          </w:p>
        </w:tc>
      </w:tr>
      <w:tr>
        <w:trPr>
          <w:trHeight w:val="232"/>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Term Loan Facility)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4"/>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current portion of debt (2028 Refinancing Term Loan Facility)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196"/>
        </w:trPr>
        <w:tc>
          <w:tcPr>
            <w:tcW w:w="64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Repayment of long-term borrowings, less current portion (2028 Refinancing Term</w:t>
            </w:r>
          </w:p>
        </w:tc>
        <w:tc>
          <w:tcPr>
            <w:tcW w:w="940" w:type="dxa"/>
            <w:vAlign w:val="bottom"/>
            <w:shd w:val="clear" w:color="auto" w:fill="CCEEFF"/>
          </w:tcPr>
          <w:p>
            <w:pPr>
              <w:spacing w:after="0"/>
              <w:rPr>
                <w:sz w:val="17"/>
                <w:szCs w:val="17"/>
                <w:color w:val="auto"/>
              </w:rPr>
            </w:pPr>
          </w:p>
        </w:tc>
      </w:tr>
      <w:tr>
        <w:trPr>
          <w:trHeight w:val="232"/>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Facility and New Euro Term Loan Facility)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w:t>
            </w:r>
          </w:p>
        </w:tc>
      </w:tr>
      <w:tr>
        <w:trPr>
          <w:trHeight w:val="233"/>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Remaining proceeds at the Company to use for general corporate purposes</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$ 1,013</w:t>
            </w:r>
          </w:p>
        </w:tc>
      </w:tr>
    </w:tbl>
    <w:p>
      <w:pPr>
        <w:spacing w:after="0" w:line="7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reduction to long-term borrowing, less current portion as of September 27, 2025 is comprised of the following:</w:t>
      </w:r>
    </w:p>
    <w:p>
      <w:pPr>
        <w:spacing w:after="0" w:line="24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5715</wp:posOffset>
            </wp:positionV>
            <wp:extent cx="4704715" cy="2717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704715" cy="271780"/>
                    </a:xfrm>
                    <a:prstGeom prst="rect">
                      <a:avLst/>
                    </a:prstGeom>
                    <a:noFill/>
                  </pic:spPr>
                </pic:pic>
              </a:graphicData>
            </a:graphic>
          </wp:anchor>
        </w:drawing>
      </w:r>
    </w:p>
    <w:p>
      <w:pPr>
        <w:ind w:left="1920"/>
        <w:spacing w:after="0"/>
        <w:rPr>
          <w:sz w:val="20"/>
          <w:szCs w:val="20"/>
          <w:color w:val="auto"/>
        </w:rPr>
      </w:pPr>
      <w:r>
        <w:rPr>
          <w:rFonts w:ascii="Times New Roman" w:cs="Times New Roman" w:eastAsia="Times New Roman" w:hAnsi="Times New Roman"/>
          <w:sz w:val="18"/>
          <w:szCs w:val="18"/>
          <w:color w:val="auto"/>
        </w:rPr>
        <w:t>Repayment of long-term borrowings, less current portion (2028 Refinancing Term Loan</w:t>
      </w:r>
    </w:p>
    <w:tbl>
      <w:tblPr>
        <w:tblLayout w:type="fixed"/>
        <w:tblInd w:w="1920" w:type="dxa"/>
        <w:tblCellMar>
          <w:top w:w="0" w:type="dxa"/>
          <w:left w:w="0" w:type="dxa"/>
          <w:bottom w:w="0" w:type="dxa"/>
          <w:right w:w="0" w:type="dxa"/>
        </w:tblCellMar>
      </w:tblPr>
      <w:tr>
        <w:trPr>
          <w:trHeight w:val="201"/>
        </w:trPr>
        <w:tc>
          <w:tcPr>
            <w:tcW w:w="648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Facility and New Euro Term Loan Facility)</w:t>
            </w:r>
          </w:p>
        </w:tc>
        <w:tc>
          <w:tcPr>
            <w:tcW w:w="9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$(3,976)</w:t>
            </w:r>
          </w:p>
        </w:tc>
      </w:tr>
      <w:tr>
        <w:trPr>
          <w:trHeight w:val="232"/>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the fair value of the embedded derivative related to the indebtedness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196"/>
        </w:trPr>
        <w:tc>
          <w:tcPr>
            <w:tcW w:w="64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Write-off of debt issuance costs related to repayment of indebtedness (2028</w:t>
            </w:r>
          </w:p>
        </w:tc>
        <w:tc>
          <w:tcPr>
            <w:tcW w:w="920" w:type="dxa"/>
            <w:vAlign w:val="bottom"/>
            <w:shd w:val="clear" w:color="auto" w:fill="CCEEFF"/>
          </w:tcPr>
          <w:p>
            <w:pPr>
              <w:spacing w:after="0"/>
              <w:rPr>
                <w:sz w:val="17"/>
                <w:szCs w:val="17"/>
                <w:color w:val="auto"/>
              </w:rPr>
            </w:pPr>
          </w:p>
        </w:tc>
      </w:tr>
      <w:tr>
        <w:trPr>
          <w:trHeight w:val="232"/>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Refinancing Term Loan Facility and New Euro Term Loan Facility)</w:t>
            </w: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w:t>
            </w:r>
          </w:p>
        </w:tc>
      </w:tr>
      <w:tr>
        <w:trPr>
          <w:trHeight w:val="196"/>
        </w:trPr>
        <w:tc>
          <w:tcPr>
            <w:tcW w:w="64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Total adjustment to long-term borrowings, less current portion (2028 Refinancing Term</w:t>
            </w:r>
          </w:p>
        </w:tc>
        <w:tc>
          <w:tcPr>
            <w:tcW w:w="920" w:type="dxa"/>
            <w:vAlign w:val="bottom"/>
          </w:tcPr>
          <w:p>
            <w:pPr>
              <w:spacing w:after="0"/>
              <w:rPr>
                <w:sz w:val="17"/>
                <w:szCs w:val="17"/>
                <w:color w:val="auto"/>
              </w:rPr>
            </w:pPr>
          </w:p>
        </w:tc>
      </w:tr>
      <w:tr>
        <w:trPr>
          <w:trHeight w:val="233"/>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Facility and New Euro Term Loan Facility)</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w:t>
            </w:r>
          </w:p>
        </w:tc>
      </w:tr>
    </w:tbl>
    <w:p>
      <w:pPr>
        <w:spacing w:after="0" w:line="88" w:lineRule="exact"/>
        <w:rPr>
          <w:sz w:val="20"/>
          <w:szCs w:val="20"/>
          <w:color w:val="auto"/>
        </w:rPr>
      </w:pPr>
    </w:p>
    <w:p>
      <w:pPr>
        <w:ind w:left="1140"/>
        <w:spacing w:after="0" w:line="253" w:lineRule="auto"/>
        <w:rPr>
          <w:sz w:val="20"/>
          <w:szCs w:val="20"/>
          <w:color w:val="auto"/>
        </w:rPr>
      </w:pPr>
      <w:r>
        <w:rPr>
          <w:rFonts w:ascii="Times New Roman" w:cs="Times New Roman" w:eastAsia="Times New Roman" w:hAnsi="Times New Roman"/>
          <w:sz w:val="18"/>
          <w:szCs w:val="18"/>
          <w:color w:val="auto"/>
        </w:rPr>
        <w:t>This adjustment is also related to the bifurcated embedded beneficial interest feature in the 2028 Refinancing Term Loan Facility, the 2030 Refinancing Term Loan Facility, and the New Euro Term Loan Facility. Pursuant to the terms of the Credit Agreement, the Applicable Rate on the Term Loans is contractually reduced by 0.25% per annum upon the consummation of a qualified initial public offering. This rate reduction gives rise to an embedded derivative that has been bifurcated from the host contract and recorded separately as a contra liability. The fair value of the embedded derivative is approximately $39 million in aggregate as of September 27, 2025, resulting in a reduction of long-term borrowings and a decrease of accumulated deficit. This liability will be subsequently measured at fair value, with changes in fair value recognized through interest expense in the statement of operations.</w:t>
      </w:r>
    </w:p>
    <w:p>
      <w:pPr>
        <w:spacing w:after="0" w:line="77" w:lineRule="exact"/>
        <w:rPr>
          <w:sz w:val="20"/>
          <w:szCs w:val="20"/>
          <w:color w:val="auto"/>
        </w:rPr>
      </w:pPr>
    </w:p>
    <w:p>
      <w:pPr>
        <w:ind w:left="1140" w:right="40"/>
        <w:spacing w:after="0" w:line="278" w:lineRule="auto"/>
        <w:rPr>
          <w:sz w:val="20"/>
          <w:szCs w:val="20"/>
          <w:color w:val="auto"/>
        </w:rPr>
      </w:pPr>
      <w:r>
        <w:rPr>
          <w:rFonts w:ascii="Times New Roman" w:cs="Times New Roman" w:eastAsia="Times New Roman" w:hAnsi="Times New Roman"/>
          <w:sz w:val="18"/>
          <w:szCs w:val="18"/>
          <w:color w:val="auto"/>
        </w:rPr>
        <w:t>The adjustment to pay off accrued interest of $43 million for both the New Euro Term Loan Facility and the 2028 Refinancing Term Loan Facility is within Accrued expenses and other current liabilities.</w:t>
      </w:r>
    </w:p>
    <w:p>
      <w:pPr>
        <w:spacing w:after="0" w:line="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40"/>
          </w:cols>
          <w:pgMar w:left="320" w:top="451" w:right="5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140" w:hanging="545"/>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is a reconciliation of the adjustments impacting additional paid-in-capital:</w:t>
      </w:r>
    </w:p>
    <w:p>
      <w:pPr>
        <w:spacing w:after="0" w:line="228"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780" w:type="dxa"/>
            <w:vAlign w:val="bottom"/>
          </w:tcPr>
          <w:p>
            <w:pPr>
              <w:spacing w:after="0"/>
              <w:rPr>
                <w:sz w:val="12"/>
                <w:szCs w:val="12"/>
                <w:color w:val="auto"/>
              </w:rPr>
            </w:pPr>
          </w:p>
        </w:tc>
        <w:tc>
          <w:tcPr>
            <w:tcW w:w="172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0" w:type="dxa"/>
            <w:vAlign w:val="bottom"/>
          </w:tcPr>
          <w:p>
            <w:pPr>
              <w:spacing w:after="0"/>
              <w:rPr>
                <w:sz w:val="1"/>
                <w:szCs w:val="1"/>
                <w:color w:val="auto"/>
              </w:rPr>
            </w:pPr>
          </w:p>
        </w:tc>
      </w:tr>
      <w:tr>
        <w:trPr>
          <w:trHeight w:val="172"/>
        </w:trPr>
        <w:tc>
          <w:tcPr>
            <w:tcW w:w="462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costs incurred in the IPO</w:t>
            </w:r>
          </w:p>
        </w:tc>
        <w:tc>
          <w:tcPr>
            <w:tcW w:w="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DTA and TRA</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99</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offering of Class A common stock</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5,066</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noncontrolling interest</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(972)</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g</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1140" w:right="140" w:hanging="545"/>
        <w:spacing w:after="0" w:line="263" w:lineRule="auto"/>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adjustments to additional paid-in-capital above in note (f), other accounts within shareholders’ equity, including accumulated deficit and accumulated other comprehensive income, are adjusted by $953 to reflect the approximately 40.3% of net assets attributable to the noncontrolling interests.</w:t>
      </w:r>
    </w:p>
    <w:p>
      <w:pPr>
        <w:spacing w:after="0" w:line="182"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7"/>
        </w:trPr>
        <w:tc>
          <w:tcPr>
            <w:tcW w:w="6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0" w:type="dxa"/>
            <w:vAlign w:val="bottom"/>
          </w:tcPr>
          <w:p>
            <w:pPr>
              <w:spacing w:after="0"/>
              <w:rPr>
                <w:sz w:val="12"/>
                <w:szCs w:val="12"/>
                <w:color w:val="auto"/>
              </w:rPr>
            </w:pPr>
          </w:p>
        </w:tc>
        <w:tc>
          <w:tcPr>
            <w:tcW w:w="94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0" w:type="dxa"/>
            <w:vAlign w:val="bottom"/>
          </w:tcPr>
          <w:p>
            <w:pPr>
              <w:spacing w:after="0"/>
              <w:rPr>
                <w:sz w:val="1"/>
                <w:szCs w:val="1"/>
                <w:color w:val="auto"/>
              </w:rPr>
            </w:pPr>
          </w:p>
        </w:tc>
      </w:tr>
      <w:tr>
        <w:trPr>
          <w:trHeight w:val="172"/>
        </w:trPr>
        <w:tc>
          <w:tcPr>
            <w:tcW w:w="644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noncontrolling interest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accumulated deficit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4"/>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accumulated other comprehensive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1"/>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2" w:lineRule="exact"/>
        <w:rPr>
          <w:sz w:val="20"/>
          <w:szCs w:val="20"/>
          <w:color w:val="auto"/>
        </w:rPr>
      </w:pPr>
    </w:p>
    <w:p>
      <w:pPr>
        <w:ind w:left="600" w:hanging="433"/>
        <w:spacing w:after="0"/>
        <w:tabs>
          <w:tab w:leader="none" w:pos="60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to Unaudited Pro Forma Consolidated Statements of Income</w:t>
      </w:r>
    </w:p>
    <w:p>
      <w:pPr>
        <w:spacing w:after="0" w:line="117" w:lineRule="exact"/>
        <w:rPr>
          <w:rFonts w:ascii="Times New Roman" w:cs="Times New Roman" w:eastAsia="Times New Roman" w:hAnsi="Times New Roman"/>
          <w:sz w:val="18"/>
          <w:szCs w:val="18"/>
          <w:b w:val="1"/>
          <w:bCs w:val="1"/>
          <w:color w:val="auto"/>
        </w:rPr>
      </w:pPr>
    </w:p>
    <w:p>
      <w:pPr>
        <w:ind w:left="600" w:right="180"/>
        <w:spacing w:after="0" w:line="27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Transaction accounting adjustments include the following adjustments related to the unaudited pro forma consolidated statements of income for the nine months ended September 27, 2025 and the year ended December 31, 2024, as follows: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Reorganization Adjustments and Offering Adjustments</w:t>
      </w:r>
    </w:p>
    <w:p>
      <w:pPr>
        <w:spacing w:after="0" w:line="131" w:lineRule="exact"/>
        <w:rPr>
          <w:sz w:val="20"/>
          <w:szCs w:val="20"/>
          <w:color w:val="auto"/>
        </w:rPr>
      </w:pPr>
    </w:p>
    <w:p>
      <w:pPr>
        <w:ind w:left="1140" w:right="60" w:hanging="545"/>
        <w:spacing w:after="0" w:line="255" w:lineRule="auto"/>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Reorganization Transactions and IPO Transactions, Medline Inc. is subject to U.S. federal income taxes, in addition to state and local taxes, as a corporation on its share of Medline Holdings’ taxable income. As a result, the unaudited pro forma consolidated statement of income reflects an adjustment to income tax expense to reflect an effective income tax rate of 25.5% and 25.5% for the nine months ended September 27, 2025 and the year ended December 31, 2024, respectively, which includes a provision for U.S. federal income taxes and assumes the highest statutory rates apportioned to each state and local jurisdiction.</w:t>
      </w:r>
    </w:p>
    <w:p>
      <w:pPr>
        <w:spacing w:after="0" w:line="90" w:lineRule="exact"/>
        <w:rPr>
          <w:rFonts w:ascii="Times New Roman" w:cs="Times New Roman" w:eastAsia="Times New Roman" w:hAnsi="Times New Roman"/>
          <w:sz w:val="18"/>
          <w:szCs w:val="18"/>
          <w:color w:val="auto"/>
        </w:rPr>
      </w:pPr>
    </w:p>
    <w:p>
      <w:pPr>
        <w:jc w:val="both"/>
        <w:ind w:left="1140" w:right="420" w:hanging="545"/>
        <w:spacing w:after="0" w:line="274" w:lineRule="auto"/>
        <w:tabs>
          <w:tab w:leader="none" w:pos="11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described in “Organizational Structure,” upon completion of the Reorganization Transactions and IPO Transactions, Medline Inc. became the sole general partner of Medline Holdings and its subsidiaries, and Medline Inc. directly or indirectly owns approximately</w:t>
      </w:r>
    </w:p>
    <w:p>
      <w:pPr>
        <w:ind w:left="114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59.7% of the economic interest in Medline Holdings but has 100% of the voting power and controls the management of Medline Holdings. Immediately following the completion of our IPO, the ownership percentage held by noncontrolling interests was approximately 39.1%. Net earnings attributable to the noncontrolling interests represents 40.3% of net earnings before income taxes. These amounts have been determined based on an assumption that the underwriters’ option to purchase additional shares is not exercised.</w:t>
      </w:r>
    </w:p>
    <w:p>
      <w:pPr>
        <w:spacing w:after="0" w:line="1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40"/>
          </w:cols>
          <w:pgMar w:left="320" w:top="451" w:right="5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Offering Adjustments</w:t>
      </w:r>
    </w:p>
    <w:p>
      <w:pPr>
        <w:spacing w:after="0" w:line="131" w:lineRule="exact"/>
        <w:rPr>
          <w:sz w:val="20"/>
          <w:szCs w:val="20"/>
          <w:color w:val="auto"/>
        </w:rPr>
      </w:pPr>
    </w:p>
    <w:p>
      <w:pPr>
        <w:ind w:left="1140" w:right="80" w:hanging="545"/>
        <w:spacing w:after="0" w:line="258" w:lineRule="auto"/>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non-recurring transaction-related costs of approximately $13 million in connection with the IPO Transactions that were not reflected in the historical consolidated statement of income. These non-recurring transaction-related costs were not eligible for capitalization and are reflected as if incurred on January 1, 2024, the date the IPO Transactions occurred for purposes of the unaudited pro forma consolidated statement of income.</w:t>
      </w:r>
    </w:p>
    <w:p>
      <w:pPr>
        <w:spacing w:after="0" w:line="86" w:lineRule="exact"/>
        <w:rPr>
          <w:rFonts w:ascii="Times New Roman" w:cs="Times New Roman" w:eastAsia="Times New Roman" w:hAnsi="Times New Roman"/>
          <w:sz w:val="18"/>
          <w:szCs w:val="18"/>
          <w:color w:val="auto"/>
        </w:rPr>
      </w:pPr>
    </w:p>
    <w:p>
      <w:pPr>
        <w:ind w:left="1140" w:right="560" w:hanging="545"/>
        <w:spacing w:after="0" w:line="278" w:lineRule="auto"/>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relates to the compensation expense we expected to incur following the completion of our IPO which relates to the following:</w:t>
      </w:r>
    </w:p>
    <w:p>
      <w:pPr>
        <w:spacing w:after="0" w:line="68" w:lineRule="exact"/>
        <w:rPr>
          <w:rFonts w:ascii="Times New Roman" w:cs="Times New Roman" w:eastAsia="Times New Roman" w:hAnsi="Times New Roman"/>
          <w:sz w:val="18"/>
          <w:szCs w:val="18"/>
          <w:color w:val="auto"/>
        </w:rPr>
      </w:pPr>
    </w:p>
    <w:p>
      <w:pPr>
        <w:ind w:left="1580" w:right="160" w:hanging="436"/>
        <w:spacing w:after="0" w:line="263" w:lineRule="auto"/>
        <w:tabs>
          <w:tab w:leader="none" w:pos="15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$2 million and $4 million of compensation expense for the nine months ended September 27, 2025 and for the year ended December 31, 2024, respectively, associated with awards which vest based on achievement of performance metrics tied to Sponsors’ invested capital in Medline Holdings (“MOIC”).</w:t>
      </w:r>
    </w:p>
    <w:p>
      <w:pPr>
        <w:spacing w:after="0" w:line="81" w:lineRule="exact"/>
        <w:rPr>
          <w:rFonts w:ascii="Times New Roman" w:cs="Times New Roman" w:eastAsia="Times New Roman" w:hAnsi="Times New Roman"/>
          <w:sz w:val="18"/>
          <w:szCs w:val="18"/>
          <w:color w:val="auto"/>
        </w:rPr>
      </w:pPr>
    </w:p>
    <w:p>
      <w:pPr>
        <w:ind w:left="1580" w:right="140" w:hanging="436"/>
        <w:spacing w:after="0" w:line="254" w:lineRule="auto"/>
        <w:tabs>
          <w:tab w:leader="none" w:pos="15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$15 million and $60 million of compensation expense for the nine months ended September 27, 2025 and the year ended December 31, 2024, respectively, associated with the grant of 6,770,442 stock options and 490,021 RSUs to certain employees we expect to make in connection with our IPO. This amount was calculated assuming the stock options and RSUs were granted on January 1, 2024 at an exercise price equal to the initial public offering price of $29.00 per share of our Class A common stock. The grant date fair value of the stock options was determined using the Black-Scholes valuation model using the following assumptions:</w:t>
      </w:r>
    </w:p>
    <w:p>
      <w:pPr>
        <w:spacing w:after="0" w:line="229" w:lineRule="exact"/>
        <w:rPr>
          <w:sz w:val="20"/>
          <w:szCs w:val="20"/>
          <w:color w:val="auto"/>
        </w:rPr>
      </w:pPr>
    </w:p>
    <w:tbl>
      <w:tblPr>
        <w:tblLayout w:type="fixed"/>
        <w:tblInd w:w="1920" w:type="dxa"/>
        <w:tblCellMar>
          <w:top w:w="0" w:type="dxa"/>
          <w:left w:w="0" w:type="dxa"/>
          <w:bottom w:w="0" w:type="dxa"/>
          <w:right w:w="0" w:type="dxa"/>
        </w:tblCellMar>
      </w:tblPr>
      <w:tr>
        <w:trPr>
          <w:trHeight w:val="214"/>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1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6.22</w:t>
            </w:r>
          </w:p>
        </w:tc>
      </w:tr>
      <w:tr>
        <w:trPr>
          <w:trHeight w:val="214"/>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35 - 48%</w:t>
            </w:r>
          </w:p>
        </w:tc>
      </w:tr>
    </w:tbl>
    <w:p>
      <w:pPr>
        <w:spacing w:after="0" w:line="204" w:lineRule="exact"/>
        <w:rPr>
          <w:sz w:val="20"/>
          <w:szCs w:val="20"/>
          <w:color w:val="auto"/>
        </w:rPr>
      </w:pPr>
    </w:p>
    <w:p>
      <w:pPr>
        <w:ind w:left="1140" w:hanging="545"/>
        <w:spacing w:after="0" w:line="252" w:lineRule="auto"/>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 the reduction in contractual interest expense as a result of the repayment of a portion of the outstanding indebtedness under our 2028 Refinancing Term Loan Facility and repayment in full of the outstanding indebtedness under our New Euro Term Loan Facility, as described herein, as if such repayment occurred on January 1, 2024, (ii) the reduction in amortization expense associated with the unamortized debt issuance costs that were written-off as a result of the repayment of our 2028 Refinancing Term Loan Facility, and (iii) the reduction in interest expense from recognition of the bifurcated embedded derivative, and subsequent recognition of interest expense in the amortization of the bifurcated embedded derivative. The $64 million of unamortized debt issuance costs written-off was recognized as a loss on debt extinguishment and classified as other expense, net in the unaudited pro forma consolidated statement of income for the year ended December 31, 2024.</w:t>
      </w:r>
    </w:p>
    <w:p>
      <w:pPr>
        <w:spacing w:after="0" w:line="194"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940" w:type="dxa"/>
            <w:vAlign w:val="bottom"/>
            <w:gridSpan w:val="3"/>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9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7"/>
        </w:trPr>
        <w:tc>
          <w:tcPr>
            <w:tcW w:w="4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center"/>
              <w:ind w:right="1240"/>
              <w:spacing w:after="0" w:line="147" w:lineRule="exact"/>
              <w:rPr>
                <w:sz w:val="20"/>
                <w:szCs w:val="20"/>
                <w:color w:val="auto"/>
              </w:rPr>
            </w:pPr>
            <w:r>
              <w:rPr>
                <w:rFonts w:ascii="Times New Roman" w:cs="Times New Roman" w:eastAsia="Times New Roman" w:hAnsi="Times New Roman"/>
                <w:sz w:val="14"/>
                <w:szCs w:val="14"/>
                <w:b w:val="1"/>
                <w:bCs w:val="1"/>
                <w:color w:val="auto"/>
              </w:rPr>
              <w:t>Ended</w:t>
            </w: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560" w:type="dxa"/>
            <w:vAlign w:val="bottom"/>
          </w:tcPr>
          <w:p>
            <w:pPr>
              <w:spacing w:after="0"/>
              <w:rPr>
                <w:sz w:val="12"/>
                <w:szCs w:val="12"/>
                <w:color w:val="auto"/>
              </w:rPr>
            </w:pPr>
          </w:p>
        </w:tc>
        <w:tc>
          <w:tcPr>
            <w:tcW w:w="1940" w:type="dxa"/>
            <w:vAlign w:val="bottom"/>
            <w:gridSpan w:val="3"/>
          </w:tcPr>
          <w:p>
            <w:pPr>
              <w:jc w:val="center"/>
              <w:ind w:right="1060"/>
              <w:spacing w:after="0" w:line="147"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92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2"/>
        </w:trPr>
        <w:tc>
          <w:tcPr>
            <w:tcW w:w="4860" w:type="dxa"/>
            <w:vAlign w:val="bottom"/>
            <w:tcBorders>
              <w:bottom w:val="single" w:sz="8" w:color="CCEEFF"/>
            </w:tcBorders>
            <w:vMerge w:val="continue"/>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 in contractual interest</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Reduction in amortization expense</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48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Reduction in interest related to recognition of the bifurcated</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embedded derivatives</w:t>
            </w: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48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Recognition of interest related to amortization of the</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bifurcated embedded derivatives</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ind w:left="1140" w:hanging="545"/>
        <w:spacing w:after="0" w:line="278" w:lineRule="auto"/>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recognition of $90 million of compensation expense for the year ended December 31, 2024, related to cash awards expected to be incurred following completion of our IPO. The awards are</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60"/>
          </w:cols>
          <w:pgMar w:left="320" w:top="451" w:right="5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140" w:right="20"/>
        <w:spacing w:after="0" w:line="278" w:lineRule="auto"/>
        <w:rPr>
          <w:sz w:val="20"/>
          <w:szCs w:val="20"/>
          <w:color w:val="auto"/>
        </w:rPr>
      </w:pPr>
      <w:r>
        <w:rPr>
          <w:rFonts w:ascii="Times New Roman" w:cs="Times New Roman" w:eastAsia="Times New Roman" w:hAnsi="Times New Roman"/>
          <w:sz w:val="18"/>
          <w:szCs w:val="18"/>
          <w:color w:val="auto"/>
        </w:rPr>
        <w:t>payable to certain employees on the first anniversary of the IPO and are contingent on continued employment of the awardees through that date.</w:t>
      </w:r>
    </w:p>
    <w:p>
      <w:pPr>
        <w:spacing w:after="0" w:line="69" w:lineRule="exact"/>
        <w:rPr>
          <w:sz w:val="20"/>
          <w:szCs w:val="20"/>
          <w:color w:val="auto"/>
        </w:rPr>
      </w:pPr>
    </w:p>
    <w:p>
      <w:pPr>
        <w:ind w:left="1140" w:hanging="545"/>
        <w:spacing w:after="0" w:line="253" w:lineRule="auto"/>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basic and diluted pro forma net income (loss) per share of Class A common stock represents pro forma net income (loss) attributable to Medline Inc. divided by the Class A common stock issued in the Reorganization Transactions and in our IPO, which is assumed to be outstanding for the entirety of the period presented. The noncontrolling interest owners own shares of Class B common stock. These shares of Class B common stock are not considered participating securities because they have no right to receive dividends or a distribution on liquidation or winding up of Medline Inc., and no earnings are allocable to such class. Accordingly, basic and diluted earnings per share of Class B common stock has not been presented. The table below presents the computation of pro forma basic and dilutive net income per share for Medline Inc. (in millions, except per share amounts):</w:t>
      </w:r>
    </w:p>
    <w:p>
      <w:pPr>
        <w:spacing w:after="0" w:line="191"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76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7"/>
        </w:trPr>
        <w:tc>
          <w:tcPr>
            <w:tcW w:w="4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660"/>
              <w:spacing w:after="0" w:line="147"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2"/>
        </w:trPr>
        <w:tc>
          <w:tcPr>
            <w:tcW w:w="426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bottom w:val="single" w:sz="8" w:color="CCEEFF"/>
            </w:tcBorders>
          </w:tcPr>
          <w:p>
            <w:pPr>
              <w:spacing w:after="0"/>
              <w:rPr>
                <w:sz w:val="14"/>
                <w:szCs w:val="14"/>
                <w:color w:val="auto"/>
              </w:rPr>
            </w:pPr>
          </w:p>
        </w:tc>
      </w:tr>
      <w:tr>
        <w:trPr>
          <w:trHeight w:val="181"/>
        </w:trPr>
        <w:tc>
          <w:tcPr>
            <w:tcW w:w="42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Numerator:</w:t>
            </w: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01"/>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1,017</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1,177</w:t>
            </w:r>
          </w:p>
        </w:tc>
      </w:tr>
      <w:tr>
        <w:trPr>
          <w:trHeight w:val="201"/>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538</w:t>
            </w:r>
          </w:p>
        </w:tc>
      </w:tr>
      <w:tr>
        <w:trPr>
          <w:trHeight w:val="207"/>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Net income attributable to Medline Inc.</w:t>
            </w:r>
          </w:p>
        </w:tc>
        <w:tc>
          <w:tcPr>
            <w:tcW w:w="6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551</w:t>
            </w: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639</w:t>
            </w:r>
          </w:p>
        </w:tc>
        <w:tc>
          <w:tcPr>
            <w:tcW w:w="40" w:type="dxa"/>
            <w:vAlign w:val="bottom"/>
          </w:tcPr>
          <w:p>
            <w:pPr>
              <w:spacing w:after="0"/>
              <w:rPr>
                <w:sz w:val="18"/>
                <w:szCs w:val="18"/>
                <w:color w:val="auto"/>
              </w:rPr>
            </w:pPr>
          </w:p>
        </w:tc>
      </w:tr>
      <w:tr>
        <w:trPr>
          <w:trHeight w:val="179"/>
        </w:trPr>
        <w:tc>
          <w:tcPr>
            <w:tcW w:w="426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auto"/>
              </w:rPr>
              <w:t>Reallocation of net income attributable to vested but</w:t>
            </w: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22"/>
        </w:trPr>
        <w:tc>
          <w:tcPr>
            <w:tcW w:w="4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unissued shares</w:t>
            </w: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w:t>
            </w:r>
          </w:p>
        </w:tc>
      </w:tr>
      <w:tr>
        <w:trPr>
          <w:trHeight w:val="207"/>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Numerator for net income per share (Basic)</w:t>
            </w:r>
          </w:p>
        </w:tc>
        <w:tc>
          <w:tcPr>
            <w:tcW w:w="6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654</w:t>
            </w:r>
          </w:p>
        </w:tc>
        <w:tc>
          <w:tcPr>
            <w:tcW w:w="40" w:type="dxa"/>
            <w:vAlign w:val="bottom"/>
          </w:tcPr>
          <w:p>
            <w:pPr>
              <w:spacing w:after="0"/>
              <w:rPr>
                <w:sz w:val="18"/>
                <w:szCs w:val="18"/>
                <w:color w:val="auto"/>
              </w:rPr>
            </w:pPr>
          </w:p>
        </w:tc>
      </w:tr>
      <w:tr>
        <w:trPr>
          <w:trHeight w:val="201"/>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income effect of dilutive securities:</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1"/>
        </w:trPr>
        <w:tc>
          <w:tcPr>
            <w:tcW w:w="42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Effect of stock compensation awards</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w:t>
            </w:r>
          </w:p>
        </w:tc>
      </w:tr>
      <w:tr>
        <w:trPr>
          <w:trHeight w:val="179"/>
        </w:trPr>
        <w:tc>
          <w:tcPr>
            <w:tcW w:w="4260" w:type="dxa"/>
            <w:vAlign w:val="bottom"/>
            <w:shd w:val="clear" w:color="auto" w:fill="CCEEFF"/>
          </w:tcPr>
          <w:p>
            <w:pPr>
              <w:ind w:left="340"/>
              <w:spacing w:after="0" w:line="179" w:lineRule="exact"/>
              <w:rPr>
                <w:sz w:val="20"/>
                <w:szCs w:val="20"/>
                <w:color w:val="auto"/>
              </w:rPr>
            </w:pPr>
            <w:r>
              <w:rPr>
                <w:rFonts w:ascii="Times New Roman" w:cs="Times New Roman" w:eastAsia="Times New Roman" w:hAnsi="Times New Roman"/>
                <w:sz w:val="17"/>
                <w:szCs w:val="17"/>
                <w:color w:val="auto"/>
              </w:rPr>
              <w:t>Effect of conversion of Class B common stock to</w:t>
            </w: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22"/>
        </w:trPr>
        <w:tc>
          <w:tcPr>
            <w:tcW w:w="42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Class A common stock</w:t>
            </w: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385</w:t>
            </w:r>
          </w:p>
        </w:tc>
      </w:tr>
      <w:tr>
        <w:trPr>
          <w:trHeight w:val="207"/>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Numerator for net income per share (Diluted)</w:t>
            </w:r>
          </w:p>
        </w:tc>
        <w:tc>
          <w:tcPr>
            <w:tcW w:w="6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901</w:t>
            </w: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1,044</w:t>
            </w:r>
          </w:p>
        </w:tc>
        <w:tc>
          <w:tcPr>
            <w:tcW w:w="40" w:type="dxa"/>
            <w:vAlign w:val="bottom"/>
          </w:tcPr>
          <w:p>
            <w:pPr>
              <w:spacing w:after="0"/>
              <w:rPr>
                <w:sz w:val="18"/>
                <w:szCs w:val="18"/>
                <w:color w:val="auto"/>
              </w:rPr>
            </w:pPr>
          </w:p>
        </w:tc>
      </w:tr>
      <w:tr>
        <w:trPr>
          <w:trHeight w:val="201"/>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Denominator:</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79"/>
        </w:trPr>
        <w:tc>
          <w:tcPr>
            <w:tcW w:w="4260" w:type="dxa"/>
            <w:vAlign w:val="bottom"/>
          </w:tcPr>
          <w:p>
            <w:pPr>
              <w:spacing w:after="0" w:line="179" w:lineRule="exact"/>
              <w:rPr>
                <w:sz w:val="20"/>
                <w:szCs w:val="20"/>
                <w:color w:val="auto"/>
              </w:rPr>
            </w:pPr>
            <w:r>
              <w:rPr>
                <w:rFonts w:ascii="Times New Roman" w:cs="Times New Roman" w:eastAsia="Times New Roman" w:hAnsi="Times New Roman"/>
                <w:sz w:val="17"/>
                <w:szCs w:val="17"/>
                <w:color w:val="auto"/>
              </w:rPr>
              <w:t>Weighted-average shares of Class A common stock</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21"/>
        </w:trPr>
        <w:tc>
          <w:tcPr>
            <w:tcW w:w="4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outstanding (Basic)</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798,168,619</w:t>
            </w: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797,952,430</w:t>
            </w:r>
          </w:p>
        </w:tc>
      </w:tr>
      <w:tr>
        <w:trPr>
          <w:trHeight w:val="202"/>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Weighted average effect of dilutive securities:</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1"/>
        </w:trPr>
        <w:tc>
          <w:tcPr>
            <w:tcW w:w="4260" w:type="dxa"/>
            <w:vAlign w:val="bottom"/>
          </w:tcPr>
          <w:p>
            <w:pPr>
              <w:ind w:left="340"/>
              <w:spacing w:after="0" w:line="201" w:lineRule="exact"/>
              <w:rPr>
                <w:sz w:val="20"/>
                <w:szCs w:val="20"/>
                <w:color w:val="auto"/>
              </w:rPr>
            </w:pPr>
            <w:r>
              <w:rPr>
                <w:rFonts w:ascii="Times New Roman" w:cs="Times New Roman" w:eastAsia="Times New Roman" w:hAnsi="Times New Roman"/>
                <w:sz w:val="16"/>
                <w:szCs w:val="16"/>
                <w:color w:val="auto"/>
              </w:rPr>
              <w:t>Effect of stock compensation awards</w:t>
            </w:r>
            <w:r>
              <w:rPr>
                <w:rFonts w:ascii="Times New Roman" w:cs="Times New Roman" w:eastAsia="Times New Roman" w:hAnsi="Times New Roman"/>
                <w:sz w:val="23"/>
                <w:szCs w:val="23"/>
                <w:color w:val="auto"/>
                <w:vertAlign w:val="superscript"/>
              </w:rPr>
              <w:t>(1)</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17,692,012</w:t>
            </w: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15,452,730</w:t>
            </w:r>
          </w:p>
        </w:tc>
      </w:tr>
      <w:tr>
        <w:trPr>
          <w:trHeight w:val="179"/>
        </w:trPr>
        <w:tc>
          <w:tcPr>
            <w:tcW w:w="4260" w:type="dxa"/>
            <w:vAlign w:val="bottom"/>
            <w:shd w:val="clear" w:color="auto" w:fill="CCEEFF"/>
          </w:tcPr>
          <w:p>
            <w:pPr>
              <w:ind w:left="340"/>
              <w:spacing w:after="0" w:line="179" w:lineRule="exact"/>
              <w:rPr>
                <w:sz w:val="20"/>
                <w:szCs w:val="20"/>
                <w:color w:val="auto"/>
              </w:rPr>
            </w:pPr>
            <w:r>
              <w:rPr>
                <w:rFonts w:ascii="Times New Roman" w:cs="Times New Roman" w:eastAsia="Times New Roman" w:hAnsi="Times New Roman"/>
                <w:sz w:val="17"/>
                <w:szCs w:val="17"/>
                <w:color w:val="auto"/>
              </w:rPr>
              <w:t>Effect of conversion of Class B common stock to</w:t>
            </w: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22"/>
        </w:trPr>
        <w:tc>
          <w:tcPr>
            <w:tcW w:w="4260" w:type="dxa"/>
            <w:vAlign w:val="bottom"/>
            <w:shd w:val="clear" w:color="auto" w:fill="CCEEFF"/>
          </w:tcPr>
          <w:p>
            <w:pPr>
              <w:ind w:left="500"/>
              <w:spacing w:after="0" w:line="222" w:lineRule="exact"/>
              <w:rPr>
                <w:sz w:val="20"/>
                <w:szCs w:val="20"/>
                <w:color w:val="auto"/>
              </w:rPr>
            </w:pPr>
            <w:r>
              <w:rPr>
                <w:rFonts w:ascii="Times New Roman" w:cs="Times New Roman" w:eastAsia="Times New Roman" w:hAnsi="Times New Roman"/>
                <w:sz w:val="17"/>
                <w:szCs w:val="17"/>
                <w:color w:val="auto"/>
              </w:rPr>
              <w:t>Class A common stock</w:t>
            </w:r>
            <w:r>
              <w:rPr>
                <w:rFonts w:ascii="Times New Roman" w:cs="Times New Roman" w:eastAsia="Times New Roman" w:hAnsi="Times New Roman"/>
                <w:sz w:val="25"/>
                <w:szCs w:val="25"/>
                <w:color w:val="auto"/>
                <w:vertAlign w:val="superscript"/>
              </w:rPr>
              <w:t>(2)</w:t>
            </w: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513,917,418</w:t>
            </w: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513,917,418</w:t>
            </w:r>
          </w:p>
        </w:tc>
      </w:tr>
      <w:tr>
        <w:trPr>
          <w:trHeight w:val="179"/>
        </w:trPr>
        <w:tc>
          <w:tcPr>
            <w:tcW w:w="4260" w:type="dxa"/>
            <w:vAlign w:val="bottom"/>
          </w:tcPr>
          <w:p>
            <w:pPr>
              <w:spacing w:after="0" w:line="179" w:lineRule="exact"/>
              <w:rPr>
                <w:sz w:val="20"/>
                <w:szCs w:val="20"/>
                <w:color w:val="auto"/>
              </w:rPr>
            </w:pPr>
            <w:r>
              <w:rPr>
                <w:rFonts w:ascii="Times New Roman" w:cs="Times New Roman" w:eastAsia="Times New Roman" w:hAnsi="Times New Roman"/>
                <w:sz w:val="17"/>
                <w:szCs w:val="17"/>
                <w:color w:val="auto"/>
              </w:rPr>
              <w:t>Weighted-average shares of Class A common stock</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21"/>
        </w:trPr>
        <w:tc>
          <w:tcPr>
            <w:tcW w:w="4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outstanding (Diluted)</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1,329,778,049</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98"/>
              </w:rPr>
              <w:t>1,327,322,578</w:t>
            </w:r>
          </w:p>
        </w:tc>
      </w:tr>
      <w:tr>
        <w:trPr>
          <w:trHeight w:val="202"/>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 Forma Basic net income per share</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rPr>
              <w:t>0.71</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0.82</w:t>
            </w:r>
          </w:p>
        </w:tc>
      </w:tr>
      <w:tr>
        <w:trPr>
          <w:trHeight w:val="219"/>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Pro Forma Diluted net income per share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0.68</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76454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26" w:lineRule="exact"/>
        <w:rPr>
          <w:sz w:val="20"/>
          <w:szCs w:val="20"/>
          <w:color w:val="auto"/>
        </w:rPr>
      </w:pPr>
    </w:p>
    <w:p>
      <w:pPr>
        <w:ind w:left="600" w:right="60" w:hanging="433"/>
        <w:spacing w:after="0" w:line="255" w:lineRule="auto"/>
        <w:tabs>
          <w:tab w:leader="none" w:pos="6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shares of Class A common stock are excluded from the computation of diluted net income per share if their effect would have been anti-dilutive for the period presented or if the issuance of shares is contingent upon events that did not occur by the end of the period. The following table presents potentially</w:t>
      </w:r>
    </w:p>
    <w:p>
      <w:pPr>
        <w:spacing w:after="0" w:line="1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60"/>
          </w:cols>
          <w:pgMar w:left="320" w:top="451" w:right="5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dilutive securities excluded from the computation of diluted net income per share/unit for the period presented.</w:t>
      </w:r>
    </w:p>
    <w:p>
      <w:pPr>
        <w:spacing w:after="0" w:line="228"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200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7"/>
        </w:trPr>
        <w:tc>
          <w:tcPr>
            <w:tcW w:w="5400" w:type="dxa"/>
            <w:vAlign w:val="bottom"/>
          </w:tcPr>
          <w:p>
            <w:pPr>
              <w:spacing w:after="0"/>
              <w:rPr>
                <w:sz w:val="12"/>
                <w:szCs w:val="12"/>
                <w:color w:val="auto"/>
              </w:rPr>
            </w:pPr>
          </w:p>
        </w:tc>
        <w:tc>
          <w:tcPr>
            <w:tcW w:w="2000" w:type="dxa"/>
            <w:vAlign w:val="bottom"/>
            <w:gridSpan w:val="2"/>
          </w:tcPr>
          <w:p>
            <w:pPr>
              <w:jc w:val="center"/>
              <w:ind w:right="760"/>
              <w:spacing w:after="0" w:line="147"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88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2"/>
        </w:trPr>
        <w:tc>
          <w:tcPr>
            <w:tcW w:w="54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7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bottom w:val="single" w:sz="8" w:color="CCEEFF"/>
            </w:tcBorders>
          </w:tcPr>
          <w:p>
            <w:pPr>
              <w:spacing w:after="0"/>
              <w:rPr>
                <w:sz w:val="14"/>
                <w:szCs w:val="14"/>
                <w:color w:val="auto"/>
              </w:rPr>
            </w:pPr>
          </w:p>
        </w:tc>
      </w:tr>
      <w:tr>
        <w:trPr>
          <w:trHeight w:val="207"/>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awards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161,334</w:t>
            </w: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129,957</w:t>
            </w:r>
          </w:p>
        </w:tc>
        <w:tc>
          <w:tcPr>
            <w:tcW w:w="40" w:type="dxa"/>
            <w:vAlign w:val="bottom"/>
            <w:shd w:val="clear" w:color="auto" w:fill="CCEEFF"/>
          </w:tcPr>
          <w:p>
            <w:pPr>
              <w:spacing w:after="0"/>
              <w:rPr>
                <w:sz w:val="18"/>
                <w:szCs w:val="18"/>
                <w:color w:val="auto"/>
              </w:rPr>
            </w:pPr>
          </w:p>
        </w:tc>
      </w:tr>
      <w:tr>
        <w:trPr>
          <w:trHeight w:val="21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0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6,770,442</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6,770,442</w:t>
            </w:r>
          </w:p>
        </w:tc>
      </w:tr>
      <w:tr>
        <w:trPr>
          <w:trHeight w:val="21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units</w:t>
            </w:r>
          </w:p>
        </w:tc>
        <w:tc>
          <w:tcPr>
            <w:tcW w:w="20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3,080,934</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3,080,934</w:t>
            </w:r>
          </w:p>
        </w:tc>
      </w:tr>
      <w:tr>
        <w:trPr>
          <w:trHeight w:val="21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Performance-based awards</w:t>
            </w:r>
          </w:p>
        </w:tc>
        <w:tc>
          <w:tcPr>
            <w:tcW w:w="20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1,769,184</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1,769,184</w:t>
            </w:r>
          </w:p>
        </w:tc>
      </w:tr>
      <w:tr>
        <w:trPr>
          <w:trHeight w:val="21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20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r>
    </w:tbl>
    <w:p>
      <w:pPr>
        <w:spacing w:after="0" w:line="218" w:lineRule="exact"/>
        <w:rPr>
          <w:sz w:val="20"/>
          <w:szCs w:val="20"/>
          <w:color w:val="auto"/>
        </w:rPr>
      </w:pPr>
    </w:p>
    <w:p>
      <w:pPr>
        <w:ind w:left="600" w:hanging="433"/>
        <w:spacing w:after="0" w:line="238" w:lineRule="auto"/>
        <w:tabs>
          <w:tab w:leader="none" w:pos="6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noncontrolling interest owners, which we refer to as Continuing Unitholders, have exchange rights which enable the noncontrolling interest owners to exchange Common Units for shares of Class A common stock on a one-for-one basis. The noncontrolling interest owners exchange rights cause the Common Units to be considered dilutive shares for purposes of dilutive income per share calculations.</w:t>
      </w:r>
    </w:p>
    <w:p>
      <w:pPr>
        <w:spacing w:after="0" w:line="11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00"/>
          </w:cols>
          <w:pgMar w:left="320" w:top="451" w:right="5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0" w:lineRule="exact"/>
        <w:rPr>
          <w:sz w:val="20"/>
          <w:szCs w:val="20"/>
          <w:color w:val="auto"/>
        </w:rPr>
      </w:pPr>
    </w:p>
    <w:p>
      <w:pPr>
        <w:ind w:left="160" w:right="40" w:firstLine="436"/>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results of operations and financial condition in conjunction with the “Unaudited Pro Forma Condensed Consolidated Financial Information” and the consolidated financial statements and related notes thereto included elsewhere in this prospectus. In addition to historical consolidated financial information, the following discussion contains forward-looking statements and involves numerous risks and uncertainties, including, but not limited to, those described in the “Risk Factors” section of this prospectus. Actual results may differ materially from those contained in any forward-looking statements. Unless the context otherwise requires, references in this section to “Medline,” “we,” “our,” “us,” and the “Company” refer to Medline Holdings, LP and its consolidated subsidiaries.</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8"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We are the largest provider of med-surg products and supply chain solutions serving all points of care, based on total net sales of med-surg products. We deliver mission-critical products used daily across the full range of care settings, from hospitals and surgery centers to physician offices and post-acute facilities. Through our two segments, Medline Brand and Supply Chain Solutions, we offer approximately 335,000 med-surg products, including surgical and procedural kits, gloves and protective apparel, urological and incontinence care, wound care, and consumable lab and diagnostics products. We hold the leading position across several of our end markets and many of our key product families. We distribute these products through our expansive network of 69 global distribution facilities, spanning over 29 million square feet of warehouse space, and our owned fleet of over 2,000 MedTrans trucks, enabling us to provide next-day delivery to 95% of our U.S. customers. Our integrated business model and customer-centric culture drives lower costs and better value for our stakeholders. This is the foundation for our durable recurring revenue base, with our net sales having grown every year since inception of the Company at a CAGR of 18%.</w:t>
      </w:r>
    </w:p>
    <w:p>
      <w:pPr>
        <w:spacing w:after="0" w:line="1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For the nine months ended September 27, 2025, our financial results were as follows:</w:t>
      </w:r>
    </w:p>
    <w:p>
      <w:pPr>
        <w:spacing w:after="0" w:line="127" w:lineRule="exact"/>
        <w:rPr>
          <w:sz w:val="20"/>
          <w:szCs w:val="20"/>
          <w:color w:val="auto"/>
        </w:rPr>
      </w:pPr>
    </w:p>
    <w:p>
      <w:pPr>
        <w:ind w:left="1140" w:right="500" w:hanging="438"/>
        <w:spacing w:after="0" w:line="278" w:lineRule="auto"/>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net sales of $20.6 billion, net income of $1.0 billion, and Adjusted EBITDA of $2.7 billion, representing a net income margin of 4.7% and an Adjusted EBITDA Margin of 12.9%.</w:t>
      </w:r>
    </w:p>
    <w:p>
      <w:pPr>
        <w:spacing w:after="0" w:line="68" w:lineRule="exact"/>
        <w:rPr>
          <w:rFonts w:ascii="Times New Roman" w:cs="Times New Roman" w:eastAsia="Times New Roman" w:hAnsi="Times New Roman"/>
          <w:sz w:val="18"/>
          <w:szCs w:val="18"/>
          <w:color w:val="auto"/>
        </w:rPr>
      </w:pPr>
    </w:p>
    <w:p>
      <w:pPr>
        <w:ind w:left="1140" w:right="200" w:hanging="438"/>
        <w:spacing w:after="0" w:line="278" w:lineRule="auto"/>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that period, 48.4% of total net sales and 81.2% of Segment Adjusted EBITDA were generated from our Medline Brand segment, while 51.6% of total net sales and 18.8% of Segment Adjusted EBITDA were generated from Supply Chain Solutions.</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For the year ended December 31, 2024, our financial results were as follows:</w:t>
      </w:r>
    </w:p>
    <w:p>
      <w:pPr>
        <w:spacing w:after="0" w:line="127" w:lineRule="exact"/>
        <w:rPr>
          <w:sz w:val="20"/>
          <w:szCs w:val="20"/>
          <w:color w:val="auto"/>
        </w:rPr>
      </w:pPr>
    </w:p>
    <w:p>
      <w:pPr>
        <w:ind w:left="1140" w:right="500" w:hanging="438"/>
        <w:spacing w:after="0" w:line="278" w:lineRule="auto"/>
        <w:tabs>
          <w:tab w:leader="none" w:pos="11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net sales of $25.5 billion, net income of $1.2 billion, and Adjusted EBITDA of $3.4 billion, representing a net income margin of 4.7% and an Adjusted EBITDA Margin of 13.2%.</w:t>
      </w:r>
    </w:p>
    <w:p>
      <w:pPr>
        <w:spacing w:after="0" w:line="68" w:lineRule="exact"/>
        <w:rPr>
          <w:rFonts w:ascii="Times New Roman" w:cs="Times New Roman" w:eastAsia="Times New Roman" w:hAnsi="Times New Roman"/>
          <w:sz w:val="18"/>
          <w:szCs w:val="18"/>
          <w:color w:val="auto"/>
        </w:rPr>
      </w:pPr>
    </w:p>
    <w:p>
      <w:pPr>
        <w:ind w:left="1140" w:right="200" w:hanging="438"/>
        <w:spacing w:after="0" w:line="278" w:lineRule="auto"/>
        <w:tabs>
          <w:tab w:leader="none" w:pos="11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that period, 49.1% of total net sales and 83.5% of Segment Adjusted EBITDA were generated from our Medline Brand segment, while 50.9% of total net sales and 16.5% of Segment Adjusted EBITDA were generated from Supply Chain Solutions.</w:t>
      </w:r>
    </w:p>
    <w:p>
      <w:pPr>
        <w:spacing w:after="0" w:line="162" w:lineRule="exact"/>
        <w:rPr>
          <w:sz w:val="20"/>
          <w:szCs w:val="20"/>
          <w:color w:val="auto"/>
        </w:rPr>
      </w:pPr>
    </w:p>
    <w:p>
      <w:pPr>
        <w:ind w:left="160" w:right="80" w:firstLine="436"/>
        <w:spacing w:after="0" w:line="263" w:lineRule="auto"/>
        <w:rPr>
          <w:sz w:val="20"/>
          <w:szCs w:val="20"/>
          <w:color w:val="auto"/>
        </w:rPr>
      </w:pPr>
      <w:r>
        <w:rPr>
          <w:rFonts w:ascii="Times New Roman" w:cs="Times New Roman" w:eastAsia="Times New Roman" w:hAnsi="Times New Roman"/>
          <w:sz w:val="18"/>
          <w:szCs w:val="18"/>
          <w:color w:val="auto"/>
        </w:rPr>
        <w:t>For a reconciliation of Adjusted EBITDA and Adjusted EBITDA Margin to the most directly comparable United States generally accepted accounting principles (“GAAP”) financial measures, information about why we consider Adjusted EBITDA and Adjusted EBITDA Margin useful, and a discussion of the material risks and limitations of these measures, see “—Non-GAAP Financial Information.”</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Segments</w:t>
      </w:r>
    </w:p>
    <w:p>
      <w:pPr>
        <w:spacing w:after="0" w:line="118" w:lineRule="exact"/>
        <w:rPr>
          <w:sz w:val="20"/>
          <w:szCs w:val="20"/>
          <w:color w:val="auto"/>
        </w:rPr>
      </w:pPr>
    </w:p>
    <w:p>
      <w:pPr>
        <w:ind w:left="160" w:right="440" w:firstLine="436"/>
        <w:spacing w:after="0" w:line="278" w:lineRule="auto"/>
        <w:rPr>
          <w:sz w:val="20"/>
          <w:szCs w:val="20"/>
          <w:color w:val="auto"/>
        </w:rPr>
      </w:pPr>
      <w:r>
        <w:rPr>
          <w:rFonts w:ascii="Times New Roman" w:cs="Times New Roman" w:eastAsia="Times New Roman" w:hAnsi="Times New Roman"/>
          <w:sz w:val="18"/>
          <w:szCs w:val="18"/>
          <w:color w:val="auto"/>
        </w:rPr>
        <w:t>We operate under two reportable segments, Medline Brand and Supply Chain Solutions. During the nine months ended September 27, 2025, Medline Brand segment net sales and Segment Adjusted EBITDA were</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60"/>
          </w:cols>
          <w:pgMar w:left="320" w:top="451" w:right="5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$10.0 billion and $2.5 billion, respectively, while Supply Chain Solutions segment net sales and Segment Adjusted EBITDA were $10.6 billion and</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$0.6 billion, respectively. During the year ended December 31, 2024, Medline Brand segment net sales and Segment Adjusted EBITDA were</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$12.5 billion and $3.3 billion, respectively, while Supply Chain Solutions segment net sales and Segment Adjusted EBITDA were $13.0 billion and</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$0.6 billion, respectively.</w:t>
      </w:r>
    </w:p>
    <w:p>
      <w:pPr>
        <w:spacing w:after="0" w:line="3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Medline Brand</w:t>
      </w:r>
    </w:p>
    <w:p>
      <w:pPr>
        <w:spacing w:after="0" w:line="118" w:lineRule="exact"/>
        <w:rPr>
          <w:sz w:val="20"/>
          <w:szCs w:val="20"/>
          <w:color w:val="auto"/>
        </w:rPr>
      </w:pPr>
    </w:p>
    <w:p>
      <w:pPr>
        <w:ind w:left="160" w:right="60" w:firstLine="436"/>
        <w:spacing w:after="0" w:line="255" w:lineRule="auto"/>
        <w:rPr>
          <w:sz w:val="20"/>
          <w:szCs w:val="20"/>
          <w:color w:val="auto"/>
        </w:rPr>
      </w:pPr>
      <w:r>
        <w:rPr>
          <w:rFonts w:ascii="Times New Roman" w:cs="Times New Roman" w:eastAsia="Times New Roman" w:hAnsi="Times New Roman"/>
          <w:sz w:val="18"/>
          <w:szCs w:val="18"/>
          <w:color w:val="auto"/>
        </w:rPr>
        <w:t>We offer our customers approximately 190,000 med-surg products through our Medline Brand segment. We produce approximately one-third of these products, which are primarily Class I and II medical devices, through our 33 manufacturing facilities. We focus our manufacturing capabilities on products where we can leverage technology and automation to drive higher quality and lower costs to better serve our customers. For the vast majority of the other two-thirds of Medline Brand products, we utilize a network of more than 500 global partners across a diversified set of approximately 40 countries, with approximately 300 of these relationships being exclusive to us.</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three Medline Brand segment product categories are as follows:</w:t>
      </w:r>
    </w:p>
    <w:p>
      <w:pPr>
        <w:spacing w:after="0" w:line="125" w:lineRule="exact"/>
        <w:rPr>
          <w:sz w:val="20"/>
          <w:szCs w:val="20"/>
          <w:color w:val="auto"/>
        </w:rPr>
      </w:pPr>
    </w:p>
    <w:p>
      <w:pPr>
        <w:ind w:left="1140" w:hanging="438"/>
        <w:spacing w:after="0" w:line="264" w:lineRule="auto"/>
        <w:tabs>
          <w:tab w:leader="none" w:pos="11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Front Line Care </w:t>
      </w:r>
      <w:r>
        <w:rPr>
          <w:rFonts w:ascii="Times New Roman" w:cs="Times New Roman" w:eastAsia="Times New Roman" w:hAnsi="Times New Roman"/>
          <w:sz w:val="18"/>
          <w:szCs w:val="18"/>
          <w:color w:val="auto"/>
        </w:rPr>
        <w:t>offers mission-critical med-surg products for patient-facing needs, including wound care products, exam gloves, skin 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incontinence products, environment cleaning supplies, textiles, hand sanitizer, durable medical equipment, patient plastics, and decolonization and infection control products.</w:t>
      </w:r>
    </w:p>
    <w:p>
      <w:pPr>
        <w:spacing w:after="0" w:line="79" w:lineRule="exact"/>
        <w:rPr>
          <w:rFonts w:ascii="Times New Roman" w:cs="Times New Roman" w:eastAsia="Times New Roman" w:hAnsi="Times New Roman"/>
          <w:sz w:val="18"/>
          <w:szCs w:val="18"/>
          <w:color w:val="auto"/>
        </w:rPr>
      </w:pPr>
    </w:p>
    <w:p>
      <w:pPr>
        <w:ind w:left="1140" w:right="100" w:hanging="438"/>
        <w:spacing w:after="0" w:line="311" w:lineRule="auto"/>
        <w:tabs>
          <w:tab w:leader="none" w:pos="11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Surgical Solutions </w:t>
      </w:r>
      <w:r>
        <w:rPr>
          <w:rFonts w:ascii="Times New Roman" w:cs="Times New Roman" w:eastAsia="Times New Roman" w:hAnsi="Times New Roman"/>
          <w:sz w:val="17"/>
          <w:szCs w:val="17"/>
          <w:color w:val="auto"/>
        </w:rPr>
        <w:t>offers operating room and perioperative environment product solutions, including surgical procedure trays, drapes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gowns, personal protective equipment, sterile wraps, surgical instruments, surgeon’s gloves, procedure kits, and orthopedic implants.</w:t>
      </w:r>
    </w:p>
    <w:p>
      <w:pPr>
        <w:spacing w:after="0" w:line="41" w:lineRule="exact"/>
        <w:rPr>
          <w:rFonts w:ascii="Times New Roman" w:cs="Times New Roman" w:eastAsia="Times New Roman" w:hAnsi="Times New Roman"/>
          <w:sz w:val="17"/>
          <w:szCs w:val="17"/>
          <w:color w:val="auto"/>
        </w:rPr>
      </w:pPr>
    </w:p>
    <w:p>
      <w:pPr>
        <w:ind w:left="1140" w:right="240" w:hanging="438"/>
        <w:spacing w:after="0" w:line="264" w:lineRule="auto"/>
        <w:tabs>
          <w:tab w:leader="none" w:pos="11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Laboratory and Diagnostics </w:t>
      </w:r>
      <w:r>
        <w:rPr>
          <w:rFonts w:ascii="Times New Roman" w:cs="Times New Roman" w:eastAsia="Times New Roman" w:hAnsi="Times New Roman"/>
          <w:sz w:val="18"/>
          <w:szCs w:val="18"/>
          <w:color w:val="auto"/>
        </w:rPr>
        <w:t>offers a full range of laboratory and diagnostic product solutions, including point of care testing, analyzers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instrumentation, lab and diagnostic consumables, diagnostic instruments, vital signs monitors, and anatomic pathology and phlebotomy products.</w:t>
      </w:r>
    </w:p>
    <w:p>
      <w:pPr>
        <w:spacing w:after="0" w:line="175" w:lineRule="exact"/>
        <w:rPr>
          <w:sz w:val="20"/>
          <w:szCs w:val="20"/>
          <w:color w:val="auto"/>
        </w:rPr>
      </w:pPr>
    </w:p>
    <w:p>
      <w:pPr>
        <w:jc w:val="both"/>
        <w:ind w:left="160" w:right="40" w:firstLine="436"/>
        <w:spacing w:after="0" w:line="263" w:lineRule="auto"/>
        <w:rPr>
          <w:sz w:val="20"/>
          <w:szCs w:val="20"/>
          <w:color w:val="auto"/>
        </w:rPr>
      </w:pPr>
      <w:r>
        <w:rPr>
          <w:rFonts w:ascii="Times New Roman" w:cs="Times New Roman" w:eastAsia="Times New Roman" w:hAnsi="Times New Roman"/>
          <w:sz w:val="18"/>
          <w:szCs w:val="18"/>
          <w:color w:val="auto"/>
        </w:rPr>
        <w:t>We are highly diversified across Medline Brand products and categories, with no significant concentration in any one product. This is a result of our track record of successfully bringing new products to market, with more than 2,100 granted patents and more than 400 FDA 510(k) clearances. The continuous innovation of our product portfolio allows us to support the vast majority of a customer’s med-surg product needs.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Supply Chain Solutions</w:t>
      </w:r>
    </w:p>
    <w:p>
      <w:pPr>
        <w:spacing w:after="0" w:line="118" w:lineRule="exact"/>
        <w:rPr>
          <w:sz w:val="20"/>
          <w:szCs w:val="20"/>
          <w:color w:val="auto"/>
        </w:rPr>
      </w:pPr>
    </w:p>
    <w:p>
      <w:pPr>
        <w:ind w:left="160" w:right="120" w:firstLine="436"/>
        <w:spacing w:after="0" w:line="271" w:lineRule="auto"/>
        <w:rPr>
          <w:sz w:val="20"/>
          <w:szCs w:val="20"/>
          <w:color w:val="auto"/>
        </w:rPr>
      </w:pPr>
      <w:r>
        <w:rPr>
          <w:rFonts w:ascii="Times New Roman" w:cs="Times New Roman" w:eastAsia="Times New Roman" w:hAnsi="Times New Roman"/>
          <w:sz w:val="17"/>
          <w:szCs w:val="17"/>
          <w:color w:val="auto"/>
        </w:rPr>
        <w:t>We offer approximately 145,000 med-surg products from over 1,250 third-party suppliers, including nearly all leading national brands, through our Supply Chain Solutions segment. As a scaled service provider that sells and delivers to the entire continuum of care, Medline is a highly desirable partner to these brands. We also provide our customers supply chain optimization services such as consulting engagements, outsourced warehouse and technology management, put-away-ready packaging, third-party logistics, inventory rationalization, and route planning. Supply Chain Solutions contracts include contractual distributor mark-ups, which may differ by customer agreement. Our third-party suppliers are primarily responsible for costs related to import and inbound freight, whereas we are primarily responsible for costs related to outbound freight from our distribution centers.</w:t>
      </w:r>
    </w:p>
    <w:p>
      <w:pPr>
        <w:spacing w:after="0" w:line="2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Distribution Network</w:t>
      </w:r>
    </w:p>
    <w:p>
      <w:pPr>
        <w:spacing w:after="0" w:line="118" w:lineRule="exact"/>
        <w:rPr>
          <w:sz w:val="20"/>
          <w:szCs w:val="20"/>
          <w:color w:val="auto"/>
        </w:rPr>
      </w:pPr>
    </w:p>
    <w:p>
      <w:pPr>
        <w:ind w:left="160" w:firstLine="436"/>
        <w:spacing w:after="0" w:line="285" w:lineRule="auto"/>
        <w:rPr>
          <w:sz w:val="20"/>
          <w:szCs w:val="20"/>
          <w:color w:val="auto"/>
        </w:rPr>
      </w:pPr>
      <w:r>
        <w:rPr>
          <w:rFonts w:ascii="Times New Roman" w:cs="Times New Roman" w:eastAsia="Times New Roman" w:hAnsi="Times New Roman"/>
          <w:sz w:val="17"/>
          <w:szCs w:val="17"/>
          <w:color w:val="auto"/>
        </w:rPr>
        <w:t>We have a differentiated network of 69 global distribution centers, 45 of which are in the United States. Our distribution centers are strategically located to provide next-day delivery to 95% of our U.S. customer base. With over 26 million square feet in the United States, they are expertly designed to optimize distribution logistics and maximize utilization. The products we distribute are packaged to meet each customer’s individual needs and to</w:t>
      </w:r>
    </w:p>
    <w:p>
      <w:pPr>
        <w:spacing w:after="0" w:line="9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20"/>
          </w:cols>
          <w:pgMar w:left="320" w:top="451" w:right="5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160"/>
        <w:spacing w:after="0" w:line="252" w:lineRule="auto"/>
        <w:rPr>
          <w:sz w:val="20"/>
          <w:szCs w:val="20"/>
          <w:color w:val="auto"/>
        </w:rPr>
      </w:pPr>
      <w:r>
        <w:rPr>
          <w:rFonts w:ascii="Times New Roman" w:cs="Times New Roman" w:eastAsia="Times New Roman" w:hAnsi="Times New Roman"/>
          <w:sz w:val="18"/>
          <w:szCs w:val="18"/>
          <w:color w:val="auto"/>
        </w:rPr>
        <w:t>be “put-away-ready,” which streamlines the customer’s unloading and shelving process. We utilize AI and robotics technology in our distribution centers to drive efficiency and reduce costs. Our technologically advanced distribution centers allow us to extend cutoff times by which customers can place orders for delivery within a desired date, expand our product offering, and better service our expanding customer base. We also operate our own fleet of more than 2,000 MedTrans trucks that deliver our products across care settings within the United States. Our $4.5 billion of global on-hand inventory as of December 31, 2024, coupled with our market-leading supply chain capabilities, drive our ability to fulfill customer orders with service levels of 99% and support our high customer satisfaction levels. Over the last five years, we have invested $1.6 billion in total capital expenditures within our distribution network. As of December 31, 2024, we had approximately 25% in excess capacity across our platform to support our long-term growth.</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Commercial Platform</w:t>
      </w:r>
    </w:p>
    <w:p>
      <w:pPr>
        <w:spacing w:after="0" w:line="118"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Our deep connectivity to our customers is driven by the strength of our dedicated and tenured commercial team. We have a U.S. commercial team of approximately 3,800 people across all points of care, which includes account managers, product specialists, specialized clinical resources, customer service representatives, supply chain specialists, and Prime Vendor analysts. Our team prides themselves on their deep-rooted customer relationships and the value of their longstanding partnerships. We have created an entrepreneurial environment which empowers our salesforce to work with our product managers to create innovative products that meet market demand. We have a team devoted to each channel in the United States and each region or country internationally, which allows our salesforce teams to develop market-specific knowledge. Our differentiated, customer-focused culture and salesforce empowerment have driven a strong U.S. salesforce retention rate of greater than 85% in 2024.</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Key Factors and Trends</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Aging Population and Increased Healthcare Utilization</w:t>
      </w:r>
    </w:p>
    <w:p>
      <w:pPr>
        <w:spacing w:after="0" w:line="118" w:lineRule="exact"/>
        <w:rPr>
          <w:sz w:val="20"/>
          <w:szCs w:val="20"/>
          <w:color w:val="auto"/>
        </w:rPr>
      </w:pPr>
    </w:p>
    <w:p>
      <w:pPr>
        <w:ind w:left="160" w:right="100" w:firstLine="436"/>
        <w:spacing w:after="0" w:line="274" w:lineRule="auto"/>
        <w:rPr>
          <w:sz w:val="20"/>
          <w:szCs w:val="20"/>
          <w:color w:val="auto"/>
        </w:rPr>
      </w:pPr>
      <w:r>
        <w:rPr>
          <w:rFonts w:ascii="Times New Roman" w:cs="Times New Roman" w:eastAsia="Times New Roman" w:hAnsi="Times New Roman"/>
          <w:sz w:val="17"/>
          <w:szCs w:val="17"/>
          <w:color w:val="auto"/>
        </w:rPr>
        <w:t>Secular tailwinds, including an aging population and the growing prevalence of chronic conditions, which are expected to drive elevated volumes and increased health expenditures over the long term. The number of Americans aged 65 and older is projected to increase by 47% from 2022 to 2050, and today approximately 60% of Americans have at least one chronic disease, with approximately 40% having two or more. Due to these factors, national health expenditures are projected to outpace GDP growth, with an annual growth rate of 5.6% from 2023 to 2032, according to CMS. We will continue to serve our customer base as their underlying patient volumes increase and the demand for our med-surg products grows over time.</w:t>
      </w:r>
    </w:p>
    <w:p>
      <w:pPr>
        <w:spacing w:after="0" w:line="2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End Market Dynamics Including Shifting Sites of Care and Consolidation</w:t>
      </w:r>
    </w:p>
    <w:p>
      <w:pPr>
        <w:spacing w:after="0" w:line="118" w:lineRule="exact"/>
        <w:rPr>
          <w:sz w:val="20"/>
          <w:szCs w:val="20"/>
          <w:color w:val="auto"/>
        </w:rPr>
      </w:pPr>
    </w:p>
    <w:p>
      <w:pPr>
        <w:ind w:left="160" w:right="180" w:firstLine="436"/>
        <w:spacing w:after="0" w:line="274" w:lineRule="auto"/>
        <w:rPr>
          <w:sz w:val="20"/>
          <w:szCs w:val="20"/>
          <w:color w:val="auto"/>
        </w:rPr>
      </w:pPr>
      <w:r>
        <w:rPr>
          <w:rFonts w:ascii="Times New Roman" w:cs="Times New Roman" w:eastAsia="Times New Roman" w:hAnsi="Times New Roman"/>
          <w:sz w:val="17"/>
          <w:szCs w:val="17"/>
          <w:color w:val="auto"/>
        </w:rPr>
        <w:t>Our business is positively impacted by the ongoing shift of higher acuity procedures to lower-cost sites of care and consolidation of healthcare providers into IDNs. These factors have led to increased volumes across non-acute care delivery settings and drive customers to seek partners with reliable manufacturing and distribution capabilities who can serve their various end markets. Because of our comprehensive capabilities and offerings, we view these industry changes as advantageous and reflective of the broad strengths embedded in our business model. By continuing to enhance our product portfolio and tailor our service offerings, we aim to expand the value we provide to our customers across the entire continuum of care.</w:t>
      </w:r>
    </w:p>
    <w:p>
      <w:pPr>
        <w:spacing w:after="0" w:line="2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New Prime Vendor Growth</w:t>
      </w:r>
    </w:p>
    <w:p>
      <w:pPr>
        <w:spacing w:after="0" w:line="118" w:lineRule="exact"/>
        <w:rPr>
          <w:sz w:val="20"/>
          <w:szCs w:val="20"/>
          <w:color w:val="auto"/>
        </w:rPr>
      </w:pPr>
    </w:p>
    <w:p>
      <w:pPr>
        <w:ind w:left="160" w:right="80" w:firstLine="436"/>
        <w:spacing w:after="0" w:line="258" w:lineRule="auto"/>
        <w:rPr>
          <w:sz w:val="20"/>
          <w:szCs w:val="20"/>
          <w:color w:val="auto"/>
        </w:rPr>
      </w:pPr>
      <w:r>
        <w:rPr>
          <w:rFonts w:ascii="Times New Roman" w:cs="Times New Roman" w:eastAsia="Times New Roman" w:hAnsi="Times New Roman"/>
          <w:sz w:val="18"/>
          <w:szCs w:val="18"/>
          <w:color w:val="auto"/>
        </w:rPr>
        <w:t>Our historical track record of earning new Prime Vendor customers has been a key driver of sustained growth and share gains for Medline. As Prime Vendor, we can deliver significant cost savings to our customers. Our scale allows us to consistently deliver lower prices and better service levels on Medline Brand products relative to third-party alternatives, while also lowering the distribution cost for delivery of the full range of med-surg products. This often motivates customers to purchase more Medline Brand products over time.</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80"/>
          </w:cols>
          <w:pgMar w:left="320" w:top="451" w:right="4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120" w:firstLine="436"/>
        <w:spacing w:after="0" w:line="258" w:lineRule="auto"/>
        <w:rPr>
          <w:sz w:val="20"/>
          <w:szCs w:val="20"/>
          <w:color w:val="auto"/>
        </w:rPr>
      </w:pPr>
      <w:r>
        <w:rPr>
          <w:rFonts w:ascii="Times New Roman" w:cs="Times New Roman" w:eastAsia="Times New Roman" w:hAnsi="Times New Roman"/>
          <w:sz w:val="18"/>
          <w:szCs w:val="18"/>
          <w:color w:val="auto"/>
        </w:rPr>
        <w:t>For example, in the acute care sector, at the beginning of a Prime Vendor relationship, Medline Brand products typically represent approximately 10% of a customer’s product mix but has the potential to reach approximately 60% Medline Brand over time. Based on our historical experience when offering new products, we expect this like-for-like product conversion opportunity to grow as we expand our product portfolio, either through new product development or acquisitions.</w:t>
      </w:r>
    </w:p>
    <w:p>
      <w:pPr>
        <w:spacing w:after="0" w:line="180" w:lineRule="exact"/>
        <w:rPr>
          <w:sz w:val="20"/>
          <w:szCs w:val="20"/>
          <w:color w:val="auto"/>
        </w:rPr>
      </w:pPr>
    </w:p>
    <w:p>
      <w:pPr>
        <w:jc w:val="both"/>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Medline Brand conversion is mutually beneficial for both our customers and us—the value we provide customers at the outset of a Prime Vendor agreement meaningfully increases over time, as they accrue savings by purchasing our lower cost Medline Brand products, while our profitability grows given the enhanced margin profile of Medline Brand products.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Non-Prime Vendor Growth</w:t>
      </w:r>
    </w:p>
    <w:p>
      <w:pPr>
        <w:spacing w:after="0" w:line="118"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Our customer base includes those who purchase products through us but with whom we do not currently have a Prime Vendor relationship. We expect Medline Brand net sales to non-Prime Vendor customers to continue to grow as we deepen our relationships with these customers and expand our Medline Brand product portfolio. Furthermore, as these customers recognize the value proposition of Medline Brand and distribution network, we will have the opportunity to earn Prime Vendor agreements from them.</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Medline Brand Growth</w:t>
      </w:r>
    </w:p>
    <w:p>
      <w:pPr>
        <w:spacing w:after="0" w:line="118"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Our ability to sell Medline Brand products has impacted and will continue to impact our financial performance. These products represent approximately 50% of our net sales today, or $12.5 billion for the fiscal year ending December 31, 2024. The product categories that comprise our Medline Brand offerings represent a $75 billion U.S. market opportunity, resulting in meaningful whitespace for future growth relative to our current net sales volume.</w:t>
      </w:r>
    </w:p>
    <w:p>
      <w:pPr>
        <w:spacing w:after="0" w:line="180"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We sell these Medline Brand products to both our Prime Vendor and non-Prime Vendor customers. Today, our Prime Vendor agreements have an approximate average mix of 65% Supply Chain Solutions and 35% Medline Brand, presenting a significant opportunity to drive customer savings through further Medline Brand adoption in the years ahead. Supply Chain Solutions products for which like-for-like Medline Brand products are available represented approximately $4.0 billion in net sales to existing Prime Vendor customers as of December 31, 2024. Assuming historical margins, if 100% of such products were converted to available like-for-like Medline Brand products, the incremental gross profit opportunity associated with such conversion would be approximately $1.0 billion. Conversion of 100% of this opportunity is not immediately achievable, and we cannot provide any assurance regarding the timing or extent of any such conversions. While we historically have earned higher margins upon conversion from third-party national brand products to like-for-like Medline Brand products, because of the lower average prices for Medline Brand products, there is typically a negative impact on net sales upon the conversion of Supply Chain Solutions products to like-for-like Medline Brand products if volume is assumed to be constant. We believe that the average margins for Supply Chain Solutions products converted to Medline Brand products have not significantly differed from those that have not been converted. Similarly, the average margins of products converted to Medline Brand do not vary materially from their unconverted counterparts. Therefore, we assume our historical estimates will continue with future conversions. For further information on potential risks relating to this conversion opportunity, please refer to “Risk Factors—Risks Related to Our Business, Industry and Operations—Our failure to establish and maintain Prime Vendor relationships may cause our revenue to decline.”</w:t>
      </w:r>
    </w:p>
    <w:p>
      <w:pPr>
        <w:spacing w:after="0" w:line="2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New Product Launches</w:t>
      </w:r>
    </w:p>
    <w:p>
      <w:pPr>
        <w:spacing w:after="0" w:line="118" w:lineRule="exact"/>
        <w:rPr>
          <w:sz w:val="20"/>
          <w:szCs w:val="20"/>
          <w:color w:val="auto"/>
        </w:rPr>
      </w:pPr>
    </w:p>
    <w:p>
      <w:pPr>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Our approach to product development is shaped by a long history of actively gathering and incorporating customer feedback. Over the years, we have refined our ability to identify underlying needs and challenges faced by our customers. By carefully examining customer pain points, our teams are encouraged to respond with well-informed product innovations that address these issues directly and effectively.</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60"/>
          </w:cols>
          <w:pgMar w:left="320" w:top="451" w:right="5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both"/>
        <w:ind w:left="160" w:right="220" w:firstLine="436"/>
        <w:spacing w:after="0" w:line="263" w:lineRule="auto"/>
        <w:rPr>
          <w:sz w:val="20"/>
          <w:szCs w:val="20"/>
          <w:color w:val="auto"/>
        </w:rPr>
      </w:pPr>
      <w:r>
        <w:rPr>
          <w:rFonts w:ascii="Times New Roman" w:cs="Times New Roman" w:eastAsia="Times New Roman" w:hAnsi="Times New Roman"/>
          <w:sz w:val="18"/>
          <w:szCs w:val="18"/>
          <w:color w:val="auto"/>
        </w:rPr>
        <w:t>Our innovation process involves close collaboration across multiple parts of our organization. Medline product teams work with our salesforce and regulatory experts to translate the insights gained from customer experiences into new Medline Brand products. This integrated approach ensures that we introduce high-quality products that meet recognized needs.</w:t>
      </w:r>
    </w:p>
    <w:p>
      <w:pPr>
        <w:spacing w:after="0" w:line="175" w:lineRule="exact"/>
        <w:rPr>
          <w:sz w:val="20"/>
          <w:szCs w:val="20"/>
          <w:color w:val="auto"/>
        </w:rPr>
      </w:pPr>
    </w:p>
    <w:p>
      <w:pPr>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Our scaled go-to-market strategy and entrepreneurial culture allows us to quickly introduce new products across our customer base, increasing the likelihood of commercial success. By continually applying this model, we aim to maintain our role as a dependable partner and resource for our customers, supporting them with innovative solutions as their needs evolve.</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M&amp;A</w:t>
      </w:r>
    </w:p>
    <w:p>
      <w:pPr>
        <w:spacing w:after="0" w:line="118" w:lineRule="exact"/>
        <w:rPr>
          <w:sz w:val="20"/>
          <w:szCs w:val="20"/>
          <w:color w:val="auto"/>
        </w:rPr>
      </w:pPr>
    </w:p>
    <w:p>
      <w:pPr>
        <w:ind w:left="160" w:right="100" w:firstLine="436"/>
        <w:spacing w:after="0" w:line="258" w:lineRule="auto"/>
        <w:rPr>
          <w:sz w:val="20"/>
          <w:szCs w:val="20"/>
          <w:color w:val="auto"/>
        </w:rPr>
      </w:pPr>
      <w:r>
        <w:rPr>
          <w:rFonts w:ascii="Times New Roman" w:cs="Times New Roman" w:eastAsia="Times New Roman" w:hAnsi="Times New Roman"/>
          <w:sz w:val="18"/>
          <w:szCs w:val="18"/>
          <w:color w:val="auto"/>
        </w:rPr>
        <w:t>Our disciplined, global M&amp;A strategy is focused on pursuing adjacent products and services as well as expanding into new channels. We have a proven strategy for integrating new acquisitions and achieving significant synergies, which has enabled us to acquire businesses at attractive valuations on a post-synergy basis. The breadth of our product channels and our low-cost manufacturing and sourcing model makes Medline a powerful M&amp;A platform.</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recent notable acquisitions include:</w:t>
      </w:r>
    </w:p>
    <w:p>
      <w:pPr>
        <w:spacing w:after="0" w:line="127" w:lineRule="exact"/>
        <w:rPr>
          <w:sz w:val="20"/>
          <w:szCs w:val="20"/>
          <w:color w:val="auto"/>
        </w:rPr>
      </w:pPr>
    </w:p>
    <w:p>
      <w:pPr>
        <w:ind w:left="1140" w:right="60" w:hanging="438"/>
        <w:spacing w:after="0" w:line="285" w:lineRule="auto"/>
        <w:tabs>
          <w:tab w:leader="none" w:pos="11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August 1, 2024, we acquired the global surgical solutions business of Ecolab, Inc., including industry-leading Microtek product lines (“Microtek”). The acquisition provides us with innovative sterile drape solutions for surgeons, patients, and operating room equipment, as well as Ecolab’s fluid temperature management system. The purchase price for the acquisition was approximately $905 million.</w:t>
      </w:r>
    </w:p>
    <w:p>
      <w:pPr>
        <w:spacing w:after="0" w:line="65" w:lineRule="exact"/>
        <w:rPr>
          <w:rFonts w:ascii="Times New Roman" w:cs="Times New Roman" w:eastAsia="Times New Roman" w:hAnsi="Times New Roman"/>
          <w:sz w:val="17"/>
          <w:szCs w:val="17"/>
          <w:color w:val="auto"/>
        </w:rPr>
      </w:pPr>
    </w:p>
    <w:p>
      <w:pPr>
        <w:ind w:left="1140" w:hanging="438"/>
        <w:spacing w:after="0" w:line="258" w:lineRule="auto"/>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 2024, we acquired 100% of the shares of Sinclair Dental Co. Ltd for approximately $195 million. Sinclair Dental Co. Ltd was the largest independent distributor of dental supplies and equipment in Canada. Their dental products, including patented ones, will diversify our portfolio in Canada and are expected to earn us new customers. The addition of their distribution centers will also expand our footprint in Canada.</w:t>
      </w:r>
    </w:p>
    <w:p>
      <w:pPr>
        <w:spacing w:after="0" w:line="180" w:lineRule="exact"/>
        <w:rPr>
          <w:sz w:val="20"/>
          <w:szCs w:val="20"/>
          <w:color w:val="auto"/>
        </w:rPr>
      </w:pPr>
    </w:p>
    <w:p>
      <w:pPr>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As industry consolidation continues, we believe we are well-positioned to capitalize on this trend to continue to grow and gain share in this global market. See “Risk Factors—Risks Related to Our Business, Industry and Operations—We may be unable to derive fully the anticipated benefits from our existing or future acquisitions, joint ventures, investments, dispositions, or other strategic transactions.”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Trade Relations and Impacts of Tariffs on our Business</w:t>
      </w:r>
    </w:p>
    <w:p>
      <w:pPr>
        <w:spacing w:after="0" w:line="118" w:lineRule="exact"/>
        <w:rPr>
          <w:sz w:val="20"/>
          <w:szCs w:val="20"/>
          <w:color w:val="auto"/>
        </w:rPr>
      </w:pPr>
    </w:p>
    <w:p>
      <w:pPr>
        <w:ind w:left="160" w:right="60" w:firstLine="436"/>
        <w:spacing w:after="0" w:line="258" w:lineRule="auto"/>
        <w:rPr>
          <w:sz w:val="20"/>
          <w:szCs w:val="20"/>
          <w:color w:val="auto"/>
        </w:rPr>
      </w:pPr>
      <w:r>
        <w:rPr>
          <w:rFonts w:ascii="Times New Roman" w:cs="Times New Roman" w:eastAsia="Times New Roman" w:hAnsi="Times New Roman"/>
          <w:sz w:val="18"/>
          <w:szCs w:val="18"/>
          <w:color w:val="auto"/>
        </w:rPr>
        <w:t>In 2018, tariffs were enacted on a range of products from China, including some medical products. While a number of Medline Brand products contract manufactured in China experienced increased costs, we were able to utilize our scale to deploy a set of strategic actions to mitigate the impacts on our results. In turn, we shared a portion of these savings with our customers by maintaining competitive pricing on the affected products. These strategic actions included the following:</w:t>
      </w:r>
    </w:p>
    <w:p>
      <w:pPr>
        <w:spacing w:after="0" w:line="84" w:lineRule="exact"/>
        <w:rPr>
          <w:sz w:val="20"/>
          <w:szCs w:val="20"/>
          <w:color w:val="auto"/>
        </w:rPr>
      </w:pPr>
    </w:p>
    <w:p>
      <w:pPr>
        <w:ind w:left="1140" w:right="100" w:hanging="438"/>
        <w:spacing w:after="0" w:line="258" w:lineRule="auto"/>
        <w:tabs>
          <w:tab w:leader="none" w:pos="1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Shifted Production Across Our Globally Diversified Network of Sourcing Partners: </w:t>
      </w:r>
      <w:r>
        <w:rPr>
          <w:rFonts w:ascii="Times New Roman" w:cs="Times New Roman" w:eastAsia="Times New Roman" w:hAnsi="Times New Roman"/>
          <w:sz w:val="18"/>
          <w:szCs w:val="18"/>
          <w:color w:val="auto"/>
        </w:rPr>
        <w:t>Our global network of more than 500 global sourcing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across a diversified set of approximately 40 countries enabled us to strategically shift which country our Medline Brand products are sourced from, and allowed us to manage costs while simultaneously maintaining the high quality our customers expect from our products;</w:t>
      </w:r>
    </w:p>
    <w:p>
      <w:pPr>
        <w:spacing w:after="0" w:line="86" w:lineRule="exact"/>
        <w:rPr>
          <w:rFonts w:ascii="Times New Roman" w:cs="Times New Roman" w:eastAsia="Times New Roman" w:hAnsi="Times New Roman"/>
          <w:sz w:val="18"/>
          <w:szCs w:val="18"/>
          <w:color w:val="auto"/>
        </w:rPr>
      </w:pPr>
    </w:p>
    <w:p>
      <w:pPr>
        <w:ind w:left="1140" w:right="20" w:hanging="438"/>
        <w:spacing w:after="0" w:line="280" w:lineRule="auto"/>
        <w:tabs>
          <w:tab w:leader="none" w:pos="1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Procured More Cost-Competitive Raw Materials: </w:t>
      </w:r>
      <w:r>
        <w:rPr>
          <w:rFonts w:ascii="Times New Roman" w:cs="Times New Roman" w:eastAsia="Times New Roman" w:hAnsi="Times New Roman"/>
          <w:sz w:val="18"/>
          <w:szCs w:val="18"/>
          <w:color w:val="auto"/>
        </w:rPr>
        <w:t>We focused on securing more cost-competitive raw materials, leveraging global supplier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relationships and tactical negotiating strategies to contain expenses without compromising quality;</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40"/>
          </w:cols>
          <w:pgMar w:left="320" w:top="451" w:right="5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3" w:lineRule="exact"/>
        <w:rPr>
          <w:sz w:val="20"/>
          <w:szCs w:val="20"/>
          <w:color w:val="auto"/>
        </w:rPr>
      </w:pPr>
    </w:p>
    <w:p>
      <w:pPr>
        <w:ind w:left="1140" w:right="640" w:hanging="438"/>
        <w:spacing w:after="0" w:line="280" w:lineRule="auto"/>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Optimized Production Processes: </w:t>
      </w:r>
      <w:r>
        <w:rPr>
          <w:rFonts w:ascii="Times New Roman" w:cs="Times New Roman" w:eastAsia="Times New Roman" w:hAnsi="Times New Roman"/>
          <w:sz w:val="18"/>
          <w:szCs w:val="18"/>
          <w:color w:val="auto"/>
        </w:rPr>
        <w:t>We implemented process improvements and enhanced existing automation capabilities to reduce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operational inefficiencies in our manufacturing facilities, driving sustainable cost savings; and</w:t>
      </w:r>
    </w:p>
    <w:p>
      <w:pPr>
        <w:spacing w:after="0" w:line="65"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Policymaker Engagement: </w:t>
      </w:r>
      <w:r>
        <w:rPr>
          <w:rFonts w:ascii="Times New Roman" w:cs="Times New Roman" w:eastAsia="Times New Roman" w:hAnsi="Times New Roman"/>
          <w:sz w:val="17"/>
          <w:szCs w:val="17"/>
          <w:color w:val="auto"/>
        </w:rPr>
        <w:t>We engaged with external policy and advocacy partners on the need to produce and supply med-surg products.</w:t>
      </w:r>
    </w:p>
    <w:p>
      <w:pPr>
        <w:spacing w:after="0" w:line="138" w:lineRule="exact"/>
        <w:rPr>
          <w:rFonts w:ascii="Times New Roman" w:cs="Times New Roman" w:eastAsia="Times New Roman" w:hAnsi="Times New Roman"/>
          <w:sz w:val="17"/>
          <w:szCs w:val="17"/>
          <w:color w:val="auto"/>
        </w:rPr>
      </w:pPr>
    </w:p>
    <w:p>
      <w:pPr>
        <w:ind w:left="1140" w:right="180" w:hanging="438"/>
        <w:spacing w:after="0" w:line="280" w:lineRule="auto"/>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Price Adjustments: </w:t>
      </w:r>
      <w:r>
        <w:rPr>
          <w:rFonts w:ascii="Times New Roman" w:cs="Times New Roman" w:eastAsia="Times New Roman" w:hAnsi="Times New Roman"/>
          <w:sz w:val="18"/>
          <w:szCs w:val="18"/>
          <w:color w:val="auto"/>
        </w:rPr>
        <w:t>For products where we were unable to offset these cost pressures, we enacted selective price increases, enabling us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 continued investment in the capabilities essential to enhance our customer value proposition.</w:t>
      </w:r>
    </w:p>
    <w:p>
      <w:pPr>
        <w:spacing w:after="0" w:line="161"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The current U.S. and international political environment, including existing and potential changes to U.S. policies related to global trade and tariffs, have resulted in uncertainty surrounding the future state of the global economy. While the global tariff environment is unpredictable, as a global company with strategically located and owned manufacturing, combined with a broadly diversified sourcing footprint, we believe we are well-positioned to mitigate potential supply chain challenges. We have multiple mitigation levers at our disposal, which include strategically re-allocating production to other parts of the world, leveraging our new and existing supplier base, driving efficiencies and optimizing our own manufacturing footprint, qualified exclusions and, lastly, enacting price increases in a thoughtful and strategic way. We estimate a net adverse impact to our fiscal year 2025 income before taxes from tariffs and tariff-related developments (based upon the latest published tariffs in effect and tariff-related developments as of September 27, 2025, “tariff developments”) in the range of $325 million to $375 million. For fiscal year 2026, we estimate an incremental net adverse impact to income before taxes from tariff developments in the range of $150 million to $200 million. The actual impact may vary based on changes in tariff rates, duration of tariffs, scope of tariffs, and potential mitigation levers. For the nine months ended September 27, 2025, the net adverse impact to income before taxes from tariff developments was approximately $150 million.</w:t>
      </w:r>
    </w:p>
    <w:p>
      <w:pPr>
        <w:spacing w:after="0" w:line="187" w:lineRule="exact"/>
        <w:rPr>
          <w:sz w:val="20"/>
          <w:szCs w:val="20"/>
          <w:color w:val="auto"/>
        </w:rPr>
      </w:pPr>
    </w:p>
    <w:p>
      <w:pPr>
        <w:ind w:left="160" w:right="80" w:firstLine="436"/>
        <w:spacing w:after="0" w:line="258" w:lineRule="auto"/>
        <w:rPr>
          <w:sz w:val="20"/>
          <w:szCs w:val="20"/>
          <w:color w:val="auto"/>
        </w:rPr>
      </w:pPr>
      <w:r>
        <w:rPr>
          <w:rFonts w:ascii="Times New Roman" w:cs="Times New Roman" w:eastAsia="Times New Roman" w:hAnsi="Times New Roman"/>
          <w:sz w:val="18"/>
          <w:szCs w:val="18"/>
          <w:color w:val="auto"/>
        </w:rPr>
        <w:t>We are actively monitoring developments in the global tariff environment and will continue to evaluate the potential impact of the announced tariffs and related developments on our business and financial condition, as well as on our customers and suppliers, and the actions we may take to mitigate any impact. We do not expect to be able to establish alternative sources of supply or otherwise mitigate the full financial impact of tariffs on all of the products that we source, manufacture or distribute.</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Supply Chain Disruption and Inflationary Pressures</w:t>
      </w:r>
    </w:p>
    <w:p>
      <w:pPr>
        <w:spacing w:after="0" w:line="118" w:lineRule="exact"/>
        <w:rPr>
          <w:sz w:val="20"/>
          <w:szCs w:val="20"/>
          <w:color w:val="auto"/>
        </w:rPr>
      </w:pPr>
    </w:p>
    <w:p>
      <w:pPr>
        <w:ind w:left="160" w:right="40" w:firstLine="436"/>
        <w:spacing w:after="0" w:line="277" w:lineRule="auto"/>
        <w:rPr>
          <w:sz w:val="20"/>
          <w:szCs w:val="20"/>
          <w:color w:val="auto"/>
        </w:rPr>
      </w:pPr>
      <w:r>
        <w:rPr>
          <w:rFonts w:ascii="Times New Roman" w:cs="Times New Roman" w:eastAsia="Times New Roman" w:hAnsi="Times New Roman"/>
          <w:sz w:val="17"/>
          <w:szCs w:val="17"/>
          <w:color w:val="auto"/>
        </w:rPr>
        <w:t>Our business is impacted by supply chain disruptions, including but not limited to labor shortages, raw material shortages, and third-party supplier issues. Additionally, inflation has had, and may continue to have, a material impact on the cost to source materials or produce and distribute finished goods to customers. In these periods of disruption, our costs typically increase, and our operations may be constrained. While these factors can impact profitability, we have established the capabilities and infrastructure designed to mitigate the associated impact on our financial performance.</w:t>
      </w:r>
    </w:p>
    <w:p>
      <w:pPr>
        <w:spacing w:after="0" w:line="167" w:lineRule="exact"/>
        <w:rPr>
          <w:sz w:val="20"/>
          <w:szCs w:val="20"/>
          <w:color w:val="auto"/>
        </w:rPr>
      </w:pPr>
    </w:p>
    <w:p>
      <w:pPr>
        <w:ind w:left="160" w:right="320" w:firstLine="436"/>
        <w:spacing w:after="0" w:line="258" w:lineRule="auto"/>
        <w:rPr>
          <w:sz w:val="20"/>
          <w:szCs w:val="20"/>
          <w:color w:val="auto"/>
        </w:rPr>
      </w:pPr>
      <w:r>
        <w:rPr>
          <w:rFonts w:ascii="Times New Roman" w:cs="Times New Roman" w:eastAsia="Times New Roman" w:hAnsi="Times New Roman"/>
          <w:sz w:val="18"/>
          <w:szCs w:val="18"/>
          <w:color w:val="auto"/>
        </w:rPr>
        <w:t>This was evidenced during the COVID-19 pandemic, which caused widespread supply chain disruption and heightened demand for essential med-surg products in the United States. During this period, we experienced elevated inflationary pressures associated with inbound freight, fuel, and labor costs, in particular. Our globally diversified sourcing partnerships, robust domestic manufacturing footprint, and owned distribution network allowed us to provide reliable product availability and maintain competitive pricing, resulting in uninterrupted net sales growth.</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18" w:lineRule="exact"/>
        <w:rPr>
          <w:sz w:val="20"/>
          <w:szCs w:val="20"/>
          <w:color w:val="auto"/>
        </w:rPr>
      </w:pPr>
    </w:p>
    <w:p>
      <w:pPr>
        <w:jc w:val="center"/>
        <w:ind w:left="480"/>
        <w:spacing w:after="0" w:line="308" w:lineRule="auto"/>
        <w:rPr>
          <w:sz w:val="20"/>
          <w:szCs w:val="20"/>
          <w:color w:val="auto"/>
        </w:rPr>
      </w:pPr>
      <w:r>
        <w:rPr>
          <w:rFonts w:ascii="Times New Roman" w:cs="Times New Roman" w:eastAsia="Times New Roman" w:hAnsi="Times New Roman"/>
          <w:sz w:val="17"/>
          <w:szCs w:val="17"/>
          <w:color w:val="auto"/>
        </w:rPr>
        <w:t>Seasonal factors inherent in our business change the demand for products, including illness or disease patterns, the timing of elective medical procedures, and customer spending patterns. Historically, we have experienced higher net sales in the fourth quarter as a result of certain of these factors.</w:t>
      </w:r>
    </w:p>
    <w:p>
      <w:pPr>
        <w:spacing w:after="0" w:line="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80"/>
          </w:cols>
          <w:pgMar w:left="320" w:top="451" w:right="4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Impact of the Reorganization Transactions</w:t>
      </w:r>
    </w:p>
    <w:p>
      <w:pPr>
        <w:spacing w:after="0" w:line="118" w:lineRule="exact"/>
        <w:rPr>
          <w:sz w:val="20"/>
          <w:szCs w:val="20"/>
          <w:color w:val="auto"/>
        </w:rPr>
      </w:pPr>
    </w:p>
    <w:p>
      <w:pPr>
        <w:ind w:left="160" w:right="20" w:firstLine="436"/>
        <w:spacing w:after="0" w:line="251" w:lineRule="auto"/>
        <w:rPr>
          <w:sz w:val="20"/>
          <w:szCs w:val="20"/>
          <w:color w:val="auto"/>
        </w:rPr>
      </w:pPr>
      <w:r>
        <w:rPr>
          <w:rFonts w:ascii="Times New Roman" w:cs="Times New Roman" w:eastAsia="Times New Roman" w:hAnsi="Times New Roman"/>
          <w:sz w:val="18"/>
          <w:szCs w:val="18"/>
          <w:color w:val="auto"/>
        </w:rPr>
        <w:t>Medline Inc. was incorporated in November 2024 in contemplation of an initial public offering. Prior to the completion of our IPO, we executed several reorganization transactions described in “Organizational Structure—Blocker Transfers” and “Organizational Structure—Reclassification and Amendment and Restatement of the Limited Partnership Agreement of Medline Holdings,” as a result of which the limited partnership agreement of Medline Holdings was amended and restated to, among other things, modify its capital structure by reclassifying its outstanding Class A Units and CUPI Units held by the Continuing Common Unitholders into a new class of limited partnership interests that we refer to as “Common Units” and reclassifying its outstanding Class B Units held by the Continuing Incentive Unitholders into a new class of limited partnership interests that we refer to as “Incentive Units.” In addition, Class A Units, CUPI Units, and all vested and unvested Class B Units that were not reclassified into Units were directly or indirectly exchanged for shares of Class A common stock, in each case, as described under “Organizational Structure—Reclassification and Amendment and Restatement of the Limited Partnership Agreement of Medline Holdings.” Pursuant to the amended and restated limited partnership agreement of Medline Holdings, Medline Inc. is the general partner of Medline Holdings.</w:t>
      </w:r>
    </w:p>
    <w:p>
      <w:pPr>
        <w:spacing w:after="0" w:line="189"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Medline Inc. is a corporation for U.S. federal and state income tax purposes. Medline Inc.’s accounting predecessor, Medline Holdings, is treated as a flow-through entity for U.S. federal income tax purposes, and, as such, has generally not been subject to U.S. federal income tax at the entity level. Accordingly, unless otherwise specified, the historical results of operations and other financial information set forth in this prospectus do not include any provision for U.S. federal income tax. Following the IPO, Medline Inc. will pay U.S. federal and state income taxes as a corporation on its share of Medline Holdings’ taxable income.</w:t>
      </w:r>
    </w:p>
    <w:p>
      <w:pPr>
        <w:spacing w:after="0" w:line="184" w:lineRule="exact"/>
        <w:rPr>
          <w:sz w:val="20"/>
          <w:szCs w:val="20"/>
          <w:color w:val="auto"/>
        </w:rPr>
      </w:pPr>
    </w:p>
    <w:p>
      <w:pPr>
        <w:ind w:left="160" w:right="220" w:firstLine="436"/>
        <w:spacing w:after="0" w:line="258" w:lineRule="auto"/>
        <w:rPr>
          <w:sz w:val="20"/>
          <w:szCs w:val="20"/>
          <w:color w:val="auto"/>
        </w:rPr>
      </w:pPr>
      <w:r>
        <w:rPr>
          <w:rFonts w:ascii="Times New Roman" w:cs="Times New Roman" w:eastAsia="Times New Roman" w:hAnsi="Times New Roman"/>
          <w:sz w:val="18"/>
          <w:szCs w:val="18"/>
          <w:color w:val="auto"/>
        </w:rPr>
        <w:t>The Reorganization Transactions lacked economic substance and therefore were accounted for in a manner consistent with a reorganization of entities under common control. As a result, the consolidated financial statements of Medline Inc. recognize the assets and liabilities received in the reorganization at their historical carrying amounts, as reflected in the historical consolidated financial statements of Medline Holdings, the accounting predecessor.</w:t>
      </w:r>
    </w:p>
    <w:p>
      <w:pPr>
        <w:spacing w:after="0" w:line="180" w:lineRule="exact"/>
        <w:rPr>
          <w:sz w:val="20"/>
          <w:szCs w:val="20"/>
          <w:color w:val="auto"/>
        </w:rPr>
      </w:pPr>
    </w:p>
    <w:p>
      <w:pPr>
        <w:ind w:left="160" w:right="380" w:firstLine="436"/>
        <w:spacing w:after="0" w:line="278" w:lineRule="auto"/>
        <w:rPr>
          <w:sz w:val="20"/>
          <w:szCs w:val="20"/>
          <w:color w:val="auto"/>
        </w:rPr>
      </w:pPr>
      <w:r>
        <w:rPr>
          <w:rFonts w:ascii="Times New Roman" w:cs="Times New Roman" w:eastAsia="Times New Roman" w:hAnsi="Times New Roman"/>
          <w:sz w:val="18"/>
          <w:szCs w:val="18"/>
          <w:color w:val="auto"/>
        </w:rPr>
        <w:t>In addition, in connection with the Reorganization Transactions and our IPO, we entered into the tax receivable agreement as described under “Certain Relationships and Related Person Transactions—Tax Receivable Agreement.”</w:t>
      </w:r>
    </w:p>
    <w:p>
      <w:pPr>
        <w:spacing w:after="0" w:line="162" w:lineRule="exact"/>
        <w:rPr>
          <w:sz w:val="20"/>
          <w:szCs w:val="20"/>
          <w:color w:val="auto"/>
        </w:rPr>
      </w:pPr>
    </w:p>
    <w:p>
      <w:pPr>
        <w:ind w:left="160" w:right="80" w:firstLine="436"/>
        <w:spacing w:after="0" w:line="254" w:lineRule="auto"/>
        <w:rPr>
          <w:sz w:val="20"/>
          <w:szCs w:val="20"/>
          <w:color w:val="auto"/>
        </w:rPr>
      </w:pPr>
      <w:r>
        <w:rPr>
          <w:rFonts w:ascii="Times New Roman" w:cs="Times New Roman" w:eastAsia="Times New Roman" w:hAnsi="Times New Roman"/>
          <w:sz w:val="18"/>
          <w:szCs w:val="18"/>
          <w:color w:val="auto"/>
        </w:rPr>
        <w:t>We and the Continuing Unitholders also entered into an exchange agreement under which they (or certain permitted transferees) have the right (subject to the terms of the exchange agreement) to exchange their Common Units (including Common Units issued upon conversion of vested Incentive Units) for shares of our Class A common stock on a one-for-one basis, subject to customary conversion rate adjustments for stock splits, stock dividends and reclassifications, whereupon an equivalent number of shares of Class B common stock held by such Continuing Unitholder will be automatically transferred to us and cancelled and retired upon any such exchange. See “Organizational Structure” and “Certain Relationships and Related Person Transactions.”</w:t>
      </w:r>
    </w:p>
    <w:p>
      <w:pPr>
        <w:spacing w:after="0" w:line="184" w:lineRule="exact"/>
        <w:rPr>
          <w:sz w:val="20"/>
          <w:szCs w:val="20"/>
          <w:color w:val="auto"/>
        </w:rPr>
      </w:pPr>
    </w:p>
    <w:p>
      <w:pPr>
        <w:ind w:left="160" w:right="20" w:firstLine="436"/>
        <w:spacing w:after="0" w:line="251" w:lineRule="auto"/>
        <w:rPr>
          <w:sz w:val="20"/>
          <w:szCs w:val="20"/>
          <w:color w:val="auto"/>
        </w:rPr>
      </w:pPr>
      <w:r>
        <w:rPr>
          <w:rFonts w:ascii="Times New Roman" w:cs="Times New Roman" w:eastAsia="Times New Roman" w:hAnsi="Times New Roman"/>
          <w:sz w:val="18"/>
          <w:szCs w:val="18"/>
          <w:color w:val="auto"/>
        </w:rPr>
        <w:t>Following the IPO, the Continuing Common Unitholders held all of the outstanding shares of our Class B common stock, and, upon conversion of vested Incentive Units for Common Units, the converting holders will also receive an equivalent number of shares of Class B common stock. The shares of Class B common stock have no economic rights but entitle each holder to one vote for each share held of record on all matters to be voted on by stockholders generally, with the number of shares of Class B common stock held by each Continuing Unitholder being equivalent to the number of Common Units held by such Continuing Unitholder. If at any time the ratio at which Common Units are exchangeable for shares of Class A common stock of Medline Inc. changes from one-for-one as described under “Certain Relationships and Related Person Transactions—Exchange Agreement,” the number of votes to which Class B common stockholders are entitled will be adjusted accordingly. Holders of shares of our Class B common stock vote together with holders of our Class A common stock as a single class on all matters on which stockholders are entitled to vote generally, except as otherwise required by law.</w:t>
      </w:r>
    </w:p>
    <w:p>
      <w:pPr>
        <w:spacing w:after="0" w:line="1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80"/>
          </w:cols>
          <w:pgMar w:left="320" w:top="451" w:right="4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Public Company Costs</w:t>
      </w:r>
    </w:p>
    <w:p>
      <w:pPr>
        <w:spacing w:after="0" w:line="118"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We incurred costs associated with preparing to become a public company during the nine months ended September 27, 2025 and the year ended December 31, 2024, and following the completion of the IPO, we continued to incur these costs as well as additional expenses associated with operating as a public company. We expect that these costs will include additional personnel, legal, consulting, regulatory, insurance, accounting, investor relations, and other expenses that we did not incur as a private company. The Sarbanes-Oxley Act, as well as rules adopted by the SEC and national securities exchanges, requires public companies to implement specified corporate governance practices that are currently inapplicable to us as a private company. These additional rules and regulations will increase our legal, regulatory, financial, and insurance compliance costs and will make some activities more time-consuming and costly.</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18" w:lineRule="exact"/>
        <w:rPr>
          <w:sz w:val="20"/>
          <w:szCs w:val="20"/>
          <w:color w:val="auto"/>
        </w:rPr>
      </w:pPr>
    </w:p>
    <w:p>
      <w:pPr>
        <w:ind w:left="160" w:right="60" w:firstLine="436"/>
        <w:spacing w:after="0" w:line="258" w:lineRule="auto"/>
        <w:rPr>
          <w:sz w:val="20"/>
          <w:szCs w:val="20"/>
          <w:color w:val="auto"/>
        </w:rPr>
      </w:pPr>
      <w:r>
        <w:rPr>
          <w:rFonts w:ascii="Times New Roman" w:cs="Times New Roman" w:eastAsia="Times New Roman" w:hAnsi="Times New Roman"/>
          <w:sz w:val="18"/>
          <w:szCs w:val="18"/>
          <w:color w:val="auto"/>
        </w:rPr>
        <w:t>We generate net sales principally from the sales of products. The majority of the sales transactions are supported by an underlying agreement or a formal purchase order. Net sales are recognized with the transfer of control that is generally when a product is shipped to a customer, the customer has legal title to the product, and we have a right to payment for such product. Although products are generally sold at fixed prices, our contracts have variable consideration, which we estimate at the point when net sales are recognized, based on the expected value to be provided to the customer.</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18" w:lineRule="exact"/>
        <w:rPr>
          <w:sz w:val="20"/>
          <w:szCs w:val="20"/>
          <w:color w:val="auto"/>
        </w:rPr>
      </w:pPr>
    </w:p>
    <w:p>
      <w:pPr>
        <w:ind w:left="160" w:right="960" w:firstLine="436"/>
        <w:spacing w:after="0" w:line="278" w:lineRule="auto"/>
        <w:rPr>
          <w:sz w:val="20"/>
          <w:szCs w:val="20"/>
          <w:color w:val="auto"/>
        </w:rPr>
      </w:pPr>
      <w:r>
        <w:rPr>
          <w:rFonts w:ascii="Times New Roman" w:cs="Times New Roman" w:eastAsia="Times New Roman" w:hAnsi="Times New Roman"/>
          <w:sz w:val="18"/>
          <w:szCs w:val="18"/>
          <w:color w:val="auto"/>
        </w:rPr>
        <w:t>Cost of goods sold consists of product costs, including the cost of materials, direct and indirect labor costs, overhead, depreciation of manufacturing assets, inbound shipping and handling costs, and import expenses, net of any applicable third-party supplier rebates.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18" w:lineRule="exact"/>
        <w:rPr>
          <w:sz w:val="20"/>
          <w:szCs w:val="20"/>
          <w:color w:val="auto"/>
        </w:rPr>
      </w:pPr>
    </w:p>
    <w:p>
      <w:pPr>
        <w:ind w:left="160" w:right="320" w:firstLine="436"/>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(“SG&amp;A”) expenses include corporate management and support functions, such as general management, legal, accounting, finance, human resources, sales, marketing, and other functions not directly associated with net sales generating activities. SG&amp;A expenses include salaries, bonuses and other payroll-related benefits, general operating expenses such as occupancy costs, information technology infrastructure, travel, outbound freight, advertising, research and development, marketing expenses, and credit losses.</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118" w:lineRule="exact"/>
        <w:rPr>
          <w:sz w:val="20"/>
          <w:szCs w:val="20"/>
          <w:color w:val="auto"/>
        </w:rPr>
      </w:pPr>
    </w:p>
    <w:p>
      <w:pPr>
        <w:ind w:left="160" w:right="780" w:firstLine="436"/>
        <w:spacing w:after="0" w:line="278" w:lineRule="auto"/>
        <w:rPr>
          <w:sz w:val="20"/>
          <w:szCs w:val="20"/>
          <w:color w:val="auto"/>
        </w:rPr>
      </w:pPr>
      <w:r>
        <w:rPr>
          <w:rFonts w:ascii="Times New Roman" w:cs="Times New Roman" w:eastAsia="Times New Roman" w:hAnsi="Times New Roman"/>
          <w:sz w:val="18"/>
          <w:szCs w:val="18"/>
          <w:color w:val="auto"/>
        </w:rPr>
        <w:t>Intangible assets are initially measured at fair value and consist of trade names, customer relationships, and developed technology from acquisitions. The definite-lived intangible assets are amortized using the straight-line method over their estimated useful lives.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118" w:lineRule="exact"/>
        <w:rPr>
          <w:sz w:val="20"/>
          <w:szCs w:val="20"/>
          <w:color w:val="auto"/>
        </w:rPr>
      </w:pPr>
    </w:p>
    <w:p>
      <w:pPr>
        <w:jc w:val="both"/>
        <w:ind w:left="160" w:right="180" w:firstLine="436"/>
        <w:spacing w:after="0" w:line="263" w:lineRule="auto"/>
        <w:rPr>
          <w:sz w:val="20"/>
          <w:szCs w:val="20"/>
          <w:color w:val="auto"/>
        </w:rPr>
      </w:pPr>
      <w:r>
        <w:rPr>
          <w:rFonts w:ascii="Times New Roman" w:cs="Times New Roman" w:eastAsia="Times New Roman" w:hAnsi="Times New Roman"/>
          <w:sz w:val="18"/>
          <w:szCs w:val="18"/>
          <w:color w:val="auto"/>
        </w:rPr>
        <w:t>Other operating expenses includes restructuring costs, impairment, litigation settlement charges, loss (gain) on sale of assets, acquisition-related costs, costs incurred in contemplation of our IPO, and a one-time gain due to a change in valuation estimate resulting from cash collected on accounts receivable in excess of their acquisition-date fair value.</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18" w:lineRule="exact"/>
        <w:rPr>
          <w:sz w:val="20"/>
          <w:szCs w:val="20"/>
          <w:color w:val="auto"/>
        </w:rPr>
      </w:pPr>
    </w:p>
    <w:p>
      <w:pPr>
        <w:ind w:left="160" w:right="260" w:firstLine="436"/>
        <w:spacing w:after="0" w:line="263" w:lineRule="auto"/>
        <w:rPr>
          <w:sz w:val="20"/>
          <w:szCs w:val="20"/>
          <w:color w:val="auto"/>
        </w:rPr>
      </w:pPr>
      <w:r>
        <w:rPr>
          <w:rFonts w:ascii="Times New Roman" w:cs="Times New Roman" w:eastAsia="Times New Roman" w:hAnsi="Times New Roman"/>
          <w:sz w:val="18"/>
          <w:szCs w:val="18"/>
          <w:color w:val="auto"/>
        </w:rPr>
        <w:t>Interest expense, net includes interest expense incurred on borrowings, amortization expense of deferred financing costs, and gain or loss from cash flow hedge transactions, as well as interest income generated on overdue customer receivable balances, bank deposits, and money market investments.</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40"/>
          </w:cols>
          <w:pgMar w:left="320" w:top="451" w:right="5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18" w:lineRule="exact"/>
        <w:rPr>
          <w:sz w:val="20"/>
          <w:szCs w:val="20"/>
          <w:color w:val="auto"/>
        </w:rPr>
      </w:pPr>
    </w:p>
    <w:p>
      <w:pPr>
        <w:ind w:left="160" w:right="420" w:firstLine="436"/>
        <w:spacing w:after="0" w:line="263" w:lineRule="auto"/>
        <w:rPr>
          <w:sz w:val="20"/>
          <w:szCs w:val="20"/>
          <w:color w:val="auto"/>
        </w:rPr>
      </w:pPr>
      <w:r>
        <w:rPr>
          <w:rFonts w:ascii="Times New Roman" w:cs="Times New Roman" w:eastAsia="Times New Roman" w:hAnsi="Times New Roman"/>
          <w:sz w:val="18"/>
          <w:szCs w:val="18"/>
          <w:color w:val="auto"/>
        </w:rPr>
        <w:t>Other (expense) income, net includes investment income or loss from market value changes on undesignated derivatives, gain related to the derecognition of intangible assets, pro-rata income or loss of equity investment, debt extinguishment loss, debt refinancing/issuance cost, and other non-operating income or expense.</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Gain (Loss), net</w:t>
      </w:r>
    </w:p>
    <w:p>
      <w:pPr>
        <w:spacing w:after="0" w:line="118" w:lineRule="exact"/>
        <w:rPr>
          <w:sz w:val="20"/>
          <w:szCs w:val="20"/>
          <w:color w:val="auto"/>
        </w:rPr>
      </w:pPr>
    </w:p>
    <w:p>
      <w:pPr>
        <w:ind w:left="160" w:right="620" w:firstLine="436"/>
        <w:spacing w:after="0" w:line="278" w:lineRule="auto"/>
        <w:rPr>
          <w:sz w:val="20"/>
          <w:szCs w:val="20"/>
          <w:color w:val="auto"/>
        </w:rPr>
      </w:pPr>
      <w:r>
        <w:rPr>
          <w:rFonts w:ascii="Times New Roman" w:cs="Times New Roman" w:eastAsia="Times New Roman" w:hAnsi="Times New Roman"/>
          <w:sz w:val="18"/>
          <w:szCs w:val="18"/>
          <w:color w:val="auto"/>
        </w:rPr>
        <w:t>Foreign exchange gain (loss), net is generated by trade balances and loans denominated in currencies other than U.S. dollars, the reporting currency, as well as settlements of intercompany balances.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18" w:lineRule="exact"/>
        <w:rPr>
          <w:sz w:val="20"/>
          <w:szCs w:val="20"/>
          <w:color w:val="auto"/>
        </w:rPr>
      </w:pPr>
    </w:p>
    <w:p>
      <w:pPr>
        <w:ind w:left="160" w:right="160" w:firstLine="436"/>
        <w:spacing w:after="0" w:line="258" w:lineRule="auto"/>
        <w:rPr>
          <w:sz w:val="20"/>
          <w:szCs w:val="20"/>
          <w:color w:val="auto"/>
        </w:rPr>
      </w:pPr>
      <w:r>
        <w:rPr>
          <w:rFonts w:ascii="Times New Roman" w:cs="Times New Roman" w:eastAsia="Times New Roman" w:hAnsi="Times New Roman"/>
          <w:sz w:val="18"/>
          <w:szCs w:val="18"/>
          <w:color w:val="auto"/>
        </w:rPr>
        <w:t>The provision for income taxes consists primarily of income taxes related to our U.S. corporate and foreign subsidiaries in jurisdictions in which we conduct business. The majority of our income is generated within U.S. pass-through entities, in which federal and some state income taxes are not assessed at the entity level. As such, our effective tax rate will vary based on the level of income earned by tax paying and non-tax paying entities as well as the geographic mix of profits and other items. Following the completion of our IPO, we are subject to taxation as a corporation.</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Condensed Consolidated Results of Operations</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For the nine months ended September 27, 2025 compared to the nine months ended September 28, 2024</w:t>
      </w: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5"/>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420" w:type="dxa"/>
            <w:vAlign w:val="bottom"/>
            <w:tcBorders>
              <w:top w:val="single" w:sz="8" w:color="auto"/>
            </w:tcBorders>
            <w:gridSpan w:val="3"/>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880" w:type="dxa"/>
            <w:vAlign w:val="bottom"/>
            <w:tcBorders>
              <w:top w:val="single" w:sz="8" w:color="auto"/>
            </w:tcBorders>
            <w:gridSpan w:val="2"/>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56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8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 change</w:t>
            </w:r>
          </w:p>
        </w:tc>
        <w:tc>
          <w:tcPr>
            <w:tcW w:w="0" w:type="dxa"/>
            <w:vAlign w:val="bottom"/>
          </w:tcPr>
          <w:p>
            <w:pPr>
              <w:spacing w:after="0"/>
              <w:rPr>
                <w:sz w:val="1"/>
                <w:szCs w:val="1"/>
                <w:color w:val="auto"/>
              </w:rPr>
            </w:pPr>
          </w:p>
        </w:tc>
      </w:tr>
      <w:tr>
        <w:trPr>
          <w:trHeight w:val="172"/>
        </w:trPr>
        <w:tc>
          <w:tcPr>
            <w:tcW w:w="61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3"/>
          </w:tcPr>
          <w:p>
            <w:pPr>
              <w:jc w:val="right"/>
              <w:ind w:right="19"/>
              <w:spacing w:after="0" w:line="141"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8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20,645</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18,723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8"/>
              </w:rPr>
              <w:t>1,922</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15,041</w:t>
            </w:r>
          </w:p>
        </w:tc>
        <w:tc>
          <w:tcPr>
            <w:tcW w:w="2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13,598</w:t>
            </w:r>
          </w:p>
        </w:tc>
        <w:tc>
          <w:tcPr>
            <w:tcW w:w="10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8"/>
              </w:rPr>
              <w:t>1,443</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5,604</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5,125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479</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3,259</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2,944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315</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528</w:t>
            </w:r>
          </w:p>
        </w:tc>
        <w:tc>
          <w:tcPr>
            <w:tcW w:w="2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20</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5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11</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27"/>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346</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1,787</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133</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(646)</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expense, net</w:t>
            </w:r>
          </w:p>
        </w:tc>
        <w:tc>
          <w:tcPr>
            <w:tcW w:w="18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29</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 loss, net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(70)</w:t>
            </w:r>
          </w:p>
        </w:tc>
        <w:tc>
          <w:tcPr>
            <w:tcW w:w="860" w:type="dxa"/>
            <w:vAlign w:val="bottom"/>
            <w:gridSpan w:val="2"/>
            <w:shd w:val="clear" w:color="auto" w:fill="CCEEFF"/>
          </w:tcPr>
          <w:p>
            <w:pPr>
              <w:jc w:val="right"/>
              <w:ind w:right="100"/>
              <w:spacing w:after="0" w:line="214" w:lineRule="exact"/>
              <w:rPr>
                <w:sz w:val="20"/>
                <w:szCs w:val="20"/>
                <w:color w:val="auto"/>
              </w:rPr>
            </w:pPr>
            <w:r>
              <w:rPr>
                <w:rFonts w:ascii="Times New Roman" w:cs="Times New Roman" w:eastAsia="Times New Roman" w:hAnsi="Times New Roman"/>
                <w:sz w:val="24"/>
                <w:szCs w:val="24"/>
                <w:color w:val="auto"/>
                <w:vertAlign w:val="subscript"/>
              </w:rPr>
              <w:t>NM</w:t>
            </w: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other expense</w:t>
            </w: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5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(32)</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1,042</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101</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35</w:t>
            </w:r>
          </w:p>
        </w:tc>
        <w:tc>
          <w:tcPr>
            <w:tcW w:w="860" w:type="dxa"/>
            <w:vAlign w:val="bottom"/>
            <w:gridSpan w:val="2"/>
          </w:tcPr>
          <w:p>
            <w:pPr>
              <w:jc w:val="right"/>
              <w:ind w:right="100"/>
              <w:spacing w:after="0" w:line="214" w:lineRule="exact"/>
              <w:rPr>
                <w:sz w:val="20"/>
                <w:szCs w:val="20"/>
                <w:color w:val="auto"/>
              </w:rPr>
            </w:pPr>
            <w:r>
              <w:rPr>
                <w:rFonts w:ascii="Times New Roman" w:cs="Times New Roman" w:eastAsia="Times New Roman" w:hAnsi="Times New Roman"/>
                <w:sz w:val="24"/>
                <w:szCs w:val="24"/>
                <w:color w:val="auto"/>
                <w:vertAlign w:val="subscript"/>
              </w:rPr>
              <w:t>NM</w:t>
            </w: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977</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66</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8" w:lineRule="exact"/>
        <w:rPr>
          <w:sz w:val="20"/>
          <w:szCs w:val="20"/>
          <w:color w:val="auto"/>
        </w:rPr>
      </w:pPr>
    </w:p>
    <w:p>
      <w:pPr>
        <w:ind w:left="600" w:hanging="433"/>
        <w:spacing w:after="0"/>
        <w:tabs>
          <w:tab w:leader="none" w:pos="60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Meaningful</w:t>
      </w:r>
    </w:p>
    <w:p>
      <w:pPr>
        <w:spacing w:after="0" w:line="13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80"/>
          </w:cols>
          <w:pgMar w:left="320" w:top="452" w:right="4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Net sales for the nine months ended September 27, 2025 increased $1,922 million, or 10.3%, to $20,645 million, compared to $18,723 million for</w:t>
      </w:r>
    </w:p>
    <w:p>
      <w:pPr>
        <w:spacing w:after="0" w:line="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respective period in 2024. Net sales for the nine months ended September 27, 2025 increased $1,700 million, or 9.1% from organic growth and</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$227 million, or 1.2% from acquisitions with foreign currency having an immaterial impact on net sales. Organic net sales growth was substantially all</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related to increased volumes with pricing having an immaterial impact.</w:t>
      </w:r>
    </w:p>
    <w:p>
      <w:pPr>
        <w:spacing w:after="0" w:line="202" w:lineRule="exact"/>
        <w:rPr>
          <w:sz w:val="20"/>
          <w:szCs w:val="20"/>
          <w:color w:val="auto"/>
        </w:rPr>
      </w:pPr>
    </w:p>
    <w:p>
      <w:pPr>
        <w:ind w:left="160" w:right="160" w:firstLine="436"/>
        <w:spacing w:after="0" w:line="263" w:lineRule="auto"/>
        <w:rPr>
          <w:sz w:val="20"/>
          <w:szCs w:val="20"/>
          <w:color w:val="auto"/>
        </w:rPr>
      </w:pPr>
      <w:r>
        <w:rPr>
          <w:rFonts w:ascii="Times New Roman" w:cs="Times New Roman" w:eastAsia="Times New Roman" w:hAnsi="Times New Roman"/>
          <w:sz w:val="18"/>
          <w:szCs w:val="18"/>
          <w:color w:val="auto"/>
        </w:rPr>
        <w:t>Net sales for the U.S. business for the nine months ended September 27, 2025 increased $1,788 million, or 10.3%, to $19,229 million, compared to $17,441 million for the respective period in 2024, primarily driven by volume growth in Prime Vendor sales, which increased $1,411 million, or 12.1%, to $13,119 million, compared to $11,708 million for the respective period in 2024.</w:t>
      </w:r>
    </w:p>
    <w:p>
      <w:pPr>
        <w:spacing w:after="0" w:line="175"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Net sales for the U.S. acute care business, which includes both Prime Vendor and non-Prime Vendor customers, increased $1,277 million, or 9.9%, to $14,168 million, compared to $12,891 million for the respective period in 2024, primarily driven by volume growth. Net sales for the U.S. non-acute care business increased $511 million, or 11.2%, to $5,061 million, compared to $4,550 million for the respective period in 2024, primarily driven by volume growth.</w:t>
      </w:r>
    </w:p>
    <w:p>
      <w:pPr>
        <w:spacing w:after="0" w:line="180" w:lineRule="exact"/>
        <w:rPr>
          <w:sz w:val="20"/>
          <w:szCs w:val="20"/>
          <w:color w:val="auto"/>
        </w:rPr>
      </w:pPr>
    </w:p>
    <w:p>
      <w:pPr>
        <w:ind w:left="160" w:right="560" w:firstLine="436"/>
        <w:spacing w:after="0" w:line="274" w:lineRule="auto"/>
        <w:rPr>
          <w:sz w:val="20"/>
          <w:szCs w:val="20"/>
          <w:color w:val="auto"/>
        </w:rPr>
      </w:pPr>
      <w:r>
        <w:rPr>
          <w:rFonts w:ascii="Times New Roman" w:cs="Times New Roman" w:eastAsia="Times New Roman" w:hAnsi="Times New Roman"/>
          <w:sz w:val="17"/>
          <w:szCs w:val="17"/>
          <w:color w:val="auto"/>
        </w:rPr>
        <w:t>Net sales for the international business for the nine months ended September 27, 2025 increased $134 million, or 10.5%, to $1,416 million, compared to $1,282 million for the respective period in 2024, primarily driven by volume growth. Organic growth and acquisitions contributed</w:t>
      </w:r>
    </w:p>
    <w:p>
      <w:pPr>
        <w:ind w:left="160" w:right="240"/>
        <w:spacing w:after="0" w:line="256" w:lineRule="auto"/>
        <w:rPr>
          <w:sz w:val="20"/>
          <w:szCs w:val="20"/>
          <w:color w:val="auto"/>
        </w:rPr>
      </w:pPr>
      <w:r>
        <w:rPr>
          <w:rFonts w:ascii="Times New Roman" w:cs="Times New Roman" w:eastAsia="Times New Roman" w:hAnsi="Times New Roman"/>
          <w:sz w:val="18"/>
          <w:szCs w:val="18"/>
          <w:color w:val="auto"/>
        </w:rPr>
        <w:t>$93 million and $46 million incremental net sales for the nine months ended September 27, 2025, respectively, partially offset by unfavorable foreign currency impact.</w:t>
      </w:r>
    </w:p>
    <w:p>
      <w:pPr>
        <w:spacing w:after="0" w:line="2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Profit</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Cost of goods sold for the nine months ended September 27, 2025 increased $1,443 million, or 10.6%, to $15,041 million, compared to</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$13,598 million for the respective period in 2024, primarily driven by the growth in net sales, including the impact of acquisitions as noted above. Gross</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profit margin is impacted negatively by sales to new Prime Vendor customers that typically have lower margins in early periods and impacted positively</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by increased sales to existing Prime Vendor customers as we shift sales from Supply Chain Solutions third-party national brand products to Medline</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Brand products. Gross profit as a percentage of sales decreased from 27.4% for the nine months ended September 28, 2024 to 27.1% for the nine months</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ended September 27, 2025, primarily driven by 56 basis points from higher import costs due to tariffs, partially offset by 38 basis points from lower</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product costs, including sourcing savings and operating leverage.</w:t>
      </w:r>
    </w:p>
    <w:p>
      <w:pPr>
        <w:spacing w:after="0" w:line="3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SG&amp;A Expenses</w:t>
      </w:r>
    </w:p>
    <w:p>
      <w:pPr>
        <w:spacing w:after="0" w:line="118"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SG&amp;A expenses for the nine months ended September 27, 2025 increased $315 million, or 10.7%, to $3,259 million, compared to $2,944 million for the respective period in 2024, primarily due to $160 million related to higher compensation and benefit expenses related to investments in headcount, $68 million of incremental cost from acquisitions, $40 million related to higher distribution expenses, and $27 million related to credit loss expense, partially offset by $43 million related to a favorable settlement of an intellectual property dispute.</w:t>
      </w:r>
    </w:p>
    <w:p>
      <w:pPr>
        <w:spacing w:after="0" w:line="2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18" w:lineRule="exact"/>
        <w:rPr>
          <w:sz w:val="20"/>
          <w:szCs w:val="20"/>
          <w:color w:val="auto"/>
        </w:rPr>
      </w:pPr>
    </w:p>
    <w:p>
      <w:pPr>
        <w:ind w:left="160" w:right="40" w:firstLine="436"/>
        <w:spacing w:after="0" w:line="278" w:lineRule="auto"/>
        <w:rPr>
          <w:sz w:val="20"/>
          <w:szCs w:val="20"/>
          <w:color w:val="auto"/>
        </w:rPr>
      </w:pPr>
      <w:r>
        <w:rPr>
          <w:rFonts w:ascii="Times New Roman" w:cs="Times New Roman" w:eastAsia="Times New Roman" w:hAnsi="Times New Roman"/>
          <w:sz w:val="18"/>
          <w:szCs w:val="18"/>
          <w:color w:val="auto"/>
        </w:rPr>
        <w:t>Other expense, net for the nine months ended September 27, 2025 decreased $29 million, or 82.9%, to $6 million, compared to $35 million for the respective period in 2024, primarily due to lower debt extinguishment and other refinancing costs and fees incurred in both periods.</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80"/>
          </w:cols>
          <w:pgMar w:left="320" w:top="451" w:right="4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Loss, net</w:t>
      </w:r>
    </w:p>
    <w:p>
      <w:pPr>
        <w:spacing w:after="0" w:line="118" w:lineRule="exact"/>
        <w:rPr>
          <w:sz w:val="20"/>
          <w:szCs w:val="20"/>
          <w:color w:val="auto"/>
        </w:rPr>
      </w:pPr>
    </w:p>
    <w:p>
      <w:pPr>
        <w:ind w:left="160" w:right="80" w:firstLine="436"/>
        <w:spacing w:after="0" w:line="263" w:lineRule="auto"/>
        <w:rPr>
          <w:sz w:val="20"/>
          <w:szCs w:val="20"/>
          <w:color w:val="auto"/>
        </w:rPr>
      </w:pPr>
      <w:r>
        <w:rPr>
          <w:rFonts w:ascii="Times New Roman" w:cs="Times New Roman" w:eastAsia="Times New Roman" w:hAnsi="Times New Roman"/>
          <w:sz w:val="18"/>
          <w:szCs w:val="18"/>
          <w:color w:val="auto"/>
        </w:rPr>
        <w:t>Foreign exchange loss, net for the nine months ended September 27, 2025 increased $70 million to $93 million, compared to $23 million for the respective period in 2024, primarily driven by larger unfavorable foreign exchange rate movement on certain borrowings denominated in the euro in 2025.</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For the year ended December 31, 2024 compared to the year ended December 31, 2023</w:t>
      </w:r>
    </w:p>
    <w:p>
      <w:pPr>
        <w:spacing w:after="0" w:line="245"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440" w:type="dxa"/>
            <w:vAlign w:val="bottom"/>
            <w:gridSpan w:val="3"/>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20" w:type="dxa"/>
            <w:vAlign w:val="bottom"/>
            <w:gridSpan w:val="2"/>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40" w:type="dxa"/>
            <w:vAlign w:val="bottom"/>
          </w:tcPr>
          <w:p>
            <w:pPr>
              <w:spacing w:after="0"/>
              <w:rPr>
                <w:sz w:val="10"/>
                <w:szCs w:val="10"/>
                <w:color w:val="auto"/>
              </w:rPr>
            </w:pPr>
          </w:p>
        </w:tc>
        <w:tc>
          <w:tcPr>
            <w:tcW w:w="3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2"/>
        </w:trPr>
        <w:tc>
          <w:tcPr>
            <w:tcW w:w="5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50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25,507</w:t>
            </w:r>
          </w:p>
        </w:tc>
        <w:tc>
          <w:tcPr>
            <w:tcW w:w="6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23,231</w:t>
            </w:r>
          </w:p>
        </w:tc>
        <w:tc>
          <w:tcPr>
            <w:tcW w:w="34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60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18,531</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17,346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1,185</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5,885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1,091</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4,108</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3,867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241</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685</w:t>
            </w:r>
          </w:p>
        </w:tc>
        <w:tc>
          <w:tcPr>
            <w:tcW w:w="1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662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23</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(69)</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27"/>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w:t>
            </w: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195</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2,146</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896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(864)</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(976)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112</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(44)</w:t>
            </w:r>
          </w:p>
        </w:tc>
        <w:tc>
          <w:tcPr>
            <w:tcW w:w="920" w:type="dxa"/>
            <w:vAlign w:val="bottom"/>
            <w:gridSpan w:val="2"/>
          </w:tcPr>
          <w:p>
            <w:pPr>
              <w:jc w:val="right"/>
              <w:ind w:right="100"/>
              <w:spacing w:after="0" w:line="214" w:lineRule="exact"/>
              <w:rPr>
                <w:sz w:val="20"/>
                <w:szCs w:val="20"/>
                <w:color w:val="auto"/>
              </w:rPr>
            </w:pPr>
            <w:r>
              <w:rPr>
                <w:rFonts w:ascii="Times New Roman" w:cs="Times New Roman" w:eastAsia="Times New Roman" w:hAnsi="Times New Roman"/>
                <w:sz w:val="24"/>
                <w:szCs w:val="24"/>
                <w:color w:val="auto"/>
                <w:vertAlign w:val="subscript"/>
              </w:rPr>
              <w:t>NM</w:t>
            </w: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18</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(163.6)%</w:t>
            </w:r>
          </w:p>
        </w:tc>
        <w:tc>
          <w:tcPr>
            <w:tcW w:w="0" w:type="dxa"/>
            <w:vAlign w:val="bottom"/>
          </w:tcPr>
          <w:p>
            <w:pPr>
              <w:spacing w:after="0"/>
              <w:rPr>
                <w:sz w:val="1"/>
                <w:szCs w:val="1"/>
                <w:color w:val="auto"/>
              </w:rPr>
            </w:pPr>
          </w:p>
        </w:tc>
      </w:tr>
      <w:tr>
        <w:trPr>
          <w:trHeight w:val="227"/>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86</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1,246</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982</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16</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234</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966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8" w:lineRule="exact"/>
        <w:rPr>
          <w:sz w:val="20"/>
          <w:szCs w:val="20"/>
          <w:color w:val="auto"/>
        </w:rPr>
      </w:pPr>
    </w:p>
    <w:p>
      <w:pPr>
        <w:ind w:left="600" w:hanging="433"/>
        <w:spacing w:after="0"/>
        <w:tabs>
          <w:tab w:leader="none" w:pos="6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Meaningful</w:t>
      </w:r>
    </w:p>
    <w:p>
      <w:pPr>
        <w:spacing w:after="0" w:line="3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18"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Net sales for the year ended December 31, 2024 increased $2,276 million, or 9.8%, to $25,507 million, compared to $23,231 million for the respective period in 2023. Net sales for the year ended December 31, 2024 increased $1,850 million, or 8.0% from organic growth and $442 million, or 1.9% from acquisitions with foreign currency having an immaterial impact on net sales. Organic net sales growth was substantially all related to increased volumes, with pricing having an immaterial impact.</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Net sales for the U.S. business for the year ended December 31, 2024 increased $1,947 million, or 8.9%, to $23,747 million, compared to</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$21,800 million for the respective period in 2023, primarily driven by volume growth in Prime Vendor sales, which for the year ended December 31,</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2024 increased $1,532 million, or 10.6%, to $16,033 million, compared to $14,501 million for the respective period in 2023.</w:t>
      </w:r>
    </w:p>
    <w:p>
      <w:pPr>
        <w:spacing w:after="0" w:line="202" w:lineRule="exact"/>
        <w:rPr>
          <w:sz w:val="20"/>
          <w:szCs w:val="20"/>
          <w:color w:val="auto"/>
        </w:rPr>
      </w:pPr>
    </w:p>
    <w:p>
      <w:pPr>
        <w:ind w:left="160" w:right="80" w:firstLine="436"/>
        <w:spacing w:after="0" w:line="255" w:lineRule="auto"/>
        <w:rPr>
          <w:sz w:val="20"/>
          <w:szCs w:val="20"/>
          <w:color w:val="auto"/>
        </w:rPr>
      </w:pPr>
      <w:r>
        <w:rPr>
          <w:rFonts w:ascii="Times New Roman" w:cs="Times New Roman" w:eastAsia="Times New Roman" w:hAnsi="Times New Roman"/>
          <w:sz w:val="18"/>
          <w:szCs w:val="18"/>
          <w:color w:val="auto"/>
        </w:rPr>
        <w:t>The increase in Prime Vendor sales was a mix of $664 million related to new Prime Vendor relationships and $1,126 million related to existing Prime Vendor relationships, partially offset by a decrease of $258 million related to lost Prime Vendor relationships. Acquisitions also contributed $195 million incremental net sales in 2024. Net sales for the U.S. acute care business, which includes both Prime Vendor and non-Prime Vendor customers, increased $1,585 million, or 10.0%, to $17,491 million, compared to $15,906 million for the respective period in 2023, primarily driven by volume growth. Net sales for the U.S. non-acute care business increased $362 million, or</w:t>
      </w:r>
    </w:p>
    <w:p>
      <w:pPr>
        <w:spacing w:after="0" w:line="11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0980"/>
          </w:cols>
          <w:pgMar w:left="320" w:top="451" w:right="5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line="263" w:lineRule="auto"/>
        <w:rPr>
          <w:sz w:val="20"/>
          <w:szCs w:val="20"/>
          <w:color w:val="auto"/>
        </w:rPr>
      </w:pPr>
      <w:r>
        <w:rPr>
          <w:rFonts w:ascii="Times New Roman" w:cs="Times New Roman" w:eastAsia="Times New Roman" w:hAnsi="Times New Roman"/>
          <w:sz w:val="18"/>
          <w:szCs w:val="18"/>
          <w:color w:val="auto"/>
        </w:rPr>
        <w:t>6.1%, to $6,256 million, compared to $5,894 million for the respective period in 2023, primarily driven by volume growth in post-acute care business of $219 million, physician offices of $185 million, and ambulatory surgical centers of $120 million, partially offset by the decrease in managed care of $276 million.</w:t>
      </w:r>
    </w:p>
    <w:p>
      <w:pPr>
        <w:spacing w:after="0" w:line="175" w:lineRule="exact"/>
        <w:rPr>
          <w:sz w:val="20"/>
          <w:szCs w:val="20"/>
          <w:color w:val="auto"/>
        </w:rPr>
      </w:pPr>
    </w:p>
    <w:p>
      <w:pPr>
        <w:ind w:left="160" w:right="180" w:firstLine="436"/>
        <w:spacing w:after="0" w:line="263" w:lineRule="auto"/>
        <w:rPr>
          <w:sz w:val="20"/>
          <w:szCs w:val="20"/>
          <w:color w:val="auto"/>
        </w:rPr>
      </w:pPr>
      <w:r>
        <w:rPr>
          <w:rFonts w:ascii="Times New Roman" w:cs="Times New Roman" w:eastAsia="Times New Roman" w:hAnsi="Times New Roman"/>
          <w:sz w:val="18"/>
          <w:szCs w:val="18"/>
          <w:color w:val="auto"/>
        </w:rPr>
        <w:t>Net sales for the international business for the year ended December 31, 2024 increased $329 million, or 23.0%, to $1,760 million, compared to $1,431 million for the respective period in 2023, primarily driven by volume growth. Acquisitions contributed $247 million incremental net sales in 2024, and the remaining increase of $82 million is due to organic growth.</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Profit</w:t>
      </w:r>
    </w:p>
    <w:p>
      <w:pPr>
        <w:spacing w:after="0" w:line="118" w:lineRule="exact"/>
        <w:rPr>
          <w:sz w:val="20"/>
          <w:szCs w:val="20"/>
          <w:color w:val="auto"/>
        </w:rPr>
      </w:pPr>
    </w:p>
    <w:p>
      <w:pPr>
        <w:ind w:left="160" w:right="40" w:firstLine="436"/>
        <w:spacing w:after="0" w:line="253" w:lineRule="auto"/>
        <w:rPr>
          <w:sz w:val="20"/>
          <w:szCs w:val="20"/>
          <w:color w:val="auto"/>
        </w:rPr>
      </w:pPr>
      <w:r>
        <w:rPr>
          <w:rFonts w:ascii="Times New Roman" w:cs="Times New Roman" w:eastAsia="Times New Roman" w:hAnsi="Times New Roman"/>
          <w:sz w:val="18"/>
          <w:szCs w:val="18"/>
          <w:color w:val="auto"/>
        </w:rPr>
        <w:t>Cost of goods sold for the year ended December 31, 2024 increased $1,185 million, or 6.8%, to $18,531 million, compared to $17,346 million for the respective period in 2023. For the year ended December 31, 2024, the increase was primarily driven by the growth in net sales, including the impact of acquisitions as noted above. Gross profit margin is both impacted negatively by sales to new Prime Vendor customers that typically have lower margins in early periods and impacted positively by increased sales to existing Prime Vendor customers as we shift sales from Supply Chain Solutions third-party national brand products to Medline Brand products. Gross profit as a percentage of sales increased from 25.3% for the year ended December 31, 2023 to 27.3% for the year ended December 31, 2024, primarily driven by 270 basis points from lower product costs, including sourcing savings, partially offset by 67 basis points from higher labor costs.</w:t>
      </w:r>
    </w:p>
    <w:p>
      <w:pPr>
        <w:spacing w:after="0" w:line="2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SG&amp;A Expenses</w:t>
      </w:r>
    </w:p>
    <w:p>
      <w:pPr>
        <w:spacing w:after="0" w:line="118" w:lineRule="exact"/>
        <w:rPr>
          <w:sz w:val="20"/>
          <w:szCs w:val="20"/>
          <w:color w:val="auto"/>
        </w:rPr>
      </w:pPr>
    </w:p>
    <w:p>
      <w:pPr>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SG&amp;A expenses for the year ended December 31, 2024 increased $241 million, or 6.2%, to $4,108 million, compared to $3,867 million for the respective period in 2023, primarily due to $97 million of incremental expenses related to acquisitions, an increase of $48 million in credit loss expense, and an increase of $40 million in operations expense.</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118" w:lineRule="exact"/>
        <w:rPr>
          <w:sz w:val="20"/>
          <w:szCs w:val="20"/>
          <w:color w:val="auto"/>
        </w:rPr>
      </w:pPr>
    </w:p>
    <w:p>
      <w:pPr>
        <w:ind w:left="160" w:right="880" w:firstLine="436"/>
        <w:spacing w:after="0" w:line="278" w:lineRule="auto"/>
        <w:rPr>
          <w:sz w:val="20"/>
          <w:szCs w:val="20"/>
          <w:color w:val="auto"/>
        </w:rPr>
      </w:pPr>
      <w:r>
        <w:rPr>
          <w:rFonts w:ascii="Times New Roman" w:cs="Times New Roman" w:eastAsia="Times New Roman" w:hAnsi="Times New Roman"/>
          <w:sz w:val="18"/>
          <w:szCs w:val="18"/>
          <w:color w:val="auto"/>
        </w:rPr>
        <w:t>Amortization of intangible assets for the year ended December 31, 2024 increased $23 million, or 3.5%, to $685 million, compared to $662 million for the respective period in 2023, primarily due to the addition of intangible assets related to 2024 acquisitions.</w:t>
      </w:r>
    </w:p>
    <w:p>
      <w:pPr>
        <w:spacing w:after="0" w:line="2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118"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Other operating expenses for the year ended December 31, 2024 decreased $69 million, or 65.1%, to $37 million, compared to $106 million for the respective period in 2023. The combined impact in 2023 of the one-time EtO litigation charge of $163 million that was partially offset by a one-time gain of $75 million due to a change in valuation estimate resulting from cash collected on accounts receivable in excess of their acquisition-date fair value did not recur in 2024. Acquisition-related expenses of $20 million were recognized in 2024, further offsetting the year-over-year decrease.</w:t>
      </w:r>
    </w:p>
    <w:p>
      <w:pPr>
        <w:spacing w:after="0" w:line="2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18" w:lineRule="exact"/>
        <w:rPr>
          <w:sz w:val="20"/>
          <w:szCs w:val="20"/>
          <w:color w:val="auto"/>
        </w:rPr>
      </w:pPr>
    </w:p>
    <w:p>
      <w:pPr>
        <w:ind w:left="160" w:right="120" w:firstLine="436"/>
        <w:spacing w:after="0" w:line="263" w:lineRule="auto"/>
        <w:rPr>
          <w:sz w:val="20"/>
          <w:szCs w:val="20"/>
          <w:color w:val="auto"/>
        </w:rPr>
      </w:pPr>
      <w:r>
        <w:rPr>
          <w:rFonts w:ascii="Times New Roman" w:cs="Times New Roman" w:eastAsia="Times New Roman" w:hAnsi="Times New Roman"/>
          <w:sz w:val="18"/>
          <w:szCs w:val="18"/>
          <w:color w:val="auto"/>
        </w:rPr>
        <w:t>Interest expense, net for the year ended December 31, 2024 decreased $112 million, or 11.5%, to $864 million, compared to $976 million for the respective period in 2023. The multiple refinancing activities in 2024 effectively lowered the interest rates in our borrowings, resulting in the lower interest expense.</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Other (expense) income, net for the year ended December 31, 2024 decreased to a net expense of $43 million, compared to a net income of</w:t>
      </w:r>
    </w:p>
    <w:p>
      <w:pPr>
        <w:spacing w:after="0" w:line="26" w:lineRule="exact"/>
        <w:rPr>
          <w:sz w:val="20"/>
          <w:szCs w:val="20"/>
          <w:color w:val="auto"/>
        </w:rPr>
      </w:pPr>
    </w:p>
    <w:p>
      <w:pPr>
        <w:ind w:left="160" w:right="100"/>
        <w:spacing w:after="0" w:line="256" w:lineRule="auto"/>
        <w:rPr>
          <w:sz w:val="20"/>
          <w:szCs w:val="20"/>
          <w:color w:val="auto"/>
        </w:rPr>
      </w:pPr>
      <w:r>
        <w:rPr>
          <w:rFonts w:ascii="Times New Roman" w:cs="Times New Roman" w:eastAsia="Times New Roman" w:hAnsi="Times New Roman"/>
          <w:sz w:val="18"/>
          <w:szCs w:val="18"/>
          <w:color w:val="auto"/>
        </w:rPr>
        <w:t>$1 million for the respective period in 2023. The decrease is primarily due to loss on debt extinguishment and other refinancing costs and fees incurred in 2024.</w:t>
      </w:r>
    </w:p>
    <w:p>
      <w:pPr>
        <w:spacing w:after="0" w:line="1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40"/>
          </w:cols>
          <w:pgMar w:left="320" w:top="451" w:right="5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For the year ended December 31, 2023 compared to the year ended December 31, 2022</w:t>
      </w:r>
    </w:p>
    <w:p>
      <w:pPr>
        <w:spacing w:after="0" w:line="245"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4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440" w:type="dxa"/>
            <w:vAlign w:val="bottom"/>
            <w:gridSpan w:val="3"/>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20" w:type="dxa"/>
            <w:vAlign w:val="bottom"/>
            <w:gridSpan w:val="2"/>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2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2"/>
        </w:trPr>
        <w:tc>
          <w:tcPr>
            <w:tcW w:w="51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51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23,231</w:t>
            </w:r>
          </w:p>
        </w:tc>
        <w:tc>
          <w:tcPr>
            <w:tcW w:w="6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21,448</w:t>
            </w: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6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17,346</w:t>
            </w:r>
          </w:p>
        </w:tc>
        <w:tc>
          <w:tcPr>
            <w:tcW w:w="1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16,231</w:t>
            </w:r>
          </w:p>
        </w:tc>
        <w:tc>
          <w:tcPr>
            <w:tcW w:w="10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1,115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5,885</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5,217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668</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3,867</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191</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662</w:t>
            </w:r>
          </w:p>
        </w:tc>
        <w:tc>
          <w:tcPr>
            <w:tcW w:w="1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86</w:t>
            </w:r>
          </w:p>
        </w:tc>
        <w:tc>
          <w:tcPr>
            <w:tcW w:w="880" w:type="dxa"/>
            <w:vAlign w:val="bottom"/>
            <w:gridSpan w:val="2"/>
            <w:shd w:val="clear" w:color="auto" w:fill="CCEEFF"/>
          </w:tcPr>
          <w:p>
            <w:pPr>
              <w:jc w:val="right"/>
              <w:ind w:right="100"/>
              <w:spacing w:after="0" w:line="214" w:lineRule="exact"/>
              <w:rPr>
                <w:sz w:val="20"/>
                <w:szCs w:val="20"/>
                <w:color w:val="auto"/>
              </w:rPr>
            </w:pPr>
            <w:r>
              <w:rPr>
                <w:rFonts w:ascii="Times New Roman" w:cs="Times New Roman" w:eastAsia="Times New Roman" w:hAnsi="Times New Roman"/>
                <w:sz w:val="24"/>
                <w:szCs w:val="24"/>
                <w:color w:val="auto"/>
                <w:vertAlign w:val="subscript"/>
              </w:rPr>
              <w:t>NM</w:t>
            </w: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227"/>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w:t>
            </w: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279</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1,250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389</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(976)</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(104)</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 (loss) gain, net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(22)</w:t>
            </w:r>
          </w:p>
        </w:tc>
        <w:tc>
          <w:tcPr>
            <w:tcW w:w="880" w:type="dxa"/>
            <w:vAlign w:val="bottom"/>
            <w:gridSpan w:val="2"/>
            <w:shd w:val="clear" w:color="auto" w:fill="CCEEFF"/>
          </w:tcPr>
          <w:p>
            <w:pPr>
              <w:jc w:val="right"/>
              <w:ind w:right="100"/>
              <w:spacing w:after="0" w:line="214" w:lineRule="exact"/>
              <w:rPr>
                <w:sz w:val="20"/>
                <w:szCs w:val="20"/>
                <w:color w:val="auto"/>
              </w:rPr>
            </w:pPr>
            <w:r>
              <w:rPr>
                <w:rFonts w:ascii="Times New Roman" w:cs="Times New Roman" w:eastAsia="Times New Roman" w:hAnsi="Times New Roman"/>
                <w:sz w:val="24"/>
                <w:szCs w:val="24"/>
                <w:color w:val="auto"/>
                <w:vertAlign w:val="subscript"/>
              </w:rPr>
              <w:t>NM</w:t>
            </w: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other expense</w:t>
            </w: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264</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254</w:t>
            </w:r>
          </w:p>
        </w:tc>
        <w:tc>
          <w:tcPr>
            <w:tcW w:w="880" w:type="dxa"/>
            <w:vAlign w:val="bottom"/>
            <w:gridSpan w:val="2"/>
            <w:shd w:val="clear" w:color="auto" w:fill="CCEEFF"/>
          </w:tcPr>
          <w:p>
            <w:pPr>
              <w:jc w:val="right"/>
              <w:ind w:right="100"/>
              <w:spacing w:after="0" w:line="214" w:lineRule="exact"/>
              <w:rPr>
                <w:sz w:val="20"/>
                <w:szCs w:val="20"/>
                <w:color w:val="auto"/>
              </w:rPr>
            </w:pPr>
            <w:r>
              <w:rPr>
                <w:rFonts w:ascii="Times New Roman" w:cs="Times New Roman" w:eastAsia="Times New Roman" w:hAnsi="Times New Roman"/>
                <w:sz w:val="24"/>
                <w:szCs w:val="24"/>
                <w:color w:val="auto"/>
                <w:vertAlign w:val="subscript"/>
              </w:rPr>
              <w:t>NM</w:t>
            </w: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259</w:t>
            </w:r>
          </w:p>
        </w:tc>
        <w:tc>
          <w:tcPr>
            <w:tcW w:w="880" w:type="dxa"/>
            <w:vAlign w:val="bottom"/>
            <w:gridSpan w:val="2"/>
            <w:shd w:val="clear" w:color="auto" w:fill="CCEEFF"/>
          </w:tcPr>
          <w:p>
            <w:pPr>
              <w:jc w:val="right"/>
              <w:ind w:right="100"/>
              <w:spacing w:after="0" w:line="214" w:lineRule="exact"/>
              <w:rPr>
                <w:sz w:val="20"/>
                <w:szCs w:val="20"/>
                <w:color w:val="auto"/>
              </w:rPr>
            </w:pPr>
            <w:r>
              <w:rPr>
                <w:rFonts w:ascii="Times New Roman" w:cs="Times New Roman" w:eastAsia="Times New Roman" w:hAnsi="Times New Roman"/>
                <w:sz w:val="24"/>
                <w:szCs w:val="24"/>
                <w:color w:val="auto"/>
                <w:vertAlign w:val="subscript"/>
              </w:rPr>
              <w:t>NM</w:t>
            </w: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8" w:lineRule="exact"/>
        <w:rPr>
          <w:sz w:val="20"/>
          <w:szCs w:val="20"/>
          <w:color w:val="auto"/>
        </w:rPr>
      </w:pPr>
    </w:p>
    <w:p>
      <w:pPr>
        <w:ind w:left="600" w:hanging="433"/>
        <w:spacing w:after="0"/>
        <w:tabs>
          <w:tab w:leader="none" w:pos="60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Meaningful</w:t>
      </w:r>
    </w:p>
    <w:p>
      <w:pPr>
        <w:spacing w:after="0" w:line="3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18"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Net sales for the year ended December 31, 2023 increased $1,783 million, or 8.3%, to $23,231 million, compared to $21,448 million for the respective period in 2022. Net sales for the year ended December 31, 2023 increased $1,776 million, or 8.3% from organic growth with foreign currency having an immaterial impact on net sales. Organic net sales growth was substantially all related to increased volumes, with pricing having an immaterial impact.</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Net sales for the U.S. business for the year ended December 31, 2023 increased $1,835 million, or 9.2%, to $21,800 million, compared to</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$19,965 million for the respective period in 2022, primarily driven by volume growth in Prime Vendor sales, which for the year ended December 31,</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2023 increased $1,950 million, or 15.5%, to $14,501 million, compared to $12,551 million for the respective period in 2022.</w:t>
      </w:r>
    </w:p>
    <w:p>
      <w:pPr>
        <w:spacing w:after="0" w:line="202" w:lineRule="exact"/>
        <w:rPr>
          <w:sz w:val="20"/>
          <w:szCs w:val="20"/>
          <w:color w:val="auto"/>
        </w:rPr>
      </w:pPr>
    </w:p>
    <w:p>
      <w:pPr>
        <w:ind w:left="160" w:right="260" w:firstLine="436"/>
        <w:spacing w:after="0" w:line="254" w:lineRule="auto"/>
        <w:rPr>
          <w:sz w:val="20"/>
          <w:szCs w:val="20"/>
          <w:color w:val="auto"/>
        </w:rPr>
      </w:pPr>
      <w:r>
        <w:rPr>
          <w:rFonts w:ascii="Times New Roman" w:cs="Times New Roman" w:eastAsia="Times New Roman" w:hAnsi="Times New Roman"/>
          <w:sz w:val="18"/>
          <w:szCs w:val="18"/>
          <w:color w:val="auto"/>
        </w:rPr>
        <w:t>The increase in Prime Vendor sales was a mix of $1,157 million related to new Prime Vendor relationships and $861 million related to existing Prime Vendor relationships, partially offset by a decrease of $68 million related to lost Prime Vendor relationships. Net sales for the U.S. acute care business, which includes both Prime Vendor and non-Prime Vendor customers, increased $1,451 million, or 10.0%, to $15,906 million, compared to $14,455 million for the respective period in 2022, primarily driven by volume growth. Net sales for the U.S. non-acute care business increased $384 million, or 7.0%, to $5,894 million, compared to $5,510 million for the respective period in 2022, primarily driven by volume growth in ambulatory surgical centers of $144 million and physician offices of $147 million.</w:t>
      </w:r>
    </w:p>
    <w:p>
      <w:pPr>
        <w:spacing w:after="0" w:line="184" w:lineRule="exact"/>
        <w:rPr>
          <w:sz w:val="20"/>
          <w:szCs w:val="20"/>
          <w:color w:val="auto"/>
        </w:rPr>
      </w:pPr>
    </w:p>
    <w:p>
      <w:pPr>
        <w:ind w:left="160" w:right="340" w:firstLine="436"/>
        <w:spacing w:after="0" w:line="278" w:lineRule="auto"/>
        <w:rPr>
          <w:sz w:val="20"/>
          <w:szCs w:val="20"/>
          <w:color w:val="auto"/>
        </w:rPr>
      </w:pPr>
      <w:r>
        <w:rPr>
          <w:rFonts w:ascii="Times New Roman" w:cs="Times New Roman" w:eastAsia="Times New Roman" w:hAnsi="Times New Roman"/>
          <w:sz w:val="18"/>
          <w:szCs w:val="18"/>
          <w:color w:val="auto"/>
        </w:rPr>
        <w:t>Net sales for the international business for the year ended December 31, 2023 decreased $52 million, or 3.5%, to $1,431 million, compared to $1,483 million for the respective period in 2022, which was impacted by</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60"/>
          </w:cols>
          <w:pgMar w:left="320" w:top="451" w:right="5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300"/>
        <w:spacing w:after="0" w:line="278" w:lineRule="auto"/>
        <w:rPr>
          <w:sz w:val="20"/>
          <w:szCs w:val="20"/>
          <w:color w:val="auto"/>
        </w:rPr>
      </w:pPr>
      <w:r>
        <w:rPr>
          <w:rFonts w:ascii="Times New Roman" w:cs="Times New Roman" w:eastAsia="Times New Roman" w:hAnsi="Times New Roman"/>
          <w:sz w:val="18"/>
          <w:szCs w:val="18"/>
          <w:color w:val="auto"/>
        </w:rPr>
        <w:t>spot buys of personal protective equipment (“PPE”) products in response to the COVID-19 pandemic, partially offset by volume growth in ongoing sales activities in 2023.</w:t>
      </w:r>
    </w:p>
    <w:p>
      <w:pPr>
        <w:spacing w:after="0" w:line="2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Profit</w:t>
      </w:r>
    </w:p>
    <w:p>
      <w:pPr>
        <w:spacing w:after="0" w:line="118"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Cost of goods sold for the year ended December 31, 2023 increased $1,115 million, or 6.9%, to $17,346 million, compared to $16,231 million for the respective period in 2022. For the year ended December 31, 2023, the increase was primarily driven by the growth in net sales. Gross profit margin is both impacted negatively by sales to new Prime Vendor customers that typically have lower margins in early periods and impacted positively by increased sales to existing Prime Vendor customers as we shift sales from Supply Chain Solutions third-party national brand products to Medline Brand products. Gross profit as a percentage of net sales increased from 24.3% for the year ended December 31, 2022 to 25.3% for the year ended December 31, 2023, primarily driven by 179 basis points from lower freight and import related costs, partially offset by 67 basis points from higher product costs.</w:t>
      </w:r>
    </w:p>
    <w:p>
      <w:pPr>
        <w:spacing w:after="0" w:line="2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SG&amp;A Expenses</w:t>
      </w:r>
    </w:p>
    <w:p>
      <w:pPr>
        <w:spacing w:after="0" w:line="118" w:lineRule="exact"/>
        <w:rPr>
          <w:sz w:val="20"/>
          <w:szCs w:val="20"/>
          <w:color w:val="auto"/>
        </w:rPr>
      </w:pPr>
    </w:p>
    <w:p>
      <w:pPr>
        <w:ind w:left="160" w:right="200" w:firstLine="436"/>
        <w:spacing w:after="0" w:line="263" w:lineRule="auto"/>
        <w:rPr>
          <w:sz w:val="20"/>
          <w:szCs w:val="20"/>
          <w:color w:val="auto"/>
        </w:rPr>
      </w:pPr>
      <w:r>
        <w:rPr>
          <w:rFonts w:ascii="Times New Roman" w:cs="Times New Roman" w:eastAsia="Times New Roman" w:hAnsi="Times New Roman"/>
          <w:sz w:val="18"/>
          <w:szCs w:val="18"/>
          <w:color w:val="auto"/>
        </w:rPr>
        <w:t>SG&amp;A expenses for the year ended December 31, 2023 increased $191 million, or 5.2%, to $3,867 million, compared to $3,676 million for the respective period in 2022, primarily due to an increase of $265 million in labor costs, including investment in our commercial team and distribution network. These were offset by decreases of $52 million for distribution costs.</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118" w:lineRule="exact"/>
        <w:rPr>
          <w:sz w:val="20"/>
          <w:szCs w:val="20"/>
          <w:color w:val="auto"/>
        </w:rPr>
      </w:pPr>
    </w:p>
    <w:p>
      <w:pPr>
        <w:ind w:left="160" w:right="120" w:firstLine="436"/>
        <w:spacing w:after="0" w:line="263" w:lineRule="auto"/>
        <w:rPr>
          <w:sz w:val="20"/>
          <w:szCs w:val="20"/>
          <w:color w:val="auto"/>
        </w:rPr>
      </w:pPr>
      <w:r>
        <w:rPr>
          <w:rFonts w:ascii="Times New Roman" w:cs="Times New Roman" w:eastAsia="Times New Roman" w:hAnsi="Times New Roman"/>
          <w:sz w:val="18"/>
          <w:szCs w:val="18"/>
          <w:color w:val="auto"/>
        </w:rPr>
        <w:t>Other operating expenses for the year ended December 31, 2023 increased $86 million, to $106 million, compared to $20 million for the respective period in 2022, primarily due to a one-time EtO litigation charge of $163 million, partially offset by a one-time gain of $75 million due to a change in valuation estimate resulting from cash collected on accounts receivable in excess of its acquisition-date fair value.</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18" w:lineRule="exact"/>
        <w:rPr>
          <w:sz w:val="20"/>
          <w:szCs w:val="20"/>
          <w:color w:val="auto"/>
        </w:rPr>
      </w:pPr>
    </w:p>
    <w:p>
      <w:pPr>
        <w:jc w:val="both"/>
        <w:ind w:left="160" w:right="100" w:firstLine="436"/>
        <w:spacing w:after="0" w:line="263" w:lineRule="auto"/>
        <w:rPr>
          <w:sz w:val="20"/>
          <w:szCs w:val="20"/>
          <w:color w:val="auto"/>
        </w:rPr>
      </w:pPr>
      <w:r>
        <w:rPr>
          <w:rFonts w:ascii="Times New Roman" w:cs="Times New Roman" w:eastAsia="Times New Roman" w:hAnsi="Times New Roman"/>
          <w:sz w:val="18"/>
          <w:szCs w:val="18"/>
          <w:color w:val="auto"/>
        </w:rPr>
        <w:t>Interest expense, net for the year ended December 31, 2023 increased $104 million, or 11.9%, to $976 million, compared to $872 million for the respective period in 2022, primarily due to the higher interest expense of $317 million on our variable-rate debt, partially offset by a $207 million gain from interest rate hedging and interest income.</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Business Segment Results of Operations</w:t>
      </w:r>
    </w:p>
    <w:p>
      <w:pPr>
        <w:spacing w:after="0" w:line="118" w:lineRule="exact"/>
        <w:rPr>
          <w:sz w:val="20"/>
          <w:szCs w:val="20"/>
          <w:color w:val="auto"/>
        </w:rPr>
      </w:pPr>
    </w:p>
    <w:p>
      <w:pPr>
        <w:ind w:left="160" w:right="380" w:firstLine="436"/>
        <w:spacing w:after="0" w:line="278" w:lineRule="auto"/>
        <w:rPr>
          <w:sz w:val="20"/>
          <w:szCs w:val="20"/>
          <w:color w:val="auto"/>
        </w:rPr>
      </w:pPr>
      <w:r>
        <w:rPr>
          <w:rFonts w:ascii="Times New Roman" w:cs="Times New Roman" w:eastAsia="Times New Roman" w:hAnsi="Times New Roman"/>
          <w:sz w:val="18"/>
          <w:szCs w:val="18"/>
          <w:color w:val="auto"/>
        </w:rPr>
        <w:t>The following table compares business segment net sales, Segment Adjusted EBITDA, and Segment Adjusted EBITDA Margin for the nine months ended September 27, 2025, and September 28, 2024.</w:t>
      </w:r>
    </w:p>
    <w:p>
      <w:pPr>
        <w:spacing w:after="0" w:line="183"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4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640" w:type="dxa"/>
            <w:vAlign w:val="bottom"/>
            <w:gridSpan w:val="2"/>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880" w:type="dxa"/>
            <w:vAlign w:val="bottom"/>
            <w:gridSpan w:val="2"/>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460" w:type="dxa"/>
            <w:vAlign w:val="bottom"/>
          </w:tcPr>
          <w:p>
            <w:pPr>
              <w:spacing w:after="0"/>
              <w:rPr>
                <w:sz w:val="10"/>
                <w:szCs w:val="10"/>
                <w:color w:val="auto"/>
              </w:rPr>
            </w:pPr>
          </w:p>
        </w:tc>
        <w:tc>
          <w:tcPr>
            <w:tcW w:w="4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2"/>
        </w:trPr>
        <w:tc>
          <w:tcPr>
            <w:tcW w:w="4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4"/>
                <w:szCs w:val="14"/>
                <w:color w:val="auto"/>
              </w:rPr>
            </w:pPr>
          </w:p>
        </w:tc>
        <w:tc>
          <w:tcPr>
            <w:tcW w:w="6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6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Medline Brand</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9,997</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9,186</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811</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4"/>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Adjusted EBITDA</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2,541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2,445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96</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4"/>
        </w:trPr>
        <w:tc>
          <w:tcPr>
            <w:tcW w:w="4660" w:type="dxa"/>
            <w:vAlign w:val="bottom"/>
          </w:tcPr>
          <w:p>
            <w:pPr>
              <w:ind w:left="360"/>
              <w:spacing w:after="0" w:line="214" w:lineRule="exact"/>
              <w:rPr>
                <w:sz w:val="20"/>
                <w:szCs w:val="20"/>
                <w:color w:val="auto"/>
              </w:rPr>
            </w:pPr>
            <w:r>
              <w:rPr>
                <w:rFonts w:ascii="Times New Roman" w:cs="Times New Roman" w:eastAsia="Times New Roman" w:hAnsi="Times New Roman"/>
                <w:sz w:val="17"/>
                <w:szCs w:val="17"/>
                <w:color w:val="auto"/>
              </w:rPr>
              <w:t>Segment Adjusted EBITDA Margin</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18"/>
                <w:szCs w:val="18"/>
                <w:color w:val="auto"/>
              </w:rPr>
            </w:pPr>
          </w:p>
        </w:tc>
        <w:tc>
          <w:tcPr>
            <w:tcW w:w="148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rPr>
              <w:t>25.4%</w:t>
            </w:r>
          </w:p>
        </w:tc>
        <w:tc>
          <w:tcPr>
            <w:tcW w:w="2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Supply Chain Solutions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Pr>
          <w:p>
            <w:pPr>
              <w:spacing w:after="0"/>
              <w:rPr>
                <w:sz w:val="18"/>
                <w:szCs w:val="18"/>
                <w:color w:val="auto"/>
              </w:rPr>
            </w:pPr>
          </w:p>
        </w:tc>
        <w:tc>
          <w:tcPr>
            <w:tcW w:w="148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10,648</w:t>
            </w:r>
          </w:p>
        </w:tc>
        <w:tc>
          <w:tcPr>
            <w:tcW w:w="26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9,537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1,111</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4"/>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Adjusted EBITDA</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588</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109</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343"/>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Segment Adjusted EBITDA Margin</w:t>
            </w:r>
            <w:r>
              <w:rPr>
                <w:rFonts w:ascii="Times New Roman" w:cs="Times New Roman" w:eastAsia="Times New Roman" w:hAnsi="Times New Roman"/>
                <w:sz w:val="26"/>
                <w:szCs w:val="26"/>
                <w:color w:val="auto"/>
                <w:vertAlign w:val="superscript"/>
              </w:rPr>
              <w:t>(1)</w:t>
            </w:r>
          </w:p>
        </w:tc>
        <w:tc>
          <w:tcPr>
            <w:tcW w:w="160" w:type="dxa"/>
            <w:vAlign w:val="bottom"/>
          </w:tcPr>
          <w:p>
            <w:pPr>
              <w:spacing w:after="0"/>
              <w:rPr>
                <w:sz w:val="24"/>
                <w:szCs w:val="24"/>
                <w:color w:val="auto"/>
              </w:rPr>
            </w:pPr>
          </w:p>
        </w:tc>
        <w:tc>
          <w:tcPr>
            <w:tcW w:w="148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1056"/>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1" w:right="5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182245</wp:posOffset>
            </wp:positionV>
            <wp:extent cx="76454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98" w:lineRule="exact"/>
        <w:rPr>
          <w:sz w:val="20"/>
          <w:szCs w:val="20"/>
          <w:color w:val="auto"/>
        </w:rPr>
      </w:pPr>
    </w:p>
    <w:p>
      <w:pPr>
        <w:ind w:left="600" w:hanging="433"/>
        <w:spacing w:after="0"/>
        <w:tabs>
          <w:tab w:leader="none" w:pos="6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Segment Adjusted EBITDA Margin as the Segment Adjusted EBITDA divided by segment net sales.</w:t>
      </w:r>
    </w:p>
    <w:p>
      <w:pPr>
        <w:spacing w:after="0" w:line="204"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For more information regarding our segments please refer to “Note 15—Segment Information” of our unaudited condensed consolidated financial statements, included elsewhere in this prospectus.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Medline Brand</w:t>
      </w:r>
    </w:p>
    <w:p>
      <w:pPr>
        <w:spacing w:after="0" w:line="118" w:lineRule="exact"/>
        <w:rPr>
          <w:sz w:val="20"/>
          <w:szCs w:val="20"/>
          <w:color w:val="auto"/>
        </w:rPr>
      </w:pPr>
    </w:p>
    <w:p>
      <w:pPr>
        <w:ind w:left="160" w:right="40" w:firstLine="436"/>
        <w:spacing w:after="0" w:line="258" w:lineRule="auto"/>
        <w:rPr>
          <w:sz w:val="20"/>
          <w:szCs w:val="20"/>
          <w:color w:val="auto"/>
        </w:rPr>
      </w:pPr>
      <w:r>
        <w:rPr>
          <w:rFonts w:ascii="Times New Roman" w:cs="Times New Roman" w:eastAsia="Times New Roman" w:hAnsi="Times New Roman"/>
          <w:sz w:val="18"/>
          <w:szCs w:val="18"/>
          <w:color w:val="auto"/>
        </w:rPr>
        <w:t>Medline Brand segment net sales for the nine months ended September 27, 2025 increased $811 million, or 8.8%, to $9,997 million, compared to $9,186 million for the respective period in 2024. The increase was primarily driven by volume growth in Prime Vendor sales of all Medline Brand product groups for the nine months ended September 27, 2025, which increased $460 million, or 11.8%, to $4,377 million, compared to $3,917 million for the respective period in 2024. Acquisitions also contributed $212 million in incremental net sales.</w:t>
      </w:r>
    </w:p>
    <w:p>
      <w:pPr>
        <w:spacing w:after="0" w:line="180"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color w:val="auto"/>
        </w:rPr>
        <w:t>Surgical Solutions net sales for the nine months ended September 27, 2025 increased $512 million, or 12.9%, to $4,494 million, compared to $3,982 million for the respective period in 2024, primarily driven by the increased volume of $296 million in kitting and $136 million from operating room products, including the impact of an acquisition. Front Line Care net sales for the nine months ended September 27, 2025 increased $247 million, or 5.5%, to $4,752 million, compared to $4,505 million for the respective period in 2024, primarily driven by volume growth, including $51 million from ReadyCare products, $29 million from environmental services products, $27 million from repositioning and offloading products, $26 million from personal care products, and $25 million from advanced wound care products. Laboratory and Diagnostics net sales for the nine months ended September 27, 2025 increased $52 million, or 7.4%, to $751 million, compared to $699 million for the respective period in 2024, primarily driven by volume growth in laboratory products of $43 million.</w:t>
      </w:r>
    </w:p>
    <w:p>
      <w:pPr>
        <w:spacing w:after="0" w:line="187" w:lineRule="exact"/>
        <w:rPr>
          <w:sz w:val="20"/>
          <w:szCs w:val="20"/>
          <w:color w:val="auto"/>
        </w:rPr>
      </w:pPr>
    </w:p>
    <w:p>
      <w:pPr>
        <w:ind w:left="160" w:right="40" w:firstLine="436"/>
        <w:spacing w:after="0" w:line="258" w:lineRule="auto"/>
        <w:rPr>
          <w:sz w:val="20"/>
          <w:szCs w:val="20"/>
          <w:color w:val="auto"/>
        </w:rPr>
      </w:pPr>
      <w:r>
        <w:rPr>
          <w:rFonts w:ascii="Times New Roman" w:cs="Times New Roman" w:eastAsia="Times New Roman" w:hAnsi="Times New Roman"/>
          <w:sz w:val="18"/>
          <w:szCs w:val="18"/>
          <w:color w:val="auto"/>
        </w:rPr>
        <w:t>Medline Brand Segment Adjusted EBITDA for the nine months ended September 27, 2025 increased $96 million, or 3.9%, to $2,541 million, compared to $2,445 million for the respective period in 2024, primarily driven by net sales growth, including the impact of acquisitions as noted above. Medline Brand Segment Adjusted EBITDA Margin decreased to 25.4% from 26.6%, primarily driven by 115 basis points from higher import costs due to tariffs and 40 basis points from higher product costs, partially offset by 36 basis points from lower freight costs.</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Supply Chain Solutions</w:t>
      </w:r>
    </w:p>
    <w:p>
      <w:pPr>
        <w:spacing w:after="0" w:line="118" w:lineRule="exact"/>
        <w:rPr>
          <w:sz w:val="20"/>
          <w:szCs w:val="20"/>
          <w:color w:val="auto"/>
        </w:rPr>
      </w:pPr>
    </w:p>
    <w:p>
      <w:pPr>
        <w:ind w:left="160" w:right="60" w:firstLine="436"/>
        <w:spacing w:after="0" w:line="258" w:lineRule="auto"/>
        <w:rPr>
          <w:sz w:val="20"/>
          <w:szCs w:val="20"/>
          <w:color w:val="auto"/>
        </w:rPr>
      </w:pPr>
      <w:r>
        <w:rPr>
          <w:rFonts w:ascii="Times New Roman" w:cs="Times New Roman" w:eastAsia="Times New Roman" w:hAnsi="Times New Roman"/>
          <w:sz w:val="18"/>
          <w:szCs w:val="18"/>
          <w:color w:val="auto"/>
        </w:rPr>
        <w:t>Supply Chain Solutions segment net sales for the nine months ended September 27, 2025 increased $1,111 million, or 11.6%, to $10,648 million, compared to $9,537 million for the respective period in 2024. The increase was primarily driven by volume growth in Prime Vendor sales for the nine months ended September 27, 2025, which increased $951 million, or 12.2%, to $8,742 million, compared to $7,791 million for the respective period in 2024, including growth with existing customers and implementation of new relationships.</w:t>
      </w:r>
    </w:p>
    <w:p>
      <w:pPr>
        <w:spacing w:after="0" w:line="180" w:lineRule="exact"/>
        <w:rPr>
          <w:sz w:val="20"/>
          <w:szCs w:val="20"/>
          <w:color w:val="auto"/>
        </w:rPr>
      </w:pPr>
    </w:p>
    <w:p>
      <w:pPr>
        <w:ind w:left="160" w:right="500" w:firstLine="436"/>
        <w:spacing w:after="0" w:line="263" w:lineRule="auto"/>
        <w:rPr>
          <w:sz w:val="20"/>
          <w:szCs w:val="20"/>
          <w:color w:val="auto"/>
        </w:rPr>
      </w:pPr>
      <w:r>
        <w:rPr>
          <w:rFonts w:ascii="Times New Roman" w:cs="Times New Roman" w:eastAsia="Times New Roman" w:hAnsi="Times New Roman"/>
          <w:sz w:val="18"/>
          <w:szCs w:val="18"/>
          <w:color w:val="auto"/>
        </w:rPr>
        <w:t>Supply Chain Solutions Segment Adjusted EBITDA for the nine months ended September 27, 2025 increased $109 million, or 22.8%, to $588 million, compared to $479 million for the respective period in 2024, primarily driven by net sales growth. Supply Chain Solutions Segment Adjusted EBITDA Margin increased to 5.5% from 5.0%, primarily due to operating leverage.</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20"/>
          </w:cols>
          <w:pgMar w:left="320" w:top="451" w:right="5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400" w:firstLine="436"/>
        <w:spacing w:after="0" w:line="278" w:lineRule="auto"/>
        <w:rPr>
          <w:sz w:val="20"/>
          <w:szCs w:val="20"/>
          <w:color w:val="auto"/>
        </w:rPr>
      </w:pPr>
      <w:r>
        <w:rPr>
          <w:rFonts w:ascii="Times New Roman" w:cs="Times New Roman" w:eastAsia="Times New Roman" w:hAnsi="Times New Roman"/>
          <w:sz w:val="18"/>
          <w:szCs w:val="18"/>
          <w:color w:val="auto"/>
        </w:rPr>
        <w:t>The following table compares business segment net sales, Segment Adjusted EBITDA, and Segment Adjusted EBITDA Margin for the years ended December 31, 2024 and 2023.</w:t>
      </w:r>
    </w:p>
    <w:p>
      <w:pPr>
        <w:spacing w:after="0" w:line="183"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4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0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900" w:type="dxa"/>
            <w:vAlign w:val="bottom"/>
          </w:tcPr>
          <w:p>
            <w:pPr>
              <w:spacing w:after="0"/>
              <w:rPr>
                <w:sz w:val="10"/>
                <w:szCs w:val="10"/>
                <w:color w:val="auto"/>
              </w:rPr>
            </w:pPr>
          </w:p>
        </w:tc>
        <w:tc>
          <w:tcPr>
            <w:tcW w:w="1560" w:type="dxa"/>
            <w:vAlign w:val="bottom"/>
            <w:gridSpan w:val="3"/>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20" w:type="dxa"/>
            <w:vAlign w:val="bottom"/>
            <w:gridSpan w:val="2"/>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74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2"/>
        </w:trPr>
        <w:tc>
          <w:tcPr>
            <w:tcW w:w="400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0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Medline Brand</w:t>
            </w:r>
          </w:p>
        </w:tc>
        <w:tc>
          <w:tcPr>
            <w:tcW w:w="9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w:t>
            </w:r>
          </w:p>
        </w:tc>
        <w:tc>
          <w:tcPr>
            <w:tcW w:w="10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669"/>
              <w:spacing w:after="0"/>
              <w:rPr>
                <w:sz w:val="20"/>
                <w:szCs w:val="20"/>
                <w:color w:val="auto"/>
              </w:rPr>
            </w:pPr>
            <w:r>
              <w:rPr>
                <w:rFonts w:ascii="Times New Roman" w:cs="Times New Roman" w:eastAsia="Times New Roman" w:hAnsi="Times New Roman"/>
                <w:sz w:val="18"/>
                <w:szCs w:val="18"/>
                <w:color w:val="auto"/>
              </w:rPr>
              <w:t>12,515</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11,613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902</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4"/>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Adjusted EBITDA</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9"/>
              <w:spacing w:after="0"/>
              <w:rPr>
                <w:sz w:val="20"/>
                <w:szCs w:val="20"/>
                <w:color w:val="auto"/>
              </w:rPr>
            </w:pPr>
            <w:r>
              <w:rPr>
                <w:rFonts w:ascii="Times New Roman" w:cs="Times New Roman" w:eastAsia="Times New Roman" w:hAnsi="Times New Roman"/>
                <w:sz w:val="18"/>
                <w:szCs w:val="18"/>
                <w:color w:val="auto"/>
              </w:rPr>
              <w:t>3,269</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2,704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565</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4"/>
        </w:trPr>
        <w:tc>
          <w:tcPr>
            <w:tcW w:w="4000" w:type="dxa"/>
            <w:vAlign w:val="bottom"/>
          </w:tcPr>
          <w:p>
            <w:pPr>
              <w:ind w:left="360"/>
              <w:spacing w:after="0" w:line="214" w:lineRule="exact"/>
              <w:rPr>
                <w:sz w:val="20"/>
                <w:szCs w:val="20"/>
                <w:color w:val="auto"/>
              </w:rPr>
            </w:pPr>
            <w:r>
              <w:rPr>
                <w:rFonts w:ascii="Times New Roman" w:cs="Times New Roman" w:eastAsia="Times New Roman" w:hAnsi="Times New Roman"/>
                <w:sz w:val="17"/>
                <w:szCs w:val="17"/>
                <w:color w:val="auto"/>
              </w:rPr>
              <w:t>Segment Adjusted EBITDA Margin</w:t>
            </w:r>
            <w:r>
              <w:rPr>
                <w:rFonts w:ascii="Times New Roman" w:cs="Times New Roman" w:eastAsia="Times New Roman" w:hAnsi="Times New Roman"/>
                <w:sz w:val="24"/>
                <w:szCs w:val="24"/>
                <w:color w:val="auto"/>
                <w:vertAlign w:val="superscript"/>
              </w:rPr>
              <w:t>(1)</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529"/>
              <w:spacing w:after="0"/>
              <w:rPr>
                <w:sz w:val="20"/>
                <w:szCs w:val="20"/>
                <w:color w:val="auto"/>
              </w:rPr>
            </w:pPr>
            <w:r>
              <w:rPr>
                <w:rFonts w:ascii="Times New Roman" w:cs="Times New Roman" w:eastAsia="Times New Roman" w:hAnsi="Times New Roman"/>
                <w:sz w:val="18"/>
                <w:szCs w:val="18"/>
                <w:color w:val="auto"/>
              </w:rPr>
              <w:t>26.1%</w:t>
            </w:r>
          </w:p>
        </w:tc>
        <w:tc>
          <w:tcPr>
            <w:tcW w:w="18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Supply Chain Solutions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669"/>
              <w:spacing w:after="0"/>
              <w:rPr>
                <w:sz w:val="20"/>
                <w:szCs w:val="20"/>
                <w:color w:val="auto"/>
              </w:rPr>
            </w:pPr>
            <w:r>
              <w:rPr>
                <w:rFonts w:ascii="Times New Roman" w:cs="Times New Roman" w:eastAsia="Times New Roman" w:hAnsi="Times New Roman"/>
                <w:sz w:val="18"/>
                <w:szCs w:val="18"/>
                <w:color w:val="auto"/>
              </w:rPr>
              <w:t>12,992</w:t>
            </w:r>
          </w:p>
        </w:tc>
        <w:tc>
          <w:tcPr>
            <w:tcW w:w="18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11,618</w:t>
            </w:r>
          </w:p>
        </w:tc>
        <w:tc>
          <w:tcPr>
            <w:tcW w:w="10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1,374</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4"/>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Adjusted EBITDA</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9"/>
              <w:spacing w:after="0"/>
              <w:rPr>
                <w:sz w:val="20"/>
                <w:szCs w:val="20"/>
                <w:color w:val="auto"/>
              </w:rPr>
            </w:pPr>
            <w:r>
              <w:rPr>
                <w:rFonts w:ascii="Times New Roman" w:cs="Times New Roman" w:eastAsia="Times New Roman" w:hAnsi="Times New Roman"/>
                <w:sz w:val="18"/>
                <w:szCs w:val="18"/>
                <w:color w:val="auto"/>
              </w:rPr>
              <w:t>647</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156</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352"/>
        </w:trPr>
        <w:tc>
          <w:tcPr>
            <w:tcW w:w="4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Segment Adjusted EBITDA Margin</w:t>
            </w:r>
            <w:r>
              <w:rPr>
                <w:rFonts w:ascii="Times New Roman" w:cs="Times New Roman" w:eastAsia="Times New Roman" w:hAnsi="Times New Roman"/>
                <w:sz w:val="26"/>
                <w:szCs w:val="26"/>
                <w:color w:val="auto"/>
                <w:vertAlign w:val="superscript"/>
              </w:rPr>
              <w:t>(1)</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right"/>
              <w:ind w:right="529"/>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24"/>
                <w:szCs w:val="24"/>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-1905</wp:posOffset>
            </wp:positionV>
            <wp:extent cx="76454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7" w:lineRule="exact"/>
        <w:rPr>
          <w:sz w:val="20"/>
          <w:szCs w:val="20"/>
          <w:color w:val="auto"/>
        </w:rPr>
      </w:pPr>
    </w:p>
    <w:p>
      <w:pPr>
        <w:ind w:left="600" w:hanging="433"/>
        <w:spacing w:after="0"/>
        <w:tabs>
          <w:tab w:leader="none" w:pos="6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Segment Adjusted EBITDA Margin as the Segment Adjusted EBITDA divided by segment net sales.</w:t>
      </w:r>
    </w:p>
    <w:p>
      <w:pPr>
        <w:spacing w:after="0" w:line="204" w:lineRule="exact"/>
        <w:rPr>
          <w:sz w:val="20"/>
          <w:szCs w:val="20"/>
          <w:color w:val="auto"/>
        </w:rPr>
      </w:pPr>
    </w:p>
    <w:p>
      <w:pPr>
        <w:ind w:left="160" w:right="180" w:firstLine="436"/>
        <w:spacing w:after="0" w:line="278" w:lineRule="auto"/>
        <w:rPr>
          <w:sz w:val="20"/>
          <w:szCs w:val="20"/>
          <w:color w:val="auto"/>
        </w:rPr>
      </w:pPr>
      <w:r>
        <w:rPr>
          <w:rFonts w:ascii="Times New Roman" w:cs="Times New Roman" w:eastAsia="Times New Roman" w:hAnsi="Times New Roman"/>
          <w:sz w:val="18"/>
          <w:szCs w:val="18"/>
          <w:color w:val="auto"/>
        </w:rPr>
        <w:t>For more information regarding our segments please refer to “Note 18—Segment Information” to our audited consolidated financial statements, included elsewhere in this prospectus.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Medline Brand</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Medline Brand segment net sales for the year ended December 31, 2024 increased $902 million, or 7.8%, to $12,515 million, compared to</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$11,613 million for the respective period in 2023. The increase was primarily driven by volume growth in Prime Vendor sales of all Medline Brand</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product groups for the year ended December 31, 2024, which increased $524 million, or 10.7%, to $5,410 million, compared to $4,886 million for the</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respective period in 2023. Acquisitions also contributed $177 million in incremental net sales in 2024.</w:t>
      </w:r>
    </w:p>
    <w:p>
      <w:pPr>
        <w:spacing w:after="0" w:line="2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Surgical Solutions net sales for the year ended December 31, 2024 increased $540 million, or 11.0%, to $5,471 million, compared to</w:t>
      </w:r>
    </w:p>
    <w:p>
      <w:pPr>
        <w:spacing w:after="0" w:line="26" w:lineRule="exact"/>
        <w:rPr>
          <w:sz w:val="20"/>
          <w:szCs w:val="20"/>
          <w:color w:val="auto"/>
        </w:rPr>
      </w:pPr>
    </w:p>
    <w:p>
      <w:pPr>
        <w:ind w:left="160" w:right="80"/>
        <w:spacing w:after="0" w:line="249" w:lineRule="auto"/>
        <w:rPr>
          <w:sz w:val="20"/>
          <w:szCs w:val="20"/>
          <w:color w:val="auto"/>
        </w:rPr>
      </w:pPr>
      <w:r>
        <w:rPr>
          <w:rFonts w:ascii="Times New Roman" w:cs="Times New Roman" w:eastAsia="Times New Roman" w:hAnsi="Times New Roman"/>
          <w:sz w:val="18"/>
          <w:szCs w:val="18"/>
          <w:color w:val="auto"/>
        </w:rPr>
        <w:t>$4,931 million for the respective period in 2023, primarily driven by $345 million from the increased volume in kitting products and incremental sales of $127 million from the acquired Microtek business. Front Line Care net sales for the year ended December 31, 2024 increased $243 million, or 4.2%, to $6,088 million, compared to $5,845 million for the respective period in 2023, primarily driven by volume growth of $86 million from incontinence products, $74 million from advanced and essential wound care products, and $44 million from repositioning products. Laboratory and Diagnostics net sales for the year ended December 31, 2024 increased $119 million, or 14.2%, to $956 million, compared to $837 million for the respective period in 2023, primarily driven by volume growth in laboratory products of $109 million.</w:t>
      </w:r>
    </w:p>
    <w:p>
      <w:pPr>
        <w:spacing w:after="0" w:line="191"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Medline Brand Segment Adjusted EBITDA for the year ended December 31, 2024 increased $565 million, or 20.9%, to $3,269 million, compared to $2,704 million for the respective period in 2023, primarily driven by net sales growth, including the impact of acquisitions as noted above. Medline Brand Segment Adjusted EBITDA Margin increased to 26.1% from 23.3%, primarily driven by 277 basis points from product-related costs substantially all coming from sourcing savings.</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Supply Chain Solutions</w:t>
      </w:r>
    </w:p>
    <w:p>
      <w:pPr>
        <w:spacing w:after="0" w:line="118" w:lineRule="exact"/>
        <w:rPr>
          <w:sz w:val="20"/>
          <w:szCs w:val="20"/>
          <w:color w:val="auto"/>
        </w:rPr>
      </w:pPr>
    </w:p>
    <w:p>
      <w:pPr>
        <w:ind w:left="160" w:right="60" w:firstLine="436"/>
        <w:spacing w:after="0" w:line="255" w:lineRule="auto"/>
        <w:rPr>
          <w:sz w:val="20"/>
          <w:szCs w:val="20"/>
          <w:color w:val="auto"/>
        </w:rPr>
      </w:pPr>
      <w:r>
        <w:rPr>
          <w:rFonts w:ascii="Times New Roman" w:cs="Times New Roman" w:eastAsia="Times New Roman" w:hAnsi="Times New Roman"/>
          <w:sz w:val="18"/>
          <w:szCs w:val="18"/>
          <w:color w:val="auto"/>
        </w:rPr>
        <w:t>Supply Chain Solutions segment net sales for the year ended December 31, 2024 increased $1,374 million, or 11.8%, to $12,992 million, compared to $11,618 million for the respective period in 2023. The increase was primarily driven by volume growth in Prime Vendor sales for the year ended December 31, 2024, which increased $1,008 million, or 10.5%, to $10,623 million, compared to $9,615 million for the respective period in 2023, including implementation of new relationships and growth with existing customers. Acquisitions also contributed $265 million incremental net sales in 2024.</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60"/>
          </w:cols>
          <w:pgMar w:left="320" w:top="451" w:right="5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100" w:firstLine="436"/>
        <w:spacing w:after="0" w:line="258" w:lineRule="auto"/>
        <w:rPr>
          <w:sz w:val="20"/>
          <w:szCs w:val="20"/>
          <w:color w:val="auto"/>
        </w:rPr>
      </w:pPr>
      <w:r>
        <w:rPr>
          <w:rFonts w:ascii="Times New Roman" w:cs="Times New Roman" w:eastAsia="Times New Roman" w:hAnsi="Times New Roman"/>
          <w:sz w:val="18"/>
          <w:szCs w:val="18"/>
          <w:color w:val="auto"/>
        </w:rPr>
        <w:t>Supply Chain Solutions Segment Adjusted EBITDA for the year ended December 31, 2024 increased $156 million, or 31.8%, to $647 million, compared to $491 million for the respective period in 2023. Supply Chain Solutions Segment Adjusted EBITDA Margin increased to 5.0% from 4.2%, primarily due to operating leverage, partially offset by a mix of both new customer signings and customer renewals which had lower distributor markups.</w:t>
      </w:r>
    </w:p>
    <w:p>
      <w:pPr>
        <w:spacing w:after="0" w:line="180" w:lineRule="exact"/>
        <w:rPr>
          <w:sz w:val="20"/>
          <w:szCs w:val="20"/>
          <w:color w:val="auto"/>
        </w:rPr>
      </w:pPr>
    </w:p>
    <w:p>
      <w:pPr>
        <w:ind w:left="160" w:right="420" w:firstLine="436"/>
        <w:spacing w:after="0" w:line="278" w:lineRule="auto"/>
        <w:rPr>
          <w:sz w:val="20"/>
          <w:szCs w:val="20"/>
          <w:color w:val="auto"/>
        </w:rPr>
      </w:pPr>
      <w:r>
        <w:rPr>
          <w:rFonts w:ascii="Times New Roman" w:cs="Times New Roman" w:eastAsia="Times New Roman" w:hAnsi="Times New Roman"/>
          <w:sz w:val="18"/>
          <w:szCs w:val="18"/>
          <w:color w:val="auto"/>
        </w:rPr>
        <w:t>The following table compares business segment net sales, Segment Adjusted EBITDA and Segment Adjusted EBITDA Margin for the years ended December 31, 2023 and 2022.</w:t>
      </w:r>
    </w:p>
    <w:p>
      <w:pPr>
        <w:spacing w:after="0" w:line="183"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4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0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900" w:type="dxa"/>
            <w:vAlign w:val="bottom"/>
          </w:tcPr>
          <w:p>
            <w:pPr>
              <w:spacing w:after="0"/>
              <w:rPr>
                <w:sz w:val="10"/>
                <w:szCs w:val="10"/>
                <w:color w:val="auto"/>
              </w:rPr>
            </w:pPr>
          </w:p>
        </w:tc>
        <w:tc>
          <w:tcPr>
            <w:tcW w:w="1560" w:type="dxa"/>
            <w:vAlign w:val="bottom"/>
            <w:gridSpan w:val="3"/>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20" w:type="dxa"/>
            <w:vAlign w:val="bottom"/>
            <w:gridSpan w:val="2"/>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74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2"/>
        </w:trPr>
        <w:tc>
          <w:tcPr>
            <w:tcW w:w="400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0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Medline Brand</w:t>
            </w:r>
          </w:p>
        </w:tc>
        <w:tc>
          <w:tcPr>
            <w:tcW w:w="9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w:t>
            </w:r>
          </w:p>
        </w:tc>
        <w:tc>
          <w:tcPr>
            <w:tcW w:w="10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11,613</w:t>
            </w:r>
          </w:p>
        </w:tc>
        <w:tc>
          <w:tcPr>
            <w:tcW w:w="7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10,999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614</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4"/>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Adjusted EBITDA</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9"/>
              <w:spacing w:after="0"/>
              <w:rPr>
                <w:sz w:val="20"/>
                <w:szCs w:val="20"/>
                <w:color w:val="auto"/>
              </w:rPr>
            </w:pPr>
            <w:r>
              <w:rPr>
                <w:rFonts w:ascii="Times New Roman" w:cs="Times New Roman" w:eastAsia="Times New Roman" w:hAnsi="Times New Roman"/>
                <w:sz w:val="18"/>
                <w:szCs w:val="18"/>
                <w:color w:val="auto"/>
              </w:rPr>
              <w:t>2,704</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2,240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464</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4"/>
        </w:trPr>
        <w:tc>
          <w:tcPr>
            <w:tcW w:w="4000" w:type="dxa"/>
            <w:vAlign w:val="bottom"/>
          </w:tcPr>
          <w:p>
            <w:pPr>
              <w:ind w:left="360"/>
              <w:spacing w:after="0" w:line="214" w:lineRule="exact"/>
              <w:rPr>
                <w:sz w:val="20"/>
                <w:szCs w:val="20"/>
                <w:color w:val="auto"/>
              </w:rPr>
            </w:pPr>
            <w:r>
              <w:rPr>
                <w:rFonts w:ascii="Times New Roman" w:cs="Times New Roman" w:eastAsia="Times New Roman" w:hAnsi="Times New Roman"/>
                <w:sz w:val="17"/>
                <w:szCs w:val="17"/>
                <w:color w:val="auto"/>
              </w:rPr>
              <w:t>Segment Adjusted EBITDA Margin</w:t>
            </w:r>
            <w:r>
              <w:rPr>
                <w:rFonts w:ascii="Times New Roman" w:cs="Times New Roman" w:eastAsia="Times New Roman" w:hAnsi="Times New Roman"/>
                <w:sz w:val="24"/>
                <w:szCs w:val="24"/>
                <w:color w:val="auto"/>
                <w:vertAlign w:val="superscript"/>
              </w:rPr>
              <w:t>(1)</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529"/>
              <w:spacing w:after="0"/>
              <w:rPr>
                <w:sz w:val="20"/>
                <w:szCs w:val="20"/>
                <w:color w:val="auto"/>
              </w:rPr>
            </w:pPr>
            <w:r>
              <w:rPr>
                <w:rFonts w:ascii="Times New Roman" w:cs="Times New Roman" w:eastAsia="Times New Roman" w:hAnsi="Times New Roman"/>
                <w:sz w:val="18"/>
                <w:szCs w:val="18"/>
                <w:color w:val="auto"/>
              </w:rPr>
              <w:t>23.3%</w:t>
            </w:r>
          </w:p>
        </w:tc>
        <w:tc>
          <w:tcPr>
            <w:tcW w:w="18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Supply Chain Solutions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11,618</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10,449</w:t>
            </w:r>
          </w:p>
        </w:tc>
        <w:tc>
          <w:tcPr>
            <w:tcW w:w="10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1,169</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4"/>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Adjusted EBITDA</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9"/>
              <w:spacing w:after="0"/>
              <w:rPr>
                <w:sz w:val="20"/>
                <w:szCs w:val="20"/>
                <w:color w:val="auto"/>
              </w:rPr>
            </w:pPr>
            <w:r>
              <w:rPr>
                <w:rFonts w:ascii="Times New Roman" w:cs="Times New Roman" w:eastAsia="Times New Roman" w:hAnsi="Times New Roman"/>
                <w:sz w:val="18"/>
                <w:szCs w:val="18"/>
                <w:color w:val="auto"/>
              </w:rPr>
              <w:t>491</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352"/>
        </w:trPr>
        <w:tc>
          <w:tcPr>
            <w:tcW w:w="4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Segment Adjusted EBITDA Margin</w:t>
            </w:r>
            <w:r>
              <w:rPr>
                <w:rFonts w:ascii="Times New Roman" w:cs="Times New Roman" w:eastAsia="Times New Roman" w:hAnsi="Times New Roman"/>
                <w:sz w:val="26"/>
                <w:szCs w:val="26"/>
                <w:color w:val="auto"/>
                <w:vertAlign w:val="superscript"/>
              </w:rPr>
              <w:t>(1)</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right"/>
              <w:ind w:right="529"/>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24"/>
                <w:szCs w:val="24"/>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-1905</wp:posOffset>
            </wp:positionV>
            <wp:extent cx="76454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7" w:lineRule="exact"/>
        <w:rPr>
          <w:sz w:val="20"/>
          <w:szCs w:val="20"/>
          <w:color w:val="auto"/>
        </w:rPr>
      </w:pPr>
    </w:p>
    <w:p>
      <w:pPr>
        <w:ind w:left="600" w:hanging="433"/>
        <w:spacing w:after="0"/>
        <w:tabs>
          <w:tab w:leader="none" w:pos="6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Segment Adjusted EBITDA Margin as the Segment Adjusted EBITDA divided by segment net sales.</w:t>
      </w:r>
    </w:p>
    <w:p>
      <w:pPr>
        <w:spacing w:after="0" w:line="204" w:lineRule="exact"/>
        <w:rPr>
          <w:sz w:val="20"/>
          <w:szCs w:val="20"/>
          <w:color w:val="auto"/>
        </w:rPr>
      </w:pPr>
    </w:p>
    <w:p>
      <w:pPr>
        <w:ind w:left="160" w:right="180" w:firstLine="436"/>
        <w:spacing w:after="0" w:line="278" w:lineRule="auto"/>
        <w:rPr>
          <w:sz w:val="20"/>
          <w:szCs w:val="20"/>
          <w:color w:val="auto"/>
        </w:rPr>
      </w:pPr>
      <w:r>
        <w:rPr>
          <w:rFonts w:ascii="Times New Roman" w:cs="Times New Roman" w:eastAsia="Times New Roman" w:hAnsi="Times New Roman"/>
          <w:sz w:val="18"/>
          <w:szCs w:val="18"/>
          <w:color w:val="auto"/>
        </w:rPr>
        <w:t>For more information regarding our segments please refer to “Note 18—Segment Information” to our audited consolidated financial statements, included elsewhere in this prospectus.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Medline Brand</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Medline Brand segment net sales for the year ended December 31, 2023 increased $614 million, or 5.6%, to $11,613 million, compared to</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$10,999 million for the respective period in 2022. The increase was primarily driven by volume growth in Prime Vendor sales of all Medline Brand</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product groups for the year ended December 31, 2023, which increased $634 million, or 14.9%, to $4,886 million, compared to $4,252 million for the</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respective period in 2022.</w:t>
      </w:r>
    </w:p>
    <w:p>
      <w:pPr>
        <w:spacing w:after="0" w:line="2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Surgical Solutions net sales for the year ended December 31, 2023 increased $485 million, or 10.9%, to $4,931 million, compared to</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$4,446 million for the respective period in 2022, largely driven by continued existing customer volume growth as surgery procedures recovered</w:t>
      </w:r>
    </w:p>
    <w:p>
      <w:pPr>
        <w:spacing w:after="0" w:line="7" w:lineRule="exact"/>
        <w:rPr>
          <w:sz w:val="20"/>
          <w:szCs w:val="20"/>
          <w:color w:val="auto"/>
        </w:rPr>
      </w:pPr>
    </w:p>
    <w:p>
      <w:pPr>
        <w:ind w:left="160"/>
        <w:spacing w:after="0" w:line="250" w:lineRule="auto"/>
        <w:rPr>
          <w:sz w:val="20"/>
          <w:szCs w:val="20"/>
          <w:color w:val="auto"/>
        </w:rPr>
      </w:pPr>
      <w:r>
        <w:rPr>
          <w:rFonts w:ascii="Times New Roman" w:cs="Times New Roman" w:eastAsia="Times New Roman" w:hAnsi="Times New Roman"/>
          <w:sz w:val="18"/>
          <w:szCs w:val="18"/>
          <w:color w:val="auto"/>
        </w:rPr>
        <w:t>throughout 2023 from the prior year backlog. Front Line Care net sales for the year ended December 31, 2023 increased $136 million, or 2.4%, to $5,845 million, compared to $5,709 million for the respective period in 2022, primarily driven by volume growth of $105 million from primary care products and $49 million from wound care products. Laboratory and Diagnostics net sales for the year ended December 31, 2023 decreased $7 million, or 0.8%, to $837 million, compared to $844 million for the respective period in 2022 driven by a decrease in test kit volumes due to the normalization of COVID-19 and flu seasons.</w:t>
      </w:r>
    </w:p>
    <w:p>
      <w:pPr>
        <w:spacing w:after="0" w:line="187" w:lineRule="exact"/>
        <w:rPr>
          <w:sz w:val="20"/>
          <w:szCs w:val="20"/>
          <w:color w:val="auto"/>
        </w:rPr>
      </w:pPr>
    </w:p>
    <w:p>
      <w:pPr>
        <w:ind w:left="160" w:right="20" w:firstLine="436"/>
        <w:spacing w:after="0" w:line="255" w:lineRule="auto"/>
        <w:rPr>
          <w:sz w:val="20"/>
          <w:szCs w:val="20"/>
          <w:color w:val="auto"/>
        </w:rPr>
      </w:pPr>
      <w:r>
        <w:rPr>
          <w:rFonts w:ascii="Times New Roman" w:cs="Times New Roman" w:eastAsia="Times New Roman" w:hAnsi="Times New Roman"/>
          <w:sz w:val="18"/>
          <w:szCs w:val="18"/>
          <w:color w:val="auto"/>
        </w:rPr>
        <w:t>Medline Brand Segment Adjusted EBITDA for the year ended December 31, 2023 increased $464 million, or 20.7%, to $2,704 million, compared to $2,240 million for the respective period in 2022, primarily driven by net sales growth. Medline Brand Segment Adjusted EBITDA Margin increased to 23.3% from 20.4%, 300 basis points of which was driven by lower freight and import related costs due to fewer supply chain disruptions and decreases in global shipping costs, which had spiked during the COVID-19 pandemic. Freight and import related costs primarily impact the Medline Brand segment due to its vertically integrated model that requires sourcing materials globally.</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60"/>
          </w:cols>
          <w:pgMar w:left="320" w:top="451" w:right="5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Supply Chain Solutions</w:t>
      </w:r>
    </w:p>
    <w:p>
      <w:pPr>
        <w:spacing w:after="0" w:line="118" w:lineRule="exact"/>
        <w:rPr>
          <w:sz w:val="20"/>
          <w:szCs w:val="20"/>
          <w:color w:val="auto"/>
        </w:rPr>
      </w:pPr>
    </w:p>
    <w:p>
      <w:pPr>
        <w:ind w:left="160" w:right="80" w:firstLine="436"/>
        <w:spacing w:after="0" w:line="258" w:lineRule="auto"/>
        <w:rPr>
          <w:sz w:val="20"/>
          <w:szCs w:val="20"/>
          <w:color w:val="auto"/>
        </w:rPr>
      </w:pPr>
      <w:r>
        <w:rPr>
          <w:rFonts w:ascii="Times New Roman" w:cs="Times New Roman" w:eastAsia="Times New Roman" w:hAnsi="Times New Roman"/>
          <w:sz w:val="18"/>
          <w:szCs w:val="18"/>
          <w:color w:val="auto"/>
        </w:rPr>
        <w:t>Supply Chain Solutions segment net sales for the year ended December 31, 2023 increased $1,169 million, or 11.2%, to $11,618 million, compared to $10,449 million for the respective period in 2022. The increase was primarily driven by volume growth in Prime Vendor sales for the year ended December 31, 2023, which increased $1,315 million, or 15.8%, to $9,615 million, compared to $8,300 million for the respective period in 2022, including implementation of new relationships and growth with existing customers.</w:t>
      </w:r>
    </w:p>
    <w:p>
      <w:pPr>
        <w:spacing w:after="0" w:line="180" w:lineRule="exact"/>
        <w:rPr>
          <w:sz w:val="20"/>
          <w:szCs w:val="20"/>
          <w:color w:val="auto"/>
        </w:rPr>
      </w:pPr>
    </w:p>
    <w:p>
      <w:pPr>
        <w:ind w:left="160" w:right="40" w:firstLine="436"/>
        <w:spacing w:after="0" w:line="263" w:lineRule="auto"/>
        <w:rPr>
          <w:sz w:val="20"/>
          <w:szCs w:val="20"/>
          <w:color w:val="auto"/>
        </w:rPr>
      </w:pPr>
      <w:r>
        <w:rPr>
          <w:rFonts w:ascii="Times New Roman" w:cs="Times New Roman" w:eastAsia="Times New Roman" w:hAnsi="Times New Roman"/>
          <w:sz w:val="18"/>
          <w:szCs w:val="18"/>
          <w:color w:val="auto"/>
        </w:rPr>
        <w:t>Supply Chain Solutions Segment Adjusted EBITDA for the year ended December 31, 2023 increased $1 million, or 0.2%, to $491 million, compared to $490 million for the respective period in 2022. Supply Chain Solutions Segment Adjusted EBITDA Margin decreased to 4.2% from 4.7%, primarily driven by a mix of both new customer signings and customer renewals which had lower distributor markups.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p>
    <w:p>
      <w:pPr>
        <w:spacing w:after="0" w:line="118"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Management believes that certain financial measures that are not presented in accordance with GAAP provide management and investors useful supplemental information that provides a meaningful view of our financial condition and results of operations across periods by removing the impact of items that management believes do not directly reflect our ongoing operating performance. Adjusted EBITDA and Adjusted EBITDA Margin are supplemental measures that are not required by or presented in accordance with GAAP. In evaluating our performance as measured by Adjusted EBITDA and Adjusted EBITDA Margin, management recognizes and considers the limitations of these measures. Other companies in our industry may calculate Adjusted EBITDA and Adjusted EBITDA Margin differently than we do or may not calculate them at all, limiting their usefulness as comparative measures. Because of these limitations, Adjusted EBITDA and Adjusted EBITDA Margin should not be considered in isolation or as substitutes for net income (loss), or any other measure calculated in accordance with GAAP, as applicable, and should be considered together with our GAAP financial measures and the reconciliations to the corresponding GAAP financial measures set forth in this prospectus.</w:t>
      </w:r>
    </w:p>
    <w:p>
      <w:pPr>
        <w:spacing w:after="0" w:line="2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118" w:lineRule="exact"/>
        <w:rPr>
          <w:sz w:val="20"/>
          <w:szCs w:val="20"/>
          <w:color w:val="auto"/>
        </w:rPr>
      </w:pPr>
    </w:p>
    <w:p>
      <w:pPr>
        <w:ind w:left="160" w:firstLine="436"/>
        <w:spacing w:after="0" w:line="271" w:lineRule="auto"/>
        <w:rPr>
          <w:sz w:val="20"/>
          <w:szCs w:val="20"/>
          <w:color w:val="auto"/>
        </w:rPr>
      </w:pPr>
      <w:r>
        <w:rPr>
          <w:rFonts w:ascii="Times New Roman" w:cs="Times New Roman" w:eastAsia="Times New Roman" w:hAnsi="Times New Roman"/>
          <w:sz w:val="17"/>
          <w:szCs w:val="17"/>
          <w:color w:val="auto"/>
        </w:rPr>
        <w:t>Adjusted EBITDA is defined as net income (loss) adjusted for (i) interest expense, net, (ii) provision for income taxes, (iii) depreciation and amortization, (iv) inventory-related adjustments, (v) stock-based compensation, (vi) change of control expenses, (vii) acquisition and integration-related adjustments, (viii) litigation (gains) charges, net, and (ix) other non-core (gains) charges. Management defines Adjusted EBITDA Margin as Adjusted EBITDA divided by net sales. Adjusted EBITDA and Adjusted EBITDA Margin are key performance measures that our management uses to assess our financial performance as well as for internal planning and forecasting purposes. We consider Adjusted EBITDA and Adjusted EBITDA Margin to be meaningful performance measures to investors to evaluate our operating performance and to compare the financial results between periods.</w:t>
      </w:r>
    </w:p>
    <w:p>
      <w:pPr>
        <w:spacing w:after="0" w:line="10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20"/>
          </w:cols>
          <w:pgMar w:left="320" w:top="451" w:right="5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400" w:firstLine="436"/>
        <w:spacing w:after="0" w:line="278" w:lineRule="auto"/>
        <w:rPr>
          <w:sz w:val="20"/>
          <w:szCs w:val="20"/>
          <w:color w:val="auto"/>
        </w:rPr>
      </w:pPr>
      <w:r>
        <w:rPr>
          <w:rFonts w:ascii="Times New Roman" w:cs="Times New Roman" w:eastAsia="Times New Roman" w:hAnsi="Times New Roman"/>
          <w:sz w:val="18"/>
          <w:szCs w:val="18"/>
          <w:color w:val="auto"/>
        </w:rPr>
        <w:t>The following table sets forth a reconciliation of net income (loss), the most comparable GAAP measure, to Adjusted EBITDA and Adjusted EBITDA Margin:</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3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left="31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8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percentages)</w:t>
            </w:r>
          </w:p>
        </w:tc>
        <w:tc>
          <w:tcPr>
            <w:tcW w:w="1500" w:type="dxa"/>
            <w:vAlign w:val="bottom"/>
            <w:gridSpan w:val="3"/>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880" w:type="dxa"/>
            <w:vAlign w:val="bottom"/>
            <w:gridSpan w:val="2"/>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640" w:type="dxa"/>
            <w:vAlign w:val="bottom"/>
          </w:tcPr>
          <w:p>
            <w:pPr>
              <w:spacing w:after="0"/>
              <w:rPr>
                <w:sz w:val="10"/>
                <w:szCs w:val="10"/>
                <w:color w:val="auto"/>
              </w:rPr>
            </w:pPr>
          </w:p>
        </w:tc>
        <w:tc>
          <w:tcPr>
            <w:tcW w:w="1460" w:type="dxa"/>
            <w:vAlign w:val="bottom"/>
            <w:gridSpan w:val="3"/>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40" w:type="dxa"/>
            <w:vAlign w:val="bottom"/>
            <w:gridSpan w:val="3"/>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40" w:type="dxa"/>
            <w:vAlign w:val="bottom"/>
          </w:tcPr>
          <w:p>
            <w:pPr>
              <w:spacing w:after="0"/>
              <w:rPr>
                <w:sz w:val="10"/>
                <w:szCs w:val="10"/>
                <w:color w:val="auto"/>
              </w:rPr>
            </w:pPr>
          </w:p>
        </w:tc>
        <w:tc>
          <w:tcPr>
            <w:tcW w:w="820" w:type="dxa"/>
            <w:vAlign w:val="bottom"/>
            <w:gridSpan w:val="2"/>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88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3"/>
          </w:tcPr>
          <w:p>
            <w:pPr>
              <w:jc w:val="center"/>
              <w:ind w:left="314"/>
              <w:spacing w:after="0" w:line="141"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977</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911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1,200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234</w:t>
            </w: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4"/>
        </w:trPr>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646</w:t>
            </w:r>
          </w:p>
        </w:tc>
        <w:tc>
          <w:tcPr>
            <w:tcW w:w="30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655</w:t>
            </w:r>
          </w:p>
        </w:tc>
        <w:tc>
          <w:tcPr>
            <w:tcW w:w="18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864</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976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14"/>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80" w:type="dxa"/>
            <w:vAlign w:val="bottom"/>
          </w:tcPr>
          <w:p>
            <w:pPr>
              <w:ind w:left="360"/>
              <w:spacing w:after="0" w:line="214" w:lineRule="exact"/>
              <w:rPr>
                <w:sz w:val="20"/>
                <w:szCs w:val="20"/>
                <w:color w:val="auto"/>
              </w:rPr>
            </w:pPr>
            <w:r>
              <w:rPr>
                <w:rFonts w:ascii="Times New Roman" w:cs="Times New Roman" w:eastAsia="Times New Roman" w:hAnsi="Times New Roman"/>
                <w:sz w:val="17"/>
                <w:szCs w:val="17"/>
                <w:color w:val="auto"/>
              </w:rPr>
              <w:t>Depreciation and amortization</w:t>
            </w:r>
            <w:r>
              <w:rPr>
                <w:rFonts w:ascii="Times New Roman" w:cs="Times New Roman" w:eastAsia="Times New Roman" w:hAnsi="Times New Roman"/>
                <w:sz w:val="24"/>
                <w:szCs w:val="24"/>
                <w:color w:val="auto"/>
                <w:vertAlign w:val="superscript"/>
              </w:rPr>
              <w:t>(1)</w:t>
            </w:r>
          </w:p>
        </w:tc>
        <w:tc>
          <w:tcPr>
            <w:tcW w:w="18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750</w:t>
            </w:r>
          </w:p>
        </w:tc>
        <w:tc>
          <w:tcPr>
            <w:tcW w:w="30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724</w:t>
            </w:r>
          </w:p>
        </w:tc>
        <w:tc>
          <w:tcPr>
            <w:tcW w:w="18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977</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951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14"/>
        </w:trPr>
        <w:tc>
          <w:tcPr>
            <w:tcW w:w="3880" w:type="dxa"/>
            <w:vAlign w:val="bottom"/>
            <w:shd w:val="clear" w:color="auto" w:fill="CCEEFF"/>
          </w:tcPr>
          <w:p>
            <w:pPr>
              <w:ind w:left="360"/>
              <w:spacing w:after="0" w:line="214" w:lineRule="exact"/>
              <w:rPr>
                <w:sz w:val="20"/>
                <w:szCs w:val="20"/>
                <w:color w:val="auto"/>
              </w:rPr>
            </w:pPr>
            <w:r>
              <w:rPr>
                <w:rFonts w:ascii="Times New Roman" w:cs="Times New Roman" w:eastAsia="Times New Roman" w:hAnsi="Times New Roman"/>
                <w:sz w:val="17"/>
                <w:szCs w:val="17"/>
                <w:color w:val="auto"/>
              </w:rPr>
              <w:t>Inventory-related adjustments</w:t>
            </w:r>
            <w:r>
              <w:rPr>
                <w:rFonts w:ascii="Times New Roman" w:cs="Times New Roman" w:eastAsia="Times New Roman" w:hAnsi="Times New Roman"/>
                <w:sz w:val="24"/>
                <w:szCs w:val="24"/>
                <w:color w:val="auto"/>
                <w:vertAlign w:val="superscript"/>
              </w:rPr>
              <w:t>(2)</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4"/>
        </w:trPr>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80" w:type="dxa"/>
            <w:vAlign w:val="bottom"/>
            <w:shd w:val="clear" w:color="auto" w:fill="CCEEFF"/>
          </w:tcPr>
          <w:p>
            <w:pPr>
              <w:ind w:left="360"/>
              <w:spacing w:after="0" w:line="214" w:lineRule="exact"/>
              <w:rPr>
                <w:sz w:val="20"/>
                <w:szCs w:val="20"/>
                <w:color w:val="auto"/>
              </w:rPr>
            </w:pPr>
            <w:r>
              <w:rPr>
                <w:rFonts w:ascii="Times New Roman" w:cs="Times New Roman" w:eastAsia="Times New Roman" w:hAnsi="Times New Roman"/>
                <w:sz w:val="17"/>
                <w:szCs w:val="17"/>
                <w:color w:val="auto"/>
              </w:rPr>
              <w:t>Change of control expenses</w:t>
            </w:r>
            <w:r>
              <w:rPr>
                <w:rFonts w:ascii="Times New Roman" w:cs="Times New Roman" w:eastAsia="Times New Roman" w:hAnsi="Times New Roman"/>
                <w:sz w:val="24"/>
                <w:szCs w:val="24"/>
                <w:color w:val="auto"/>
                <w:vertAlign w:val="superscript"/>
              </w:rPr>
              <w:t>(3)</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14"/>
        </w:trPr>
        <w:tc>
          <w:tcPr>
            <w:tcW w:w="3880" w:type="dxa"/>
            <w:vAlign w:val="bottom"/>
          </w:tcPr>
          <w:p>
            <w:pPr>
              <w:ind w:left="360"/>
              <w:spacing w:after="0" w:line="214" w:lineRule="exact"/>
              <w:rPr>
                <w:sz w:val="20"/>
                <w:szCs w:val="20"/>
                <w:color w:val="auto"/>
              </w:rPr>
            </w:pPr>
            <w:r>
              <w:rPr>
                <w:rFonts w:ascii="Times New Roman" w:cs="Times New Roman" w:eastAsia="Times New Roman" w:hAnsi="Times New Roman"/>
                <w:sz w:val="17"/>
                <w:szCs w:val="17"/>
                <w:color w:val="auto"/>
              </w:rPr>
              <w:t>Litigation (gains) charges, net</w:t>
            </w:r>
            <w:r>
              <w:rPr>
                <w:rFonts w:ascii="Times New Roman" w:cs="Times New Roman" w:eastAsia="Times New Roman" w:hAnsi="Times New Roman"/>
                <w:sz w:val="24"/>
                <w:szCs w:val="24"/>
                <w:color w:val="auto"/>
                <w:vertAlign w:val="superscript"/>
              </w:rPr>
              <w:t>(4)</w:t>
            </w:r>
          </w:p>
        </w:tc>
        <w:tc>
          <w:tcPr>
            <w:tcW w:w="18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3880" w:type="dxa"/>
            <w:vAlign w:val="bottom"/>
            <w:shd w:val="clear" w:color="auto" w:fill="CCEEFF"/>
          </w:tcPr>
          <w:p>
            <w:pPr>
              <w:ind w:left="360"/>
              <w:spacing w:after="0" w:line="214" w:lineRule="exact"/>
              <w:rPr>
                <w:sz w:val="20"/>
                <w:szCs w:val="20"/>
                <w:color w:val="auto"/>
              </w:rPr>
            </w:pPr>
            <w:r>
              <w:rPr>
                <w:rFonts w:ascii="Times New Roman" w:cs="Times New Roman" w:eastAsia="Times New Roman" w:hAnsi="Times New Roman"/>
                <w:sz w:val="17"/>
                <w:szCs w:val="17"/>
                <w:color w:val="auto"/>
              </w:rPr>
              <w:t>Other non-core charges (gains)</w:t>
            </w:r>
            <w:r>
              <w:rPr>
                <w:rFonts w:ascii="Times New Roman" w:cs="Times New Roman" w:eastAsia="Times New Roman" w:hAnsi="Times New Roman"/>
                <w:sz w:val="24"/>
                <w:szCs w:val="24"/>
                <w:color w:val="auto"/>
                <w:vertAlign w:val="superscript"/>
              </w:rPr>
              <w:t>(5)</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181</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1"/>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6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8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7"/>
                <w:szCs w:val="17"/>
                <w:color w:val="auto"/>
              </w:rPr>
              <w:t>Net income (loss) margin</w:t>
            </w:r>
            <w:r>
              <w:rPr>
                <w:rFonts w:ascii="Times New Roman" w:cs="Times New Roman" w:eastAsia="Times New Roman" w:hAnsi="Times New Roman"/>
                <w:sz w:val="24"/>
                <w:szCs w:val="24"/>
                <w:color w:val="auto"/>
                <w:vertAlign w:val="superscript"/>
              </w:rPr>
              <w:t>(6)</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line="247" w:lineRule="exact"/>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6"/>
                <w:szCs w:val="26"/>
                <w:color w:val="auto"/>
                <w:vertAlign w:val="superscript"/>
              </w:rPr>
              <w:t>(6)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8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12.9%</w:t>
            </w:r>
          </w:p>
        </w:tc>
        <w:tc>
          <w:tcPr>
            <w:tcW w:w="3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8" w:lineRule="exact"/>
        <w:rPr>
          <w:sz w:val="20"/>
          <w:szCs w:val="20"/>
          <w:color w:val="auto"/>
        </w:rPr>
      </w:pPr>
    </w:p>
    <w:p>
      <w:pPr>
        <w:ind w:left="600" w:right="420" w:hanging="433"/>
        <w:spacing w:after="0" w:line="231" w:lineRule="auto"/>
        <w:tabs>
          <w:tab w:leader="none" w:pos="6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$56 million and $56 million of depreciation associated with acquisitions for the nine months ended September 27, 2025 and September 28, 2024, respectively. Includes $75 million, $77 million, and $78 million of depreciation associated with acquisitions for the years ended December 31, 2024, 2023, and 2022, respectively.</w:t>
      </w:r>
    </w:p>
    <w:p>
      <w:pPr>
        <w:ind w:left="600" w:right="80" w:hanging="433"/>
        <w:spacing w:after="0" w:line="219" w:lineRule="auto"/>
        <w:tabs>
          <w:tab w:leader="none" w:pos="6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$38 million and $54 million of inventory adjustments associated with non-cash last-in, first-out (“LIFO”) reserves, which removes the entire impact of LIFO for the nine months ended September 27, 2025 and September 28, 2024, and $13 million of amortization of the inventory step-up resulting from acquisitions for the nine months ended September 28, 2024. Represents $53 million, $61 million, and $154 million of inventory adjustments associated with non-cash LIFO reserves for the years ended December 31, 2024, 2023, and 2022, respectively, and $25 million, $90 million, and $11 million of amortization of the inventory step-up resulting from acquisitions for the years ended December 31, 2024, 2023, and 2022, respectively.</w:t>
      </w:r>
    </w:p>
    <w:p>
      <w:pPr>
        <w:spacing w:after="0" w:line="1" w:lineRule="exact"/>
        <w:rPr>
          <w:rFonts w:ascii="Times New Roman" w:cs="Times New Roman" w:eastAsia="Times New Roman" w:hAnsi="Times New Roman"/>
          <w:sz w:val="14"/>
          <w:szCs w:val="14"/>
          <w:color w:val="auto"/>
        </w:rPr>
      </w:pPr>
    </w:p>
    <w:p>
      <w:pPr>
        <w:ind w:left="600" w:hanging="433"/>
        <w:spacing w:after="0" w:line="219" w:lineRule="auto"/>
        <w:tabs>
          <w:tab w:leader="none" w:pos="6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change of control expenses related to the Sponsor Acquisition for the years ended December 31, 2023 and 2022, respectively. In connection with the Sponsor Acquisition in October 2021, participants in the Medline Industries, Inc. Managing Partner Program (the “MPU Award Holders”) were entitled to receive a liquidity event payout (the “Liquidity MPU Payout”) totaling approximately $1.5 billion, with certain of these payments contingent on continued employment with the company. This payout was structured in three installments: at the closing and on the second and third anniversaries of the Sponsor Acquisition. Half of each subsequent installment was contingent on continued employment, leading to expenses of $217 million and $277 million for the years ended December 31, 2023 and 2022, respectively. The Liquidity MPU Payouts were unique, non-performance-related payments to the MPU Award Holders specific to the Sponsor Acquisition. As of December 31, 2023, all change of control expenses related to the Liquidity MPU Payouts have ended and no other payments will be made. For more information regarding the Liquidity MPU Payouts, please refer to “Note 15—Stock-Based Compensation” of our audited consolidated financial statements, included elsewhere in this prospectus.</w:t>
      </w:r>
    </w:p>
    <w:p>
      <w:pPr>
        <w:spacing w:after="0" w:line="1" w:lineRule="exact"/>
        <w:rPr>
          <w:rFonts w:ascii="Times New Roman" w:cs="Times New Roman" w:eastAsia="Times New Roman" w:hAnsi="Times New Roman"/>
          <w:sz w:val="14"/>
          <w:szCs w:val="14"/>
          <w:color w:val="auto"/>
        </w:rPr>
      </w:pPr>
    </w:p>
    <w:p>
      <w:pPr>
        <w:ind w:left="600" w:right="100" w:hanging="433"/>
        <w:spacing w:after="0" w:line="219" w:lineRule="auto"/>
        <w:tabs>
          <w:tab w:leader="none" w:pos="6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nine months ended September 27, 2025, represents a settlement adjustment of $(8) million related to the EtO litigation, $(43) million related to settlement of an intellectual property dispute, and other legal settlements. For the nine months ended September 28, 2024 and the year ended December 31, 2024, represents $2 million of legal costs. For the year ended December 31, 2023, represents settlement charges of $163 million related to the EtO litigation and $3 million of other legal costs, net of $(5) million of insurance recoveries.</w:t>
      </w:r>
    </w:p>
    <w:p>
      <w:pPr>
        <w:ind w:left="600" w:hanging="433"/>
        <w:spacing w:after="0" w:line="219" w:lineRule="auto"/>
        <w:tabs>
          <w:tab w:leader="none" w:pos="6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other non-core charges (gains), including $91 million and $25 million of realized and unrealized foreign exchange and investment losses (gains); $32 million and</w:t>
      </w:r>
    </w:p>
    <w:p>
      <w:pPr>
        <w:ind w:left="600"/>
        <w:spacing w:after="0" w:line="2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 million credit loss expense related to certain customer receivables; $23 million and $13 million of acquisition and integration related costs and adjustments; $15 million and</w:t>
      </w:r>
    </w:p>
    <w:p>
      <w:pPr>
        <w:jc w:val="both"/>
        <w:ind w:left="600" w:right="140"/>
        <w:spacing w:after="0" w:line="2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 million of other project costs; $6 million and $43 million of loss on debt extinguishment and other refinancing costs and fees; and $12 million and $4 million of costs incurred in contemplation of a potential offering of company shares for the nine months ended September 27, 2025 and September 28, 2024, respectively. The nine months ended September 27, 2024 also includes a $(7) million one-time gain related to acquisition of equity investment. Represents other non-core charges (gains), including $(1) million, $18 million, and</w:t>
      </w:r>
    </w:p>
    <w:p>
      <w:pPr>
        <w:ind w:left="600"/>
        <w:spacing w:after="0" w:line="2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 million of (gains) losses on disposal of assets and exits; $(6) million, $15 million, and $(10) million of realized and unrealized foreign exchange and investment losses (gains);</w:t>
      </w:r>
    </w:p>
    <w:p>
      <w:pPr>
        <w:ind w:left="600" w:right="60"/>
        <w:spacing w:after="0" w:line="22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$22 million, $0, and $3 million of acquisition and integration related costs; and $23 million, $18 million, and $8 million of other project costs for the years ended December 31, 2024, 2023, and 2022, respectively. The year ended December 31, 2024 also includes $56 million of loss on debt extinguishment and other refinancing costs and fees, $38 million credit loss expense related to customer bankruptcies, $9 million of costs incurred in contemplation of our IPO, and $(13) million gain related to an acquisition of equity investment. The year ended December 31, 2023 also includes a one-time gain of $(75) million due to a change in valuation estimate resulting from cash collected on accounts receivable in excess of its acquisition-date fair value.</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80"/>
          </w:cols>
          <w:pgMar w:left="320" w:top="451" w:right="4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600" w:hanging="433"/>
        <w:spacing w:after="0"/>
        <w:tabs>
          <w:tab w:leader="none" w:pos="6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(loss) margin represents net income (loss) divided by net sales and Adjusted EBITDA Margin represents Adjusted EBITDA divided by net sales.</w:t>
      </w:r>
    </w:p>
    <w:p>
      <w:pPr>
        <w:spacing w:after="0" w:line="3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8" w:lineRule="exact"/>
        <w:rPr>
          <w:sz w:val="20"/>
          <w:szCs w:val="20"/>
          <w:color w:val="auto"/>
        </w:rPr>
      </w:pPr>
    </w:p>
    <w:p>
      <w:pPr>
        <w:ind w:left="160" w:right="20" w:firstLine="436"/>
        <w:spacing w:after="0" w:line="250" w:lineRule="auto"/>
        <w:rPr>
          <w:sz w:val="20"/>
          <w:szCs w:val="20"/>
          <w:color w:val="auto"/>
        </w:rPr>
      </w:pPr>
      <w:r>
        <w:rPr>
          <w:rFonts w:ascii="Times New Roman" w:cs="Times New Roman" w:eastAsia="Times New Roman" w:hAnsi="Times New Roman"/>
          <w:sz w:val="18"/>
          <w:szCs w:val="18"/>
          <w:color w:val="auto"/>
        </w:rPr>
        <w:t>Our primary sources of liquidity are our cash and cash equivalents, our cash flows from operations, and our Revolving Credit Facility (defined in “Description of Certain Indebtedness”). As of September 27, 2025, we had cash and cash equivalents of $952 million and available liquidity under our Revolving Credit Facility of $946 million. Medline Inc. used the proceeds (net of underwriting discounts and commissions) from the issuance of 179,000,000 shares in our IPO (approximately $5,078 million) to acquire an equivalent number of newly issued Common Units from Medline Holdings, as described under “Organizational Structure—IPO Transactions.” Medline Holdings in turn used approximately $729 million to repay in full all outstanding indebtedness under our New Euro Term Loan Facility, approximately $3,280 million to repay a portion of the outstanding indebtedness under our 2028 Refinancing Term Loan Facility, and the remainder for general corporate purposes and to bear all of the expenses of the IPO. We estimated these offering expenses (excluding underwriting discounts and commissions) to be approximately $38 million. Medline Inc. used any proceeds (net of underwriting discounts and commissions) from the issuance of 37,034,482 shares (approximately $1,051 million) and from the issuance of shares pursuant to the exercise in full by the underwriters of their option to purchase up to 32,405,172 additional shares of Class A common stock (approximately $919 million) to purchase or redeem outstanding Common Units and shares of Class A common stock from certain of our pre-IPO owners at a price per equity interest equal to the initial public offering price of our Class A common stock less the underwriting discounts and commissions, as described under “Organizational Structure—IPO Transactions.” Accordingly, we did not retain any of these proceeds.</w:t>
      </w:r>
    </w:p>
    <w:p>
      <w:pPr>
        <w:spacing w:after="0" w:line="193"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Our primary uses of cash include product purchases, operating costs, personnel-related costs, capital expenditures related to property and equipment, acquisitions, payments of interest under our indebtedness, and distributions to partners. We also used a portion of our cash to make payments due under the Medline Industries, Inc. Managing Partner Program in connection with the Sponsor Acquisition. The second cash payment of $501 million was made in the fourth quarter of 2022, and the third and final cash payment of $492 million was made in the fourth quarter of 2023.</w:t>
      </w:r>
    </w:p>
    <w:p>
      <w:pPr>
        <w:spacing w:after="0" w:line="180" w:lineRule="exact"/>
        <w:rPr>
          <w:sz w:val="20"/>
          <w:szCs w:val="20"/>
          <w:color w:val="auto"/>
        </w:rPr>
      </w:pPr>
    </w:p>
    <w:p>
      <w:pPr>
        <w:ind w:left="160" w:right="80" w:firstLine="436"/>
        <w:spacing w:after="0" w:line="255" w:lineRule="auto"/>
        <w:rPr>
          <w:sz w:val="20"/>
          <w:szCs w:val="20"/>
          <w:color w:val="auto"/>
        </w:rPr>
      </w:pPr>
      <w:r>
        <w:rPr>
          <w:rFonts w:ascii="Times New Roman" w:cs="Times New Roman" w:eastAsia="Times New Roman" w:hAnsi="Times New Roman"/>
          <w:sz w:val="18"/>
          <w:szCs w:val="18"/>
          <w:color w:val="auto"/>
        </w:rPr>
        <w:t>Our net capital expenditures were $309 million and $263 million for the nine months ended September 27, 2025 and September 28, 2024, respectively. Our net capital expenditures were $354 million, $275 million, and $254 million for the years ended December 31, 2024, December 31, 2023, and December 31, 2022, respectively. These include the continued investment in new production lines in our manufacturing facilities, automation in our distribution centers and expansion of our MedTrans fleet. We anticipate the range of net capital expenditures for the fiscal year ended December 31, 2025 to be between $450 million and $550 million, primarily related to the expansion of manufacturing facilities.</w:t>
      </w:r>
    </w:p>
    <w:p>
      <w:pPr>
        <w:spacing w:after="0" w:line="184" w:lineRule="exact"/>
        <w:rPr>
          <w:sz w:val="20"/>
          <w:szCs w:val="20"/>
          <w:color w:val="auto"/>
        </w:rPr>
      </w:pPr>
    </w:p>
    <w:p>
      <w:pPr>
        <w:ind w:left="160" w:right="160" w:firstLine="436"/>
        <w:spacing w:after="0" w:line="255" w:lineRule="auto"/>
        <w:rPr>
          <w:sz w:val="20"/>
          <w:szCs w:val="20"/>
          <w:color w:val="auto"/>
        </w:rPr>
      </w:pPr>
      <w:r>
        <w:rPr>
          <w:rFonts w:ascii="Times New Roman" w:cs="Times New Roman" w:eastAsia="Times New Roman" w:hAnsi="Times New Roman"/>
          <w:sz w:val="18"/>
          <w:szCs w:val="18"/>
          <w:color w:val="auto"/>
        </w:rPr>
        <w:t>We believe that our cash and cash equivalents on hand, cash flows from operations, and borrowing availability under our Revolving Credit Facility will fund our ongoing working capital, investing and financing requirements sufficiently for at least the next year and the foreseeable future thereafter. Our ability to generate sufficient cash flows from operations is, however, subject to many risks and uncertainties, including future economic trends and conditions, demand for our products and services, foreign currency exchange rates and other risks and uncertainties applicable to our business.</w:t>
      </w:r>
    </w:p>
    <w:p>
      <w:pPr>
        <w:spacing w:after="0" w:line="184" w:lineRule="exact"/>
        <w:rPr>
          <w:sz w:val="20"/>
          <w:szCs w:val="20"/>
          <w:color w:val="auto"/>
        </w:rPr>
      </w:pPr>
    </w:p>
    <w:p>
      <w:pPr>
        <w:ind w:left="160" w:right="20" w:firstLine="436"/>
        <w:spacing w:after="0" w:line="254" w:lineRule="auto"/>
        <w:rPr>
          <w:sz w:val="20"/>
          <w:szCs w:val="20"/>
          <w:color w:val="auto"/>
        </w:rPr>
      </w:pPr>
      <w:r>
        <w:rPr>
          <w:rFonts w:ascii="Times New Roman" w:cs="Times New Roman" w:eastAsia="Times New Roman" w:hAnsi="Times New Roman"/>
          <w:sz w:val="18"/>
          <w:szCs w:val="18"/>
          <w:color w:val="auto"/>
        </w:rPr>
        <w:t>After completion of the IPO, Medline Inc. is a holding company and has no material assets other than its ownership of Common Units in Medline Holdings. Medline Inc. has no independent means of generating net sales. Medline Inc. intends to cause Medline Holdings to make distributions and payments to its holders of Units, including Medline Inc. and the Continuing Unitholders, in an amount sufficient to cover all applicable taxes at assumed tax rates, expenses, payments under the tax receivable agreement and dividends, if any, declared by it. Deterioration in the financial condition, earnings or cash flow of Medline Holdings and its subsidiaries for any reason could limit or impair their ability to pay such distributions. Additionally, the terms of our financing</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80"/>
          </w:cols>
          <w:pgMar w:left="320" w:top="451" w:right="4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line="252" w:lineRule="auto"/>
        <w:rPr>
          <w:sz w:val="20"/>
          <w:szCs w:val="20"/>
          <w:color w:val="auto"/>
        </w:rPr>
      </w:pPr>
      <w:r>
        <w:rPr>
          <w:rFonts w:ascii="Times New Roman" w:cs="Times New Roman" w:eastAsia="Times New Roman" w:hAnsi="Times New Roman"/>
          <w:sz w:val="18"/>
          <w:szCs w:val="18"/>
          <w:color w:val="auto"/>
        </w:rPr>
        <w:t>arrangements, including the credit agreement that governs the Senior Secured Credit Facilities and the indentures governing the Senior Notes (as defined herein), contain covenants that may restrict Medline Holdings and its subsidiaries from paying such distributions, subject to certain exceptions. Further, Medline Holdings is generally prohibited under Delaware law from making a distribution to a limited partner to the extent that, at the time of the distribution, after giving effect to the distribution, liabilities of Medline Holdings (with certain exceptions) exceed the fair value of its assets. Subsidiaries of Medline Holdings are generally subject to similar legal limitations on their ability to make distributions to Medline Holdings. See “Dividend Policy” and “Risk Factors—Risks Related to Our Organizational Structure—Medline Inc. is a holding company and its only material assets are its equity interests held directly or indirectly through wholly owned subsidiaries in Medline Holdings, and it is accordingly dependent upon distributions from Medline Holdings to pay taxes, make payments under the tax receivable agreement, and pay any dividends.”</w:t>
      </w:r>
    </w:p>
    <w:p>
      <w:pPr>
        <w:spacing w:after="0" w:line="187" w:lineRule="exact"/>
        <w:rPr>
          <w:sz w:val="20"/>
          <w:szCs w:val="20"/>
          <w:color w:val="auto"/>
        </w:rPr>
      </w:pPr>
    </w:p>
    <w:p>
      <w:pPr>
        <w:ind w:left="160" w:right="40" w:firstLine="436"/>
        <w:spacing w:after="0" w:line="251" w:lineRule="auto"/>
        <w:rPr>
          <w:sz w:val="20"/>
          <w:szCs w:val="20"/>
          <w:color w:val="auto"/>
        </w:rPr>
      </w:pPr>
      <w:r>
        <w:rPr>
          <w:rFonts w:ascii="Times New Roman" w:cs="Times New Roman" w:eastAsia="Times New Roman" w:hAnsi="Times New Roman"/>
          <w:sz w:val="18"/>
          <w:szCs w:val="18"/>
          <w:color w:val="auto"/>
        </w:rPr>
        <w:t>As market conditions warrant, we and our equity holders, including our Principal Stockholders, their respective affiliates and members of our management, may from time to time seek to repurchase our outstanding debt securities or loans, including the Senior Notes and borrowings under our Senior Secured Credit Facilities, in privately negotiated or open market transactions, by tender offer or otherwise, and such repurchases may be at prices below par and may constitute a material portion of the tranche of debt being repurchased. Subject to any applicable limitations contained in the agreements governing our indebtedness, any purchases made by us may be funded by the use of cash on our balance sheet or the incurrence of new secured or unsecured debt, including borrowings under our credit facilities. The amounts involved in any such purchase transactions, individually or in the aggregate, may be material. Any such purchases may be with respect to a substantial amount of a particular class or series of debt, with the attendant reduction in the trading liquidity of such class or series. In addition, any such purchases made at prices below the “adjusted issue price” (as defined for U.S. federal income tax purposes) may result in taxable cancellation of indebtedness income to us, which amounts may be material, and in related adverse tax consequences to us.</w:t>
      </w:r>
    </w:p>
    <w:p>
      <w:pPr>
        <w:spacing w:after="0" w:line="2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the major components of our unaudited condensed consolidated statements of cash flows for the periods presented:</w:t>
      </w:r>
    </w:p>
    <w:p>
      <w:pPr>
        <w:spacing w:after="0" w:line="241"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center"/>
              <w:ind w:left="27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620" w:type="dxa"/>
            <w:vAlign w:val="bottom"/>
            <w:vMerge w:val="continue"/>
          </w:tcPr>
          <w:p>
            <w:pPr>
              <w:spacing w:after="0"/>
              <w:rPr>
                <w:sz w:val="12"/>
                <w:szCs w:val="12"/>
                <w:color w:val="auto"/>
              </w:rPr>
            </w:pPr>
          </w:p>
        </w:tc>
        <w:tc>
          <w:tcPr>
            <w:tcW w:w="1340" w:type="dxa"/>
            <w:vAlign w:val="bottom"/>
            <w:tcBorders>
              <w:bottom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September 27, 2025</w:t>
            </w:r>
          </w:p>
        </w:tc>
        <w:tc>
          <w:tcPr>
            <w:tcW w:w="10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99"/>
              </w:rPr>
              <w:t>September 28, 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469"/>
              <w:spacing w:after="0" w:line="141"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cash and cash equivalents and restricted cash</w:t>
            </w: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provided by (used in):</w:t>
            </w: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40" w:type="dxa"/>
            <w:vAlign w:val="bottom"/>
          </w:tcPr>
          <w:p>
            <w:pPr>
              <w:spacing w:after="0"/>
              <w:rPr>
                <w:sz w:val="18"/>
                <w:szCs w:val="18"/>
                <w:color w:val="auto"/>
              </w:rPr>
            </w:pPr>
          </w:p>
        </w:tc>
        <w:tc>
          <w:tcPr>
            <w:tcW w:w="1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1,842</w:t>
            </w:r>
          </w:p>
        </w:tc>
        <w:tc>
          <w:tcPr>
            <w:tcW w:w="0" w:type="dxa"/>
            <w:vAlign w:val="bottom"/>
          </w:tcPr>
          <w:p>
            <w:pPr>
              <w:spacing w:after="0"/>
              <w:rPr>
                <w:sz w:val="1"/>
                <w:szCs w:val="1"/>
                <w:color w:val="auto"/>
              </w:rPr>
            </w:pPr>
          </w:p>
        </w:tc>
      </w:tr>
      <w:tr>
        <w:trPr>
          <w:trHeight w:val="21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(336)</w:t>
            </w: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(1,396)</w:t>
            </w:r>
          </w:p>
        </w:tc>
        <w:tc>
          <w:tcPr>
            <w:tcW w:w="0" w:type="dxa"/>
            <w:vAlign w:val="bottom"/>
          </w:tcPr>
          <w:p>
            <w:pPr>
              <w:spacing w:after="0"/>
              <w:rPr>
                <w:sz w:val="1"/>
                <w:szCs w:val="1"/>
                <w:color w:val="auto"/>
              </w:rPr>
            </w:pPr>
          </w:p>
        </w:tc>
      </w:tr>
      <w:tr>
        <w:trPr>
          <w:trHeight w:val="21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4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(498)</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2"/>
        </w:trPr>
        <w:tc>
          <w:tcPr>
            <w:tcW w:w="46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Net change in cash and cash equivalents and</w:t>
            </w:r>
          </w:p>
        </w:tc>
        <w:tc>
          <w:tcPr>
            <w:tcW w:w="4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40" w:type="dxa"/>
            <w:vAlign w:val="bottom"/>
          </w:tcPr>
          <w:p>
            <w:pPr>
              <w:spacing w:after="0"/>
              <w:rPr>
                <w:sz w:val="20"/>
                <w:szCs w:val="20"/>
                <w:color w:val="auto"/>
              </w:rPr>
            </w:pPr>
          </w:p>
        </w:tc>
        <w:tc>
          <w:tcPr>
            <w:tcW w:w="1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Operating Activities</w:t>
      </w:r>
    </w:p>
    <w:p>
      <w:pPr>
        <w:spacing w:after="0" w:line="118" w:lineRule="exact"/>
        <w:rPr>
          <w:sz w:val="20"/>
          <w:szCs w:val="20"/>
          <w:color w:val="auto"/>
        </w:rPr>
      </w:pPr>
    </w:p>
    <w:p>
      <w:pPr>
        <w:ind w:left="160" w:right="1060" w:firstLine="436"/>
        <w:spacing w:after="0" w:line="278" w:lineRule="auto"/>
        <w:rPr>
          <w:sz w:val="20"/>
          <w:szCs w:val="20"/>
          <w:color w:val="auto"/>
        </w:rPr>
      </w:pPr>
      <w:r>
        <w:rPr>
          <w:rFonts w:ascii="Times New Roman" w:cs="Times New Roman" w:eastAsia="Times New Roman" w:hAnsi="Times New Roman"/>
          <w:sz w:val="18"/>
          <w:szCs w:val="18"/>
          <w:color w:val="auto"/>
        </w:rPr>
        <w:t>Net cash provided by operating activities was $1,515 million and $1,842 million for the nine months ended September 27, 2025 and September 28, 2024, respectively.</w:t>
      </w:r>
    </w:p>
    <w:p>
      <w:pPr>
        <w:spacing w:after="0" w:line="162" w:lineRule="exact"/>
        <w:rPr>
          <w:sz w:val="20"/>
          <w:szCs w:val="20"/>
          <w:color w:val="auto"/>
        </w:rPr>
      </w:pPr>
    </w:p>
    <w:p>
      <w:pPr>
        <w:jc w:val="both"/>
        <w:ind w:left="160" w:right="160" w:firstLine="436"/>
        <w:spacing w:after="0" w:line="263"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27, 2025 was primarily driven by net income excluding non-cash items, partially offset by changes in working capital. Changes in working capital resulted in net cash used of $501 million, which was primarily driven by an increase in inventories of $249 million, including tariff impacts, and an increase in trade accounts receivable of $239 million.</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80"/>
          </w:cols>
          <w:pgMar w:left="320" w:top="451" w:right="4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both"/>
        <w:ind w:left="160" w:right="120" w:firstLine="436"/>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28, 2024 was primarily driven by net income excluding non-cash items and changes in working capital. Changes in working capital resulted in net cash provided of $5 million, which was primarily driven by increases in accounts payable of $181 million and accrued expenses and other current liabilities of $116 million, largely offset by the increases in inventories of $193 million and trade accounts receivable of $107 million.</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18" w:lineRule="exact"/>
        <w:rPr>
          <w:sz w:val="20"/>
          <w:szCs w:val="20"/>
          <w:color w:val="auto"/>
        </w:rPr>
      </w:pPr>
    </w:p>
    <w:p>
      <w:pPr>
        <w:ind w:left="160" w:right="760" w:firstLine="436"/>
        <w:spacing w:after="0" w:line="278" w:lineRule="auto"/>
        <w:rPr>
          <w:sz w:val="20"/>
          <w:szCs w:val="20"/>
          <w:color w:val="auto"/>
        </w:rPr>
      </w:pPr>
      <w:r>
        <w:rPr>
          <w:rFonts w:ascii="Times New Roman" w:cs="Times New Roman" w:eastAsia="Times New Roman" w:hAnsi="Times New Roman"/>
          <w:sz w:val="18"/>
          <w:szCs w:val="18"/>
          <w:color w:val="auto"/>
        </w:rPr>
        <w:t>For the nine months ended September 27, 2025, net cash used in investing activities was primarily driven by net capital expenditures of $309 million and payments for asset acquisitions of $33 million.</w:t>
      </w:r>
    </w:p>
    <w:p>
      <w:pPr>
        <w:spacing w:after="0" w:line="162" w:lineRule="exact"/>
        <w:rPr>
          <w:sz w:val="20"/>
          <w:szCs w:val="20"/>
          <w:color w:val="auto"/>
        </w:rPr>
      </w:pPr>
    </w:p>
    <w:p>
      <w:pPr>
        <w:ind w:left="160" w:right="380" w:firstLine="436"/>
        <w:spacing w:after="0" w:line="278" w:lineRule="auto"/>
        <w:rPr>
          <w:sz w:val="20"/>
          <w:szCs w:val="20"/>
          <w:color w:val="auto"/>
        </w:rPr>
      </w:pPr>
      <w:r>
        <w:rPr>
          <w:rFonts w:ascii="Times New Roman" w:cs="Times New Roman" w:eastAsia="Times New Roman" w:hAnsi="Times New Roman"/>
          <w:sz w:val="18"/>
          <w:szCs w:val="18"/>
          <w:color w:val="auto"/>
        </w:rPr>
        <w:t>For the nine months ended September 28, 2024, net cash used in investing activities was driven by payments for acquisitions of business and assets of $1,130 million and net capital expenditures of $263 million.</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Financing Activities</w:t>
      </w:r>
    </w:p>
    <w:p>
      <w:pPr>
        <w:spacing w:after="0" w:line="118" w:lineRule="exact"/>
        <w:rPr>
          <w:sz w:val="20"/>
          <w:szCs w:val="20"/>
          <w:color w:val="auto"/>
        </w:rPr>
      </w:pPr>
    </w:p>
    <w:p>
      <w:pPr>
        <w:ind w:left="160" w:right="180" w:firstLine="436"/>
        <w:spacing w:after="0" w:line="278" w:lineRule="auto"/>
        <w:rPr>
          <w:sz w:val="20"/>
          <w:szCs w:val="20"/>
          <w:color w:val="auto"/>
        </w:rPr>
      </w:pPr>
      <w:r>
        <w:rPr>
          <w:rFonts w:ascii="Times New Roman" w:cs="Times New Roman" w:eastAsia="Times New Roman" w:hAnsi="Times New Roman"/>
          <w:sz w:val="18"/>
          <w:szCs w:val="18"/>
          <w:color w:val="auto"/>
        </w:rPr>
        <w:t>For the nine months ended September 27, 2025, net cash used in financing activities was driven by distributions to partners of $422 million, net repayment for long-term borrowings of $43 million, and the repurchase of Class B units of $33 million.</w:t>
      </w:r>
    </w:p>
    <w:p>
      <w:pPr>
        <w:spacing w:after="0" w:line="162" w:lineRule="exact"/>
        <w:rPr>
          <w:sz w:val="20"/>
          <w:szCs w:val="20"/>
          <w:color w:val="auto"/>
        </w:rPr>
      </w:pPr>
    </w:p>
    <w:p>
      <w:pPr>
        <w:ind w:left="160" w:right="560" w:firstLine="436"/>
        <w:spacing w:after="0" w:line="278" w:lineRule="auto"/>
        <w:rPr>
          <w:sz w:val="20"/>
          <w:szCs w:val="20"/>
          <w:color w:val="auto"/>
        </w:rPr>
      </w:pPr>
      <w:r>
        <w:rPr>
          <w:rFonts w:ascii="Times New Roman" w:cs="Times New Roman" w:eastAsia="Times New Roman" w:hAnsi="Times New Roman"/>
          <w:sz w:val="18"/>
          <w:szCs w:val="18"/>
          <w:color w:val="auto"/>
        </w:rPr>
        <w:t>For the nine months ended September 28, 2024, net cash used in financing activities was $219 million, primarily driven by distributions to partners of $159 million, net repayment of long-term borrowings of $42 million, and the repurchase of Class B units of $19 million.</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the major components of our consolidated statements of cash flows for the periods presented:</w:t>
      </w:r>
    </w:p>
    <w:p>
      <w:pPr>
        <w:spacing w:after="0" w:line="241"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4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60" w:type="dxa"/>
            <w:vAlign w:val="bottom"/>
            <w:gridSpan w:val="3"/>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660" w:type="dxa"/>
            <w:vAlign w:val="bottom"/>
            <w:gridSpan w:val="3"/>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20" w:type="dxa"/>
            <w:vAlign w:val="bottom"/>
            <w:gridSpan w:val="2"/>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404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Net cash and cash equivalents and restricted</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provided by (used in):</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8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1,685</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4"/>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(1,493)</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8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(1,613)</w:t>
            </w:r>
          </w:p>
        </w:tc>
        <w:tc>
          <w:tcPr>
            <w:tcW w:w="18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4"/>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2"/>
        </w:trPr>
        <w:tc>
          <w:tcPr>
            <w:tcW w:w="40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Net change in cash and cash equivalents and</w:t>
            </w: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(1,335)</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1,186</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Operating Activities</w:t>
      </w:r>
    </w:p>
    <w:p>
      <w:pPr>
        <w:spacing w:after="0" w:line="118"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Net cash provided by operating activities was $1,769 million, $1,685 million, and $187 million for the years ended December 31, 2024, 2023, and 2022, respectively.</w:t>
      </w:r>
    </w:p>
    <w:p>
      <w:pPr>
        <w:spacing w:after="0" w:line="162" w:lineRule="exact"/>
        <w:rPr>
          <w:sz w:val="20"/>
          <w:szCs w:val="20"/>
          <w:color w:val="auto"/>
        </w:rPr>
      </w:pPr>
    </w:p>
    <w:p>
      <w:pPr>
        <w:ind w:left="160" w:right="60" w:firstLine="436"/>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2024 was primarily from net income excluding non-cash items as well as changes in working capital. An increase in inventory due to customer demands reduced cash by $545 million. An increase in trade accounts receivable due to sales growth reduced cash by $256 million. These were partially offset by $106 million change in accounts payable driven by higher inventory purchases.</w:t>
      </w:r>
    </w:p>
    <w:p>
      <w:pPr>
        <w:spacing w:after="0" w:line="180" w:lineRule="exact"/>
        <w:rPr>
          <w:sz w:val="20"/>
          <w:szCs w:val="20"/>
          <w:color w:val="auto"/>
        </w:rPr>
      </w:pPr>
    </w:p>
    <w:p>
      <w:pPr>
        <w:ind w:left="160" w:right="60" w:firstLine="436"/>
        <w:spacing w:after="0" w:line="278"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2023 was primarily from net income excluding non-cash items as well as changes in working capital. Optimization of our inventory from</w:t>
      </w:r>
    </w:p>
    <w:p>
      <w:pPr>
        <w:spacing w:after="0" w:line="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40"/>
          </w:cols>
          <w:pgMar w:left="320" w:top="451" w:right="5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220"/>
        <w:spacing w:after="0" w:line="263" w:lineRule="auto"/>
        <w:rPr>
          <w:sz w:val="20"/>
          <w:szCs w:val="20"/>
          <w:color w:val="auto"/>
        </w:rPr>
      </w:pPr>
      <w:r>
        <w:rPr>
          <w:rFonts w:ascii="Times New Roman" w:cs="Times New Roman" w:eastAsia="Times New Roman" w:hAnsi="Times New Roman"/>
          <w:sz w:val="18"/>
          <w:szCs w:val="18"/>
          <w:color w:val="auto"/>
        </w:rPr>
        <w:t>surplus levels in 2022 provided cash of $444 million and accounts payable contributed $136 million. These were offset by changes in trade accounts receivable of $153 million primarily due to an increase in net sales and accrued expenses and other current liabilities of $112 million due to change in control payments, partially offset by the EtO litigation accrual.</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2022 was primarily from net income excluding non-cash items,</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partially offset by changes in working capital. Trade accounts receivable used $376 million due to higher net sales than collections. Inventories used</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$195 million as we built surplus to address global supply chain delays. Accrued expenses and other current liabilities and accounts payable used cash of</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$144 million and $103 million, respectively, due to the timing of payments.</w:t>
      </w:r>
    </w:p>
    <w:p>
      <w:pPr>
        <w:spacing w:after="0" w:line="3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18"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For the year ended December 31, 2024, net cash used in investing activities primarily relates to payments for acquisitions of business and assets of $1,136 million and net capital expenditures of $354 million.</w:t>
      </w:r>
    </w:p>
    <w:p>
      <w:pPr>
        <w:spacing w:after="0" w:line="162" w:lineRule="exact"/>
        <w:rPr>
          <w:sz w:val="20"/>
          <w:szCs w:val="20"/>
          <w:color w:val="auto"/>
        </w:rPr>
      </w:pPr>
    </w:p>
    <w:p>
      <w:pPr>
        <w:ind w:left="160" w:right="260" w:firstLine="436"/>
        <w:spacing w:after="0" w:line="278" w:lineRule="auto"/>
        <w:rPr>
          <w:sz w:val="20"/>
          <w:szCs w:val="20"/>
          <w:color w:val="auto"/>
        </w:rPr>
      </w:pPr>
      <w:r>
        <w:rPr>
          <w:rFonts w:ascii="Times New Roman" w:cs="Times New Roman" w:eastAsia="Times New Roman" w:hAnsi="Times New Roman"/>
          <w:sz w:val="18"/>
          <w:szCs w:val="18"/>
          <w:color w:val="auto"/>
        </w:rPr>
        <w:t>For the year ended December 31, 2023, net cash used in investing activities was driven by net capital expenditures of $275 million, investment payments of $16 million, and payments for acquisitions of business and assets of $26 million.</w:t>
      </w:r>
    </w:p>
    <w:p>
      <w:pPr>
        <w:spacing w:after="0" w:line="162" w:lineRule="exact"/>
        <w:rPr>
          <w:sz w:val="20"/>
          <w:szCs w:val="20"/>
          <w:color w:val="auto"/>
        </w:rPr>
      </w:pPr>
    </w:p>
    <w:p>
      <w:pPr>
        <w:ind w:left="160" w:right="100" w:firstLine="436"/>
        <w:spacing w:after="0" w:line="278" w:lineRule="auto"/>
        <w:rPr>
          <w:sz w:val="20"/>
          <w:szCs w:val="20"/>
          <w:color w:val="auto"/>
        </w:rPr>
      </w:pPr>
      <w:r>
        <w:rPr>
          <w:rFonts w:ascii="Times New Roman" w:cs="Times New Roman" w:eastAsia="Times New Roman" w:hAnsi="Times New Roman"/>
          <w:sz w:val="18"/>
          <w:szCs w:val="18"/>
          <w:color w:val="auto"/>
        </w:rPr>
        <w:t>For the year ended December 31, 2022, net cash used in investing activities was driven by net capital expenditures of $254 million and payments for acquisitions of business of $17 million.</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Financing Activities</w:t>
      </w:r>
    </w:p>
    <w:p>
      <w:pPr>
        <w:spacing w:after="0" w:line="118" w:lineRule="exact"/>
        <w:rPr>
          <w:sz w:val="20"/>
          <w:szCs w:val="20"/>
          <w:color w:val="auto"/>
        </w:rPr>
      </w:pPr>
    </w:p>
    <w:p>
      <w:pPr>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For the year ended December 31, 2024, net cash used in financing activities primarily relates to a $1,210 million payment of additional tax distributions to certain partners to catch up on a pro-rata basis tax distribution previously paid to other partners, distributions to partners of $308 million, and $63 million net repayment of long-term borrowings.</w:t>
      </w:r>
    </w:p>
    <w:p>
      <w:pPr>
        <w:spacing w:after="0" w:line="175" w:lineRule="exact"/>
        <w:rPr>
          <w:sz w:val="20"/>
          <w:szCs w:val="20"/>
          <w:color w:val="auto"/>
        </w:rPr>
      </w:pPr>
    </w:p>
    <w:p>
      <w:pPr>
        <w:ind w:left="160" w:right="820" w:firstLine="436"/>
        <w:spacing w:after="0" w:line="278" w:lineRule="auto"/>
        <w:rPr>
          <w:sz w:val="20"/>
          <w:szCs w:val="20"/>
          <w:color w:val="auto"/>
        </w:rPr>
      </w:pPr>
      <w:r>
        <w:rPr>
          <w:rFonts w:ascii="Times New Roman" w:cs="Times New Roman" w:eastAsia="Times New Roman" w:hAnsi="Times New Roman"/>
          <w:sz w:val="18"/>
          <w:szCs w:val="18"/>
          <w:color w:val="auto"/>
        </w:rPr>
        <w:t>For the year ended December 31, 2023, net cash used in financing activities was driven by distributions to partners of $114 million and repayments for long-term borrowings of $77 million.</w:t>
      </w:r>
    </w:p>
    <w:p>
      <w:pPr>
        <w:spacing w:after="0" w:line="162" w:lineRule="exact"/>
        <w:rPr>
          <w:sz w:val="20"/>
          <w:szCs w:val="20"/>
          <w:color w:val="auto"/>
        </w:rPr>
      </w:pPr>
    </w:p>
    <w:p>
      <w:pPr>
        <w:ind w:left="160" w:right="220" w:firstLine="436"/>
        <w:spacing w:after="0" w:line="278" w:lineRule="auto"/>
        <w:rPr>
          <w:sz w:val="20"/>
          <w:szCs w:val="20"/>
          <w:color w:val="auto"/>
        </w:rPr>
      </w:pPr>
      <w:r>
        <w:rPr>
          <w:rFonts w:ascii="Times New Roman" w:cs="Times New Roman" w:eastAsia="Times New Roman" w:hAnsi="Times New Roman"/>
          <w:sz w:val="18"/>
          <w:szCs w:val="18"/>
          <w:color w:val="auto"/>
        </w:rPr>
        <w:t>For the year ended December 31, 2022, net cash used in financing activities was driven by repayments for long-term borrowings of $61 million and distributions to partners of $23 million.</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long-term borrowings and the effective interest rates as of September 27, 2025, are summarized as follows:</w:t>
      </w:r>
    </w:p>
    <w:p>
      <w:pPr>
        <w:spacing w:after="0" w:line="241" w:lineRule="exact"/>
        <w:rPr>
          <w:sz w:val="20"/>
          <w:szCs w:val="20"/>
          <w:color w:val="auto"/>
        </w:rPr>
      </w:pPr>
    </w:p>
    <w:tbl>
      <w:tblPr>
        <w:tblLayout w:type="fixed"/>
        <w:tblInd w:w="10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center"/>
              <w:ind w:left="30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center"/>
              <w:ind w:right="420"/>
              <w:spacing w:after="0" w:line="141"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16"/>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90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Maturity dates</w:t>
            </w:r>
          </w:p>
        </w:tc>
        <w:tc>
          <w:tcPr>
            <w:tcW w:w="820" w:type="dxa"/>
            <w:vAlign w:val="bottom"/>
          </w:tcPr>
          <w:p>
            <w:pPr>
              <w:spacing w:after="0"/>
              <w:rPr>
                <w:sz w:val="10"/>
                <w:szCs w:val="10"/>
                <w:color w:val="auto"/>
              </w:rPr>
            </w:pPr>
          </w:p>
        </w:tc>
        <w:tc>
          <w:tcPr>
            <w:tcW w:w="1320" w:type="dxa"/>
            <w:vAlign w:val="bottom"/>
            <w:gridSpan w:val="2"/>
          </w:tcPr>
          <w:p>
            <w:pPr>
              <w:ind w:left="120"/>
              <w:spacing w:after="0" w:line="116" w:lineRule="exact"/>
              <w:rPr>
                <w:sz w:val="20"/>
                <w:szCs w:val="20"/>
                <w:color w:val="auto"/>
              </w:rPr>
            </w:pPr>
            <w:r>
              <w:rPr>
                <w:rFonts w:ascii="Times New Roman" w:cs="Times New Roman" w:eastAsia="Times New Roman" w:hAnsi="Times New Roman"/>
                <w:sz w:val="13"/>
                <w:szCs w:val="13"/>
                <w:b w:val="1"/>
                <w:bCs w:val="1"/>
                <w:color w:val="auto"/>
              </w:rPr>
              <w:t>Amount</w:t>
            </w:r>
          </w:p>
        </w:tc>
        <w:tc>
          <w:tcPr>
            <w:tcW w:w="132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Average effective</w:t>
            </w:r>
          </w:p>
        </w:tc>
        <w:tc>
          <w:tcPr>
            <w:tcW w:w="200" w:type="dxa"/>
            <w:vAlign w:val="bottom"/>
          </w:tcPr>
          <w:p>
            <w:pPr>
              <w:spacing w:after="0"/>
              <w:rPr>
                <w:sz w:val="10"/>
                <w:szCs w:val="10"/>
                <w:color w:val="auto"/>
              </w:rPr>
            </w:pPr>
          </w:p>
        </w:tc>
      </w:tr>
      <w:tr>
        <w:trPr>
          <w:trHeight w:val="172"/>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by fiscal year</w:t>
            </w:r>
          </w:p>
        </w:tc>
        <w:tc>
          <w:tcPr>
            <w:tcW w:w="214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4"/>
                <w:szCs w:val="14"/>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interest rate</w:t>
            </w:r>
          </w:p>
        </w:tc>
      </w:tr>
      <w:tr>
        <w:trPr>
          <w:trHeight w:val="194"/>
        </w:trPr>
        <w:tc>
          <w:tcPr>
            <w:tcW w:w="20" w:type="dxa"/>
            <w:vAlign w:val="bottom"/>
          </w:tcPr>
          <w:p>
            <w:pPr>
              <w:spacing w:after="0"/>
              <w:rPr>
                <w:sz w:val="16"/>
                <w:szCs w:val="16"/>
                <w:color w:val="auto"/>
              </w:rPr>
            </w:pPr>
          </w:p>
        </w:tc>
        <w:tc>
          <w:tcPr>
            <w:tcW w:w="308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Long-term borrowings</w:t>
            </w:r>
          </w:p>
        </w:tc>
        <w:tc>
          <w:tcPr>
            <w:tcW w:w="15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Unsecured debt</w:t>
            </w:r>
          </w:p>
        </w:tc>
        <w:tc>
          <w:tcPr>
            <w:tcW w:w="1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Fixed</w:t>
            </w: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5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5.61%</w:t>
            </w:r>
          </w:p>
        </w:tc>
      </w:tr>
      <w:tr>
        <w:trPr>
          <w:trHeight w:val="221"/>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unsecured debt</w:t>
            </w:r>
          </w:p>
        </w:tc>
        <w:tc>
          <w:tcPr>
            <w:tcW w:w="1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Secured debt</w:t>
            </w:r>
          </w:p>
        </w:tc>
        <w:tc>
          <w:tcPr>
            <w:tcW w:w="1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3"/>
        </w:trPr>
        <w:tc>
          <w:tcPr>
            <w:tcW w:w="20" w:type="dxa"/>
            <w:vAlign w:val="bottom"/>
          </w:tcPr>
          <w:p>
            <w:pPr>
              <w:spacing w:after="0"/>
              <w:rPr>
                <w:sz w:val="20"/>
                <w:szCs w:val="20"/>
                <w:color w:val="auto"/>
              </w:rPr>
            </w:pPr>
          </w:p>
        </w:tc>
        <w:tc>
          <w:tcPr>
            <w:tcW w:w="3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Fixed</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560" w:type="dxa"/>
            <w:vAlign w:val="bottom"/>
          </w:tcPr>
          <w:p>
            <w:pPr>
              <w:spacing w:after="0"/>
              <w:rPr>
                <w:sz w:val="20"/>
                <w:szCs w:val="20"/>
                <w:color w:val="auto"/>
              </w:rPr>
            </w:pP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4.73%</w:t>
            </w:r>
          </w:p>
        </w:tc>
      </w:tr>
      <w:tr>
        <w:trPr>
          <w:trHeight w:val="343"/>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20" w:type="dxa"/>
            <w:vAlign w:val="bottom"/>
            <w:gridSpan w:val="2"/>
          </w:tcPr>
          <w:p>
            <w:pPr>
              <w:jc w:val="right"/>
              <w:ind w:right="731"/>
              <w:spacing w:after="0"/>
              <w:rPr>
                <w:sz w:val="20"/>
                <w:szCs w:val="20"/>
                <w:color w:val="auto"/>
              </w:rPr>
            </w:pPr>
            <w:r>
              <w:rPr>
                <w:rFonts w:ascii="Times New Roman" w:cs="Times New Roman" w:eastAsia="Times New Roman" w:hAnsi="Times New Roman"/>
                <w:sz w:val="18"/>
                <w:szCs w:val="18"/>
                <w:color w:val="auto"/>
              </w:rPr>
              <w:t>123</w:t>
            </w: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060"/>
          </w:cols>
          <w:pgMar w:left="320" w:top="451" w:right="5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29" w:lineRule="exact"/>
        <w:rPr>
          <w:sz w:val="20"/>
          <w:szCs w:val="20"/>
          <w:color w:val="auto"/>
        </w:rPr>
      </w:pPr>
    </w:p>
    <w:tbl>
      <w:tblPr>
        <w:tblLayout w:type="fixed"/>
        <w:tblInd w:w="10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right"/>
              <w:ind w:right="440"/>
              <w:spacing w:after="0" w:line="141"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94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Maturity dates</w:t>
            </w:r>
          </w:p>
        </w:tc>
        <w:tc>
          <w:tcPr>
            <w:tcW w:w="660" w:type="dxa"/>
            <w:vAlign w:val="bottom"/>
          </w:tcPr>
          <w:p>
            <w:pPr>
              <w:spacing w:after="0"/>
              <w:rPr>
                <w:sz w:val="10"/>
                <w:szCs w:val="10"/>
                <w:color w:val="auto"/>
              </w:rPr>
            </w:pPr>
          </w:p>
        </w:tc>
        <w:tc>
          <w:tcPr>
            <w:tcW w:w="1260" w:type="dxa"/>
            <w:vAlign w:val="bottom"/>
            <w:gridSpan w:val="2"/>
          </w:tcPr>
          <w:p>
            <w:pPr>
              <w:jc w:val="right"/>
              <w:ind w:right="640"/>
              <w:spacing w:after="0" w:line="116"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6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Average effective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by fiscal year</w:t>
            </w:r>
          </w:p>
        </w:tc>
        <w:tc>
          <w:tcPr>
            <w:tcW w:w="192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4"/>
                <w:szCs w:val="14"/>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shd w:val="clear" w:color="auto" w:fill="CCEEFF"/>
          </w:tcPr>
          <w:p>
            <w:pPr>
              <w:ind w:left="340"/>
              <w:spacing w:after="0" w:line="227" w:lineRule="exact"/>
              <w:rPr>
                <w:sz w:val="20"/>
                <w:szCs w:val="20"/>
                <w:color w:val="auto"/>
              </w:rPr>
            </w:pPr>
            <w:r>
              <w:rPr>
                <w:rFonts w:ascii="Times New Roman" w:cs="Times New Roman" w:eastAsia="Times New Roman" w:hAnsi="Times New Roman"/>
                <w:sz w:val="18"/>
                <w:szCs w:val="18"/>
                <w:color w:val="auto"/>
              </w:rPr>
              <w:t>Variable (euro-denominated)</w:t>
            </w:r>
            <w:r>
              <w:rPr>
                <w:rFonts w:ascii="Times New Roman" w:cs="Times New Roman" w:eastAsia="Times New Roman" w:hAnsi="Times New Roman"/>
                <w:sz w:val="26"/>
                <w:szCs w:val="26"/>
                <w:color w:val="auto"/>
                <w:vertAlign w:val="superscript"/>
              </w:rPr>
              <w:t>(1)</w:t>
            </w:r>
          </w:p>
        </w:tc>
        <w:tc>
          <w:tcPr>
            <w:tcW w:w="94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840" w:type="dxa"/>
            <w:vAlign w:val="bottom"/>
            <w:vMerge w:val="continue"/>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66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5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Variable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 – 2030</w:t>
            </w:r>
          </w:p>
        </w:tc>
        <w:tc>
          <w:tcPr>
            <w:tcW w:w="6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7,574</w:t>
            </w:r>
          </w:p>
        </w:tc>
        <w:tc>
          <w:tcPr>
            <w:tcW w:w="520" w:type="dxa"/>
            <w:vAlign w:val="bottom"/>
          </w:tcPr>
          <w:p>
            <w:pPr>
              <w:spacing w:after="0"/>
              <w:rPr>
                <w:sz w:val="19"/>
                <w:szCs w:val="19"/>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secured debt</w:t>
            </w:r>
          </w:p>
        </w:tc>
        <w:tc>
          <w:tcPr>
            <w:tcW w:w="9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14,303</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debt</w:t>
            </w: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16,803</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amounts due within one year</w:t>
            </w:r>
          </w:p>
        </w:tc>
        <w:tc>
          <w:tcPr>
            <w:tcW w:w="94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tcPr>
          <w:p>
            <w:pPr>
              <w:ind w:left="340"/>
              <w:spacing w:after="0" w:line="214" w:lineRule="exact"/>
              <w:rPr>
                <w:sz w:val="20"/>
                <w:szCs w:val="20"/>
                <w:color w:val="auto"/>
              </w:rPr>
            </w:pPr>
            <w:r>
              <w:rPr>
                <w:rFonts w:ascii="Times New Roman" w:cs="Times New Roman" w:eastAsia="Times New Roman" w:hAnsi="Times New Roman"/>
                <w:sz w:val="17"/>
                <w:szCs w:val="17"/>
                <w:color w:val="auto"/>
              </w:rPr>
              <w:t>Total other</w:t>
            </w:r>
            <w:r>
              <w:rPr>
                <w:rFonts w:ascii="Times New Roman" w:cs="Times New Roman" w:eastAsia="Times New Roman" w:hAnsi="Times New Roman"/>
                <w:sz w:val="24"/>
                <w:szCs w:val="24"/>
                <w:color w:val="auto"/>
                <w:vertAlign w:val="superscript"/>
              </w:rPr>
              <w:t>(2)</w:t>
            </w: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(226)</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borrowings</w:t>
            </w:r>
          </w:p>
        </w:tc>
        <w:tc>
          <w:tcPr>
            <w:tcW w:w="9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16,501</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8" w:lineRule="exact"/>
        <w:rPr>
          <w:sz w:val="20"/>
          <w:szCs w:val="20"/>
          <w:color w:val="auto"/>
        </w:rPr>
      </w:pPr>
    </w:p>
    <w:p>
      <w:pPr>
        <w:ind w:left="600" w:hanging="433"/>
        <w:spacing w:after="0"/>
        <w:tabs>
          <w:tab w:leader="none" w:pos="6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exchange rate adjustments.</w:t>
      </w:r>
    </w:p>
    <w:p>
      <w:pPr>
        <w:spacing w:after="0" w:line="2" w:lineRule="exact"/>
        <w:rPr>
          <w:rFonts w:ascii="Times New Roman" w:cs="Times New Roman" w:eastAsia="Times New Roman" w:hAnsi="Times New Roman"/>
          <w:sz w:val="14"/>
          <w:szCs w:val="14"/>
          <w:color w:val="auto"/>
        </w:rPr>
      </w:pPr>
    </w:p>
    <w:p>
      <w:pPr>
        <w:ind w:left="600" w:hanging="433"/>
        <w:spacing w:after="0"/>
        <w:tabs>
          <w:tab w:leader="none" w:pos="6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deferred financing costs.</w:t>
      </w:r>
    </w:p>
    <w:p>
      <w:pPr>
        <w:spacing w:after="0" w:line="188" w:lineRule="exact"/>
        <w:rPr>
          <w:sz w:val="20"/>
          <w:szCs w:val="20"/>
          <w:color w:val="auto"/>
        </w:rPr>
      </w:pPr>
    </w:p>
    <w:p>
      <w:pPr>
        <w:ind w:left="160" w:right="1020" w:firstLine="436"/>
        <w:spacing w:after="0" w:line="278" w:lineRule="auto"/>
        <w:rPr>
          <w:sz w:val="20"/>
          <w:szCs w:val="20"/>
          <w:color w:val="auto"/>
        </w:rPr>
      </w:pPr>
      <w:r>
        <w:rPr>
          <w:rFonts w:ascii="Times New Roman" w:cs="Times New Roman" w:eastAsia="Times New Roman" w:hAnsi="Times New Roman"/>
          <w:sz w:val="18"/>
          <w:szCs w:val="18"/>
          <w:color w:val="auto"/>
        </w:rPr>
        <w:t>On June 5, 2021, the owners of Medline agreed to sell a majority ownership in the Company to the Sponsors. In connection with the consummation of the Sponsor Acquisition, we entered into the following debt financing transactions:</w:t>
      </w:r>
    </w:p>
    <w:p>
      <w:pPr>
        <w:spacing w:after="0" w:line="69" w:lineRule="exact"/>
        <w:rPr>
          <w:sz w:val="20"/>
          <w:szCs w:val="20"/>
          <w:color w:val="auto"/>
        </w:rPr>
      </w:pPr>
    </w:p>
    <w:p>
      <w:pPr>
        <w:ind w:left="1140" w:right="20" w:hanging="438"/>
        <w:spacing w:after="0" w:line="258" w:lineRule="auto"/>
        <w:tabs>
          <w:tab w:leader="none" w:pos="11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borrowing of $7,270 million under a senior secured term loan facility (the “Initial Dollar Term Loan Facility” and the loans thereunder, the “Initial Dollar Term Loans”), the borrowing of the euro equivalent of $500 million under a senior secured term loan facility (the “Initial Euro Term Loan Facility” and the loans thereunder, the “Initial Euro Term Loans”), and the obtaining of commitments under a $1,000 million senior secured revolving credit facility (the “Revolving Credit Facility”);</w:t>
      </w:r>
    </w:p>
    <w:p>
      <w:pPr>
        <w:spacing w:after="0" w:line="86"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borrowing of $2,230 million by MRE Propco, LP (a subsidiary of Medline Holdings, LP) in a mortgage loan (collectively, the “CMBS Loan”); and</w:t>
      </w:r>
    </w:p>
    <w:p>
      <w:pPr>
        <w:spacing w:after="0" w:line="68" w:lineRule="exact"/>
        <w:rPr>
          <w:rFonts w:ascii="Times New Roman" w:cs="Times New Roman" w:eastAsia="Times New Roman" w:hAnsi="Times New Roman"/>
          <w:sz w:val="18"/>
          <w:szCs w:val="18"/>
          <w:color w:val="auto"/>
        </w:rPr>
      </w:pPr>
    </w:p>
    <w:p>
      <w:pPr>
        <w:ind w:left="1140" w:hanging="438"/>
        <w:spacing w:after="0" w:line="263" w:lineRule="auto"/>
        <w:tabs>
          <w:tab w:leader="none" w:pos="11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$4,500 million aggregate principal amount of 3.875% secured notes (the “Secured 2021 Notes”) and $2,500 million aggregate principal amount of 5.250% unsecured notes (the “Unsecured 2021 Notes” and, together with the Secured 2021 Notes, the “2021 Notes”).</w:t>
      </w:r>
    </w:p>
    <w:p>
      <w:pPr>
        <w:spacing w:after="0" w:line="175" w:lineRule="exact"/>
        <w:rPr>
          <w:sz w:val="20"/>
          <w:szCs w:val="20"/>
          <w:color w:val="auto"/>
        </w:rPr>
      </w:pPr>
    </w:p>
    <w:p>
      <w:pPr>
        <w:jc w:val="both"/>
        <w:ind w:left="160" w:right="580" w:firstLine="436"/>
        <w:spacing w:after="0" w:line="263" w:lineRule="auto"/>
        <w:rPr>
          <w:sz w:val="20"/>
          <w:szCs w:val="20"/>
          <w:color w:val="auto"/>
        </w:rPr>
      </w:pPr>
      <w:r>
        <w:rPr>
          <w:rFonts w:ascii="Times New Roman" w:cs="Times New Roman" w:eastAsia="Times New Roman" w:hAnsi="Times New Roman"/>
          <w:sz w:val="18"/>
          <w:szCs w:val="18"/>
          <w:color w:val="auto"/>
        </w:rPr>
        <w:t>As of September 27, 2025, we had $16,803 million of total debt outstanding, including $8,500 million of Senior Notes (as defined herein), $7,574 million of New Dollar Term Loans (as defined herein) and $729 million of New Euro Term Loans (as defined herein) with $946 million available under our Revolving Credit Facility (after consideration of a letter of credit of $54 million).</w:t>
      </w:r>
    </w:p>
    <w:p>
      <w:pPr>
        <w:spacing w:after="0" w:line="175" w:lineRule="exact"/>
        <w:rPr>
          <w:sz w:val="20"/>
          <w:szCs w:val="20"/>
          <w:color w:val="auto"/>
        </w:rPr>
      </w:pPr>
    </w:p>
    <w:p>
      <w:pPr>
        <w:jc w:val="center"/>
        <w:ind w:right="20"/>
        <w:spacing w:after="0" w:line="274" w:lineRule="auto"/>
        <w:rPr>
          <w:sz w:val="20"/>
          <w:szCs w:val="20"/>
          <w:color w:val="auto"/>
        </w:rPr>
      </w:pPr>
      <w:r>
        <w:rPr>
          <w:rFonts w:ascii="Times New Roman" w:cs="Times New Roman" w:eastAsia="Times New Roman" w:hAnsi="Times New Roman"/>
          <w:sz w:val="17"/>
          <w:szCs w:val="17"/>
          <w:color w:val="auto"/>
        </w:rPr>
        <w:t>In addition, under the credit agreement governing our Senior Secured Credit Facilities, we have the right at any time, subject to customary conditions, to request incremental term loans or incremental revolving credit commitments in an aggregate principal amount of up to (a) the greater of</w:t>
      </w:r>
    </w:p>
    <w:p>
      <w:pPr>
        <w:ind w:left="160" w:right="300" w:firstLine="7"/>
        <w:spacing w:after="0" w:line="248" w:lineRule="auto"/>
        <w:tabs>
          <w:tab w:leader="none" w:pos="41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$2,375 million and (2) an amount equal to 100% of our trailing consolidated EBITDA (as defined in our Senior Secured Credit Facilities) for the most recently ended period of four consecutive fiscal quarters for which financial statements are internally available, on a pro forma basis plus</w:t>
      </w:r>
    </w:p>
    <w:p>
      <w:pPr>
        <w:ind w:left="160" w:right="7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certain additional amounts based on satisfaction of a certain consolidated first lien net leverage ratio and subject to certain other customary conditions.</w:t>
      </w:r>
    </w:p>
    <w:p>
      <w:pPr>
        <w:spacing w:after="0" w:line="182" w:lineRule="exact"/>
        <w:rPr>
          <w:sz w:val="20"/>
          <w:szCs w:val="20"/>
          <w:color w:val="auto"/>
        </w:rPr>
      </w:pPr>
    </w:p>
    <w:p>
      <w:pPr>
        <w:ind w:left="160" w:right="100" w:firstLine="436"/>
        <w:spacing w:after="0" w:line="263" w:lineRule="auto"/>
        <w:rPr>
          <w:sz w:val="20"/>
          <w:szCs w:val="20"/>
          <w:color w:val="auto"/>
        </w:rPr>
      </w:pPr>
      <w:r>
        <w:rPr>
          <w:rFonts w:ascii="Times New Roman" w:cs="Times New Roman" w:eastAsia="Times New Roman" w:hAnsi="Times New Roman"/>
          <w:sz w:val="18"/>
          <w:szCs w:val="18"/>
          <w:color w:val="auto"/>
        </w:rPr>
        <w:t>On March 27, 2024 (the “Second Amendment Date”), we entered into an amendment to the credit agreement that governs the Senior Secured Credit Facilities to reduce the principal balance by $1,000 million and reduce the applicable margin for the Initial Dollar Term Loans by 0.36% overall, resulting in a margin spread of SOFR plus 2.75% per annum.</w:t>
      </w:r>
    </w:p>
    <w:p>
      <w:pPr>
        <w:spacing w:after="0" w:line="175" w:lineRule="exact"/>
        <w:rPr>
          <w:sz w:val="20"/>
          <w:szCs w:val="20"/>
          <w:color w:val="auto"/>
        </w:rPr>
      </w:pPr>
    </w:p>
    <w:p>
      <w:pPr>
        <w:ind w:left="160" w:right="220" w:firstLine="436"/>
        <w:spacing w:after="0" w:line="263" w:lineRule="auto"/>
        <w:rPr>
          <w:sz w:val="20"/>
          <w:szCs w:val="20"/>
          <w:color w:val="auto"/>
        </w:rPr>
      </w:pPr>
      <w:r>
        <w:rPr>
          <w:rFonts w:ascii="Times New Roman" w:cs="Times New Roman" w:eastAsia="Times New Roman" w:hAnsi="Times New Roman"/>
          <w:sz w:val="18"/>
          <w:szCs w:val="18"/>
          <w:color w:val="auto"/>
        </w:rPr>
        <w:t>On July 8, 2024 (the “Third Amendment Date”), we amended the credit agreement that governs the Senior Secured Credit Facilities to incur additional dollar-denominated term loans of a different class than the Initial Dollar Term Loans (the “Additional Dollar Term Loan Facility”; the term loans provided for thereunder, the</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60"/>
          </w:cols>
          <w:pgMar w:left="320" w:top="451" w:right="5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120"/>
        <w:spacing w:after="0" w:line="250" w:lineRule="auto"/>
        <w:rPr>
          <w:sz w:val="20"/>
          <w:szCs w:val="20"/>
          <w:color w:val="auto"/>
        </w:rPr>
      </w:pPr>
      <w:r>
        <w:rPr>
          <w:rFonts w:ascii="Times New Roman" w:cs="Times New Roman" w:eastAsia="Times New Roman" w:hAnsi="Times New Roman"/>
          <w:sz w:val="18"/>
          <w:szCs w:val="18"/>
          <w:color w:val="auto"/>
        </w:rPr>
        <w:t>“Additional Dollar Term Loans”) and to reduce the applicable margin for the Initial Euro Term Loans. Pursuant to the amendment, the Company also incurred additional Euro-denominated term loans of the same class as the Refinanced Euro Term Loans (as defined herein) in an aggregate principal amount of €185 million (the “Additional Euro Term Loans”). We received additional net loan proceeds of $1,503 million and U.S. Dollar equivalent of $198 million from the Additional Dollar Term Loans and the Additional Euro Term Loans, respectively. The Additional Dollar Term Loans bear a variable interest rate of SOFR plus 2.25%, while the variable interest rate on the Initial Dollar Term Loans remained at SOFR plus 2.75%. The New Euro Term Loans bear a variable interest rate of EURO Interbank offer Rate (“EURIBOR”) plus an applicable spread ranging from 2.25% to 2.75% based on certain of our debt ratios. The maturity date for all Term Loans remains October 21, 2028 (the “Initial Term Loan Maturity Date”). The amendment also extended the maturity date of the Revolving Credit Facility from October 21, 2026 to July 8, 2029 (subject to a springing maturity 91 days inside of the maturity date of the Dollar Term Loans, the New Euro Term Loans, the Secured 2021 Notes and the 2024 Notes) and did not change the maximum borrowing capacity of $1,000 million or any other terms. On July 9, 2024, we used the net proceeds from Additional 2024 Notes, the additional loan proceeds from the Additional Dollar Term Loans and the Additional Euro Term Loans, and $23 million cash on hand to extinguish the entire outstanding principal balance of $2,219 million of CMBS Loan.</w:t>
      </w:r>
    </w:p>
    <w:p>
      <w:pPr>
        <w:spacing w:after="0" w:line="194" w:lineRule="exact"/>
        <w:rPr>
          <w:sz w:val="20"/>
          <w:szCs w:val="20"/>
          <w:color w:val="auto"/>
        </w:rPr>
      </w:pPr>
    </w:p>
    <w:p>
      <w:pPr>
        <w:ind w:left="160" w:right="40" w:firstLine="436"/>
        <w:spacing w:after="0" w:line="274" w:lineRule="auto"/>
        <w:rPr>
          <w:sz w:val="20"/>
          <w:szCs w:val="20"/>
          <w:color w:val="auto"/>
        </w:rPr>
      </w:pPr>
      <w:r>
        <w:rPr>
          <w:rFonts w:ascii="Times New Roman" w:cs="Times New Roman" w:eastAsia="Times New Roman" w:hAnsi="Times New Roman"/>
          <w:sz w:val="17"/>
          <w:szCs w:val="17"/>
          <w:color w:val="auto"/>
        </w:rPr>
        <w:t>On November 19, 2024 (the “Fourth Amendment Date”), we entered into an amendment to the credit agreement that governs the Senior Secured Credit Facilities to (i) reduce the applicable margin for the Initial Dollar Term Loans by 0.50% overall to match the applicable margin for the Additional Dollar Term Loans, resulting in a margin spread of SOFR plus 2.25% per annum and (ii) cause the Initial Dollar Term Loans and the Additional Dollar Term Loans to be a single fungible class of term loans (such class of dollar-denominated term loans, the “New Dollar Term Loans”). Amortization payments equal to 0.25% of revised aggregate principal amount of $7,631 million of the Initial Dollar Term Loans are still due quarterly.</w:t>
      </w:r>
    </w:p>
    <w:p>
      <w:pPr>
        <w:spacing w:after="0" w:line="168" w:lineRule="exact"/>
        <w:rPr>
          <w:sz w:val="20"/>
          <w:szCs w:val="20"/>
          <w:color w:val="auto"/>
        </w:rPr>
      </w:pPr>
    </w:p>
    <w:p>
      <w:pPr>
        <w:ind w:left="160" w:right="80" w:firstLine="436"/>
        <w:spacing w:after="0" w:line="263" w:lineRule="auto"/>
        <w:rPr>
          <w:sz w:val="20"/>
          <w:szCs w:val="20"/>
          <w:color w:val="auto"/>
        </w:rPr>
      </w:pPr>
      <w:r>
        <w:rPr>
          <w:rFonts w:ascii="Times New Roman" w:cs="Times New Roman" w:eastAsia="Times New Roman" w:hAnsi="Times New Roman"/>
          <w:sz w:val="18"/>
          <w:szCs w:val="18"/>
          <w:color w:val="auto"/>
        </w:rPr>
        <w:t>On March 28, 2025 (the “Fifth Amendment Date”), we entered into an amendment to the credit agreement that governs the Senior Secured Credit Facilities to permit letter of credit issuers to issue letters of credit in excess of their respective letter of credit commitments and to obligate the other lenders under our Revolving Credit Facility to participate in such letters of credit, subject to other customary limitations.</w:t>
      </w:r>
    </w:p>
    <w:p>
      <w:pPr>
        <w:spacing w:after="0" w:line="175"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On July 31, 2025 (the “Sixth Amendment Date”), we entered into an amendment to the credit agreement that governs the Senior Secured Credit Facilities to (i) reduce the applicable margin for an aggregate principal amount of New Dollar Term Loans equal to $4,074 million (the “2028 Refinancing Term Loan Facility”) by 0.25% overall, resulting in a margin spread of SOFR plus 2.00% per annum and (ii) reduce the applicable margin for an aggregate principal amount of New Dollar Term Loans equal to $3,500 million (the “2030 Refinancing Term Loan Facility”) by 0.25% overall, resulting in a margin spread of SOFR plus 2.00% per annum. Except as set forth in the preceding sentence, the 2028 Refinancing Term Loan Facility has substantially the same terms as the New Dollar Term Loans outstanding under the Sponsor Acquisition Credit Agreement immediately prior to the Sixth Amendment Date. The 2030 Refinancing Term Loan Facility has the same terms as the 2028 Refinancing Term Loan Facility, except that the 2030 Refinancing Term Loan Facility will mature on October 23, 2030. Additionally, the applicable margin with respect to the 2025 Refinancing Dollar Term Loans is contractually reduced by 0.25% per annum upon the consummation of a qualified initial public offering.</w:t>
      </w:r>
    </w:p>
    <w:p>
      <w:pPr>
        <w:spacing w:after="0" w:line="192" w:lineRule="exact"/>
        <w:rPr>
          <w:sz w:val="20"/>
          <w:szCs w:val="20"/>
          <w:color w:val="auto"/>
        </w:rPr>
      </w:pPr>
    </w:p>
    <w:p>
      <w:pPr>
        <w:ind w:left="160" w:right="500" w:firstLine="436"/>
        <w:spacing w:after="0" w:line="278" w:lineRule="auto"/>
        <w:rPr>
          <w:sz w:val="20"/>
          <w:szCs w:val="20"/>
          <w:color w:val="auto"/>
        </w:rPr>
      </w:pPr>
      <w:r>
        <w:rPr>
          <w:rFonts w:ascii="Times New Roman" w:cs="Times New Roman" w:eastAsia="Times New Roman" w:hAnsi="Times New Roman"/>
          <w:sz w:val="18"/>
          <w:szCs w:val="18"/>
          <w:color w:val="auto"/>
        </w:rPr>
        <w:t>The credit agreement that governs the Senior Secured Credit Facilities contains affirmative and negative covenants and customary events of default. For additional information, see “Description of Certain Indebtedness—Senior Secured Credit Facilities.”</w:t>
      </w:r>
    </w:p>
    <w:p>
      <w:pPr>
        <w:spacing w:after="0" w:line="162" w:lineRule="exact"/>
        <w:rPr>
          <w:sz w:val="20"/>
          <w:szCs w:val="20"/>
          <w:color w:val="auto"/>
        </w:rPr>
      </w:pPr>
    </w:p>
    <w:p>
      <w:pPr>
        <w:ind w:left="160" w:right="120" w:firstLine="436"/>
        <w:spacing w:after="0" w:line="258" w:lineRule="auto"/>
        <w:rPr>
          <w:sz w:val="20"/>
          <w:szCs w:val="20"/>
          <w:color w:val="auto"/>
        </w:rPr>
      </w:pPr>
      <w:r>
        <w:rPr>
          <w:rFonts w:ascii="Times New Roman" w:cs="Times New Roman" w:eastAsia="Times New Roman" w:hAnsi="Times New Roman"/>
          <w:sz w:val="18"/>
          <w:szCs w:val="18"/>
          <w:color w:val="auto"/>
        </w:rPr>
        <w:t>Our springing financial covenant in the credit agreement governing our Senior Secured Credit Facilities and other ratios related to incurrence-based covenants (measured only upon the taking of certain actions, including the incurrence of additional indebtedness) under the credit agreement that governs our Senior Secured Credit Facilities and the indentures governing our outstanding Senior Notes are calculated in part based on financial measures similar to Adjusted EBITDA as presented elsewhere in this prospectus, which financial measures are</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80"/>
          </w:cols>
          <w:pgMar w:left="320" w:top="451" w:right="4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80"/>
        <w:spacing w:after="0" w:line="250" w:lineRule="auto"/>
        <w:rPr>
          <w:sz w:val="20"/>
          <w:szCs w:val="20"/>
          <w:color w:val="auto"/>
        </w:rPr>
      </w:pPr>
      <w:r>
        <w:rPr>
          <w:rFonts w:ascii="Times New Roman" w:cs="Times New Roman" w:eastAsia="Times New Roman" w:hAnsi="Times New Roman"/>
          <w:sz w:val="18"/>
          <w:szCs w:val="18"/>
          <w:color w:val="auto"/>
        </w:rPr>
        <w:t>determined at the Medline Borrower, LP (a fully-owned subsidiary of Medline Holdings, LP) level and adjust for certain additional items such as contribution from acquisitions and the run-rate impact of signed contracts, cost savings and customer losses. These incremental adjustments, as calculated pursuant to such agreements, provide us with a net benefit to Adjusted EBITDA for ratio calculation purposes of $237 million for the twelve months ended September 27, 2025 and $197 million, $70 million, and $189 million for the years ended December 31, 2024, 2023, and 2022, respectively. The springing financial covenant in the credit agreement governing our Senior Secured Credit Facilities requires compliance with a maximum ratio of consolidated first lien net indebtedness to Consolidated EBITDA (as defined in such credit agreement) of 8.3x and is applicable solely to the Revolving Credit Facility, which ratio is tested on the last day of any fiscal quarter only if the aggregate principal amount of borrowings (excluding outstanding letters of credit (whether or not cash collateralized)) under the Revolving Credit Facility exceeds 35% of the greater of (a) the total amount of commitments under the Revolving Credit Facility on such day and (b) $1,000 million. While the springing financial covenant was not subject to testing as of December 31, 2024 as we did not have any outstanding borrowings under the Revolving Credit Facility at such time, our ratio of consolidated first lien net indebtedness to consolidated EBITDA as of the last day of any fiscal quarter ending after the date of the Sponsor Acquisition has not exceeded the maximum ratio permitted under the springing financial covenant. The failure to satisfy this ratio would impact our ability to borrow amounts committed under our Revolving Credit Facility which could have a material impact on our liquidity.</w:t>
      </w:r>
    </w:p>
    <w:p>
      <w:pPr>
        <w:spacing w:after="0" w:line="193"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On March 27, 2024, we issued $1,000 million aggregate principal amount of 6.250% Senior Secured Notes due 2029 pursuant to an indenture, with a maturity date of April 1, 2029 (the “Initial 2024 Notes”). We received net proceeds of $993 million and used the proceeds from the issuance to pay down a portion of the principal on the then-outstanding Initial Dollar Term Loans. On June 24, 2024, we issued $500 million aggregate principal amount of 6.250% Senior Secured Notes due 2029 with a maturity date of April 1, 2029 (the “Additional 2024 Notes” and, together with the Initial 2024 Notes, the “2024 Notes”). We received net proceeds of $495 million and used the proceeds to repay a portion of the CMBS Loan on July 9, 2024. The 2024 Notes have a fixed annual interest rate of 6.250%, which will be paid in cash semi-annually in arrears on April 1 and October 1 of each year, and will mature on April 1, 2029.</w:t>
      </w:r>
    </w:p>
    <w:p>
      <w:pPr>
        <w:spacing w:after="0" w:line="184" w:lineRule="exact"/>
        <w:rPr>
          <w:sz w:val="20"/>
          <w:szCs w:val="20"/>
          <w:color w:val="auto"/>
        </w:rPr>
      </w:pPr>
    </w:p>
    <w:p>
      <w:pPr>
        <w:ind w:left="160" w:right="40" w:firstLine="436"/>
        <w:spacing w:after="0" w:line="263" w:lineRule="auto"/>
        <w:rPr>
          <w:sz w:val="20"/>
          <w:szCs w:val="20"/>
          <w:color w:val="auto"/>
        </w:rPr>
      </w:pPr>
      <w:r>
        <w:rPr>
          <w:rFonts w:ascii="Times New Roman" w:cs="Times New Roman" w:eastAsia="Times New Roman" w:hAnsi="Times New Roman"/>
          <w:sz w:val="18"/>
          <w:szCs w:val="18"/>
          <w:color w:val="auto"/>
        </w:rPr>
        <w:t>See “Description of Certain Indebtedness” for additional information regarding our Senior Secured Credit Facilities and Senior Notes, including a discussion of the material terms of the credit agreement that governs our Senior Secured Credit Facilities and the indentures that govern our Senior Notes, including the restrictive covenants contained therein.</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 of Interest Rate Risk</w:t>
      </w:r>
    </w:p>
    <w:p>
      <w:pPr>
        <w:spacing w:after="0" w:line="118"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We use interest rate derivatives to add stability to interest expense and to manage our exposure to interest rate movements. We primarily use interest rate swaps and caps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 Interest rate caps designated as cash flow hedges involve the receipt of variable amounts from a counterparty if interest rates rise above the strike rate on the contract in exchange for a premium. As of December 31, 2024, we held interest rate swaps with a notional value of $2,950 million with maturity date of November 2025 to December 2026 and interest rate caps with a notional value of $2,500 million with maturity date of November 2025 to December 2026.</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18" w:lineRule="exact"/>
        <w:rPr>
          <w:sz w:val="20"/>
          <w:szCs w:val="20"/>
          <w:color w:val="auto"/>
        </w:rPr>
      </w:pPr>
    </w:p>
    <w:p>
      <w:pPr>
        <w:jc w:val="both"/>
        <w:ind w:left="160" w:right="40" w:firstLine="436"/>
        <w:spacing w:after="0" w:line="263" w:lineRule="auto"/>
        <w:rPr>
          <w:sz w:val="20"/>
          <w:szCs w:val="20"/>
          <w:color w:val="auto"/>
        </w:rPr>
      </w:pPr>
      <w:r>
        <w:rPr>
          <w:rFonts w:ascii="Times New Roman" w:cs="Times New Roman" w:eastAsia="Times New Roman" w:hAnsi="Times New Roman"/>
          <w:sz w:val="18"/>
          <w:szCs w:val="18"/>
          <w:color w:val="auto"/>
        </w:rPr>
        <w:t>In connection with the Reorganization Transactions, Medline Inc. entered into a tax receivable agreement with certain of our pre-IPO owners that provides for the payment by Medline Inc. to such pre-IPO owners of 90% of certain tax benefits, if any, that Medline Inc. actually realizes, or is deemed to realize (calculated using certain assumptions), as a result of (i) Medline Inc.’s allocable share of existing tax basis in Medline Holdings’</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060"/>
          </w:cols>
          <w:pgMar w:left="320" w:top="451" w:right="5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line="248" w:lineRule="auto"/>
        <w:rPr>
          <w:sz w:val="20"/>
          <w:szCs w:val="20"/>
          <w:color w:val="auto"/>
        </w:rPr>
      </w:pPr>
      <w:r>
        <w:rPr>
          <w:rFonts w:ascii="Times New Roman" w:cs="Times New Roman" w:eastAsia="Times New Roman" w:hAnsi="Times New Roman"/>
          <w:sz w:val="18"/>
          <w:szCs w:val="18"/>
          <w:color w:val="auto"/>
        </w:rPr>
        <w:t>assets acquired in our IPO,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our IPO, including the exchange of Common Units for shares of our Class A common stock by the selling stockholders in connection with this offering, (iii) Medline Inc.’s utilization of certain tax attributes (including any existing tax basis) of the Blocker Companies, which Medline Inc. acquired in connection with our IPO, and (iv) certain other tax benefits related to entering into the tax receivable agreement, including tax benefits attributable to payments under the tax receivable agreement. Sales or exchanges of Common Units by Continuing Unitholders (including Common Units issued upon conversion of vested Incentive Units) to Medline Inc. are expected to result in increases in the tax basis of the assets of Medline Holdings. The existing tax basis, increases in existing tax basis, and the tax basis adjustments generated over time may increase (for tax purposes) Medline Inc.’s depreciation and amortization deductions available to Medline Inc. and, therefore, may reduce the amount of U.S. federal, state, and local tax that Medline Inc. would otherwise be required to pay in the future. It is possible that the IRS may challenge all or part of the validity of such tax basis or other tax attributes covered by the tax receivable agreement, and a court could sustain such a challenge. Medline Inc.’s allocable share of existing tax basis acquired in the IPO and the increase in Medline Inc.’s allocable share of existing tax basis and the anticipated tax basis adjustments upon purchases or exchanges of Common Units (including Common Units issued upon conversion of vested Incentive Units) for shares of Class A common stock may also decrease gains (or increase losses) on future dispositions of certain assets to the extent tax basis is allocated to those assets. Actual tax benefits realized by Medline Inc. may differ from tax benefits calculated under the tax receivable agreement as a result of the use of certain assumptions in the tax receivable agreement, including the use of an assumed blended state and local income tax rate of 6% (as adjusted to take into account the U.S. federal tax benefit of such taxes) to calculate tax benefits. The payment obligation under the tax receivable agreement is an obligation of Medline Inc. and not of Medline Holdings. Payments under the tax receivable agreement are generally due annually five business days following finalization of a schedule showing the relevant tax benefit calculations that is required to be delivered by Medline Inc. within 120 calendar days following the due date (including extensions) of its U.S. corporation income tax return, and interest on such payments will accrue from the due date (without extensions) of such tax return. For purposes of the tax receivable agreement, the cash tax benefits will be generally computed by comparing the actual income tax liability of Medline Inc. to the amount of such taxes that Medline Inc. would have been required to pay had it not had use of the tax attributes covered by the tax receivable agreement. The actual and hypothetical tax liabilities determined in the tax receivable agreement will be calculated using the actual U.S. federal income tax rate in effect for the applicable period and an assumed blended state and local income tax rate of 6% (as adjusted to take into account the U.S. federal tax benefit of such taxes). The term of the tax receivable agreement will continue until all such tax benefits have been utilized or expired. Late payments under the tax receivable agreement generally will accrue interest at an uncapped rate equal to one year SOFR plus 500 basis points. The payments under the tax receivable agreement are not conditioned upon continued ownership of us by the pre-IPO owners. Additionally, in the event of certain changes of control, certain material breaches of the tax receivable agreement by Medline Inc., or an insolvency event, the calculation of certain future payments made under the tax receivable agreement will utilize certain valuation assumptions. Estimating the amount of payments that may be made under the tax receivable agreement is by its nature imprecise, insofar as the calculation of amounts payable depends on a variety of factors. The increase in Medline Inc.’s allocable share of existing tax basis and the anticipated tax basis adjustments upon the purchase or exchange of Common Units (including Common Units issued upon conversion of vested Incentive Units) for shares of Class A common stock, as well as the amount and timing of any payments under the tax receivable agreement, will vary depending upon a number of factors, including the timing of purchases or exchanges, the price of shares of Class A common stock at the time of the purchase or exchange, the extent to which such purchases or exchanges do not result in a basis adjustment, the amount of tax attributes, changes in tax rates and the amount and timing of our income.</w:t>
      </w:r>
    </w:p>
    <w:p>
      <w:pPr>
        <w:spacing w:after="0" w:line="217" w:lineRule="exact"/>
        <w:rPr>
          <w:sz w:val="20"/>
          <w:szCs w:val="20"/>
          <w:color w:val="auto"/>
        </w:rPr>
      </w:pPr>
    </w:p>
    <w:p>
      <w:pPr>
        <w:ind w:left="160" w:right="160" w:firstLine="436"/>
        <w:spacing w:after="0" w:line="263" w:lineRule="auto"/>
        <w:rPr>
          <w:sz w:val="20"/>
          <w:szCs w:val="20"/>
          <w:color w:val="auto"/>
        </w:rPr>
      </w:pPr>
      <w:r>
        <w:rPr>
          <w:rFonts w:ascii="Times New Roman" w:cs="Times New Roman" w:eastAsia="Times New Roman" w:hAnsi="Times New Roman"/>
          <w:sz w:val="18"/>
          <w:szCs w:val="18"/>
          <w:color w:val="auto"/>
        </w:rPr>
        <w:t>We expect that as a result of the size of Medline Inc.’s allocable share of existing tax basis acquired in our IPO (including such existing tax basis acquired from the Blocker Companies pursuant to the Blocker Transfers), the increase in Medline Inc.’s allocable share of existing tax basis and the anticipated tax basis adjustment of the</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80"/>
          </w:cols>
          <w:pgMar w:left="320" w:top="451" w:right="4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both"/>
        <w:ind w:left="160" w:right="80"/>
        <w:spacing w:after="0" w:line="263" w:lineRule="auto"/>
        <w:rPr>
          <w:sz w:val="20"/>
          <w:szCs w:val="20"/>
          <w:color w:val="auto"/>
        </w:rPr>
      </w:pPr>
      <w:r>
        <w:rPr>
          <w:rFonts w:ascii="Times New Roman" w:cs="Times New Roman" w:eastAsia="Times New Roman" w:hAnsi="Times New Roman"/>
          <w:sz w:val="18"/>
          <w:szCs w:val="18"/>
          <w:color w:val="auto"/>
        </w:rPr>
        <w:t>tangible and intangible assets of Medline Holdings upon the purchase or exchange of Common Units (including Common Units issued upon conversion of vested Incentive Units) in connection with or after our IPO and our possible utilization of certain tax attributes (including any existing tax basis), the payments that we may make under the tax receivable agreement will be substantial.</w:t>
      </w:r>
    </w:p>
    <w:p>
      <w:pPr>
        <w:spacing w:after="0" w:line="175"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Assuming: (i) a price of $        per share of our Class A common stock (the public trading price on         , 2026); (ii) a constant corporate tax rate of         %; (iii) we will have sufficient taxable income to fully utilize the tax benefits; and (iv) no material changes in tax law, if the Continuing Unitholders were to exchange all of the Common Units that they will hold immediately following the IPO and this offering, and assuming all Incentive Units are converted to Common Units and subsequently exchanged for shares of Class A common stock at a price of $        per share of Class A common stock, we estimate that we would, as a result of the Reorganization Transactions, the IPO Transactions, and this offering and such hypothetical exchange, record a deferred tax asset of approximately $        million and that the aggregate noncurrent liability we would record based on our estimate of the aggregate amount that Medline Inc. would pay under the tax receivable agreement is approximately $        million, generally payable over a 15-year period. These amounts are estimates and have been prepared for informational purposes only. The actual amount of deferred tax assets and related noncurrent liabilities that we will recognize as a result of any such future exchanges will differ based on, among other things: (i) the amount and timing of future exchanges of Common Units by Continuing Unitholders, and the extent to which such exchanges are taxable; (ii) the price per share of our Class A common stock at the time of the exchanges; (iii) the amount and timing of future income against which to offset the tax benefits; and (iv) the tax rates then in effect. See “Certain Relationships and Related Person Transactions—Tax Receivable Agreement.”</w:t>
      </w:r>
    </w:p>
    <w:p>
      <w:pPr>
        <w:spacing w:after="0" w:line="194" w:lineRule="exact"/>
        <w:rPr>
          <w:sz w:val="20"/>
          <w:szCs w:val="20"/>
          <w:color w:val="auto"/>
        </w:rPr>
      </w:pPr>
    </w:p>
    <w:p>
      <w:pPr>
        <w:ind w:left="160" w:right="40" w:firstLine="436"/>
        <w:spacing w:after="0" w:line="249" w:lineRule="auto"/>
        <w:rPr>
          <w:sz w:val="20"/>
          <w:szCs w:val="20"/>
          <w:color w:val="auto"/>
        </w:rPr>
      </w:pPr>
      <w:r>
        <w:rPr>
          <w:rFonts w:ascii="Times New Roman" w:cs="Times New Roman" w:eastAsia="Times New Roman" w:hAnsi="Times New Roman"/>
          <w:sz w:val="18"/>
          <w:szCs w:val="18"/>
          <w:color w:val="auto"/>
        </w:rPr>
        <w:t>Medline Inc. intends to fund the required payments under the tax receivable agreement from its pro rata share of distributions from Medline Holdings, and our payment obligations under the tax receivable agreement will not accelerate upon a change of control. However, in the event of certain changes of control, certain material breaches of the tax receivable agreement by Medline Inc., or an insolvency event, the calculation of certain future payments made under the tax receivable agreement will utilize certain valuation assumptions, including that (i) in the case of a change of control, any Common Units (including Common Units issued or that would have been issued upon conversion of vested Incentive Units) that have not been exchanged are deemed exchanged for the market value of the shares of our Class A common stock at the time of the change of control and (ii) Medline Inc. will have sufficient taxable income to fully utilize (A) the tax attributes covered by the tax receivable agreement and (B) any remaining net operating losses subject to the tax receivable agreement on a straight line basis over the shorter of the statutory expiration period for such net operating losses or the five-year period after the change of control or other relevant event. In addition, recipients of payments under the tax receivable agreement will not be required to reimburse us for any payments previously made under the tax receivable agreement if the tax attributes or Medline Inc.’s utilization of tax attributes underlying the relevant tax receivable agreement payment are successfully challenged by the IRS (although any such detriment would be taken into account as an offset against future payments due to the relevant recipient under the tax receivable agreement). Medline Inc.’s ability to achieve benefits from existing tax basis, tax basis adjustments, or other tax attributes, and the payments to be made under the tax receivable agreement, will depend upon a number of factors, including the timing and amount of our future income. As a result, payments under the tax receivable agreement could be in excess of 90% of Medline Inc.’s actual cash tax benefits. Accordingly, it is possible that the actual cash tax benefits realized by Medline Inc. may be significantly less than the corresponding tax receivable agreement payments. It is also possible that payments under the tax receivable agreement may be made years in advance of the actual realization, if any, of the anticipated future tax benefits. Furthermore, the distribution payments from Medline Holdings may be less than the required payments under the tax receivable agreement and/or Medline Holdings may not have available cash to make its pro rata share of distributions. If, as a result of these timing discrepancies, insufficient distributions from Medline Holdings, lack of liquidity in Medline Holdings, or otherwise, we do not have sufficient funds to make payments under the tax receivable agreement, we may be able to defer the timing of our payment obligation. Alternatively, in such scenarios, we may have to seek to raise additional capital, incur indebtedness, or take other measures to fund the required payments under the tax</w:t>
      </w:r>
    </w:p>
    <w:p>
      <w:pPr>
        <w:spacing w:after="0" w:line="1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80"/>
          </w:cols>
          <w:pgMar w:left="320" w:top="451" w:right="4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180"/>
        <w:spacing w:after="0" w:line="278" w:lineRule="auto"/>
        <w:rPr>
          <w:sz w:val="20"/>
          <w:szCs w:val="20"/>
          <w:color w:val="auto"/>
        </w:rPr>
      </w:pPr>
      <w:r>
        <w:rPr>
          <w:rFonts w:ascii="Times New Roman" w:cs="Times New Roman" w:eastAsia="Times New Roman" w:hAnsi="Times New Roman"/>
          <w:sz w:val="18"/>
          <w:szCs w:val="18"/>
          <w:color w:val="auto"/>
        </w:rPr>
        <w:t>receivable agreement, and thus our liquidity could be materially adversely affected. See “Certain Relationships and Related Person Transactions—Tax Receivable Agreement.”</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summarizes the approximate principal contractual obligations as of September 27, 2025:</w:t>
      </w:r>
    </w:p>
    <w:p>
      <w:pPr>
        <w:spacing w:after="0" w:line="241" w:lineRule="exact"/>
        <w:rPr>
          <w:sz w:val="20"/>
          <w:szCs w:val="20"/>
          <w:color w:val="auto"/>
        </w:rPr>
      </w:pPr>
    </w:p>
    <w:tbl>
      <w:tblPr>
        <w:tblLayout w:type="fixed"/>
        <w:tblInd w:w="10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4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9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Noncurrent</w:t>
            </w:r>
          </w:p>
        </w:tc>
      </w:tr>
      <w:tr>
        <w:trPr>
          <w:trHeight w:val="140"/>
        </w:trPr>
        <w:tc>
          <w:tcPr>
            <w:tcW w:w="2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gridSpan w:val="4"/>
          </w:tcPr>
          <w:p>
            <w:pPr>
              <w:ind w:left="440"/>
              <w:spacing w:after="0" w:line="141"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$16,803</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16,727</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260" w:type="dxa"/>
            <w:vAlign w:val="bottom"/>
          </w:tcPr>
          <w:p>
            <w:pPr>
              <w:spacing w:after="0" w:line="214" w:lineRule="exact"/>
              <w:rPr>
                <w:sz w:val="20"/>
                <w:szCs w:val="20"/>
                <w:color w:val="auto"/>
              </w:rPr>
            </w:pPr>
            <w:r>
              <w:rPr>
                <w:rFonts w:ascii="Times New Roman" w:cs="Times New Roman" w:eastAsia="Times New Roman" w:hAnsi="Times New Roman"/>
                <w:sz w:val="17"/>
                <w:szCs w:val="17"/>
                <w:color w:val="auto"/>
              </w:rPr>
              <w:t>Interest on borrowings</w:t>
            </w:r>
            <w:r>
              <w:rPr>
                <w:rFonts w:ascii="Times New Roman" w:cs="Times New Roman" w:eastAsia="Times New Roman" w:hAnsi="Times New Roman"/>
                <w:sz w:val="24"/>
                <w:szCs w:val="24"/>
                <w:color w:val="auto"/>
                <w:vertAlign w:val="superscript"/>
              </w:rPr>
              <w:t>(1)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26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Operating lease obligations</w:t>
            </w:r>
            <w:r>
              <w:rPr>
                <w:rFonts w:ascii="Times New Roman" w:cs="Times New Roman" w:eastAsia="Times New Roman" w:hAnsi="Times New Roman"/>
                <w:sz w:val="24"/>
                <w:szCs w:val="24"/>
                <w:color w:val="auto"/>
                <w:vertAlign w:val="superscript"/>
              </w:rPr>
              <w:t>(2)</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260" w:type="dxa"/>
            <w:vAlign w:val="bottom"/>
          </w:tcPr>
          <w:p>
            <w:pPr>
              <w:spacing w:after="0" w:line="214" w:lineRule="exact"/>
              <w:rPr>
                <w:sz w:val="20"/>
                <w:szCs w:val="20"/>
                <w:color w:val="auto"/>
              </w:rPr>
            </w:pPr>
            <w:r>
              <w:rPr>
                <w:rFonts w:ascii="Times New Roman" w:cs="Times New Roman" w:eastAsia="Times New Roman" w:hAnsi="Times New Roman"/>
                <w:sz w:val="17"/>
                <w:szCs w:val="17"/>
                <w:color w:val="auto"/>
              </w:rPr>
              <w:t>Unconditional purchase obligations</w:t>
            </w:r>
            <w:r>
              <w:rPr>
                <w:rFonts w:ascii="Times New Roman" w:cs="Times New Roman" w:eastAsia="Times New Roman" w:hAnsi="Times New Roman"/>
                <w:sz w:val="24"/>
                <w:szCs w:val="24"/>
                <w:color w:val="auto"/>
                <w:vertAlign w:val="superscript"/>
              </w:rPr>
              <w:t>(3)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obligations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shd w:val="clear" w:color="auto" w:fill="CCEEFF"/>
          </w:tcPr>
          <w:p>
            <w:pPr>
              <w:spacing w:after="0"/>
              <w:rPr>
                <w:sz w:val="18"/>
                <w:szCs w:val="18"/>
                <w:color w:val="auto"/>
              </w:rPr>
            </w:pPr>
          </w:p>
        </w:tc>
      </w:tr>
      <w:tr>
        <w:trPr>
          <w:trHeight w:val="221"/>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22,097</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1,274</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20,823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8" w:lineRule="exact"/>
        <w:rPr>
          <w:sz w:val="20"/>
          <w:szCs w:val="20"/>
          <w:color w:val="auto"/>
        </w:rPr>
      </w:pPr>
    </w:p>
    <w:p>
      <w:pPr>
        <w:ind w:left="600" w:right="40" w:hanging="433"/>
        <w:spacing w:after="0" w:line="225" w:lineRule="auto"/>
        <w:tabs>
          <w:tab w:leader="none" w:pos="60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payments on debt obligations are calculated for future periods using interest rates in effect as of September 27, 2025. Certain of these projected interest payments may differ in the future based on changes in reference rate index for variable debt, foreign currency fluctuations, or other factors or events. The projected interest payments only pertain to obligations and agreements outstanding at September 27, 2025. Refer to “Note 6—Credit Agreements and Borrowings” in the unaudited condensed consolidated financial statements included elsewhere in this prospectus for further discussion regarding our debt instruments outstanding at September 27, 2025.</w:t>
      </w:r>
    </w:p>
    <w:p>
      <w:pPr>
        <w:ind w:left="600" w:hanging="433"/>
        <w:spacing w:after="0" w:line="219" w:lineRule="auto"/>
        <w:tabs>
          <w:tab w:leader="none" w:pos="60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operating leases for corporate offices, manufacturing and distribution facilities, vehicles, and equipment. Our leases have remaining terms ranging from less than 12 months to approximately 15 years, some of which may include options to extend or terminate the lease when it is reasonably certain and there is a significant economic incentive to exercise that option. As of September 27, 2025, our right-of-use assets related to operating leases were $445 million and our current and non-current operating lease liabilities were $72 million and $387 million, respectively. Also includes our future lease payments for executed operating lease agreements related to office spaces that have not yet commenced.</w:t>
      </w:r>
    </w:p>
    <w:p>
      <w:pPr>
        <w:ind w:left="600" w:right="460" w:hanging="433"/>
        <w:spacing w:after="0" w:line="235" w:lineRule="auto"/>
        <w:tabs>
          <w:tab w:leader="none" w:pos="60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our significant contractual unconditional purchase obligations. These commitments do not exceed our projected requirements and are in the normal course of business. Examples include firm commitments for goods and service contracts.</w:t>
      </w:r>
    </w:p>
    <w:p>
      <w:pPr>
        <w:spacing w:after="0" w:line="2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Off Balance Sheet Arrangements</w:t>
      </w:r>
    </w:p>
    <w:p>
      <w:pPr>
        <w:spacing w:after="0" w:line="118" w:lineRule="exact"/>
        <w:rPr>
          <w:sz w:val="20"/>
          <w:szCs w:val="20"/>
          <w:color w:val="auto"/>
        </w:rPr>
      </w:pPr>
    </w:p>
    <w:p>
      <w:pPr>
        <w:ind w:left="160" w:right="180" w:firstLine="436"/>
        <w:spacing w:after="0" w:line="263" w:lineRule="auto"/>
        <w:rPr>
          <w:sz w:val="20"/>
          <w:szCs w:val="20"/>
          <w:color w:val="auto"/>
        </w:rPr>
      </w:pPr>
      <w:r>
        <w:rPr>
          <w:rFonts w:ascii="Times New Roman" w:cs="Times New Roman" w:eastAsia="Times New Roman" w:hAnsi="Times New Roman"/>
          <w:sz w:val="18"/>
          <w:szCs w:val="18"/>
          <w:color w:val="auto"/>
        </w:rPr>
        <w:t>We do not have guarantees or other off-balance sheet financing arrangements, including variable interest entities, of a magnitude that we believe could have a material impact on our financial condition or liquidity. See our consolidated financial statements and related notes thereto, included elsewhere in this prospectus.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18" w:lineRule="exact"/>
        <w:rPr>
          <w:sz w:val="20"/>
          <w:szCs w:val="20"/>
          <w:color w:val="auto"/>
        </w:rPr>
      </w:pPr>
    </w:p>
    <w:p>
      <w:pPr>
        <w:ind w:left="160" w:right="460" w:firstLine="436"/>
        <w:spacing w:after="0" w:line="277" w:lineRule="auto"/>
        <w:rPr>
          <w:sz w:val="20"/>
          <w:szCs w:val="20"/>
          <w:color w:val="auto"/>
        </w:rPr>
      </w:pPr>
      <w:r>
        <w:rPr>
          <w:rFonts w:ascii="Times New Roman" w:cs="Times New Roman" w:eastAsia="Times New Roman" w:hAnsi="Times New Roman"/>
          <w:sz w:val="17"/>
          <w:szCs w:val="17"/>
          <w:color w:val="auto"/>
        </w:rPr>
        <w:t>Our consolidated financial statements have been prepared in accordance with U.S. GAAP, which often require us to make estimates and assumptions that affect the reported amounts of assets, liabilities, net sales, expenses, and related disclosures. Our estimates are based on historical experience, current conditions, and various other assumptions that we believe to be reasonable under the circumstances. We evaluate our critical estimates and assumptions on an ongoing basis. Actual results may differ from these estimates under different assumptions or conditions.</w:t>
      </w:r>
    </w:p>
    <w:p>
      <w:pPr>
        <w:spacing w:after="0" w:line="167" w:lineRule="exact"/>
        <w:rPr>
          <w:sz w:val="20"/>
          <w:szCs w:val="20"/>
          <w:color w:val="auto"/>
        </w:rPr>
      </w:pPr>
    </w:p>
    <w:p>
      <w:pPr>
        <w:ind w:left="160" w:right="80" w:firstLine="436"/>
        <w:spacing w:after="0" w:line="263" w:lineRule="auto"/>
        <w:rPr>
          <w:sz w:val="20"/>
          <w:szCs w:val="20"/>
          <w:color w:val="auto"/>
        </w:rPr>
      </w:pPr>
      <w:r>
        <w:rPr>
          <w:rFonts w:ascii="Times New Roman" w:cs="Times New Roman" w:eastAsia="Times New Roman" w:hAnsi="Times New Roman"/>
          <w:sz w:val="18"/>
          <w:szCs w:val="18"/>
          <w:color w:val="auto"/>
        </w:rPr>
        <w:t>The critical accounting estimates, assumptions, and judgments that we believe to have the most significant impact on our consolidated financial statements are described below. This discussion is provided to supplement the descriptions of our accounting policies contained in “Note 1 — Nature of Business and Significant Accounting Policies” to our audited consolidated financial statements, included elsewhere in this prospectus.</w:t>
      </w:r>
    </w:p>
    <w:p>
      <w:pPr>
        <w:spacing w:after="0" w:line="2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6" w:lineRule="exact"/>
        <w:rPr>
          <w:sz w:val="20"/>
          <w:szCs w:val="20"/>
          <w:color w:val="auto"/>
        </w:rPr>
      </w:pPr>
    </w:p>
    <w:p>
      <w:pPr>
        <w:ind w:left="160" w:right="560" w:firstLine="436"/>
        <w:spacing w:after="0" w:line="278" w:lineRule="auto"/>
        <w:rPr>
          <w:sz w:val="20"/>
          <w:szCs w:val="20"/>
          <w:color w:val="auto"/>
        </w:rPr>
      </w:pPr>
      <w:r>
        <w:rPr>
          <w:rFonts w:ascii="Times New Roman" w:cs="Times New Roman" w:eastAsia="Times New Roman" w:hAnsi="Times New Roman"/>
          <w:sz w:val="18"/>
          <w:szCs w:val="18"/>
          <w:color w:val="auto"/>
        </w:rPr>
        <w:t>Our net sales are generated principally from the sale of products. The amount of net sales recognized is adjusted for variable consideration, including sales rebates, distributor chargebacks, return allowances, scrap</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80"/>
          </w:cols>
          <w:pgMar w:left="320" w:top="451" w:right="4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line="253" w:lineRule="auto"/>
        <w:rPr>
          <w:sz w:val="20"/>
          <w:szCs w:val="20"/>
          <w:color w:val="auto"/>
        </w:rPr>
      </w:pPr>
      <w:r>
        <w:rPr>
          <w:rFonts w:ascii="Times New Roman" w:cs="Times New Roman" w:eastAsia="Times New Roman" w:hAnsi="Times New Roman"/>
          <w:sz w:val="18"/>
          <w:szCs w:val="18"/>
          <w:color w:val="auto"/>
        </w:rPr>
        <w:t>allowances, and other rights, which may require significant judgement in determining the amounts by which to reduce net sales. Our estimate of variable consideration and ultimate determination of the estimated amounts to include in the transaction price are based upon the contractual terms between us and our customers, products subject to a rebate, the lag between the sale and the payment of the rebate, and historical rebate payment trends. We estimate these amounts at the point net sales is recognized based on the expected value to be provided to the customer and reduces net sales accordingly. Our estimate of variable consideration and ultimate determination of the estimated amounts to include in the transaction price is based primarily on assessments of anticipated performance and historical information that is reasonably available to us. We have not made any material adjustments to our variable consideration estimates historically and in all periods presented in this prospectus.</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Allowances for Refunds and Credit Losses</w:t>
      </w:r>
    </w:p>
    <w:p>
      <w:pPr>
        <w:spacing w:after="0" w:line="116" w:lineRule="exact"/>
        <w:rPr>
          <w:sz w:val="20"/>
          <w:szCs w:val="20"/>
          <w:color w:val="auto"/>
        </w:rPr>
      </w:pPr>
    </w:p>
    <w:p>
      <w:pPr>
        <w:ind w:left="160" w:right="180" w:firstLine="436"/>
        <w:spacing w:after="0" w:line="254" w:lineRule="auto"/>
        <w:rPr>
          <w:sz w:val="20"/>
          <w:szCs w:val="20"/>
          <w:color w:val="auto"/>
        </w:rPr>
      </w:pPr>
      <w:r>
        <w:rPr>
          <w:rFonts w:ascii="Times New Roman" w:cs="Times New Roman" w:eastAsia="Times New Roman" w:hAnsi="Times New Roman"/>
          <w:sz w:val="18"/>
          <w:szCs w:val="18"/>
          <w:color w:val="auto"/>
        </w:rPr>
        <w:t>We maintain an allowance for doubtful accounts for estimated losses in the collection of amounts owed by customers. The allowance for credit losses reflects the best estimate of future losses over the contractual life of outstanding accounts receivable and is determined on the basis of historical experience, specific allowances for known troubled accounts, other currently available information including customer’s financial condition, and both current and forecasted economic conditions. Changes in these factors, among others, may lead to adjustments in our allowance for credit losses. The calculation of the required allowance requires significant judgment by management. If the financial condition of our customers worsens, or economic conditions change, we may be required to make changes to our allowance for credit losses.</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6" w:lineRule="exact"/>
        <w:rPr>
          <w:sz w:val="20"/>
          <w:szCs w:val="20"/>
          <w:color w:val="auto"/>
        </w:rPr>
      </w:pPr>
    </w:p>
    <w:p>
      <w:pPr>
        <w:ind w:left="160" w:right="80" w:firstLine="436"/>
        <w:spacing w:after="0" w:line="253"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primarily by the LIFO cost method. For certain foreign subsidiaries, cost is determined using the first-in, first-out (“FIFO”) method. A LIFO charge is recognized when the net effect of price increases on products held in inventory exceeds the impact of price declines, including the effect of products that have lost market exclusivity. A LIFO credit is recognized when the net effect of price declines exceeds the impact of price increases on products held in inventory. On a periodic basis, we also write down inventories that are considered to be excess and obsolete. Our evaluation is based on historical and forecasted sales trends. Rebates received from vendors relating to the purchase or distribution of inventory are considered product discounts and are accounted for as reductions in the cost of inventory.</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Impairment of Goodwill and Indefinite-Lived Intangible Assets</w:t>
      </w:r>
    </w:p>
    <w:p>
      <w:pPr>
        <w:spacing w:after="0" w:line="116" w:lineRule="exact"/>
        <w:rPr>
          <w:sz w:val="20"/>
          <w:szCs w:val="20"/>
          <w:color w:val="auto"/>
        </w:rPr>
      </w:pPr>
    </w:p>
    <w:p>
      <w:pPr>
        <w:ind w:left="160" w:right="240" w:firstLine="436"/>
        <w:spacing w:after="0" w:line="258" w:lineRule="auto"/>
        <w:rPr>
          <w:sz w:val="20"/>
          <w:szCs w:val="20"/>
          <w:color w:val="auto"/>
        </w:rPr>
      </w:pPr>
      <w:r>
        <w:rPr>
          <w:rFonts w:ascii="Times New Roman" w:cs="Times New Roman" w:eastAsia="Times New Roman" w:hAnsi="Times New Roman"/>
          <w:sz w:val="18"/>
          <w:szCs w:val="18"/>
          <w:color w:val="auto"/>
        </w:rPr>
        <w:t>We make certain estimates and judgments in impairment assessments of goodwill and indefinite-lived intangible assets. We perform our annual impairment tests in October and monitor for interim indicators of impairment on an ongoing basis. To perform the qualitative review, we consider the weight of evidence and significance of all identified events and circumstances and most relevant drivers of fair value, both positive and negative, in determining whether it is more likely than not that impairment has occurred.</w:t>
      </w:r>
    </w:p>
    <w:p>
      <w:pPr>
        <w:spacing w:after="0" w:line="180" w:lineRule="exact"/>
        <w:rPr>
          <w:sz w:val="20"/>
          <w:szCs w:val="20"/>
          <w:color w:val="auto"/>
        </w:rPr>
      </w:pPr>
    </w:p>
    <w:p>
      <w:pPr>
        <w:ind w:left="160" w:right="40" w:firstLine="436"/>
        <w:spacing w:after="0" w:line="251" w:lineRule="auto"/>
        <w:rPr>
          <w:sz w:val="20"/>
          <w:szCs w:val="20"/>
          <w:color w:val="auto"/>
        </w:rPr>
      </w:pPr>
      <w:r>
        <w:rPr>
          <w:rFonts w:ascii="Times New Roman" w:cs="Times New Roman" w:eastAsia="Times New Roman" w:hAnsi="Times New Roman"/>
          <w:sz w:val="18"/>
          <w:szCs w:val="18"/>
          <w:color w:val="auto"/>
        </w:rPr>
        <w:t>Goodwill impairment testing is conducted at the reporting unit level. When performing the annual goodwill impairment assessment, the Company has the option to first assess qualitative factors to determine whether it is more likely than not that the fair value of a reporting unit is less than its carrying amount, including goodwill. If management concludes that it is more likely than not that the fair value of a reporting unit is less than its carrying amount, the Company conducts a quantitative goodwill impairment test; otherwise, no further analysis is required. We apply the goodwill impairment test by comparing the estimated fair value of a reporting unit to its carrying value and an impairment charge is recorded equal to the amount of excess carrying value above the estimated fair value, if any, but not to exceed the amount of goodwill allocated to the reporting unit. To estimate the fair value of our reporting unit, we consider all generally accepted valuation approaches to value a business or an entity, and we rely on approach(es) that are deemed most suitable to estimate value as of the measurement date. We have generally used a combination of the market approach and the income approach. Under the market</w:t>
      </w:r>
    </w:p>
    <w:p>
      <w:pPr>
        <w:spacing w:after="0" w:line="1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60"/>
          </w:cols>
          <w:pgMar w:left="320" w:top="452" w:right="5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200"/>
        <w:spacing w:after="0" w:line="255" w:lineRule="auto"/>
        <w:rPr>
          <w:sz w:val="20"/>
          <w:szCs w:val="20"/>
          <w:color w:val="auto"/>
        </w:rPr>
      </w:pPr>
      <w:r>
        <w:rPr>
          <w:rFonts w:ascii="Times New Roman" w:cs="Times New Roman" w:eastAsia="Times New Roman" w:hAnsi="Times New Roman"/>
          <w:sz w:val="18"/>
          <w:szCs w:val="18"/>
          <w:color w:val="auto"/>
        </w:rPr>
        <w:t>approach, we estimate fair value by comparing the reporting unit to similar businesses, or guideline companies whose securities are actively traded in public markets and select market multiple(s) deemed appropriate, and apply the selected multiple(s) to the reporting unit’s financial metric. Under the income approach, we use a discounted cash flow model in which cash flows anticipated over several periods, plus a terminal value at the end of that time horizon, are discounted to their present value using an appropriate rate that is commensurate with the risk inherent within the reporting unit. The fair value is then estimated as a weighted average of the values indicated by the valuation approaches relied upon.</w:t>
      </w:r>
    </w:p>
    <w:p>
      <w:pPr>
        <w:spacing w:after="0" w:line="184"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During 2024, we transitioned our operations from one operating segment to two operating segments, Medline Brand and Supply Chain Solutions. Subsequent to the segment change, it was determined that each of our reporting segments was comprised of a single reporting unit. Effective October 1, 2024, the consolidated goodwill of $8,070 million was re-assigned to the new reporting units based on their relative fair values with $6,716 million assigned to Medline Brand and $1,354 million assigned to Supply Chain Solutions. In conjunction with the change in reportable segments, we evaluated goodwill for impairment quantitatively, both before and after the segment change.</w:t>
      </w:r>
    </w:p>
    <w:p>
      <w:pPr>
        <w:spacing w:after="0" w:line="184"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The fair value of each reporting unit was determined based on a blend of income approach (with a 75% weighting) and market approach (with a 25% weighting). The income approach uses a discounted cash flow model of each reporting unit’s projection of estimated operating results and cash flows that are discounted using a market participant discount rate based on a weighted-average cost of capital. The discounted cash flow model reflected our best estimate of economic and market conditions over the forecast period, including revenue growth rates, EBITDA margins, terminal growth rates, and discount rates. The estimated fair value of each reporting unit is then compared to their respective carrying values. The market approach estimates fair value by applying cash flow multiples to the operating performance of each reporting unit derived from comparable publicly traded companies with operating and investment characteristics similar to the reporting units. The estimated fair value of each reporting unit is then compared to their respective carrying values. As of December 31, 2024, the fair value of each reporting unit was substantially in excess of its carrying amount; therefore, we have determined that goodwill was not impaired.</w:t>
      </w:r>
    </w:p>
    <w:p>
      <w:pPr>
        <w:spacing w:after="0" w:line="192" w:lineRule="exact"/>
        <w:rPr>
          <w:sz w:val="20"/>
          <w:szCs w:val="20"/>
          <w:color w:val="auto"/>
        </w:rPr>
      </w:pPr>
    </w:p>
    <w:p>
      <w:pPr>
        <w:ind w:left="160" w:right="20" w:firstLine="436"/>
        <w:spacing w:after="0" w:line="253" w:lineRule="auto"/>
        <w:rPr>
          <w:sz w:val="20"/>
          <w:szCs w:val="20"/>
          <w:color w:val="auto"/>
        </w:rPr>
      </w:pPr>
      <w:r>
        <w:rPr>
          <w:rFonts w:ascii="Times New Roman" w:cs="Times New Roman" w:eastAsia="Times New Roman" w:hAnsi="Times New Roman"/>
          <w:sz w:val="18"/>
          <w:szCs w:val="18"/>
          <w:color w:val="auto"/>
        </w:rPr>
        <w:t>The impairment test for indefinite-lived intangibles involves first assessing qualitative factors to determine if it is more likely than not that the fair value of the indefinite-lived intangible asset is less than its carrying amount. We use estimates and significant judgements and consider the weight of evidence and significance of all identified events and circumstances and most relevant drivers of fair value, both positive and negative, in determining whether it is more likely than not that the fair value of the indefinite-lived intangible asset is less than its carrying amount. If, based on a review of qualitative factors it is more likely than not that the fair value of an indefinite-lived intangible asset is less than its carrying value, we proceed to compare the fair value of the indefinite-lived intangible asset with its carrying amount. If the carrying value of an indefinite-lived intangible asset exceeds its estimated fair value, an impairment equal to the excess is recorded.</w:t>
      </w:r>
    </w:p>
    <w:p>
      <w:pPr>
        <w:spacing w:after="0" w:line="184" w:lineRule="exact"/>
        <w:rPr>
          <w:sz w:val="20"/>
          <w:szCs w:val="20"/>
          <w:color w:val="auto"/>
        </w:rPr>
      </w:pPr>
    </w:p>
    <w:p>
      <w:pPr>
        <w:ind w:left="160" w:right="80" w:firstLine="436"/>
        <w:spacing w:after="0" w:line="254" w:lineRule="auto"/>
        <w:rPr>
          <w:sz w:val="20"/>
          <w:szCs w:val="20"/>
          <w:color w:val="auto"/>
        </w:rPr>
      </w:pPr>
      <w:r>
        <w:rPr>
          <w:rFonts w:ascii="Times New Roman" w:cs="Times New Roman" w:eastAsia="Times New Roman" w:hAnsi="Times New Roman"/>
          <w:sz w:val="18"/>
          <w:szCs w:val="18"/>
          <w:color w:val="auto"/>
        </w:rPr>
        <w:t>If a quantitative fair value measurement calculation is required for indefinite-lived intangible assets, we utilize the relief-from-royalty method for indefinite-lived trade names. The relief-from-royalty method assumes trade names have value to the extent their owner is relieved of the obligation to pay royalties for the benefits received from them. This method requires us to estimate the future revenue for the related brands, the appropriate royalty rate, and the weighted average cost of capital. If the net book values of the assets exceed fair value, an impairment charge will be recognized in an amount equal to that excess. The annual impairment testing performed was qualitative and did not indicate any impairment of intangible assets for the years ended December 31, 2024, 2023 and 2022.</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Business Combination</w:t>
      </w:r>
    </w:p>
    <w:p>
      <w:pPr>
        <w:spacing w:after="0" w:line="116" w:lineRule="exact"/>
        <w:rPr>
          <w:sz w:val="20"/>
          <w:szCs w:val="20"/>
          <w:color w:val="auto"/>
        </w:rPr>
      </w:pPr>
    </w:p>
    <w:p>
      <w:pPr>
        <w:ind w:left="160" w:right="180" w:firstLine="436"/>
        <w:spacing w:after="0" w:line="278" w:lineRule="auto"/>
        <w:rPr>
          <w:sz w:val="20"/>
          <w:szCs w:val="20"/>
          <w:color w:val="auto"/>
        </w:rPr>
      </w:pPr>
      <w:r>
        <w:rPr>
          <w:rFonts w:ascii="Times New Roman" w:cs="Times New Roman" w:eastAsia="Times New Roman" w:hAnsi="Times New Roman"/>
          <w:sz w:val="18"/>
          <w:szCs w:val="18"/>
          <w:color w:val="auto"/>
        </w:rPr>
        <w:t>We account for business combinations using the acquisition method of accounting, whereby the identifiable assets and liabilities of the acquired business, including contingent consideration, as well as any non-controlling</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40"/>
          </w:cols>
          <w:pgMar w:left="320" w:top="451" w:right="5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line="254" w:lineRule="auto"/>
        <w:rPr>
          <w:sz w:val="20"/>
          <w:szCs w:val="20"/>
          <w:color w:val="auto"/>
        </w:rPr>
      </w:pPr>
      <w:r>
        <w:rPr>
          <w:rFonts w:ascii="Times New Roman" w:cs="Times New Roman" w:eastAsia="Times New Roman" w:hAnsi="Times New Roman"/>
          <w:sz w:val="18"/>
          <w:szCs w:val="18"/>
          <w:color w:val="auto"/>
        </w:rPr>
        <w:t>interest in the acquired business, are recorded at their estimated fair values as of the date that we obtain control of the acquired business. Any purchase consideration in excess of the estimated fair values of the net assets acquired is recorded as goodwill. Significant estimates may be used to determine the fair value of assets acquired and liabilities assumed. Critical estimates in valuing intangible assets include, but are not limited to, expected future cash flows and discount rates. Fair value estimates are based on the assumptions management believes a market participant would use in pricing the asset or liability. Amounts recorded in a business combination may change during the measurement period, which is a period not to exceed one year from the date of acquisitions, as additional information about conditions existing at the acquisition date becomes available.</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6" w:lineRule="exact"/>
        <w:rPr>
          <w:sz w:val="20"/>
          <w:szCs w:val="20"/>
          <w:color w:val="auto"/>
        </w:rPr>
      </w:pPr>
    </w:p>
    <w:p>
      <w:pPr>
        <w:ind w:left="160" w:right="40" w:firstLine="436"/>
        <w:spacing w:after="0" w:line="274" w:lineRule="auto"/>
        <w:rPr>
          <w:sz w:val="20"/>
          <w:szCs w:val="20"/>
          <w:color w:val="auto"/>
        </w:rPr>
      </w:pPr>
      <w:r>
        <w:rPr>
          <w:rFonts w:ascii="Times New Roman" w:cs="Times New Roman" w:eastAsia="Times New Roman" w:hAnsi="Times New Roman"/>
          <w:sz w:val="17"/>
          <w:szCs w:val="17"/>
          <w:color w:val="auto"/>
        </w:rPr>
        <w:t>Stock-based compensation, consisting of Medline Holdings, LP profits interest, is measured at fair value on the grant date or date of modification, as applicable. Determining the amount of stock-based compensation expense to be recorded requires us to (i) estimate the fair value of total equity and</w:t>
      </w:r>
    </w:p>
    <w:p>
      <w:pPr>
        <w:ind w:left="160" w:right="380" w:firstLine="7"/>
        <w:spacing w:after="0" w:line="256" w:lineRule="auto"/>
        <w:tabs>
          <w:tab w:leader="none" w:pos="42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estimates to be used in calculating the grant-date fair value of incentive units. Our valuation model requires us to make estimates of the following assumptions:</w:t>
      </w:r>
    </w:p>
    <w:p>
      <w:pPr>
        <w:spacing w:after="0" w:line="182" w:lineRule="exact"/>
        <w:rPr>
          <w:sz w:val="20"/>
          <w:szCs w:val="20"/>
          <w:color w:val="auto"/>
        </w:rPr>
      </w:pPr>
    </w:p>
    <w:p>
      <w:pPr>
        <w:ind w:left="160" w:right="20" w:firstLine="436"/>
        <w:spacing w:after="0" w:line="265" w:lineRule="auto"/>
        <w:rPr>
          <w:sz w:val="20"/>
          <w:szCs w:val="20"/>
          <w:color w:val="auto"/>
        </w:rPr>
      </w:pPr>
      <w:r>
        <w:rPr>
          <w:rFonts w:ascii="Times New Roman" w:cs="Times New Roman" w:eastAsia="Times New Roman" w:hAnsi="Times New Roman"/>
          <w:sz w:val="17"/>
          <w:szCs w:val="17"/>
          <w:color w:val="auto"/>
        </w:rPr>
        <w:t>Fair Value of Total Equity: The Company considered the three generally accepted valuation approaches used to value a business enterprise: (i) the income approach, (ii) the market approach, and (iii) the asset approach. The Company ultimately relied on the income approach and market approach. The cost approach was excluded as the value of the business is attributed to its business operations, earnings, and cash flows, rather than the assets it holds. The income approach utilized the discounted cash flow (“DCF”) methodology based on our financial forecasts and projections, as detailed below. The first step of a DCF method analysis involves projecting cash flows that the business is expected to generate. The second step involves converting these cash flows into a present value equivalent through discounting. The discounting process utilizes a rate of return that is commensurate with the risk associated with the business and the time value of money. In applying the market approach, management estimated the value of the Company by comparing the Company to similar businesses that have been sold or are publicly traded companies deemed to be peers to the Company. Management considered the two widely used and relied upon forms of the market approach—The Guideline Public Company (“GPC”) method, which relies on market multiples of publicly traded companies, and the Guideline Merged and Acquired Company (“GMAC”) method, which relies on actual prices or multiples paid in recent mergers and acquisitions in the Company’s industry, or transaction(s) involving the Company. Under both approaches, market multiples were calculated and applied against corresponding financial metrics of the Company. As of December 31, 2024, the Company assigned weightings to the selected valuation methods in estimating the fair value of total equity. The Company weighted the income approach 75%, the GPC method 25%, and the GMAC method 0%. In assigning the weight to the GMAC method, consideration was given to the passage of time since the leveraged buyout transaction and the lack of suitable guideline transactions as of the valuation date. The Company applied more weighting to the income approach given availability of projected financial information and consideration of comparability of guideline public companies.</w:t>
      </w:r>
    </w:p>
    <w:p>
      <w:pPr>
        <w:spacing w:after="0" w:line="184" w:lineRule="exact"/>
        <w:rPr>
          <w:sz w:val="20"/>
          <w:szCs w:val="20"/>
          <w:color w:val="auto"/>
        </w:rPr>
      </w:pPr>
    </w:p>
    <w:p>
      <w:pPr>
        <w:ind w:left="160" w:right="180" w:firstLine="436"/>
        <w:spacing w:after="0" w:line="278" w:lineRule="auto"/>
        <w:rPr>
          <w:sz w:val="20"/>
          <w:szCs w:val="20"/>
          <w:color w:val="auto"/>
        </w:rPr>
      </w:pPr>
      <w:r>
        <w:rPr>
          <w:rFonts w:ascii="Times New Roman" w:cs="Times New Roman" w:eastAsia="Times New Roman" w:hAnsi="Times New Roman"/>
          <w:sz w:val="18"/>
          <w:szCs w:val="18"/>
          <w:color w:val="auto"/>
        </w:rPr>
        <w:t>The resulting weighted value was then adjusted for balance sheet items to conclude on the fair market value of equity for the Company as of the measurement date.</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Following the IPO, it is no longer necessary to determine the fair value of our shares, as our shares are traded in the public market.</w:t>
      </w:r>
    </w:p>
    <w:p>
      <w:pPr>
        <w:spacing w:after="0" w:line="221" w:lineRule="exact"/>
        <w:rPr>
          <w:sz w:val="20"/>
          <w:szCs w:val="20"/>
          <w:color w:val="auto"/>
        </w:rPr>
      </w:pPr>
    </w:p>
    <w:p>
      <w:pPr>
        <w:ind w:left="160" w:right="380" w:firstLine="436"/>
        <w:spacing w:after="0" w:line="258" w:lineRule="auto"/>
        <w:rPr>
          <w:sz w:val="20"/>
          <w:szCs w:val="20"/>
          <w:color w:val="auto"/>
        </w:rPr>
      </w:pPr>
      <w:r>
        <w:rPr>
          <w:rFonts w:ascii="Times New Roman" w:cs="Times New Roman" w:eastAsia="Times New Roman" w:hAnsi="Times New Roman"/>
          <w:sz w:val="18"/>
          <w:szCs w:val="18"/>
          <w:u w:val="single" w:color="auto"/>
          <w:color w:val="auto"/>
        </w:rPr>
        <w:t>Fair Value of Equity-Based Awards:</w:t>
      </w:r>
      <w:r>
        <w:rPr>
          <w:rFonts w:ascii="Times New Roman" w:cs="Times New Roman" w:eastAsia="Times New Roman" w:hAnsi="Times New Roman"/>
          <w:sz w:val="18"/>
          <w:szCs w:val="18"/>
          <w:color w:val="auto"/>
        </w:rPr>
        <w:t xml:space="preserve"> The weighted average per unit fair value of the equity-based units is calculated using the Monte Carlo simulation in an option pricing framework, where the total equity value of the Company was simulated over a period from the grant date to the Company’s expected liquidity date. In the absence of a public trading market, the Company exercises significant judgment and considers numerous objectives and subjective factors to determine the fair value of equity-based awards including:</w:t>
      </w:r>
    </w:p>
    <w:p>
      <w:pPr>
        <w:spacing w:after="0" w:line="86" w:lineRule="exact"/>
        <w:rPr>
          <w:sz w:val="20"/>
          <w:szCs w:val="20"/>
          <w:color w:val="auto"/>
        </w:rPr>
      </w:pPr>
    </w:p>
    <w:p>
      <w:pPr>
        <w:ind w:left="1140" w:hanging="438"/>
        <w:spacing w:after="0"/>
        <w:tabs>
          <w:tab w:leader="none" w:pos="11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precedent transactions involving equity units;</w:t>
      </w:r>
    </w:p>
    <w:p>
      <w:pPr>
        <w:spacing w:after="0" w:line="15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60"/>
          </w:cols>
          <w:pgMar w:left="320" w:top="451" w:right="5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140" w:hanging="438"/>
        <w:spacing w:after="0"/>
        <w:tabs>
          <w:tab w:leader="none" w:pos="11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operating and financial performance;</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business conditions and projections;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performance of comparable publicly traded companies;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global capital market conditions.</w:t>
      </w: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assumptions were made in the Monte Carlo simulation:</w:t>
      </w:r>
    </w:p>
    <w:p>
      <w:pPr>
        <w:spacing w:after="0" w:line="221" w:lineRule="exact"/>
        <w:rPr>
          <w:sz w:val="20"/>
          <w:szCs w:val="20"/>
          <w:color w:val="auto"/>
        </w:rPr>
      </w:pPr>
    </w:p>
    <w:p>
      <w:pPr>
        <w:ind w:left="160" w:right="60" w:firstLine="436"/>
        <w:spacing w:after="0" w:line="263" w:lineRule="auto"/>
        <w:rPr>
          <w:sz w:val="20"/>
          <w:szCs w:val="20"/>
          <w:color w:val="auto"/>
        </w:rPr>
      </w:pPr>
      <w:r>
        <w:rPr>
          <w:rFonts w:ascii="Times New Roman" w:cs="Times New Roman" w:eastAsia="Times New Roman" w:hAnsi="Times New Roman"/>
          <w:sz w:val="18"/>
          <w:szCs w:val="18"/>
          <w:u w:val="single" w:color="auto"/>
          <w:color w:val="auto"/>
        </w:rPr>
        <w:t>Expected Term:</w:t>
      </w:r>
      <w:r>
        <w:rPr>
          <w:rFonts w:ascii="Times New Roman" w:cs="Times New Roman" w:eastAsia="Times New Roman" w:hAnsi="Times New Roman"/>
          <w:sz w:val="18"/>
          <w:szCs w:val="18"/>
          <w:color w:val="auto"/>
        </w:rPr>
        <w:t xml:space="preserve"> The expected term represents the period over which the Company anticipates equity-based awards to be outstanding as of the valuation date, which is the estimated period of time from the valuation date to exit in terms of a future liquidity event, such as an initial public offering of the Company’s shares.</w:t>
      </w:r>
    </w:p>
    <w:p>
      <w:pPr>
        <w:spacing w:after="0" w:line="175" w:lineRule="exact"/>
        <w:rPr>
          <w:sz w:val="20"/>
          <w:szCs w:val="20"/>
          <w:color w:val="auto"/>
        </w:rPr>
      </w:pPr>
    </w:p>
    <w:p>
      <w:pPr>
        <w:ind w:left="160" w:right="40" w:firstLine="436"/>
        <w:spacing w:after="0" w:line="278" w:lineRule="auto"/>
        <w:rPr>
          <w:sz w:val="20"/>
          <w:szCs w:val="20"/>
          <w:color w:val="auto"/>
        </w:rPr>
      </w:pPr>
      <w:r>
        <w:rPr>
          <w:rFonts w:ascii="Times New Roman" w:cs="Times New Roman" w:eastAsia="Times New Roman" w:hAnsi="Times New Roman"/>
          <w:sz w:val="18"/>
          <w:szCs w:val="18"/>
          <w:u w:val="single" w:color="auto"/>
          <w:color w:val="auto"/>
        </w:rPr>
        <w:t>Volatility:</w:t>
      </w:r>
      <w:r>
        <w:rPr>
          <w:rFonts w:ascii="Times New Roman" w:cs="Times New Roman" w:eastAsia="Times New Roman" w:hAnsi="Times New Roman"/>
          <w:sz w:val="18"/>
          <w:szCs w:val="18"/>
          <w:color w:val="auto"/>
        </w:rPr>
        <w:t xml:space="preserve"> Expected volatility is a measure of the amount by which the equity value is expected to fluctuate. The Company estimates the expected volatility by assessing the equity volatility of guideline companies.</w:t>
      </w:r>
    </w:p>
    <w:p>
      <w:pPr>
        <w:spacing w:after="0" w:line="162" w:lineRule="exact"/>
        <w:rPr>
          <w:sz w:val="20"/>
          <w:szCs w:val="20"/>
          <w:color w:val="auto"/>
        </w:rPr>
      </w:pPr>
    </w:p>
    <w:p>
      <w:pPr>
        <w:ind w:left="160" w:right="60" w:firstLine="436"/>
        <w:spacing w:after="0" w:line="278" w:lineRule="auto"/>
        <w:rPr>
          <w:sz w:val="20"/>
          <w:szCs w:val="20"/>
          <w:color w:val="auto"/>
        </w:rPr>
      </w:pPr>
      <w:r>
        <w:rPr>
          <w:rFonts w:ascii="Times New Roman" w:cs="Times New Roman" w:eastAsia="Times New Roman" w:hAnsi="Times New Roman"/>
          <w:sz w:val="18"/>
          <w:szCs w:val="18"/>
          <w:u w:val="single" w:color="auto"/>
          <w:color w:val="auto"/>
        </w:rPr>
        <w:t>Risk-Free Interest Rate:</w:t>
      </w:r>
      <w:r>
        <w:rPr>
          <w:rFonts w:ascii="Times New Roman" w:cs="Times New Roman" w:eastAsia="Times New Roman" w:hAnsi="Times New Roman"/>
          <w:sz w:val="18"/>
          <w:szCs w:val="18"/>
          <w:color w:val="auto"/>
        </w:rPr>
        <w:t xml:space="preserve"> The risk-free interest rate is estimated based on U.S. Treasury zero-coupon notes with terms consistent with the expected term of the awards.</w:t>
      </w:r>
    </w:p>
    <w:p>
      <w:pPr>
        <w:spacing w:after="0" w:line="162" w:lineRule="exact"/>
        <w:rPr>
          <w:sz w:val="20"/>
          <w:szCs w:val="20"/>
          <w:color w:val="auto"/>
        </w:rPr>
      </w:pPr>
    </w:p>
    <w:p>
      <w:pPr>
        <w:ind w:left="160" w:right="40" w:firstLine="436"/>
        <w:spacing w:after="0" w:line="278" w:lineRule="auto"/>
        <w:rPr>
          <w:sz w:val="20"/>
          <w:szCs w:val="20"/>
          <w:color w:val="auto"/>
        </w:rPr>
      </w:pPr>
      <w:r>
        <w:rPr>
          <w:rFonts w:ascii="Times New Roman" w:cs="Times New Roman" w:eastAsia="Times New Roman" w:hAnsi="Times New Roman"/>
          <w:sz w:val="18"/>
          <w:szCs w:val="18"/>
          <w:u w:val="single" w:color="auto"/>
          <w:color w:val="auto"/>
        </w:rPr>
        <w:t>Dividend Yield:</w:t>
      </w:r>
      <w:r>
        <w:rPr>
          <w:rFonts w:ascii="Times New Roman" w:cs="Times New Roman" w:eastAsia="Times New Roman" w:hAnsi="Times New Roman"/>
          <w:sz w:val="18"/>
          <w:szCs w:val="18"/>
          <w:color w:val="auto"/>
        </w:rPr>
        <w:t xml:space="preserve"> The Company has never declared or paid any cash dividends and does not presently plan to pay cash dividends in the foreseeable future. Consequently, the Company used an expected dividend yield of zero.</w:t>
      </w:r>
    </w:p>
    <w:p>
      <w:pPr>
        <w:spacing w:after="0" w:line="162" w:lineRule="exact"/>
        <w:rPr>
          <w:sz w:val="20"/>
          <w:szCs w:val="20"/>
          <w:color w:val="auto"/>
        </w:rPr>
      </w:pPr>
    </w:p>
    <w:p>
      <w:pPr>
        <w:ind w:left="160" w:right="80" w:firstLine="436"/>
        <w:spacing w:after="0" w:line="258" w:lineRule="auto"/>
        <w:rPr>
          <w:sz w:val="20"/>
          <w:szCs w:val="20"/>
          <w:color w:val="auto"/>
        </w:rPr>
      </w:pPr>
      <w:r>
        <w:rPr>
          <w:rFonts w:ascii="Times New Roman" w:cs="Times New Roman" w:eastAsia="Times New Roman" w:hAnsi="Times New Roman"/>
          <w:sz w:val="18"/>
          <w:szCs w:val="18"/>
          <w:color w:val="auto"/>
        </w:rPr>
        <w:t>Applying these valuation approaches involves the use of estimates, judgments and assumptions that are highly complex and subjective, including our expected future net sales and expenses, the determination of discount rates, valuation multiples, the selection of comparable public companies and the probability of future events. Changes in any or all of these estimates and assumptions may impact our valuation as of each valuation date. Such changes may have a material impact on the valuation of our shares and our share-based awards.</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 and Recently Issued Accounting Standards Not Yet Adopted</w:t>
      </w:r>
    </w:p>
    <w:p>
      <w:pPr>
        <w:spacing w:after="0" w:line="118" w:lineRule="exact"/>
        <w:rPr>
          <w:sz w:val="20"/>
          <w:szCs w:val="20"/>
          <w:color w:val="auto"/>
        </w:rPr>
      </w:pPr>
    </w:p>
    <w:p>
      <w:pPr>
        <w:ind w:left="160" w:right="60" w:firstLine="436"/>
        <w:spacing w:after="0" w:line="263" w:lineRule="auto"/>
        <w:rPr>
          <w:sz w:val="20"/>
          <w:szCs w:val="20"/>
          <w:color w:val="auto"/>
        </w:rPr>
      </w:pPr>
      <w:r>
        <w:rPr>
          <w:rFonts w:ascii="Times New Roman" w:cs="Times New Roman" w:eastAsia="Times New Roman" w:hAnsi="Times New Roman"/>
          <w:sz w:val="18"/>
          <w:szCs w:val="18"/>
          <w:color w:val="auto"/>
        </w:rPr>
        <w:t>For a discussion of recently adopted accounting standards and recently issued accounting standards not yet adopted, please see “Note 1 — Nature of Business and Significant Accounting Policies” to our audited consolidated financial statements and unaudited condensed consolidated financial statements, included elsewhere in this prospectus.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8" w:lineRule="exact"/>
        <w:rPr>
          <w:sz w:val="20"/>
          <w:szCs w:val="20"/>
          <w:color w:val="auto"/>
        </w:rPr>
      </w:pPr>
    </w:p>
    <w:p>
      <w:pPr>
        <w:ind w:left="160" w:right="40" w:firstLine="436"/>
        <w:spacing w:after="0" w:line="278"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from adverse changes in foreign currency exchange rates, interest rates, and inflation.</w:t>
      </w:r>
    </w:p>
    <w:p>
      <w:pPr>
        <w:spacing w:after="0" w:line="2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Foreign Currency Exchange Rate Risks</w:t>
      </w:r>
    </w:p>
    <w:p>
      <w:pPr>
        <w:spacing w:after="0" w:line="116"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We have international sales, including in Canada, certain countries in the EU, Japan, Australia, the United Kingdom, and certain countries in Latin America, among others, all of which have a different currency exposure than the U.S. dollar. We have a natural, partial operational hedge in some of these geographies where local manufacturing and assembly have been established for strategic purposes. However, we have exposure to the Mexican peso related to more significant manufacturing operations in Mexico. We also incur expenses in U.S. dollars, and currencies of the other countries in which we have operations.</w:t>
      </w:r>
    </w:p>
    <w:p>
      <w:pPr>
        <w:spacing w:after="0" w:line="184" w:lineRule="exact"/>
        <w:rPr>
          <w:sz w:val="20"/>
          <w:szCs w:val="20"/>
          <w:color w:val="auto"/>
        </w:rPr>
      </w:pPr>
    </w:p>
    <w:p>
      <w:pPr>
        <w:ind w:left="160" w:right="120" w:firstLine="436"/>
        <w:spacing w:after="0" w:line="263" w:lineRule="auto"/>
        <w:rPr>
          <w:sz w:val="20"/>
          <w:szCs w:val="20"/>
          <w:color w:val="auto"/>
        </w:rPr>
      </w:pPr>
      <w:r>
        <w:rPr>
          <w:rFonts w:ascii="Times New Roman" w:cs="Times New Roman" w:eastAsia="Times New Roman" w:hAnsi="Times New Roman"/>
          <w:sz w:val="18"/>
          <w:szCs w:val="18"/>
          <w:color w:val="auto"/>
        </w:rPr>
        <w:t>While we rarely hedge against foreign currency risk via derivative instruments, we monitor the movements of these currencies and actively engage in regional vendor load balancing to minimize foreign exchange risk. Our results of operations are subject to changes in foreign exchange rates due to the translation of our results to U.S. dollars, as well.</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040"/>
          </w:cols>
          <w:pgMar w:left="320" w:top="451" w:right="5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A 10% appreciation/depreciation in the Mexican peso against the U.S. dollar would have increased or decreased our expenses incurred and paid in the Mexican peso by approximately $32 million in the year ended December 31, 2024.</w:t>
      </w:r>
    </w:p>
    <w:p>
      <w:pPr>
        <w:spacing w:after="0" w:line="2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6" w:lineRule="exact"/>
        <w:rPr>
          <w:sz w:val="20"/>
          <w:szCs w:val="20"/>
          <w:color w:val="auto"/>
        </w:rPr>
      </w:pPr>
    </w:p>
    <w:p>
      <w:pPr>
        <w:jc w:val="both"/>
        <w:ind w:left="160" w:right="240" w:firstLine="436"/>
        <w:spacing w:after="0" w:line="263" w:lineRule="auto"/>
        <w:rPr>
          <w:sz w:val="20"/>
          <w:szCs w:val="20"/>
          <w:color w:val="auto"/>
        </w:rPr>
      </w:pPr>
      <w:r>
        <w:rPr>
          <w:rFonts w:ascii="Times New Roman" w:cs="Times New Roman" w:eastAsia="Times New Roman" w:hAnsi="Times New Roman"/>
          <w:sz w:val="18"/>
          <w:szCs w:val="18"/>
          <w:color w:val="auto"/>
        </w:rPr>
        <w:t>As of September 27, 2025, we had approximately $16,803 million of gross outstanding indebtedness including $8,303 million of borrowings at variable interest rates before considering deferred financing costs of $226 million. The borrowings under the Senior Secured Credit Facilities accrue interest at variable interest rates and thus are subject to interest rate risk.</w:t>
      </w:r>
    </w:p>
    <w:p>
      <w:pPr>
        <w:spacing w:after="0" w:line="175" w:lineRule="exact"/>
        <w:rPr>
          <w:sz w:val="20"/>
          <w:szCs w:val="20"/>
          <w:color w:val="auto"/>
        </w:rPr>
      </w:pPr>
    </w:p>
    <w:p>
      <w:pPr>
        <w:ind w:left="160" w:right="160" w:firstLine="436"/>
        <w:spacing w:after="0" w:line="277" w:lineRule="auto"/>
        <w:rPr>
          <w:sz w:val="20"/>
          <w:szCs w:val="20"/>
          <w:color w:val="auto"/>
        </w:rPr>
      </w:pPr>
      <w:r>
        <w:rPr>
          <w:rFonts w:ascii="Times New Roman" w:cs="Times New Roman" w:eastAsia="Times New Roman" w:hAnsi="Times New Roman"/>
          <w:sz w:val="17"/>
          <w:szCs w:val="17"/>
          <w:color w:val="auto"/>
        </w:rPr>
        <w:t>Borrowings under the 2025 Refinancing Dollar Term Facility and New Euro Term Loan Facility bear interest at a floating rate per annum, based on the SOFR plus an applicable spread and EURIBOR plus an applicable spread, respectively. As of September 27, 2025, we had $7,574 million and $729 million outstanding under the New Dollar Term Loan Facility and New Euro Term Loan Facility, respectively, bearing interest at variable rates. Each change of 25 basis point in interest rates would result in a $13.9 million change in annual interest expense on term loan borrowing.</w:t>
      </w:r>
    </w:p>
    <w:p>
      <w:pPr>
        <w:spacing w:after="0" w:line="167" w:lineRule="exact"/>
        <w:rPr>
          <w:sz w:val="20"/>
          <w:szCs w:val="20"/>
          <w:color w:val="auto"/>
        </w:rPr>
      </w:pPr>
    </w:p>
    <w:p>
      <w:pPr>
        <w:ind w:left="160" w:right="100" w:firstLine="436"/>
        <w:spacing w:after="0" w:line="255"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various rates per annum, all of which float with relevant rate indices, i.e., SOFR. As of September 27, 2025, we do not have borrowings outstanding under the Revolving Credit Facility. Although we do not have any borrowings outstanding under our Revolving Credit Facility as of September 27, 2025, had the Revolving Credit Facility been fully drawn, each change of 25 basis point in interest rates would result in a $2.5 million change in annual interest expense on such outstanding borrowings under the Revolving Credit Facility.</w:t>
      </w:r>
    </w:p>
    <w:p>
      <w:pPr>
        <w:spacing w:after="0" w:line="184" w:lineRule="exact"/>
        <w:rPr>
          <w:sz w:val="20"/>
          <w:szCs w:val="20"/>
          <w:color w:val="auto"/>
        </w:rPr>
      </w:pPr>
    </w:p>
    <w:p>
      <w:pPr>
        <w:jc w:val="both"/>
        <w:ind w:left="160" w:right="100" w:firstLine="436"/>
        <w:spacing w:after="0" w:line="258" w:lineRule="auto"/>
        <w:rPr>
          <w:sz w:val="20"/>
          <w:szCs w:val="20"/>
          <w:color w:val="auto"/>
        </w:rPr>
      </w:pPr>
      <w:r>
        <w:rPr>
          <w:rFonts w:ascii="Times New Roman" w:cs="Times New Roman" w:eastAsia="Times New Roman" w:hAnsi="Times New Roman"/>
          <w:sz w:val="18"/>
          <w:szCs w:val="18"/>
          <w:color w:val="auto"/>
        </w:rPr>
        <w:t>We have entered into interest rate swaps and interest rate caps to manage interest rate risk on our outstanding term debts. Interest rate swaps and interest rate caps allow us to effectively convert floating-rate payments into fixed-rate payments. Interest expenses on term debts are partially offset by the corresponding losses and gains on the related hedging instruments. The effective interest rate for USD denominated variable rate borrowings would change to 6.7% from 8.7% for the year ended December 31, 2024, after consideration of the related hedging instruments.</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60"/>
          </w:cols>
          <w:pgMar w:left="320" w:top="451" w:right="5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mission is to make healthcare run better by delivering improved clinical, financial, and operational outcomes.</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8"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We are the largest provider of med-surg products and supply chain solutions serving all points of care, based on total net sales of med-surg products. We deliver mission-critical products used daily across the full range of care settings, from hospitals and surgery centers to physician offices and post-acute facilities. Through our two segments, Medline Brand and Supply Chain Solutions, we offer approximately 335,000 med-surg products, including surgical and procedural kits, gloves and protective apparel, urological and incontinence care, wound care, and consumable lab and diagnostics products. We hold the leading position across several of our end markets and many of our key product families. We distribute these products through our expansive network of 69 global distribution facilities, spanning over 29 million square feet of warehouse space, and our owned fleet of over 2,000 MedTrans trucks, enabling us to provide next-day delivery to 95% of our U.S. customers. Our integrated business model and customer-centric culture drives lower costs and better value for our stakeholders. This is the foundation for our durable recurring revenue base, with our net sales having grown every year since inception of the Company at a CAGR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150495</wp:posOffset>
            </wp:positionV>
            <wp:extent cx="5146675" cy="26155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6675" cy="261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i w:val="1"/>
          <w:iCs w:val="1"/>
          <w:color w:val="auto"/>
        </w:rPr>
        <w:t>Note: Amounts were calculated in accordance with the historical accounting standards applicable to the Company in the relevant period.</w:t>
      </w:r>
    </w:p>
    <w:p>
      <w:pPr>
        <w:spacing w:after="0" w:line="206" w:lineRule="exact"/>
        <w:rPr>
          <w:sz w:val="20"/>
          <w:szCs w:val="20"/>
          <w:color w:val="auto"/>
        </w:rPr>
      </w:pPr>
    </w:p>
    <w:p>
      <w:pPr>
        <w:ind w:left="160" w:right="40" w:firstLine="436"/>
        <w:spacing w:after="0" w:line="253" w:lineRule="auto"/>
        <w:rPr>
          <w:sz w:val="20"/>
          <w:szCs w:val="20"/>
          <w:color w:val="auto"/>
        </w:rPr>
      </w:pPr>
      <w:r>
        <w:rPr>
          <w:rFonts w:ascii="Times New Roman" w:cs="Times New Roman" w:eastAsia="Times New Roman" w:hAnsi="Times New Roman"/>
          <w:sz w:val="18"/>
          <w:szCs w:val="18"/>
          <w:color w:val="auto"/>
        </w:rPr>
        <w:t>We were founded in 1966 as a med-surg product manufacturer serving the hospital and nursing home sites of care. Through our deep engagement with customers, we recognized a significant gap in the market—our customers were underserved by a fragmented supplier base and faced challenges navigating a complex supply chain. We identified their need for a supply chain partner that was fully integrated, cost-effective, high-quality, and resilient. Our vision was to create a differentiated model that solved these pain points through an integrated company that combined both manufacturing and distribution capabilities and would become a trusted partner to our customers. Twenty-eight years ago, we began augmenting our platform to bring this vision to life: we invested in our distribution capabilities, continued to expand our product portfolio, and adopted the Prime Vendor model. This enabled us to serve a more diverse customer base across multiple end markets, while</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060"/>
          </w:cols>
          <w:pgMar w:left="320" w:top="451" w:right="5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180"/>
        <w:spacing w:after="0" w:line="278" w:lineRule="auto"/>
        <w:rPr>
          <w:sz w:val="20"/>
          <w:szCs w:val="20"/>
          <w:color w:val="auto"/>
        </w:rPr>
      </w:pPr>
      <w:r>
        <w:rPr>
          <w:rFonts w:ascii="Times New Roman" w:cs="Times New Roman" w:eastAsia="Times New Roman" w:hAnsi="Times New Roman"/>
          <w:sz w:val="18"/>
          <w:szCs w:val="18"/>
          <w:color w:val="auto"/>
        </w:rPr>
        <w:t>lowering costs and delivering superior service levels. As a result, Medline is now the largest provider of med-surg products and supply chain solutions serving all points of care, based on total net sales of med-surg products.</w:t>
      </w:r>
    </w:p>
    <w:p>
      <w:pPr>
        <w:spacing w:after="0" w:line="162" w:lineRule="exact"/>
        <w:rPr>
          <w:sz w:val="20"/>
          <w:szCs w:val="20"/>
          <w:color w:val="auto"/>
        </w:rPr>
      </w:pPr>
    </w:p>
    <w:p>
      <w:pPr>
        <w:ind w:left="160" w:right="40" w:firstLine="436"/>
        <w:spacing w:after="0" w:line="254" w:lineRule="auto"/>
        <w:rPr>
          <w:sz w:val="20"/>
          <w:szCs w:val="20"/>
          <w:color w:val="auto"/>
        </w:rPr>
      </w:pPr>
      <w:r>
        <w:rPr>
          <w:rFonts w:ascii="Times New Roman" w:cs="Times New Roman" w:eastAsia="Times New Roman" w:hAnsi="Times New Roman"/>
          <w:sz w:val="18"/>
          <w:szCs w:val="18"/>
          <w:color w:val="auto"/>
        </w:rPr>
        <w:t>The combination of our expansive product portfolio and our differentiated supply chain creates a force multiplier for our business. Our Medline Brand segment offers approximately 190,000 products, including those manufactured in our 33 facilities, as well as those sourced from our more than 500 global partners. Our Supply Chain Solutions segment offers approximately 145,000 third-party products and provides customized supply chain optimization services. Our entire product portfolio across our segments is supported by differentiated logistics capabilities and a dedicated and tenured U.S. commercial team of approximately 3,800 people. These capabilities and our compelling value proposition allow us to serve as a long-term strategic partner to our customers and expand the scope of our relationships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145415</wp:posOffset>
            </wp:positionV>
            <wp:extent cx="5146675" cy="24625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6675" cy="2462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60" w:right="60" w:firstLine="436"/>
        <w:spacing w:after="0" w:line="252" w:lineRule="auto"/>
        <w:rPr>
          <w:sz w:val="20"/>
          <w:szCs w:val="20"/>
          <w:color w:val="auto"/>
        </w:rPr>
      </w:pPr>
      <w:r>
        <w:rPr>
          <w:rFonts w:ascii="Times New Roman" w:cs="Times New Roman" w:eastAsia="Times New Roman" w:hAnsi="Times New Roman"/>
          <w:sz w:val="18"/>
          <w:szCs w:val="18"/>
          <w:color w:val="auto"/>
        </w:rPr>
        <w:t>Our Prime Vendor relationships demonstrate our role as a trusted partner to our customers. In these relationships, we enter into long-term agreements to act as the consolidated distributor and logistics provider for these customers’ med-surg product needs. These partnerships give us visibility into our customers’ purchasing behaviors and demand dynamics, which allows us to anticipate their needs and deliver industry-leading service levels. As these relationships mature, we believe customers increasingly choose Medline Brand products for their superior value. Our Prime Vendor model is reinforced by the flywheel effect within our business where we drive cost savings for Prime Vendor customers, which, over time, supports incremental purchasing of our Medline Brand products and increases our scale. This dynamic allows us to drive further efficiencies by offering superior or similar quality to third-party products at a more cost-effective price. Due to the higher margin we earn on Medline Brand products compared to sales of comparable third-party products, we are able to reinvest in customer value while increasing our profitability.</w:t>
      </w:r>
    </w:p>
    <w:p>
      <w:pPr>
        <w:spacing w:after="0" w:line="187"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Since our founding, we have invested in building a unique customer-centric culture with an entrepreneurial spirit. Our employees are committed to deeply understanding how our customers operate, what challenges they face, and how Medline can better support them. They also understand that relationships are rooted in trust and that we must earn the right to serve our customers every day. We focus on problem solving across the continuum of care and we deploy a team of dedicated customer success representatives to learn the complex needs of our customers. Our creative and collaborative culture consistently earns Medline recognition as a preferred employer, including Newsweek’s Greatest Workplaces, Forbes’ America’s Best Large Employers, and a Chicago Tribune Top Workplace.</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80"/>
          </w:cols>
          <w:pgMar w:left="320" w:top="452" w:right="4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120" w:firstLine="436"/>
        <w:spacing w:after="0" w:line="254" w:lineRule="auto"/>
        <w:rPr>
          <w:sz w:val="20"/>
          <w:szCs w:val="20"/>
          <w:color w:val="auto"/>
        </w:rPr>
      </w:pPr>
      <w:r>
        <w:rPr>
          <w:rFonts w:ascii="Times New Roman" w:cs="Times New Roman" w:eastAsia="Times New Roman" w:hAnsi="Times New Roman"/>
          <w:sz w:val="18"/>
          <w:szCs w:val="18"/>
          <w:color w:val="auto"/>
        </w:rPr>
        <w:t>We have grown our net sales every year by retaining existing customers while gaining share with new and existing customers, with CAGRs of 18% since our founding and approximately 14% over the past 10 years. Notably, nearly 90% of our growth during the past 10 years has been organic. Our product portfolio predominantly consists of consumables, such that approximately 90% of our Medline Brand net sales were recurring for the year ended December 31, 2024. Our business is uniquely resilient during market downturns, as evidenced by our growth through every recession since our founding and during global healthcare crises. For example, our net sales grew at approximately 17% during the 2008-2009 financial crisis and at approximately 11% CAGR during the 2020-2022 COVID-19 pandemic.</w:t>
      </w:r>
    </w:p>
    <w:p>
      <w:pPr>
        <w:spacing w:after="0" w:line="184" w:lineRule="exact"/>
        <w:rPr>
          <w:sz w:val="20"/>
          <w:szCs w:val="20"/>
          <w:color w:val="auto"/>
        </w:rPr>
      </w:pPr>
    </w:p>
    <w:p>
      <w:pPr>
        <w:ind w:left="160" w:right="120" w:firstLine="436"/>
        <w:spacing w:after="0" w:line="255" w:lineRule="auto"/>
        <w:rPr>
          <w:sz w:val="20"/>
          <w:szCs w:val="20"/>
          <w:color w:val="auto"/>
        </w:rPr>
      </w:pPr>
      <w:r>
        <w:rPr>
          <w:rFonts w:ascii="Times New Roman" w:cs="Times New Roman" w:eastAsia="Times New Roman" w:hAnsi="Times New Roman"/>
          <w:sz w:val="18"/>
          <w:szCs w:val="18"/>
          <w:color w:val="auto"/>
        </w:rPr>
        <w:t>Not only does our business have a strong track record of results, but we also see significant runway for future sales and earnings growth. We are positioned to grow with our customers as healthcare utilization increases, as they build and acquire new sites, and as they further consolidate med-surg spend with Medline. In addition, we intend to further extend our leading position by adding new Prime Vendor relationships, increasing the number of non-Prime Vendor customers that choose Medline Brand, continuing our channel expansion, developing new products, executing on selective M&amp;A opportunities, and scaling our international footprint.</w:t>
      </w:r>
    </w:p>
    <w:p>
      <w:pPr>
        <w:spacing w:after="0" w:line="184" w:lineRule="exact"/>
        <w:rPr>
          <w:sz w:val="20"/>
          <w:szCs w:val="20"/>
          <w:color w:val="auto"/>
        </w:rPr>
      </w:pPr>
    </w:p>
    <w:p>
      <w:pPr>
        <w:ind w:left="160" w:right="340" w:firstLine="436"/>
        <w:spacing w:after="0" w:line="274" w:lineRule="auto"/>
        <w:rPr>
          <w:sz w:val="20"/>
          <w:szCs w:val="20"/>
          <w:color w:val="auto"/>
        </w:rPr>
      </w:pPr>
      <w:r>
        <w:rPr>
          <w:rFonts w:ascii="Times New Roman" w:cs="Times New Roman" w:eastAsia="Times New Roman" w:hAnsi="Times New Roman"/>
          <w:sz w:val="17"/>
          <w:szCs w:val="17"/>
          <w:color w:val="auto"/>
        </w:rPr>
        <w:t>For the nine months ended September 27, 2025, we generated net sales of $20.6 billion, net income of $1.0 billion, and Adjusted EBITDA of $2.7 billion, representing a net income margin of 4.7% and an Adjusted EBITDA Margin of 12.9%. During that period, 48.4% of total net sales and</w:t>
      </w:r>
    </w:p>
    <w:p>
      <w:pPr>
        <w:jc w:val="both"/>
        <w:ind w:left="160" w:right="40"/>
        <w:spacing w:after="0" w:line="262" w:lineRule="auto"/>
        <w:rPr>
          <w:sz w:val="20"/>
          <w:szCs w:val="20"/>
          <w:color w:val="auto"/>
        </w:rPr>
      </w:pPr>
      <w:r>
        <w:rPr>
          <w:rFonts w:ascii="Times New Roman" w:cs="Times New Roman" w:eastAsia="Times New Roman" w:hAnsi="Times New Roman"/>
          <w:sz w:val="17"/>
          <w:szCs w:val="17"/>
          <w:color w:val="auto"/>
        </w:rPr>
        <w:t>81.2% of Segment Adjusted EBITDA were generated from our Medline Brand segment, while 51.6% of total net sales and 18.8% of Segment Adjusted EBITDA were generated from our Supply Chain Solutions segment. For the year ended December 31, 2024, we generated net sales of $25.5 billion, net income of $1.2 billion, and Adjusted EBITDA of $3.4 billion, representing a net income margin of 4.7% and an Adjusted EBITDA Margin of 13.2%.</w:t>
      </w:r>
    </w:p>
    <w:p>
      <w:pPr>
        <w:spacing w:after="0" w:line="2" w:lineRule="exact"/>
        <w:rPr>
          <w:sz w:val="20"/>
          <w:szCs w:val="20"/>
          <w:color w:val="auto"/>
        </w:rPr>
      </w:pPr>
    </w:p>
    <w:p>
      <w:pPr>
        <w:ind w:left="160"/>
        <w:spacing w:after="0" w:line="250" w:lineRule="auto"/>
        <w:rPr>
          <w:sz w:val="20"/>
          <w:szCs w:val="20"/>
          <w:color w:val="auto"/>
        </w:rPr>
      </w:pPr>
      <w:r>
        <w:rPr>
          <w:rFonts w:ascii="Times New Roman" w:cs="Times New Roman" w:eastAsia="Times New Roman" w:hAnsi="Times New Roman"/>
          <w:sz w:val="18"/>
          <w:szCs w:val="18"/>
          <w:color w:val="auto"/>
        </w:rPr>
        <w:t>During that period, 49.1% of total net sales and 83.5% of Segment Adjusted EBITDA were generated from our Medline Brand segment, while 50.9% of total net sales and 16.5% of Segment Adjusted EBITDA were generated from our Supply Chain Solutions segment. For a reconciliation of Adjusted EBITDA and Adjusted EBITDA Margin to the most directly comparable financial measures that are presented in GAAP, information about why we consider Adjusted EBITDA and Adjusted EBITDA Margin useful, and a discussion of the material risks and limitations of these measures, see “Management’s Discussion and Analysis of Financial Condition and Results of Operations—Non-GAAP Financial Information.”</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118" w:lineRule="exact"/>
        <w:rPr>
          <w:sz w:val="20"/>
          <w:szCs w:val="20"/>
          <w:color w:val="auto"/>
        </w:rPr>
      </w:pPr>
    </w:p>
    <w:p>
      <w:pPr>
        <w:ind w:left="160" w:right="340" w:firstLine="436"/>
        <w:spacing w:after="0" w:line="308" w:lineRule="auto"/>
        <w:rPr>
          <w:sz w:val="20"/>
          <w:szCs w:val="20"/>
          <w:color w:val="auto"/>
        </w:rPr>
      </w:pPr>
      <w:r>
        <w:rPr>
          <w:rFonts w:ascii="Times New Roman" w:cs="Times New Roman" w:eastAsia="Times New Roman" w:hAnsi="Times New Roman"/>
          <w:sz w:val="17"/>
          <w:szCs w:val="17"/>
          <w:color w:val="auto"/>
        </w:rPr>
        <w:t>The combination of our Medline Brand and Supply Chain Solutions segments addresses critical needs in the market through a comprehensive solution. Both segments are supported by our Prime Vendor model, differentiated distribution network, and robust commercial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1193165</wp:posOffset>
            </wp:positionH>
            <wp:positionV relativeFrom="paragraph">
              <wp:posOffset>117475</wp:posOffset>
            </wp:positionV>
            <wp:extent cx="4755515" cy="16560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755515" cy="165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40"/>
          </w:cols>
          <w:pgMar w:left="320" w:top="451" w:right="5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18" w:lineRule="exact"/>
        <w:rPr>
          <w:sz w:val="20"/>
          <w:szCs w:val="20"/>
          <w:color w:val="auto"/>
        </w:rPr>
      </w:pPr>
    </w:p>
    <w:p>
      <w:pPr>
        <w:jc w:val="both"/>
        <w:ind w:left="160" w:right="140" w:firstLine="436"/>
        <w:spacing w:after="0" w:line="258" w:lineRule="auto"/>
        <w:rPr>
          <w:sz w:val="20"/>
          <w:szCs w:val="20"/>
          <w:color w:val="auto"/>
        </w:rPr>
      </w:pPr>
      <w:r>
        <w:rPr>
          <w:rFonts w:ascii="Times New Roman" w:cs="Times New Roman" w:eastAsia="Times New Roman" w:hAnsi="Times New Roman"/>
          <w:sz w:val="18"/>
          <w:szCs w:val="18"/>
          <w:color w:val="auto"/>
        </w:rPr>
        <w:t>We estimate our TAM to be approximately $375 billion globally. Of this amount, we estimate that the United States represents an approximately $175 billion opportunity, diversified across acute care and non-acute care (including but not limited to surgery centers, dental, animal health, physician offices, and post-acute care). We estimate that international markets represent an approximately $200 billion opportunity, diversified across acute care and non-acute care. See “Market and Industry Data” for how we define our TAM.</w:t>
      </w:r>
    </w:p>
    <w:p>
      <w:pPr>
        <w:spacing w:after="0" w:line="180" w:lineRule="exact"/>
        <w:rPr>
          <w:sz w:val="20"/>
          <w:szCs w:val="20"/>
          <w:color w:val="auto"/>
        </w:rPr>
      </w:pPr>
    </w:p>
    <w:p>
      <w:pPr>
        <w:ind w:left="160" w:right="40" w:firstLine="436"/>
        <w:spacing w:after="0" w:line="274" w:lineRule="auto"/>
        <w:rPr>
          <w:sz w:val="20"/>
          <w:szCs w:val="20"/>
          <w:color w:val="auto"/>
        </w:rPr>
      </w:pPr>
      <w:r>
        <w:rPr>
          <w:rFonts w:ascii="Times New Roman" w:cs="Times New Roman" w:eastAsia="Times New Roman" w:hAnsi="Times New Roman"/>
          <w:sz w:val="17"/>
          <w:szCs w:val="17"/>
          <w:color w:val="auto"/>
        </w:rPr>
        <w:t>Demand within the overall U.S. healthcare market is largely insulated from macroeconomic events and market cycles due to non-cyclical demand as evidenced by the fact that healthcare spending in the United States has increased every year for the past sixty years according to CMS. We expect our market opportunity in the United States will grow over the long-term, driven by secular tailwinds including an aging population and the growing prevalence of chronic conditions, which are expected to drive elevated volumes and increased health expenditures over the long term. Due to these factors, national health expenditures are expected to outpace GDP growth at an annual growth rate of 5.6% from 2023 to 2032 according to CMS.</w:t>
      </w:r>
    </w:p>
    <w:p>
      <w:pPr>
        <w:spacing w:after="0" w:line="168" w:lineRule="exact"/>
        <w:rPr>
          <w:sz w:val="20"/>
          <w:szCs w:val="20"/>
          <w:color w:val="auto"/>
        </w:rPr>
      </w:pPr>
    </w:p>
    <w:p>
      <w:pPr>
        <w:ind w:left="160" w:right="120" w:firstLine="436"/>
        <w:spacing w:after="0" w:line="278" w:lineRule="auto"/>
        <w:rPr>
          <w:sz w:val="20"/>
          <w:szCs w:val="20"/>
          <w:color w:val="auto"/>
        </w:rPr>
      </w:pPr>
      <w:r>
        <w:rPr>
          <w:rFonts w:ascii="Times New Roman" w:cs="Times New Roman" w:eastAsia="Times New Roman" w:hAnsi="Times New Roman"/>
          <w:sz w:val="18"/>
          <w:szCs w:val="18"/>
          <w:color w:val="auto"/>
        </w:rPr>
        <w:t>International markets also represent an attractive opportunity as net sales outside of the United States represented only 6.9% of our total net sales for the year ended December 31, 2024.</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market opportunity is enhanced by the following dynamics:</w:t>
      </w:r>
    </w:p>
    <w:p>
      <w:pPr>
        <w:spacing w:after="0" w:line="125" w:lineRule="exact"/>
        <w:rPr>
          <w:sz w:val="20"/>
          <w:szCs w:val="20"/>
          <w:color w:val="auto"/>
        </w:rPr>
      </w:pPr>
    </w:p>
    <w:p>
      <w:pPr>
        <w:ind w:left="1140" w:hanging="438"/>
        <w:spacing w:after="0" w:line="280" w:lineRule="auto"/>
        <w:tabs>
          <w:tab w:leader="none" w:pos="11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Margin Pressure Across End Markets</w:t>
      </w:r>
      <w:r>
        <w:rPr>
          <w:rFonts w:ascii="Times New Roman" w:cs="Times New Roman" w:eastAsia="Times New Roman" w:hAnsi="Times New Roman"/>
          <w:sz w:val="18"/>
          <w:szCs w:val="18"/>
          <w:color w:val="auto"/>
        </w:rPr>
        <w:t>: Hospitals generally operate at a low margin; given these dynamics, health systems and providers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heavily focused on mitigating costs and increasing the quality of care.</w:t>
      </w:r>
    </w:p>
    <w:p>
      <w:pPr>
        <w:spacing w:after="0" w:line="65" w:lineRule="exact"/>
        <w:rPr>
          <w:rFonts w:ascii="Times New Roman" w:cs="Times New Roman" w:eastAsia="Times New Roman" w:hAnsi="Times New Roman"/>
          <w:sz w:val="18"/>
          <w:szCs w:val="18"/>
          <w:color w:val="auto"/>
        </w:rPr>
      </w:pPr>
    </w:p>
    <w:p>
      <w:pPr>
        <w:ind w:left="1140" w:right="260" w:hanging="438"/>
        <w:spacing w:after="0" w:line="280" w:lineRule="auto"/>
        <w:tabs>
          <w:tab w:leader="none" w:pos="11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Shift in Volumes Outside of the Hospital</w:t>
      </w:r>
      <w:r>
        <w:rPr>
          <w:rFonts w:ascii="Times New Roman" w:cs="Times New Roman" w:eastAsia="Times New Roman" w:hAnsi="Times New Roman"/>
          <w:sz w:val="18"/>
          <w:szCs w:val="18"/>
          <w:color w:val="auto"/>
        </w:rPr>
        <w:t>: As overall healthcare utilization increases, higher acuity procedures continue to shift to lower-cost sites of care, such as surgery centers and physician offices.</w:t>
      </w:r>
    </w:p>
    <w:p>
      <w:pPr>
        <w:spacing w:after="0" w:line="65" w:lineRule="exact"/>
        <w:rPr>
          <w:rFonts w:ascii="Times New Roman" w:cs="Times New Roman" w:eastAsia="Times New Roman" w:hAnsi="Times New Roman"/>
          <w:sz w:val="18"/>
          <w:szCs w:val="18"/>
          <w:color w:val="auto"/>
        </w:rPr>
      </w:pPr>
    </w:p>
    <w:p>
      <w:pPr>
        <w:ind w:left="1140" w:right="60" w:hanging="438"/>
        <w:spacing w:after="0" w:line="280" w:lineRule="auto"/>
        <w:tabs>
          <w:tab w:leader="none" w:pos="11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Healthcare Consolidation</w:t>
      </w:r>
      <w:r>
        <w:rPr>
          <w:rFonts w:ascii="Times New Roman" w:cs="Times New Roman" w:eastAsia="Times New Roman" w:hAnsi="Times New Roman"/>
          <w:sz w:val="18"/>
          <w:szCs w:val="18"/>
          <w:color w:val="auto"/>
        </w:rPr>
        <w:t>: Consolidation activity is expected to continue, as hospitals combine to drive scale and create integrated models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serve the continuum of care.</w:t>
      </w:r>
    </w:p>
    <w:p>
      <w:pPr>
        <w:spacing w:after="0" w:line="65" w:lineRule="exact"/>
        <w:rPr>
          <w:rFonts w:ascii="Times New Roman" w:cs="Times New Roman" w:eastAsia="Times New Roman" w:hAnsi="Times New Roman"/>
          <w:sz w:val="18"/>
          <w:szCs w:val="18"/>
          <w:color w:val="auto"/>
        </w:rPr>
      </w:pPr>
    </w:p>
    <w:p>
      <w:pPr>
        <w:ind w:left="1140" w:right="20" w:hanging="438"/>
        <w:spacing w:after="0" w:line="280" w:lineRule="auto"/>
        <w:tabs>
          <w:tab w:leader="none" w:pos="11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Supply Chain Resiliency</w:t>
      </w:r>
      <w:r>
        <w:rPr>
          <w:rFonts w:ascii="Times New Roman" w:cs="Times New Roman" w:eastAsia="Times New Roman" w:hAnsi="Times New Roman"/>
          <w:sz w:val="18"/>
          <w:szCs w:val="18"/>
          <w:color w:val="auto"/>
        </w:rPr>
        <w:t>: Supply chain disruptions and shortages have revealed the industry’s need for in-stock products and short delivery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timeframes.</w:t>
      </w:r>
    </w:p>
    <w:p>
      <w:pPr>
        <w:spacing w:after="0" w:line="157" w:lineRule="exact"/>
        <w:rPr>
          <w:sz w:val="20"/>
          <w:szCs w:val="20"/>
          <w:color w:val="auto"/>
        </w:rPr>
      </w:pPr>
    </w:p>
    <w:p>
      <w:pPr>
        <w:ind w:left="160" w:right="20" w:firstLine="43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Medline Brand. </w:t>
      </w:r>
      <w:r>
        <w:rPr>
          <w:rFonts w:ascii="Times New Roman" w:cs="Times New Roman" w:eastAsia="Times New Roman" w:hAnsi="Times New Roman"/>
          <w:sz w:val="18"/>
          <w:szCs w:val="18"/>
          <w:color w:val="auto"/>
        </w:rPr>
        <w:t>We offer our customers approximately 190,000 med-surg products through our Medline Brand segment. We have leading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positions across many key product families within the approximately $75 billion SAM for our Medline Brand products. See “Market and Industry Data” for how we define our SAM.</w:t>
      </w:r>
    </w:p>
    <w:p>
      <w:pPr>
        <w:spacing w:after="0" w:line="1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60"/>
          </w:cols>
          <w:pgMar w:left="320" w:top="451" w:right="5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Our Medline Brand products are organized into three product categories: Front Line Care, Surgical Solutions, and Laboratory and Diagnostics.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176530</wp:posOffset>
            </wp:positionV>
            <wp:extent cx="5146675" cy="25565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6675" cy="255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Select Medline Brand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170180</wp:posOffset>
            </wp:positionV>
            <wp:extent cx="5146675" cy="22504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6675" cy="2250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0780"/>
          </w:cols>
          <w:pgMar w:left="320" w:top="451" w:right="7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170180</wp:posOffset>
            </wp:positionV>
            <wp:extent cx="5146675" cy="13246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6675" cy="1324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We produce approximately one-third of Medline Brand products, which are primarily Class I and II medical devices, through our 33 manufacturing facilities, of which 26 are in North America. We focus our manufacturing capabilities on products where we can leverage technology and automation to drive higher quality and lower costs to better serve our customers.</w:t>
      </w:r>
    </w:p>
    <w:p>
      <w:pPr>
        <w:spacing w:after="0" w:line="175"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Our manufacturing capabilities enable many of our Medline Brand products to become category leaders. For example, Medline began manufacturing surgical procedure trays in 1985 and is the largest kitting manufacturer in the United States as of December 31, 2024. Our surgical kitting trays come complete with the majority of the supplies a surgeon needs in one convenient pack. This improves outcomes, shortening the time it takes to manage the supplies needed for a procedure and reducing waste. These trays benefit healthcare providers by not having to pick each individual item from their supply shelves. Our leading position is enabled by both the value our trays provide to physicians as well as the scale and efficiency of our facilities that manufacture these products, including our Nuevo Laredo and Mexicali, Mexico facilities. Our kitting facilities employ more than 9,300 people, with over 900,000 kits made every day across North America, Australia, Asia, and Europe.</w:t>
      </w:r>
    </w:p>
    <w:p>
      <w:pPr>
        <w:spacing w:after="0" w:line="184" w:lineRule="exact"/>
        <w:rPr>
          <w:sz w:val="20"/>
          <w:szCs w:val="20"/>
          <w:color w:val="auto"/>
        </w:rPr>
      </w:pPr>
    </w:p>
    <w:p>
      <w:pPr>
        <w:ind w:left="160" w:right="20" w:firstLine="436"/>
        <w:spacing w:after="0" w:line="271" w:lineRule="auto"/>
        <w:rPr>
          <w:sz w:val="20"/>
          <w:szCs w:val="20"/>
          <w:color w:val="auto"/>
        </w:rPr>
      </w:pPr>
      <w:r>
        <w:rPr>
          <w:rFonts w:ascii="Times New Roman" w:cs="Times New Roman" w:eastAsia="Times New Roman" w:hAnsi="Times New Roman"/>
          <w:sz w:val="17"/>
          <w:szCs w:val="17"/>
          <w:color w:val="auto"/>
        </w:rPr>
        <w:t>For the vast majority of the other two-thirds of Medline Brand products, we utilize a network of more than 500 global partners across a diversified set of approximately 40 countries, with approximately 300 of these relationships being exclusive to us. Our relationships with these Medline Brand partners are exceptionally strong, with some originating nearly 30 years ago. The breadth of our partnerships also provides global diversification and strengthens our resiliency, with no single sourcing partner accounting for more than 4% of total spend as of December 31, 2024. Taken together, our self-manufacturing capabilities and differentiated global sourcing relationships result in high-quality products while allowing us to manage costs. This network also enables us to achieve a highly efficient and geographically diversified supply base, which ensures our resiliency during market disruptions.</w:t>
      </w:r>
    </w:p>
    <w:p>
      <w:pPr>
        <w:spacing w:after="0" w:line="173" w:lineRule="exact"/>
        <w:rPr>
          <w:sz w:val="20"/>
          <w:szCs w:val="20"/>
          <w:color w:val="auto"/>
        </w:rPr>
      </w:pPr>
    </w:p>
    <w:p>
      <w:pPr>
        <w:ind w:left="160" w:right="40" w:firstLine="436"/>
        <w:spacing w:after="0" w:line="258" w:lineRule="auto"/>
        <w:rPr>
          <w:sz w:val="20"/>
          <w:szCs w:val="20"/>
          <w:color w:val="auto"/>
        </w:rPr>
      </w:pPr>
      <w:r>
        <w:rPr>
          <w:rFonts w:ascii="Times New Roman" w:cs="Times New Roman" w:eastAsia="Times New Roman" w:hAnsi="Times New Roman"/>
          <w:sz w:val="18"/>
          <w:szCs w:val="18"/>
          <w:color w:val="auto"/>
        </w:rPr>
        <w:t>Our ability to identify and address customer needs through the introduction of new products was honed over decades of feedback from customers. Challenging our team to listen intently to customers’ pain points and thoughtfully craft product innovation solutions has been a critical growth lever and retention driver for our business. The execution of this model is core to our strategy—we have successfully launched 268 new products over the last three years and will continue to innovate as a trusted thought partner of our customer base.</w:t>
      </w:r>
    </w:p>
    <w:p>
      <w:pPr>
        <w:spacing w:after="0" w:line="180" w:lineRule="exact"/>
        <w:rPr>
          <w:sz w:val="20"/>
          <w:szCs w:val="20"/>
          <w:color w:val="auto"/>
        </w:rPr>
      </w:pPr>
    </w:p>
    <w:p>
      <w:pPr>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We are committed to delivering products of the highest standard, which is reflected by our robust quality team of over 2,400 employees. Our quality control team is integrated and embedded across our manufacturing and sourcing locations. Their expertise ensures that every product bearing the Medline brand meets both our rigorous quality standards and our customers’ expectations, as evidenced by our over 99.99% complaint-free rate.</w:t>
      </w:r>
    </w:p>
    <w:p>
      <w:pPr>
        <w:spacing w:after="0" w:line="171" w:lineRule="exact"/>
        <w:rPr>
          <w:sz w:val="20"/>
          <w:szCs w:val="20"/>
          <w:color w:val="auto"/>
        </w:rPr>
      </w:pPr>
    </w:p>
    <w:p>
      <w:pPr>
        <w:ind w:left="160" w:right="200" w:firstLine="436"/>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Supply Chain Solutions. </w:t>
      </w:r>
      <w:r>
        <w:rPr>
          <w:rFonts w:ascii="Times New Roman" w:cs="Times New Roman" w:eastAsia="Times New Roman" w:hAnsi="Times New Roman"/>
          <w:sz w:val="18"/>
          <w:szCs w:val="18"/>
          <w:color w:val="auto"/>
        </w:rPr>
        <w:t>We offer approximately 145,000 med-surg products from over 1,250 third-party suppliers, including nearly all leading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national brands, through our Supply Chain Solutions segment. As a scaled</w:t>
      </w:r>
    </w:p>
    <w:p>
      <w:pPr>
        <w:spacing w:after="0" w:line="9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60"/>
          </w:cols>
          <w:pgMar w:left="320" w:top="451" w:right="5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line="254" w:lineRule="auto"/>
        <w:rPr>
          <w:sz w:val="20"/>
          <w:szCs w:val="20"/>
          <w:color w:val="auto"/>
        </w:rPr>
      </w:pPr>
      <w:r>
        <w:rPr>
          <w:rFonts w:ascii="Times New Roman" w:cs="Times New Roman" w:eastAsia="Times New Roman" w:hAnsi="Times New Roman"/>
          <w:sz w:val="18"/>
          <w:szCs w:val="18"/>
          <w:color w:val="auto"/>
        </w:rPr>
        <w:t>service provider that sells and delivers to the entire continuum of care, Medline is a highly desirable partner to these brands. We also provide our customers with supply chain optimization services such as consulting engagements, outsourced warehouse and technology management, put-away-ready packaging, third-party logistics, inventory rationalization, and route planning. Supply Chain Solutions contracts include contractual distributor mark-ups, which may differ by customer agreement. Our supply chain expertise allows us to provide additional service offerings to optimize our customers’ supply chain and inventory workflows, helping these customers cost-effectively manage their supply chain while building strong relationships and enhancing retention.</w:t>
      </w:r>
    </w:p>
    <w:p>
      <w:pPr>
        <w:spacing w:after="0" w:line="184" w:lineRule="exact"/>
        <w:rPr>
          <w:sz w:val="20"/>
          <w:szCs w:val="20"/>
          <w:color w:val="auto"/>
        </w:rPr>
      </w:pPr>
    </w:p>
    <w:p>
      <w:pPr>
        <w:ind w:left="160" w:right="120" w:firstLine="436"/>
        <w:spacing w:after="0" w:line="258" w:lineRule="auto"/>
        <w:rPr>
          <w:sz w:val="20"/>
          <w:szCs w:val="20"/>
          <w:color w:val="auto"/>
        </w:rPr>
      </w:pPr>
      <w:r>
        <w:rPr>
          <w:rFonts w:ascii="Times New Roman" w:cs="Times New Roman" w:eastAsia="Times New Roman" w:hAnsi="Times New Roman"/>
          <w:sz w:val="18"/>
          <w:szCs w:val="18"/>
          <w:color w:val="auto"/>
        </w:rPr>
        <w:t>Additionally, we continue to bolster our supply chain offerings to better serve our customers. For example, in October 2024 we announced a partnership with Microsoft to design an innovative healthcare supply chain resiliency solution, leveraging AI-generated insights to provide integrated inventory management. This will combine customer and supplier data to develop better insights into customer purchasing patterns and optimize service levels, among other capabilities.</w:t>
      </w:r>
    </w:p>
    <w:p>
      <w:pPr>
        <w:spacing w:after="0" w:line="176" w:lineRule="exact"/>
        <w:rPr>
          <w:sz w:val="20"/>
          <w:szCs w:val="20"/>
          <w:color w:val="auto"/>
        </w:rPr>
      </w:pPr>
    </w:p>
    <w:p>
      <w:pPr>
        <w:ind w:left="160" w:firstLine="43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Prime Vendor Model. </w:t>
      </w:r>
      <w:r>
        <w:rPr>
          <w:rFonts w:ascii="Times New Roman" w:cs="Times New Roman" w:eastAsia="Times New Roman" w:hAnsi="Times New Roman"/>
          <w:sz w:val="18"/>
          <w:szCs w:val="18"/>
          <w:color w:val="auto"/>
        </w:rPr>
        <w:t>In our Prime Vendor relationships, we enter into long-term agreements, typically structured with five-year terms, to act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the primary consolidated logistics partner for these customers’ med-surg product needs. These agreements have been and will continue to be a key contributor to our growth. Our customers realize efficiencies by partnering with one supply chain partner to consolidate their med-surg purchase volume. Prior to the market adoption of the Prime Vendor model, customers sourced such products individually from a highly fragmented base of suppliers. The Prime Vendor model instead centralizes procurement and distribution, which in turn drives efficiency and higher service levels.</w:t>
      </w:r>
    </w:p>
    <w:p>
      <w:pPr>
        <w:spacing w:after="0" w:line="184" w:lineRule="exact"/>
        <w:rPr>
          <w:sz w:val="20"/>
          <w:szCs w:val="20"/>
          <w:color w:val="auto"/>
        </w:rPr>
      </w:pPr>
    </w:p>
    <w:p>
      <w:pPr>
        <w:ind w:left="160" w:right="80" w:firstLine="436"/>
        <w:spacing w:after="0" w:line="251" w:lineRule="auto"/>
        <w:rPr>
          <w:sz w:val="20"/>
          <w:szCs w:val="20"/>
          <w:color w:val="auto"/>
        </w:rPr>
      </w:pPr>
      <w:r>
        <w:rPr>
          <w:rFonts w:ascii="Times New Roman" w:cs="Times New Roman" w:eastAsia="Times New Roman" w:hAnsi="Times New Roman"/>
          <w:sz w:val="18"/>
          <w:szCs w:val="18"/>
          <w:color w:val="auto"/>
        </w:rPr>
        <w:t>As Prime Vendor, we drive significant cost savings to our customers. Our scale allows us to deliver consistently lower prices and better service levels on Medline Brand products relative to third-party alternatives, while also lowering the distribution cost for delivery of the full range of med-surg products. This often motivates customers to purchase more Medline Brand products over time. For example, in the acute care sector, at the beginning of a Prime Vendor relationship, Medline Brand products typically represent approximately 10% of a customer’s product mix but has the potential to reach approximately 60% Medline Brand over time. The opportunity is even greater in certain non-acute settings, where we sell a more focused product portfolio. Our Prime Vendor model is reinforced by the flywheel effect within our business where we drive cost savings for Prime Vendor customers, which, over time, supports incremental purchasing of our Medline Brand products and increases our scale. This dynamic allows us to drive further efficiencies by offering superior or similar quality to third-party products at a more cost-effective price. Due to the higher margin we earn on Medline Brand products compared to sales of comparable third-party products, we are able to reinvest in customer value while increasing our profitability. This compelling value proposition and supply chain relationship with our customers supports our greater than 98% average Prime Vendor retention rate over the past five years.</w:t>
      </w:r>
    </w:p>
    <w:p>
      <w:pPr>
        <w:spacing w:after="0" w:line="187" w:lineRule="exact"/>
        <w:rPr>
          <w:sz w:val="20"/>
          <w:szCs w:val="20"/>
          <w:color w:val="auto"/>
        </w:rPr>
      </w:pPr>
    </w:p>
    <w:p>
      <w:pPr>
        <w:ind w:left="160" w:right="20" w:firstLine="436"/>
        <w:spacing w:after="0" w:line="265" w:lineRule="auto"/>
        <w:rPr>
          <w:sz w:val="20"/>
          <w:szCs w:val="20"/>
          <w:color w:val="auto"/>
        </w:rPr>
      </w:pPr>
      <w:r>
        <w:rPr>
          <w:rFonts w:ascii="Times New Roman" w:cs="Times New Roman" w:eastAsia="Times New Roman" w:hAnsi="Times New Roman"/>
          <w:sz w:val="17"/>
          <w:szCs w:val="17"/>
          <w:color w:val="auto"/>
        </w:rPr>
        <w:t>Our differentiated capabilities have enabled us to grow and scale our Prime Vendor model over time. Over just the past six years, we have signed new Prime Vendor agreements representing approximately $8 billion of annual contract value and have over 1,300 Prime Vendor relationships as of December 31, 2024, representing $16.0 billion of net sales for the year ended December 31, 2024. Our Prime Vendor relationships, combined with our strong customer retention, supports a highly recurring business model. Today, our Prime Vendor agreements have an approximate average mix of 65% Supply Chain Solutions and 35% Medline Brand, presenting a significant opportunity to drive customer savings through further Medline Brand adoption in the years ahead. Supply Chain Solutions products for which like-for-like Medline Brand products are available represented approximately $4.0 billion in net sales to existing Prime Vendor customers as of December 31, 2024. Assuming historical margins, if 100% of such products were converted to available like-for-like Medline Brand products, the incremental gross profit opportunity associated with such conversion would be approximately</w:t>
      </w:r>
    </w:p>
    <w:p>
      <w:pPr>
        <w:spacing w:after="0" w:line="4" w:lineRule="exact"/>
        <w:rPr>
          <w:sz w:val="20"/>
          <w:szCs w:val="20"/>
          <w:color w:val="auto"/>
        </w:rPr>
      </w:pPr>
    </w:p>
    <w:p>
      <w:pPr>
        <w:ind w:left="160" w:right="60"/>
        <w:spacing w:after="0" w:line="252" w:lineRule="auto"/>
        <w:rPr>
          <w:sz w:val="20"/>
          <w:szCs w:val="20"/>
          <w:color w:val="auto"/>
        </w:rPr>
      </w:pPr>
      <w:r>
        <w:rPr>
          <w:rFonts w:ascii="Times New Roman" w:cs="Times New Roman" w:eastAsia="Times New Roman" w:hAnsi="Times New Roman"/>
          <w:sz w:val="18"/>
          <w:szCs w:val="18"/>
          <w:color w:val="auto"/>
        </w:rPr>
        <w:t>$1.0 billion. Conversion of 100% of this opportunity is not immediately achievable, and we cannot provide any assurance regarding the timing or extent of any such conversions. While we historically have earned higher margins upon conversion from third-party national brand products to like-for-like Medline Brand products, because of the</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80"/>
          </w:cols>
          <w:pgMar w:left="320" w:top="452" w:right="4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line="271" w:lineRule="auto"/>
        <w:rPr>
          <w:sz w:val="20"/>
          <w:szCs w:val="20"/>
          <w:color w:val="auto"/>
        </w:rPr>
      </w:pPr>
      <w:r>
        <w:rPr>
          <w:rFonts w:ascii="Times New Roman" w:cs="Times New Roman" w:eastAsia="Times New Roman" w:hAnsi="Times New Roman"/>
          <w:sz w:val="17"/>
          <w:szCs w:val="17"/>
          <w:color w:val="auto"/>
        </w:rPr>
        <w:t>lower average prices for Medline Brand products, there is typically a negative impact on net sales upon the conversion of Supply Chain Solutions products to like-for-like Medline Brand products if volume is assumed to be constant. We believe that the average margins for Supply Chain Solutions products converted to Medline Brand products have not significantly differed from those that have not been converted. Similarly, the average margins of products converted to Medline Brand do not vary materially from their unconverted counterparts. Therefore, we assume our historical estimates will continue with future conversions. For further information on potential risks relating to this conversion opportunity, please refer to “Risk Factors—Risks Related to Our Business, Industry and Operations—Our failure to establish and maintain Prime Vendor relationships may cause our revenue to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139065</wp:posOffset>
            </wp:positionV>
            <wp:extent cx="4866005" cy="27343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866005"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i w:val="1"/>
          <w:iCs w:val="1"/>
          <w:color w:val="auto"/>
        </w:rPr>
        <w:t>Note: Data represents average Medline Brand net sales percentage mix across cohorts 2014 – 2023.</w:t>
      </w:r>
    </w:p>
    <w:p>
      <w:pPr>
        <w:spacing w:after="0" w:line="202" w:lineRule="exact"/>
        <w:rPr>
          <w:sz w:val="20"/>
          <w:szCs w:val="20"/>
          <w:color w:val="auto"/>
        </w:rPr>
      </w:pPr>
    </w:p>
    <w:p>
      <w:pPr>
        <w:ind w:left="160" w:right="20" w:firstLine="436"/>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Distribution Network. </w:t>
      </w:r>
      <w:r>
        <w:rPr>
          <w:rFonts w:ascii="Times New Roman" w:cs="Times New Roman" w:eastAsia="Times New Roman" w:hAnsi="Times New Roman"/>
          <w:sz w:val="18"/>
          <w:szCs w:val="18"/>
          <w:color w:val="auto"/>
        </w:rPr>
        <w:t>We have a differentiated network of 69 global distribution centers, 45 of which are in the United States.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centers are strategically located to provide next-day delivery to 95% of our U.S. customer base. With over 26 million square feet in the United States, they are expertly designed to optimize distribution logistics and maximize utilization. The products we distribute are packaged to meet each customer’s individual needs and to be “put-away-ready,” which streamlines the customer’s unloading and shelving process. We utilize AI and robotics technology in our distribution centers to drive efficiency and reduce costs. Our technologically advanced distribution centers allow us to extend cutoff times, expand our product offering, and better service our expanding customer base. We also operate our own fleet of more than 2,000 MedTrans trucks that deliver our products across care settings within the United States. Our $4.5 billion of global inventory as of December 31, 2024, and our market-leading supply chain capabilities drive our ability to fulfill customer orders with service levels of 99% and support our high customer satisfaction levels. Over the last five years, we have invested $1.6 billion in total capital expenditures within our distribution network. As of</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40"/>
          </w:cols>
          <w:pgMar w:left="320" w:top="452" w:right="5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December 31, 2024, we had approximately 25% in excess capacity across our platform to support our long-term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1193165</wp:posOffset>
            </wp:positionH>
            <wp:positionV relativeFrom="paragraph">
              <wp:posOffset>168910</wp:posOffset>
            </wp:positionV>
            <wp:extent cx="4755515" cy="32696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755515" cy="3269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Commercial Platform. </w:t>
      </w:r>
      <w:r>
        <w:rPr>
          <w:rFonts w:ascii="Times New Roman" w:cs="Times New Roman" w:eastAsia="Times New Roman" w:hAnsi="Times New Roman"/>
          <w:sz w:val="18"/>
          <w:szCs w:val="18"/>
          <w:color w:val="auto"/>
        </w:rPr>
        <w:t>Our deep connectivity to our customers is driven by the strength of our dedicated and tenured commercial team.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a U.S. commercial team of approximately 3,800 people across all points of care, which includes account managers, product specialists, specialized clinical resources, customer service representatives, supply chain specialists, and Prime Vendor analysts. Our team prides themselves on their deep-rooted customer relationships and the value of their longstanding partnerships. We have created an entrepreneurial environment that empowers our salesforce to work with our product managers and innovate to meet market demand. We have a team devoted to each channel in the United States and each region or country internationally, which allows our salesforce teams to develop market-specific knowledge. Our differentiated customer-focused culture and salesforce empowerment have driven our strong U.S. salesforce retention rate of greater than 85% in 2024.</w:t>
      </w:r>
    </w:p>
    <w:p>
      <w:pPr>
        <w:spacing w:after="0" w:line="12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000"/>
          </w:cols>
          <w:pgMar w:left="320" w:top="451" w:right="57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18" w:lineRule="exact"/>
        <w:rPr>
          <w:sz w:val="20"/>
          <w:szCs w:val="20"/>
          <w:color w:val="auto"/>
        </w:rPr>
      </w:pPr>
    </w:p>
    <w:p>
      <w:pPr>
        <w:ind w:left="160" w:right="260" w:firstLine="436"/>
        <w:spacing w:after="0" w:line="278" w:lineRule="auto"/>
        <w:rPr>
          <w:sz w:val="20"/>
          <w:szCs w:val="20"/>
          <w:color w:val="auto"/>
        </w:rPr>
      </w:pPr>
      <w:r>
        <w:rPr>
          <w:rFonts w:ascii="Times New Roman" w:cs="Times New Roman" w:eastAsia="Times New Roman" w:hAnsi="Times New Roman"/>
          <w:sz w:val="18"/>
          <w:szCs w:val="18"/>
          <w:color w:val="auto"/>
        </w:rPr>
        <w:t>We have a track record of successfully bringing new products to market, with more than 2,100 granted patents and more than 400 FDA 510(k) clearances. Over the last three years, we have successfully launched 268 new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132080</wp:posOffset>
            </wp:positionV>
            <wp:extent cx="5146675" cy="17919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6675" cy="179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Three examples of our ability to innovate include:</w:t>
      </w:r>
    </w:p>
    <w:p>
      <w:pPr>
        <w:spacing w:after="0" w:line="244" w:lineRule="exact"/>
        <w:rPr>
          <w:sz w:val="20"/>
          <w:szCs w:val="20"/>
          <w:color w:val="auto"/>
        </w:rPr>
      </w:pPr>
    </w:p>
    <w:p>
      <w:pPr>
        <w:ind w:left="3160" w:right="80" w:hanging="282"/>
        <w:spacing w:after="0" w:line="253" w:lineRule="auto"/>
        <w:tabs>
          <w:tab w:leader="none" w:pos="31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ReadyPrep CHG</w:t>
      </w:r>
      <w:r>
        <w:rPr>
          <w:rFonts w:ascii="Times New Roman" w:cs="Times New Roman" w:eastAsia="Times New Roman" w:hAnsi="Times New Roman"/>
          <w:sz w:val="18"/>
          <w:szCs w:val="18"/>
          <w:color w:val="auto"/>
        </w:rPr>
        <w:t>: Medline announced the approval of the ReadyPrep CHG cloth in 2019, a new pre-op skin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antiseptic cloth designed to help give clinicians another tool to fight surgical site infections. According to the Centers for Disease Control and Prevention, surgical site infections are the costliest healthcare-associated infection with an estimated annual cost of $3.3 billion. These pre-op skin antiseptic cloths quickly gained popularity with hospital groups across the nation because of their competitive cost, larger size, and two-year-long shelf life. ReadyPrep net sales were $121.4 million in the first two full calendar years post-launch.</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0" w:lineRule="exact"/>
        <w:rPr>
          <w:rFonts w:ascii="Times New Roman" w:cs="Times New Roman" w:eastAsia="Times New Roman" w:hAnsi="Times New Roman"/>
          <w:sz w:val="18"/>
          <w:szCs w:val="18"/>
          <w:color w:val="auto"/>
        </w:rPr>
      </w:pPr>
    </w:p>
    <w:p>
      <w:pPr>
        <w:ind w:left="3160" w:hanging="282"/>
        <w:spacing w:after="0" w:line="255" w:lineRule="auto"/>
        <w:tabs>
          <w:tab w:leader="none" w:pos="31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Bonded Sterilization Wrap</w:t>
      </w:r>
      <w:r>
        <w:rPr>
          <w:rFonts w:ascii="Times New Roman" w:cs="Times New Roman" w:eastAsia="Times New Roman" w:hAnsi="Times New Roman"/>
          <w:sz w:val="18"/>
          <w:szCs w:val="18"/>
          <w:color w:val="auto"/>
        </w:rPr>
        <w:t>: Medline launched the Bonded Sterilization Wrap in 2014, a next-generation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sterilization wrap shown to have greater material strength than the competition to ensure the integrity of the sterilization process. In an independent, side-by-side strength test, Medline’s wrap, constructed with 100% polypropylene, was shown to have greater material strength to resist punctures and tears compared to the sterilization wrap of the next closest competitor. Bonded Sterilization Wrap net sales were $23.8 million in the first two full calendar years post-launch.</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3" w:lineRule="exact"/>
        <w:rPr>
          <w:rFonts w:ascii="Times New Roman" w:cs="Times New Roman" w:eastAsia="Times New Roman" w:hAnsi="Times New Roman"/>
          <w:sz w:val="18"/>
          <w:szCs w:val="18"/>
          <w:color w:val="auto"/>
        </w:rPr>
      </w:pPr>
    </w:p>
    <w:p>
      <w:pPr>
        <w:ind w:left="3160" w:hanging="282"/>
        <w:spacing w:after="0" w:line="256" w:lineRule="auto"/>
        <w:tabs>
          <w:tab w:leader="none" w:pos="31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OptiView Transparent Dressing with HydroCore Technology</w:t>
      </w:r>
      <w:r>
        <w:rPr>
          <w:rFonts w:ascii="Times New Roman" w:cs="Times New Roman" w:eastAsia="Times New Roman" w:hAnsi="Times New Roman"/>
          <w:sz w:val="18"/>
          <w:szCs w:val="18"/>
          <w:color w:val="auto"/>
        </w:rPr>
        <w:t>: Medline launched a first-of-its-kind clear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dressing designed to be used as part of a pressure injury prevention protocol in 2023. The HydroCore technology helps redistribute pressure, reduces shear forces, and manages microclimate. Its unique transparent core takes the guesswork out of skin assessments, leading to less dressing changes, longer wear times, and decreased annual spend.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-3505835</wp:posOffset>
            </wp:positionV>
            <wp:extent cx="1197610" cy="38639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197610" cy="3863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20"/>
          </w:cols>
          <w:pgMar w:left="320" w:top="452" w:right="5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Medline also continues to invest in research and development infrastructure, as evidenced by our facility expansion in Mundelein, Illinois in 2024. This project approximately tripled the size of the product testing and development facility to 74,000 square feet and significantly bolsters its capacity to test a variety of products, ingredients, and solutions efficiently and comprehensively. The investment includes upgraded mechanical systems and environmental controls as well as increased lab space and capabilities—including design verification, chemistry, microbiology, expiration dating, calibration, and formulation. The lab has grown to more than 140 employees, including engineers, biologists, chemists, formulation scientists, and technicians.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Value Creation for Key Stakeholders</w:t>
      </w:r>
    </w:p>
    <w:p>
      <w:pPr>
        <w:spacing w:after="0" w:line="118" w:lineRule="exact"/>
        <w:rPr>
          <w:sz w:val="20"/>
          <w:szCs w:val="20"/>
          <w:color w:val="auto"/>
        </w:rPr>
      </w:pPr>
    </w:p>
    <w:p>
      <w:pPr>
        <w:ind w:left="160" w:right="440" w:firstLine="436"/>
        <w:spacing w:after="0" w:line="278" w:lineRule="auto"/>
        <w:rPr>
          <w:sz w:val="20"/>
          <w:szCs w:val="20"/>
          <w:color w:val="auto"/>
        </w:rPr>
      </w:pPr>
      <w:r>
        <w:rPr>
          <w:rFonts w:ascii="Times New Roman" w:cs="Times New Roman" w:eastAsia="Times New Roman" w:hAnsi="Times New Roman"/>
          <w:sz w:val="18"/>
          <w:szCs w:val="18"/>
          <w:color w:val="auto"/>
        </w:rPr>
        <w:t>Our integrated business model helps us to address the needs of the market today and enables us to drive value for key constituents across the healthcare system.</w:t>
      </w:r>
    </w:p>
    <w:p>
      <w:pPr>
        <w:spacing w:after="0" w:line="2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Healthcare providers:</w:t>
      </w:r>
    </w:p>
    <w:p>
      <w:pPr>
        <w:spacing w:after="0" w:line="129" w:lineRule="exact"/>
        <w:rPr>
          <w:sz w:val="20"/>
          <w:szCs w:val="20"/>
          <w:color w:val="auto"/>
        </w:rPr>
      </w:pPr>
    </w:p>
    <w:p>
      <w:pPr>
        <w:ind w:left="1140" w:right="380" w:hanging="438"/>
        <w:spacing w:after="0" w:line="278" w:lineRule="auto"/>
        <w:tabs>
          <w:tab w:leader="none" w:pos="11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high-quality, competitively priced Medline Brand products deliver material cost savings to providers, many of whom face margin pressures.</w:t>
      </w:r>
    </w:p>
    <w:p>
      <w:pPr>
        <w:spacing w:after="0" w:line="68" w:lineRule="exact"/>
        <w:rPr>
          <w:rFonts w:ascii="Times New Roman" w:cs="Times New Roman" w:eastAsia="Times New Roman" w:hAnsi="Times New Roman"/>
          <w:sz w:val="18"/>
          <w:szCs w:val="18"/>
          <w:color w:val="auto"/>
        </w:rPr>
      </w:pPr>
    </w:p>
    <w:p>
      <w:pPr>
        <w:ind w:left="1140" w:right="600" w:hanging="438"/>
        <w:spacing w:after="0" w:line="278" w:lineRule="auto"/>
        <w:tabs>
          <w:tab w:leader="none" w:pos="11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large and efficient supply chain delivers high service levels and rapid delivery of the full spectrum of med-surg products while simplifying operational complexity, ensuring uninterrupted delivery of care, and reducing distribution expenses.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Prime Vendor model enables the cost-effective management of products, inventory, distribution, and delivery across sites of care.</w:t>
      </w:r>
    </w:p>
    <w:p>
      <w:pPr>
        <w:spacing w:after="0" w:line="127" w:lineRule="exact"/>
        <w:rPr>
          <w:rFonts w:ascii="Times New Roman" w:cs="Times New Roman" w:eastAsia="Times New Roman" w:hAnsi="Times New Roman"/>
          <w:sz w:val="18"/>
          <w:szCs w:val="18"/>
          <w:color w:val="auto"/>
        </w:rPr>
      </w:pPr>
    </w:p>
    <w:p>
      <w:pPr>
        <w:ind w:left="1140" w:right="40" w:hanging="438"/>
        <w:spacing w:after="0" w:line="255" w:lineRule="auto"/>
        <w:tabs>
          <w:tab w:leader="none" w:pos="11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product education programs pair intelligently designed products along with caregiver training, enabling them to provide optimal care for their patients, ultimately yielding better patient outcomes. The clinical product education that healthcare providers receive is aimed at reducing non-reimbursable occurrences of hospital-acquired conditions and hospital-acquired infections. We support these efforts with our robust staff of in-house clinicians in conjunction with our Medline University programs to educate providers on the latest research and best practices for the use of particular products.</w:t>
      </w:r>
    </w:p>
    <w:p>
      <w:pPr>
        <w:spacing w:after="0" w:line="2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Patients:</w:t>
      </w:r>
    </w:p>
    <w:p>
      <w:pPr>
        <w:spacing w:after="0" w:line="129" w:lineRule="exact"/>
        <w:rPr>
          <w:sz w:val="20"/>
          <w:szCs w:val="20"/>
          <w:color w:val="auto"/>
        </w:rPr>
      </w:pPr>
    </w:p>
    <w:p>
      <w:pPr>
        <w:ind w:left="1140" w:right="340" w:hanging="438"/>
        <w:spacing w:after="0" w:line="308" w:lineRule="auto"/>
        <w:tabs>
          <w:tab w:leader="none" w:pos="11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tools and resources help healthcare providers operate more efficiently, which indirectly benefits patients. This includes everything from supply chain optimization to clinical applications expertise, ensuring that healthcare providers can deliver high-quality care.</w:t>
      </w:r>
    </w:p>
    <w:p>
      <w:pPr>
        <w:spacing w:after="0" w:line="46" w:lineRule="exact"/>
        <w:rPr>
          <w:rFonts w:ascii="Times New Roman" w:cs="Times New Roman" w:eastAsia="Times New Roman" w:hAnsi="Times New Roman"/>
          <w:sz w:val="17"/>
          <w:szCs w:val="17"/>
          <w:color w:val="auto"/>
        </w:rPr>
      </w:pPr>
    </w:p>
    <w:p>
      <w:pPr>
        <w:ind w:left="1140" w:right="220" w:hanging="438"/>
        <w:spacing w:after="0" w:line="278" w:lineRule="auto"/>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educational materials and at-home care kits help patients take an active role in their own care, which improves health outcomes and patient satisfaction.</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focus on thoughtfully designed products and services creates positive patient experiences.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direct-to-consumer channel increases access to our high-quality, cost-effective products.</w:t>
      </w:r>
    </w:p>
    <w:p>
      <w:pPr>
        <w:spacing w:after="0" w:line="3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Product suppliers:</w:t>
      </w:r>
    </w:p>
    <w:p>
      <w:pPr>
        <w:spacing w:after="0" w:line="129" w:lineRule="exact"/>
        <w:rPr>
          <w:sz w:val="20"/>
          <w:szCs w:val="20"/>
          <w:color w:val="auto"/>
        </w:rPr>
      </w:pPr>
    </w:p>
    <w:p>
      <w:pPr>
        <w:ind w:left="1140" w:hanging="438"/>
        <w:spacing w:after="0"/>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scaled platform provides third-party product suppliers with access to our commercial team and a large and diverse customer base.</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service levels ensure that suppliers’ products are delivered reliably and on time.</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presence across the healthcare continuum provides opportunities to serve every site of care.</w:t>
      </w:r>
    </w:p>
    <w:p>
      <w:pPr>
        <w:spacing w:after="0" w:line="15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060"/>
          </w:cols>
          <w:pgMar w:left="320" w:top="452" w:right="51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Why We Win</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ability to earn and retain customers is driven by a number of specific qualities that are critical to our success.</w:t>
      </w:r>
    </w:p>
    <w:p>
      <w:pPr>
        <w:spacing w:after="0" w:line="217"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Customer-Focused Culture. </w:t>
      </w:r>
      <w:r>
        <w:rPr>
          <w:rFonts w:ascii="Times New Roman" w:cs="Times New Roman" w:eastAsia="Times New Roman" w:hAnsi="Times New Roman"/>
          <w:sz w:val="18"/>
          <w:szCs w:val="18"/>
          <w:color w:val="auto"/>
        </w:rPr>
        <w:t>Customers are at the heart of what we do. Our best-in-class business model, entrepreneurial spirit, and compelling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proposition are the result of our customer-focused culture that emphasizes the rapid identification of and response to customer needs. We have evolved alongside our customers over time by expanding our product portfolio and supply chain optimization services, and we have built a large U.S. commercial team of approximately 3,800 people so that customers’ needs would be quickly identified and satisfied. We do what we say we are going to do, we are transparent and direct with our customers, and we empower our employees to advocate for our customers. This has translated into high win rates for new business, strong customer loyalty with consistently high customer satisfaction levels, as demonstrated by our customer retention rates, including a greater than 98% average Prime Vendor retention rate over the past five years, and consistently high employee satisfaction levels, which we measure through our periodic employee engagement surveys and employee retention.</w:t>
      </w:r>
    </w:p>
    <w:p>
      <w:pPr>
        <w:spacing w:after="0" w:line="180" w:lineRule="exact"/>
        <w:rPr>
          <w:sz w:val="20"/>
          <w:szCs w:val="20"/>
          <w:color w:val="auto"/>
        </w:rPr>
      </w:pPr>
    </w:p>
    <w:p>
      <w:pPr>
        <w:ind w:left="160" w:right="60" w:firstLine="43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Medline Platform Advantage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the largest provider of med-surg and supply chain solutions serving all points of care, based on total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of med-surg products. Our platform is powered by our global procurement network, strategically located distribution centers, high delivery route density, and innovation capabilities informed by proprietary supply chain customer insights. Our vertically integrated business model is designed to deliver the best total value to our customers through a comprehensive set of world-class products, a resilient and highly efficient supply chain, and differentiated clinical solutions. Our ability to provide significant savings on our high-quality products and services and our ability to serve across the entire continuum of care aligns us with the evolving needs of our customers. We had approximately $1.5 billion in total customer signings during 2024 and approximately $2.1 billion in new customer signings for the nine months ended September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1184910</wp:posOffset>
            </wp:positionH>
            <wp:positionV relativeFrom="paragraph">
              <wp:posOffset>148590</wp:posOffset>
            </wp:positionV>
            <wp:extent cx="4772660" cy="23437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772660" cy="2343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0" w:right="40" w:firstLine="43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Medline Brand Product Portfolio. </w:t>
      </w:r>
      <w:r>
        <w:rPr>
          <w:rFonts w:ascii="Times New Roman" w:cs="Times New Roman" w:eastAsia="Times New Roman" w:hAnsi="Times New Roman"/>
          <w:sz w:val="18"/>
          <w:szCs w:val="18"/>
          <w:color w:val="auto"/>
        </w:rPr>
        <w:t>We offer approximately 190,000 Medline Brand products across our product categories. We have a track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record of successfully bringing new products to market, with more than 2,100 granted patents and more than 400 FDA 510(k) clearances. Over the last three years, we have successfully launched 268 new products. Our vertically integrated platform provides us with unparalleled insights into our customers’ needs, purchasing trends, and potential areas of new, customer-driven product innovation. Our unparalleled scale, the breadth and quality of our product portfolio, and our successful track record of innovation enable us to quickly and cost-effectively address the needs of our customers.</w:t>
      </w:r>
    </w:p>
    <w:p>
      <w:pPr>
        <w:spacing w:after="0" w:line="1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00"/>
          </w:cols>
          <w:pgMar w:left="320" w:top="452" w:right="57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Unrivaled Distribution Capabilities. </w:t>
      </w:r>
      <w:r>
        <w:rPr>
          <w:rFonts w:ascii="Times New Roman" w:cs="Times New Roman" w:eastAsia="Times New Roman" w:hAnsi="Times New Roman"/>
          <w:sz w:val="18"/>
          <w:szCs w:val="18"/>
          <w:color w:val="auto"/>
        </w:rPr>
        <w:t>Medline’s breadth and footprint today is the result of decades of significant investments, including</w:t>
      </w:r>
    </w:p>
    <w:p>
      <w:pPr>
        <w:spacing w:after="0" w:line="30" w:lineRule="exact"/>
        <w:rPr>
          <w:sz w:val="20"/>
          <w:szCs w:val="20"/>
          <w:color w:val="auto"/>
        </w:rPr>
      </w:pPr>
    </w:p>
    <w:p>
      <w:pPr>
        <w:ind w:left="160" w:right="20"/>
        <w:spacing w:after="0" w:line="249" w:lineRule="auto"/>
        <w:rPr>
          <w:sz w:val="20"/>
          <w:szCs w:val="20"/>
          <w:color w:val="auto"/>
        </w:rPr>
      </w:pPr>
      <w:r>
        <w:rPr>
          <w:rFonts w:ascii="Times New Roman" w:cs="Times New Roman" w:eastAsia="Times New Roman" w:hAnsi="Times New Roman"/>
          <w:sz w:val="18"/>
          <w:szCs w:val="18"/>
          <w:color w:val="auto"/>
        </w:rPr>
        <w:t>$1.6 billion in capital expenditures within our distribution network over the last five years. The network has been developed to serve healthcare facilities and providers across the continuum of care. We have a differentiated network of 69 global distribution facilities and a fleet of more than 2,000 MedTrans trucks in the United States that serve the entire continuum of care. Our owned transportation fleet delivers approximately 80% of the products we offer in the United States and leverages a dynamic route planning system to optimize routes by minimizing miles driven and improving trailer utilization. Our extensive supply chain, with a rigorous focus on reducing cost, enables us to deliver products to our customers at the most attractive unit economics and with better service levels than alternatives. As of December 31, 2024, we carried $4.5 billion in global inventory that, combined with our distribution network and capabilities, enables us to have service levels of 99%.</w:t>
      </w:r>
    </w:p>
    <w:p>
      <w:pPr>
        <w:spacing w:after="0" w:line="186" w:lineRule="exact"/>
        <w:rPr>
          <w:sz w:val="20"/>
          <w:szCs w:val="20"/>
          <w:color w:val="auto"/>
        </w:rPr>
      </w:pPr>
    </w:p>
    <w:p>
      <w:pPr>
        <w:ind w:left="160" w:firstLine="43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Clinical Solutions. </w:t>
      </w:r>
      <w:r>
        <w:rPr>
          <w:rFonts w:ascii="Times New Roman" w:cs="Times New Roman" w:eastAsia="Times New Roman" w:hAnsi="Times New Roman"/>
          <w:sz w:val="18"/>
          <w:szCs w:val="18"/>
          <w:color w:val="auto"/>
        </w:rPr>
        <w:t>Medline’s clinical solutions empower frontline teams with best practice guidance, education and training, and a system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to help improve clinical outcomes. Our clinicians support our customers, providing clinical expertise and comprehensive products, education, and other solutions to enable the best care, cost-effectively and efficiently. Our solutions include recommendations on best practices and product features that can help providers correctly use products, reduce care variation, and provide more consistent care.</w:t>
      </w:r>
    </w:p>
    <w:p>
      <w:pPr>
        <w:spacing w:after="0" w:line="176" w:lineRule="exact"/>
        <w:rPr>
          <w:sz w:val="20"/>
          <w:szCs w:val="20"/>
          <w:color w:val="auto"/>
        </w:rPr>
      </w:pPr>
    </w:p>
    <w:p>
      <w:pPr>
        <w:ind w:left="160" w:right="20" w:firstLine="436"/>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Increasing Returns to Scale. </w:t>
      </w:r>
      <w:r>
        <w:rPr>
          <w:rFonts w:ascii="Times New Roman" w:cs="Times New Roman" w:eastAsia="Times New Roman" w:hAnsi="Times New Roman"/>
          <w:sz w:val="18"/>
          <w:szCs w:val="18"/>
          <w:color w:val="auto"/>
        </w:rPr>
        <w:t>As we grow, Medline is uniquely positioned to benefit from our vertically integrated model and over 1,300 active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Prime Vendor relationships. Revenue growth in Medline Brand products increases our purchasing power with our global sourcing partners and enables investments to increase the efficiency of our internal manufacturing capabilities, which may reduce the cost of goods sold. Lowering our cost of goods sold on Medline Brand products provides higher value to our customers and improves our competitive pricing. Growing our customer base results in increased transportation route density, which in turn improves efficiency, lowers costs, and increases service levels for our customers. We reinvest these savings in better customer value, which extends our competitive advantage and accelerates our ability to earn new customers. As we add new customers, we gain better insight into their needs and drive investments in product innovation, resulting in greater Medline Brand sales growth. The mutual reinforcement of these dynamics compounds over time—we become an increasingly strategic partner for our customers as they continue to grow and scale.</w:t>
      </w:r>
    </w:p>
    <w:p>
      <w:pPr>
        <w:spacing w:after="0" w:line="2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18" w:lineRule="exact"/>
        <w:rPr>
          <w:sz w:val="20"/>
          <w:szCs w:val="20"/>
          <w:color w:val="auto"/>
        </w:rPr>
      </w:pPr>
    </w:p>
    <w:p>
      <w:pPr>
        <w:ind w:left="160" w:right="360" w:firstLine="436"/>
        <w:spacing w:after="0" w:line="308" w:lineRule="auto"/>
        <w:rPr>
          <w:sz w:val="20"/>
          <w:szCs w:val="20"/>
          <w:color w:val="auto"/>
        </w:rPr>
      </w:pPr>
      <w:r>
        <w:rPr>
          <w:rFonts w:ascii="Times New Roman" w:cs="Times New Roman" w:eastAsia="Times New Roman" w:hAnsi="Times New Roman"/>
          <w:sz w:val="17"/>
          <w:szCs w:val="17"/>
          <w:color w:val="auto"/>
        </w:rPr>
        <w:t>We have a demonstrated track record of delivering consistent growth over more than half a century irrespective of economic conditions. We expect to continue to grow in excess of the broader med-surg market due to a combination of strategies that drive our net sales and earnings growth.</w:t>
      </w:r>
    </w:p>
    <w:p>
      <w:pPr>
        <w:spacing w:after="0" w:line="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auto"/>
        </w:rPr>
        <w:t>Net Sales Growth</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jc w:val="both"/>
        <w:ind w:left="1140" w:right="180" w:hanging="438"/>
        <w:spacing w:after="0" w:line="258" w:lineRule="auto"/>
        <w:tabs>
          <w:tab w:leader="none" w:pos="11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Growing with our Prime Vendor Customers</w:t>
      </w:r>
      <w:r>
        <w:rPr>
          <w:rFonts w:ascii="Times New Roman" w:cs="Times New Roman" w:eastAsia="Times New Roman" w:hAnsi="Times New Roman"/>
          <w:sz w:val="18"/>
          <w:szCs w:val="18"/>
          <w:color w:val="auto"/>
        </w:rPr>
        <w:t>: We have achieved a greater than 98% average Prime Vendor retention rate over the past five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Importantly, we are partnered with many of the largest healthcare systems across the country and are well-positioned to grow with our customers as their patients’ underlying healthcare utilization increases, they build and acquire new sites, and they further consolidate med-surg spend with Medline.</w:t>
      </w:r>
    </w:p>
    <w:p>
      <w:pPr>
        <w:spacing w:after="0" w:line="86" w:lineRule="exact"/>
        <w:rPr>
          <w:rFonts w:ascii="Times New Roman" w:cs="Times New Roman" w:eastAsia="Times New Roman" w:hAnsi="Times New Roman"/>
          <w:sz w:val="18"/>
          <w:szCs w:val="18"/>
          <w:color w:val="auto"/>
        </w:rPr>
      </w:pPr>
    </w:p>
    <w:p>
      <w:pPr>
        <w:ind w:left="1140" w:right="520" w:hanging="438"/>
        <w:spacing w:after="0" w:line="258" w:lineRule="auto"/>
        <w:tabs>
          <w:tab w:leader="none" w:pos="11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Winning New Prime Vendor Customers</w:t>
      </w:r>
      <w:r>
        <w:rPr>
          <w:rFonts w:ascii="Times New Roman" w:cs="Times New Roman" w:eastAsia="Times New Roman" w:hAnsi="Times New Roman"/>
          <w:sz w:val="18"/>
          <w:szCs w:val="18"/>
          <w:color w:val="auto"/>
        </w:rPr>
        <w:t>: We continue to earn new Prime Vendor customers, which has been a key driver of sustained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in both Medline Brand and Supply Chain Solutions. Over the past six years, we have signed new Prime Vendor contracts representing approximately $8 billion of annual contract value. Additionally, we continue to expand the scope of our Prime Vendor relationships in non-acute sites of care.</w:t>
      </w:r>
    </w:p>
    <w:p>
      <w:pPr>
        <w:spacing w:after="0" w:line="86" w:lineRule="exact"/>
        <w:rPr>
          <w:rFonts w:ascii="Times New Roman" w:cs="Times New Roman" w:eastAsia="Times New Roman" w:hAnsi="Times New Roman"/>
          <w:sz w:val="18"/>
          <w:szCs w:val="18"/>
          <w:color w:val="auto"/>
        </w:rPr>
      </w:pPr>
    </w:p>
    <w:p>
      <w:pPr>
        <w:ind w:left="1140" w:right="80" w:hanging="438"/>
        <w:spacing w:after="0" w:line="264" w:lineRule="auto"/>
        <w:tabs>
          <w:tab w:leader="none" w:pos="11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Growing Medline Brand with Non-Prime Vendor Customers</w:t>
      </w:r>
      <w:r>
        <w:rPr>
          <w:rFonts w:ascii="Times New Roman" w:cs="Times New Roman" w:eastAsia="Times New Roman" w:hAnsi="Times New Roman"/>
          <w:sz w:val="18"/>
          <w:szCs w:val="18"/>
          <w:color w:val="auto"/>
        </w:rPr>
        <w:t>: An increasing number of non-Prime Vendor customers are choosing Medline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 We will continue to provide high-quality, cost-effective products that meet their med-surg needs and accelerate our expansion within these customers.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80"/>
          </w:cols>
          <w:pgMar w:left="320" w:top="452" w:right="4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3" w:lineRule="exact"/>
        <w:rPr>
          <w:sz w:val="20"/>
          <w:szCs w:val="20"/>
          <w:color w:val="auto"/>
        </w:rPr>
      </w:pPr>
    </w:p>
    <w:p>
      <w:pPr>
        <w:jc w:val="both"/>
        <w:ind w:left="1140" w:right="120" w:hanging="438"/>
        <w:spacing w:after="0" w:line="264" w:lineRule="auto"/>
        <w:tabs>
          <w:tab w:leader="none" w:pos="11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Continuous Product Innovation</w:t>
      </w:r>
      <w:r>
        <w:rPr>
          <w:rFonts w:ascii="Times New Roman" w:cs="Times New Roman" w:eastAsia="Times New Roman" w:hAnsi="Times New Roman"/>
          <w:sz w:val="18"/>
          <w:szCs w:val="18"/>
          <w:color w:val="auto"/>
        </w:rPr>
        <w:t>: Innovation is embedded within our product teams, who leverage our salesforce, customer feedback,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quality and regulatory organizations to develop new Medline Brand products. Our culture of innovation and entrepreneurship and our highly scalable go-to-market model provide us with unique capabilities to bring products to market swiftly.</w:t>
      </w:r>
    </w:p>
    <w:p>
      <w:pPr>
        <w:spacing w:after="0" w:line="79" w:lineRule="exact"/>
        <w:rPr>
          <w:rFonts w:ascii="Times New Roman" w:cs="Times New Roman" w:eastAsia="Times New Roman" w:hAnsi="Times New Roman"/>
          <w:sz w:val="18"/>
          <w:szCs w:val="18"/>
          <w:color w:val="auto"/>
        </w:rPr>
      </w:pPr>
    </w:p>
    <w:p>
      <w:pPr>
        <w:ind w:left="1140" w:right="280" w:hanging="438"/>
        <w:spacing w:after="0" w:line="258" w:lineRule="auto"/>
        <w:tabs>
          <w:tab w:leader="none" w:pos="11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Channel Expansion</w:t>
      </w:r>
      <w:r>
        <w:rPr>
          <w:rFonts w:ascii="Times New Roman" w:cs="Times New Roman" w:eastAsia="Times New Roman" w:hAnsi="Times New Roman"/>
          <w:sz w:val="18"/>
          <w:szCs w:val="18"/>
          <w:color w:val="auto"/>
        </w:rPr>
        <w:t>: We will continue to evaluate new opportunities to expand our TAM and the markets we serve. We currently serve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healthcare providers anywhere a patient, resident, or consumer needs access to medical products. In 2016, we entered the acute care laboratory and diagnostic channel, which we believe is ripe for disruption. Most recently, we expanded into animal health in the United States and dental in Canada. We will continue to evaluate and selectively expand into new channels as opportunities arise.</w:t>
      </w:r>
    </w:p>
    <w:p>
      <w:pPr>
        <w:spacing w:after="0" w:line="86"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Expansion</w:t>
      </w:r>
      <w:r>
        <w:rPr>
          <w:rFonts w:ascii="Times New Roman" w:cs="Times New Roman" w:eastAsia="Times New Roman" w:hAnsi="Times New Roman"/>
          <w:sz w:val="18"/>
          <w:szCs w:val="18"/>
          <w:color w:val="auto"/>
        </w:rPr>
        <w:t>: Our value proposition can help customers across markets internationally, and we expect to tap into the</w:t>
      </w:r>
    </w:p>
    <w:p>
      <w:pPr>
        <w:spacing w:after="0" w:line="27" w:lineRule="exact"/>
        <w:rPr>
          <w:rFonts w:ascii="Times New Roman" w:cs="Times New Roman" w:eastAsia="Times New Roman" w:hAnsi="Times New Roman"/>
          <w:sz w:val="18"/>
          <w:szCs w:val="18"/>
          <w:color w:val="auto"/>
        </w:rPr>
      </w:pPr>
    </w:p>
    <w:p>
      <w:pPr>
        <w:ind w:left="1140" w:right="1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billion international addressable market through both organic and inorganic expansion. We will continue to strategically launch new products and enter new markets and care settings outside the United States. This expansion represents an attractive opportunity, as our International net sales represented only 6.9% of our net sales for the year ended December 31, 2024.</w:t>
      </w:r>
    </w:p>
    <w:p>
      <w:pPr>
        <w:spacing w:after="0" w:line="89" w:lineRule="exact"/>
        <w:rPr>
          <w:rFonts w:ascii="Times New Roman" w:cs="Times New Roman" w:eastAsia="Times New Roman" w:hAnsi="Times New Roman"/>
          <w:sz w:val="18"/>
          <w:szCs w:val="18"/>
          <w:color w:val="auto"/>
        </w:rPr>
      </w:pPr>
    </w:p>
    <w:p>
      <w:pPr>
        <w:ind w:left="1140" w:hanging="438"/>
        <w:spacing w:after="0" w:line="254" w:lineRule="auto"/>
        <w:tabs>
          <w:tab w:leader="none" w:pos="11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M&amp;A Execution</w:t>
      </w:r>
      <w:r>
        <w:rPr>
          <w:rFonts w:ascii="Times New Roman" w:cs="Times New Roman" w:eastAsia="Times New Roman" w:hAnsi="Times New Roman"/>
          <w:sz w:val="18"/>
          <w:szCs w:val="18"/>
          <w:color w:val="auto"/>
        </w:rPr>
        <w:t>: Our disciplined, global M&amp;A strategy is focused on pursuing adjacent products and services, as well as expanding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channels. We have a proven strategy for integrating new acquisitions and achieving significant synergies, which has enabled us to acquire businesses at attractive valuations on a post-synergy basis. The breadth of our product channels and our low-cost manufacturing and sourcing model makes Medline a powerful M&amp;A platform. Recent examples of our M&amp;A strategy include the acquisition of Microtek, which provides highly complementary products to our Surgical Solutions product category, as well as the acquisition of Sinclair Dental, further extending our distribution capabilities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146685</wp:posOffset>
            </wp:positionV>
            <wp:extent cx="5129530" cy="10102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29530" cy="101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auto"/>
        </w:rPr>
        <w:t>Earnings Growth</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ind w:left="1140" w:right="20" w:hanging="438"/>
        <w:spacing w:after="0" w:line="251" w:lineRule="auto"/>
        <w:tabs>
          <w:tab w:leader="none" w:pos="11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Medline Brand Conversion Opportunity</w:t>
      </w:r>
      <w:r>
        <w:rPr>
          <w:rFonts w:ascii="Times New Roman" w:cs="Times New Roman" w:eastAsia="Times New Roman" w:hAnsi="Times New Roman"/>
          <w:sz w:val="18"/>
          <w:szCs w:val="18"/>
          <w:color w:val="auto"/>
        </w:rPr>
        <w:t>: To help our customers achieve cost savings, we provide them with Medline Brand products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superior or similar quality to third-party products at a more cost-effective price. Medline earns a higher margin on sales of Medline Brand products compared to sales of comparable third-party products. Supply Chain Solutions products for which like-for-like Medline Brand products are available represented approximately $4.0 billion in net sales to existing Prime Vendor customers as of December 31, 2024. Assuming historical margins, if 100% of such products were converted to available like-for-like Medline Brand products, the incremental gross profit opportunity associated with such conversion would be approximately $1.0 billion. Conversion of 100% of this opportunity is not immediately achievable, and we cannot provide any assurance regarding the timing or extent of any such conversions. While we historically have earned higher margins upon conversion from third-party national brand products to like-for-like Medline Brand products, because of the lower average prices for Medline Brand products, there is typically a negative impact on net sales upon the conversion of Supply Chain Solutions products to like-for-like Medline Brand products if volume is assumed to be constant. We believe that the average margins for Supply Chain Solutions products converted to Medline Brand products have not significantly differed from those that have not been converted. Similarly, the average margins of products converted to Medline Brand do not vary</w:t>
      </w:r>
    </w:p>
    <w:p>
      <w:pPr>
        <w:spacing w:after="0" w:line="1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60"/>
          </w:cols>
          <w:pgMar w:left="320" w:top="452" w:right="5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140"/>
        <w:spacing w:after="0" w:line="263" w:lineRule="auto"/>
        <w:rPr>
          <w:sz w:val="20"/>
          <w:szCs w:val="20"/>
          <w:color w:val="auto"/>
        </w:rPr>
      </w:pPr>
      <w:r>
        <w:rPr>
          <w:rFonts w:ascii="Times New Roman" w:cs="Times New Roman" w:eastAsia="Times New Roman" w:hAnsi="Times New Roman"/>
          <w:sz w:val="18"/>
          <w:szCs w:val="18"/>
          <w:color w:val="auto"/>
        </w:rPr>
        <w:t>materially from their unconverted counterparts. Therefore, we assume our historical estimates will continue with future conversions. For further information on potential risks relating to this conversion opportunity, please refer to “Risk Factors—Risks Related to Our Business, Industry and Operations—Our failure to establish and maintain Prime Vendor relationships may cause our revenue to decline.”</w:t>
      </w:r>
    </w:p>
    <w:p>
      <w:pPr>
        <w:spacing w:after="0" w:line="80" w:lineRule="exact"/>
        <w:rPr>
          <w:sz w:val="20"/>
          <w:szCs w:val="20"/>
          <w:color w:val="auto"/>
        </w:rPr>
      </w:pPr>
    </w:p>
    <w:p>
      <w:pPr>
        <w:jc w:val="both"/>
        <w:ind w:left="1140" w:right="420" w:hanging="438"/>
        <w:spacing w:after="0" w:line="258" w:lineRule="auto"/>
        <w:tabs>
          <w:tab w:leader="none" w:pos="11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Operational Execution</w:t>
      </w:r>
      <w:r>
        <w:rPr>
          <w:rFonts w:ascii="Times New Roman" w:cs="Times New Roman" w:eastAsia="Times New Roman" w:hAnsi="Times New Roman"/>
          <w:sz w:val="18"/>
          <w:szCs w:val="18"/>
          <w:color w:val="auto"/>
        </w:rPr>
        <w:t>: To strengthen our cost advantage on Medline Brand products, we continuously improve our procurement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sourcing functions to further reduce our spend on key inputs. Our relentless scrutiny on our own costs both in our manufacturing and distribution networks helps us to deliver quality products cost effectively. As we scale, our operating leverage will further expand our margins over time.</w:t>
      </w:r>
    </w:p>
    <w:p>
      <w:pPr>
        <w:spacing w:after="0" w:line="2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Culture</w:t>
      </w:r>
    </w:p>
    <w:p>
      <w:pPr>
        <w:spacing w:after="0" w:line="118"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Our story is one of customer focus that has led to strong performance and success. Every hour of every day, medical professionals rely on Medline products to help them do their jobs. Our work touches the lives of millions of people, yet we are much more than a supplier of world-class medical solutions: we are here to make healthcare run better. We have delivered consecutive net sales growth every year since our inception and today we employ over 43,000 people and operate across more than 100 countries. The work we do enables healthcare providers to deliver the best quality care, in the most financially sustainable way, across the entire continuum of healthcare.</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culture is guided by our six core values:</w:t>
      </w:r>
    </w:p>
    <w:p>
      <w:pPr>
        <w:spacing w:after="0" w:line="127" w:lineRule="exact"/>
        <w:rPr>
          <w:sz w:val="20"/>
          <w:szCs w:val="20"/>
          <w:color w:val="auto"/>
        </w:rPr>
      </w:pPr>
    </w:p>
    <w:p>
      <w:pPr>
        <w:ind w:left="1140" w:hanging="438"/>
        <w:spacing w:after="0"/>
        <w:tabs>
          <w:tab w:leader="none" w:pos="11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relentless customer focus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demonstrate agility and flexibility</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gritty problem solvers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drive to succeed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practice purposeful candor</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relationships matter</w:t>
      </w:r>
    </w:p>
    <w:p>
      <w:pPr>
        <w:spacing w:after="0" w:line="221" w:lineRule="exact"/>
        <w:rPr>
          <w:sz w:val="20"/>
          <w:szCs w:val="20"/>
          <w:color w:val="auto"/>
        </w:rPr>
      </w:pPr>
    </w:p>
    <w:p>
      <w:pPr>
        <w:ind w:left="160" w:right="80" w:firstLine="436"/>
        <w:spacing w:after="0" w:line="278" w:lineRule="auto"/>
        <w:rPr>
          <w:sz w:val="20"/>
          <w:szCs w:val="20"/>
          <w:color w:val="auto"/>
        </w:rPr>
      </w:pPr>
      <w:r>
        <w:rPr>
          <w:rFonts w:ascii="Times New Roman" w:cs="Times New Roman" w:eastAsia="Times New Roman" w:hAnsi="Times New Roman"/>
          <w:sz w:val="18"/>
          <w:szCs w:val="18"/>
          <w:color w:val="auto"/>
        </w:rPr>
        <w:t>Our team of driven and passionate people brings these values to life. Employees are empowered to make meaningful contributions and work with determination to understand our customers’ needs and deliver exceptional service.</w:t>
      </w:r>
    </w:p>
    <w:p>
      <w:pPr>
        <w:spacing w:after="0" w:line="162" w:lineRule="exact"/>
        <w:rPr>
          <w:sz w:val="20"/>
          <w:szCs w:val="20"/>
          <w:color w:val="auto"/>
        </w:rPr>
      </w:pPr>
    </w:p>
    <w:p>
      <w:pPr>
        <w:ind w:left="160" w:right="320" w:firstLine="436"/>
        <w:spacing w:after="0" w:line="263" w:lineRule="auto"/>
        <w:rPr>
          <w:sz w:val="20"/>
          <w:szCs w:val="20"/>
          <w:color w:val="auto"/>
        </w:rPr>
      </w:pPr>
      <w:r>
        <w:rPr>
          <w:rFonts w:ascii="Times New Roman" w:cs="Times New Roman" w:eastAsia="Times New Roman" w:hAnsi="Times New Roman"/>
          <w:sz w:val="18"/>
          <w:szCs w:val="18"/>
          <w:color w:val="auto"/>
        </w:rPr>
        <w:t>Working at Medline means being part of a winning team, at the forefront of our industry, with the scale to improve healthcare delivery and the agility to act quickly. It is a place where employees are empowered to make meaningful contributions and it is a place that has consistently been recognized as a top employer by multiple national publications, including the following in 2024:</w:t>
      </w:r>
    </w:p>
    <w:p>
      <w:pPr>
        <w:spacing w:after="0" w:line="82" w:lineRule="exact"/>
        <w:rPr>
          <w:sz w:val="20"/>
          <w:szCs w:val="20"/>
          <w:color w:val="auto"/>
        </w:rPr>
      </w:pPr>
    </w:p>
    <w:p>
      <w:pPr>
        <w:ind w:left="1140" w:hanging="438"/>
        <w:spacing w:after="0"/>
        <w:tabs>
          <w:tab w:leader="none" w:pos="11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Chicago Tribune: Best Places to Work (14th year recognized)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Modern Healthcare: Best in Business (supply chain category)</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Becker’s Healthcare: Top 150 Places to Work in Healthcare</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Forbes: America’s Best Large Employers, America’s Best Employers for Women</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Newsweek: America’s Greatest Workplaces for Women, America’s Greatest Workplaces for Diversity</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8" w:lineRule="exact"/>
        <w:rPr>
          <w:sz w:val="20"/>
          <w:szCs w:val="20"/>
          <w:color w:val="auto"/>
        </w:rPr>
      </w:pPr>
    </w:p>
    <w:p>
      <w:pPr>
        <w:ind w:left="160" w:right="100" w:firstLine="436"/>
        <w:spacing w:after="0" w:line="278" w:lineRule="auto"/>
        <w:rPr>
          <w:sz w:val="20"/>
          <w:szCs w:val="20"/>
          <w:color w:val="auto"/>
        </w:rPr>
      </w:pPr>
      <w:r>
        <w:rPr>
          <w:rFonts w:ascii="Times New Roman" w:cs="Times New Roman" w:eastAsia="Times New Roman" w:hAnsi="Times New Roman"/>
          <w:sz w:val="18"/>
          <w:szCs w:val="18"/>
          <w:color w:val="auto"/>
        </w:rPr>
        <w:t>Our value proposition is derived from our integrated business model, the breadth of our Medline Brand portfolio, our differentiated supply chain, and the overall quality and cost of our products. As a result of our</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060"/>
          </w:cols>
          <w:pgMar w:left="320" w:top="452" w:right="51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integrated business model, our competitors include both other leading med-surg product manufacturers and distributors.</w:t>
      </w:r>
    </w:p>
    <w:p>
      <w:pPr>
        <w:spacing w:after="0" w:line="221" w:lineRule="exact"/>
        <w:rPr>
          <w:sz w:val="20"/>
          <w:szCs w:val="20"/>
          <w:color w:val="auto"/>
        </w:rPr>
      </w:pPr>
    </w:p>
    <w:p>
      <w:pPr>
        <w:ind w:left="160" w:right="60" w:firstLine="436"/>
        <w:spacing w:after="0" w:line="258" w:lineRule="auto"/>
        <w:rPr>
          <w:sz w:val="20"/>
          <w:szCs w:val="20"/>
          <w:color w:val="auto"/>
        </w:rPr>
      </w:pPr>
      <w:r>
        <w:rPr>
          <w:rFonts w:ascii="Times New Roman" w:cs="Times New Roman" w:eastAsia="Times New Roman" w:hAnsi="Times New Roman"/>
          <w:sz w:val="18"/>
          <w:szCs w:val="18"/>
          <w:color w:val="auto"/>
        </w:rPr>
        <w:t>Similar to us, other leading med-surg product manufacturers produce a wide range of med-surg supplies. However, unlike us, many of these competitors are reliant upon third-party distributors to deliver their products to customers. By nature of being a distributor, Medline has direct access to and manages the end customer relationships. This enables us to offer a complete solution as a manufacturer and a distributor, offering our customers what we believe to be best-in-class supply chain logistics, and driving value through our brand.</w:t>
      </w:r>
    </w:p>
    <w:p>
      <w:pPr>
        <w:spacing w:after="0" w:line="180"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Additionally, other distributors of med-surg products similarly connect the fragmented supplier and provider bases and aggregate inventory from suppliers to deliver products to customers. These distribution companies compete with us for Prime Vendor agreements. However, we believe that many of these competitors do not benefit from the scale and scope of our vertical integration or commercial excellence, and thus are not able to provide the same magnitude of cost savings, value, and holistic solutions that we deliver for our customers.</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Production and Raw Materials</w:t>
      </w:r>
    </w:p>
    <w:p>
      <w:pPr>
        <w:spacing w:after="0" w:line="118" w:lineRule="exact"/>
        <w:rPr>
          <w:sz w:val="20"/>
          <w:szCs w:val="20"/>
          <w:color w:val="auto"/>
        </w:rPr>
      </w:pPr>
    </w:p>
    <w:p>
      <w:pPr>
        <w:ind w:left="160" w:right="40" w:firstLine="436"/>
        <w:spacing w:after="0" w:line="251" w:lineRule="auto"/>
        <w:rPr>
          <w:sz w:val="20"/>
          <w:szCs w:val="20"/>
          <w:color w:val="auto"/>
        </w:rPr>
      </w:pPr>
      <w:r>
        <w:rPr>
          <w:rFonts w:ascii="Times New Roman" w:cs="Times New Roman" w:eastAsia="Times New Roman" w:hAnsi="Times New Roman"/>
          <w:sz w:val="18"/>
          <w:szCs w:val="18"/>
          <w:color w:val="auto"/>
        </w:rPr>
        <w:t>We manufacture approximately one-third of our Medline Brand products through our 33 manufacturing facilities and purchase many of the components and raw materials used in manufacturing our products from numerous suppliers. For the vast majority of the other two-thirds of our Medline Brand products, we work closely with our network of more than 500 global partners, including approximately 300 exclusive partnerships, across approximately 40 countries. The breadth of our global sourcing partnerships provides diversification and strengthens our resiliency, with no single sourcing partner accounting for more than 4% of total spend. We also have plans and measures in place to help ensure continuity of supply while maintaining high quality and reliability. Generally, we have been able to obtain adequate supplies of such raw materials and components. However, due to the FDA’s manufacturing requirements and those of other regulatory authorities, we may not be able to quickly establish additional or replacement sources for certain components, materials or processes if we experience a sudden or unexpected reduction or interruption in supply or services and are unable to develop alternative sources.</w:t>
      </w:r>
    </w:p>
    <w:p>
      <w:pPr>
        <w:spacing w:after="0" w:line="2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118"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color w:val="auto"/>
        </w:rPr>
        <w:t>At Medline, our relentless focus on the customer drives our human capital strategy, which revolves around attracting and retaining the best employees to provide the best products and services for our customers. We employ over 43,000 employees worldwide, with over 24,000 located in the United States, as of December 31, 2024. The largest non-U.S. employee populations are in Mexico, India, Canada, France, Japan, China, Australia, Slovakia, Dominican Republic, and Germany. None of our employees in the United States are unionized, though some of our employees in Mexico belong to unions. In Germany and the Netherlands, employees are represented through Works Councils; in France and Spain, employees are represented through both Works Councils and industry-wide collective bargaining agreements; and in Belgium and Italy, employees are also represented through industry-wide collective bargaining agreements. We believe that our positive employee relations and total employee experience drive the continual growth of our workforce.</w:t>
      </w:r>
    </w:p>
    <w:p>
      <w:pPr>
        <w:spacing w:after="0" w:line="187" w:lineRule="exact"/>
        <w:rPr>
          <w:sz w:val="20"/>
          <w:szCs w:val="20"/>
          <w:color w:val="auto"/>
        </w:rPr>
      </w:pPr>
    </w:p>
    <w:p>
      <w:pPr>
        <w:ind w:left="160" w:right="300" w:firstLine="436"/>
        <w:spacing w:after="0" w:line="263" w:lineRule="auto"/>
        <w:rPr>
          <w:sz w:val="20"/>
          <w:szCs w:val="20"/>
          <w:color w:val="auto"/>
        </w:rPr>
      </w:pPr>
      <w:r>
        <w:rPr>
          <w:rFonts w:ascii="Times New Roman" w:cs="Times New Roman" w:eastAsia="Times New Roman" w:hAnsi="Times New Roman"/>
          <w:sz w:val="18"/>
          <w:szCs w:val="18"/>
          <w:color w:val="auto"/>
        </w:rPr>
        <w:t>We have developed a strong foundation that drives our recruitment, retention and development efforts. We are committed to supporting the personal and professional development of our employees, as well as providing competitive benefits and a safe, inclusive workplace. We believe that these measures help us to attract new and retain existing employees. Our commitments include:</w:t>
      </w:r>
    </w:p>
    <w:p>
      <w:pPr>
        <w:spacing w:after="0" w:line="78" w:lineRule="exact"/>
        <w:rPr>
          <w:sz w:val="20"/>
          <w:szCs w:val="20"/>
          <w:color w:val="auto"/>
        </w:rPr>
      </w:pPr>
    </w:p>
    <w:p>
      <w:pPr>
        <w:ind w:left="1140" w:hanging="438"/>
        <w:spacing w:after="0" w:line="288" w:lineRule="auto"/>
        <w:tabs>
          <w:tab w:leader="none" w:pos="114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Developing a strong, collaborative workplace community. </w:t>
      </w:r>
      <w:r>
        <w:rPr>
          <w:rFonts w:ascii="Times New Roman" w:cs="Times New Roman" w:eastAsia="Times New Roman" w:hAnsi="Times New Roman"/>
          <w:sz w:val="17"/>
          <w:szCs w:val="17"/>
          <w:color w:val="auto"/>
        </w:rPr>
        <w:t>We believe our employees’ ability to communicate and cooperate effectively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across functional and departmental teams positively impacts our performance. We engage in various listening strategies, including our engagement survey, focus groups, anonymous employee feedback platform, increased attention to onboarding and offboarding</w:t>
      </w:r>
    </w:p>
    <w:p>
      <w:pPr>
        <w:spacing w:after="0" w:line="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20"/>
          </w:cols>
          <w:pgMar w:left="320" w:top="451" w:right="5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140" w:right="60"/>
        <w:spacing w:after="0" w:line="271" w:lineRule="auto"/>
        <w:rPr>
          <w:sz w:val="20"/>
          <w:szCs w:val="20"/>
          <w:color w:val="auto"/>
        </w:rPr>
      </w:pPr>
      <w:r>
        <w:rPr>
          <w:rFonts w:ascii="Times New Roman" w:cs="Times New Roman" w:eastAsia="Times New Roman" w:hAnsi="Times New Roman"/>
          <w:sz w:val="17"/>
          <w:szCs w:val="17"/>
          <w:color w:val="auto"/>
        </w:rPr>
        <w:t>feedback, pulse surveys on remote work needs, as well as our recent inclusion and diversity listening sessions in the United States and subsequent launch of various diversity employee resource groups. On a global level, we conduct employee engagement surveys to analyze the progress we have made as a company and to identify areas of growth. The results from our employee surveys are used to implement programs and processes designed to further enhance our culture. Over 29,000 employees globally participated in our latest employee survey, conducted in 2024. Highlights include (i) 82% of respondents indicated that they would recommend Medline as a good place to work and (ii) 88% of respondents indicated that they believe Medline is committed to exceeding its customers’ expectations.</w:t>
      </w:r>
    </w:p>
    <w:p>
      <w:pPr>
        <w:spacing w:after="0" w:line="76" w:lineRule="exact"/>
        <w:rPr>
          <w:sz w:val="20"/>
          <w:szCs w:val="20"/>
          <w:color w:val="auto"/>
        </w:rPr>
      </w:pPr>
    </w:p>
    <w:p>
      <w:pPr>
        <w:ind w:left="1140" w:right="240" w:hanging="438"/>
        <w:spacing w:after="0" w:line="256" w:lineRule="auto"/>
        <w:tabs>
          <w:tab w:leader="none" w:pos="11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Attracting top talent. </w:t>
      </w:r>
      <w:r>
        <w:rPr>
          <w:rFonts w:ascii="Times New Roman" w:cs="Times New Roman" w:eastAsia="Times New Roman" w:hAnsi="Times New Roman"/>
          <w:sz w:val="18"/>
          <w:szCs w:val="18"/>
          <w:color w:val="auto"/>
        </w:rPr>
        <w:t>Our dedicated talent acquisition team strives to efficiently hire employees with capabilities that meet the specific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technical needs of our divisions. Through continuous improvement of internal processes, an awareness of market and candidate driven trends, and in partnership with vendors and other outside organizations, our talent acquisition team identifies and attracts candidates that have the skills, experience, and motivation to help us achieve business results. Our leadership continues to partner with our Talent Acquisition team to build a diverse employee base to drive representation throughout all our divisions.</w:t>
      </w:r>
    </w:p>
    <w:p>
      <w:pPr>
        <w:spacing w:after="0" w:line="86" w:lineRule="exact"/>
        <w:rPr>
          <w:rFonts w:ascii="Times New Roman" w:cs="Times New Roman" w:eastAsia="Times New Roman" w:hAnsi="Times New Roman"/>
          <w:sz w:val="18"/>
          <w:szCs w:val="18"/>
          <w:color w:val="auto"/>
        </w:rPr>
      </w:pPr>
    </w:p>
    <w:p>
      <w:pPr>
        <w:ind w:left="1140" w:right="60" w:hanging="438"/>
        <w:spacing w:after="0" w:line="251" w:lineRule="auto"/>
        <w:tabs>
          <w:tab w:leader="none" w:pos="11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Developing our employees and providing earlier advancement opportunities. </w:t>
      </w:r>
      <w:r>
        <w:rPr>
          <w:rFonts w:ascii="Times New Roman" w:cs="Times New Roman" w:eastAsia="Times New Roman" w:hAnsi="Times New Roman"/>
          <w:sz w:val="18"/>
          <w:szCs w:val="18"/>
          <w:color w:val="auto"/>
        </w:rPr>
        <w:t>Medline seeks to identify talent early in peoples’ careers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develop those people quickly. We provide our employees with early opportunities to take on additional responsibilities to demonstrate their competencies and drive to succeed, enabling them to grow quickly. These on-the-job opportunities are augmented by formal training and development to refine technical and leadership skills. Our new sales representatives participate in a comprehensive sales training program, receiving, on average, six weeks of training and education per year, resulting in a deep understanding of selling strategy, customer expectations, products, and clinical knowledge. Product manager development offerings are designed to train and retain product managers through all stages of their careers, and range from mandatory onboarding offerings to advanced classes that provide the necessary skills with increasing levels of responsibility. Additionally, we believe in the value of diversity and inclusion in our workforce. Our Employee Resource Groups have played a critical role in building awareness around inclusion and diversity topics. We have trained over 1,500 people leaders to avoid bias in their key talent decisions (hires, development, promotions) as part of our efforts to build a supportive and inclusive environment.</w:t>
      </w:r>
    </w:p>
    <w:p>
      <w:pPr>
        <w:spacing w:after="0" w:line="92" w:lineRule="exact"/>
        <w:rPr>
          <w:rFonts w:ascii="Times New Roman" w:cs="Times New Roman" w:eastAsia="Times New Roman" w:hAnsi="Times New Roman"/>
          <w:sz w:val="18"/>
          <w:szCs w:val="18"/>
          <w:color w:val="auto"/>
        </w:rPr>
      </w:pPr>
    </w:p>
    <w:p>
      <w:pPr>
        <w:ind w:left="1140" w:right="100" w:hanging="438"/>
        <w:spacing w:after="0" w:line="255" w:lineRule="auto"/>
        <w:tabs>
          <w:tab w:leader="none" w:pos="11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Promoting employee and community well-being. </w:t>
      </w:r>
      <w:r>
        <w:rPr>
          <w:rFonts w:ascii="Times New Roman" w:cs="Times New Roman" w:eastAsia="Times New Roman" w:hAnsi="Times New Roman"/>
          <w:sz w:val="18"/>
          <w:szCs w:val="18"/>
          <w:color w:val="auto"/>
        </w:rPr>
        <w:t>We encourage physical, emotional and financial fitness and offer programs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benefits to help employees lead healthier lives overall. Among other programs, Medline provides access to an employee assistance plan in Europe and provides mental health awareness training for HR and people leaders in the United States. We also promote corporate social responsibility and provide our employees opportunities to give back to their communities. Our charitable giving efforts include financial giving and in-kind giving such as product donations. This includes over $1.2 million in charitable donations in the United States alone during the year ended December 31, 2024.</w:t>
      </w:r>
    </w:p>
    <w:p>
      <w:pPr>
        <w:spacing w:after="0" w:line="84" w:lineRule="exact"/>
        <w:rPr>
          <w:rFonts w:ascii="Times New Roman" w:cs="Times New Roman" w:eastAsia="Times New Roman" w:hAnsi="Times New Roman"/>
          <w:sz w:val="18"/>
          <w:szCs w:val="18"/>
          <w:color w:val="auto"/>
        </w:rPr>
      </w:pPr>
    </w:p>
    <w:p>
      <w:pPr>
        <w:ind w:left="1140" w:right="60" w:hanging="438"/>
        <w:spacing w:after="0" w:line="282" w:lineRule="auto"/>
        <w:tabs>
          <w:tab w:leader="none" w:pos="11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Supporting employee health and safety. </w:t>
      </w:r>
      <w:r>
        <w:rPr>
          <w:rFonts w:ascii="Times New Roman" w:cs="Times New Roman" w:eastAsia="Times New Roman" w:hAnsi="Times New Roman"/>
          <w:sz w:val="18"/>
          <w:szCs w:val="18"/>
          <w:color w:val="auto"/>
        </w:rPr>
        <w:t>In addition to offering competitive health and well-being programs and other benefits to eligible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we are committed to providing a safe and secure work environment for all employees.</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8"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We rely upon patents, trademarks, copyrights, trade secrets and other intellectual property rights to maintain and improve our competitive position. We have a large portfolio of intellectual property, including more than 2,100 granted patents as well as trademark registrations protecting our notable brands, including Medline, Curad, Microtek, Hudson, and Proxima.</w:t>
      </w:r>
    </w:p>
    <w:p>
      <w:pPr>
        <w:spacing w:after="0" w:line="175" w:lineRule="exact"/>
        <w:rPr>
          <w:sz w:val="20"/>
          <w:szCs w:val="20"/>
          <w:color w:val="auto"/>
        </w:rPr>
      </w:pPr>
    </w:p>
    <w:p>
      <w:pPr>
        <w:ind w:left="160" w:right="40" w:firstLine="436"/>
        <w:spacing w:after="0" w:line="278" w:lineRule="auto"/>
        <w:rPr>
          <w:sz w:val="20"/>
          <w:szCs w:val="20"/>
          <w:color w:val="auto"/>
        </w:rPr>
      </w:pPr>
      <w:r>
        <w:rPr>
          <w:rFonts w:ascii="Times New Roman" w:cs="Times New Roman" w:eastAsia="Times New Roman" w:hAnsi="Times New Roman"/>
          <w:sz w:val="18"/>
          <w:szCs w:val="18"/>
          <w:color w:val="auto"/>
        </w:rPr>
        <w:t>We consider the trademarks and know-how that we own to be material to our business. However, other than the Medline mark, we do not consider our business to be materially dependent upon any individual trademark</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80"/>
          </w:cols>
          <w:pgMar w:left="320" w:top="451" w:right="4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80"/>
        <w:spacing w:after="0" w:line="278" w:lineRule="auto"/>
        <w:rPr>
          <w:sz w:val="20"/>
          <w:szCs w:val="20"/>
          <w:color w:val="auto"/>
        </w:rPr>
      </w:pPr>
      <w:r>
        <w:rPr>
          <w:rFonts w:ascii="Times New Roman" w:cs="Times New Roman" w:eastAsia="Times New Roman" w:hAnsi="Times New Roman"/>
          <w:sz w:val="18"/>
          <w:szCs w:val="18"/>
          <w:color w:val="auto"/>
        </w:rPr>
        <w:t>registration or trade secret. In the aggregate, we consider our more than 2,100 granted patents to be material to our business. However, no single patent or group of related patents is material to our business as a whole or any segment of our business.</w:t>
      </w:r>
    </w:p>
    <w:p>
      <w:pPr>
        <w:spacing w:after="0" w:line="162" w:lineRule="exact"/>
        <w:rPr>
          <w:sz w:val="20"/>
          <w:szCs w:val="20"/>
          <w:color w:val="auto"/>
        </w:rPr>
      </w:pPr>
    </w:p>
    <w:p>
      <w:pPr>
        <w:ind w:left="160" w:right="40" w:firstLine="436"/>
        <w:spacing w:after="0" w:line="254" w:lineRule="auto"/>
        <w:rPr>
          <w:sz w:val="20"/>
          <w:szCs w:val="20"/>
          <w:color w:val="auto"/>
        </w:rPr>
      </w:pPr>
      <w:r>
        <w:rPr>
          <w:rFonts w:ascii="Times New Roman" w:cs="Times New Roman" w:eastAsia="Times New Roman" w:hAnsi="Times New Roman"/>
          <w:sz w:val="18"/>
          <w:szCs w:val="18"/>
          <w:color w:val="auto"/>
        </w:rPr>
        <w:t>We believe that we have taken all necessary steps to protect our intellectual property rights, but no assurance can be given that we will be able to successfully enforce or protect our rights in the event that they are infringed upon or challenged by a third party. See “Risk Factors—Risks Related to Regulation and Legal Proceedings—Any failure to obtain, maintain, protect and enforce our intellectual property rights, or the failure of the strength or scope of our intellectual property rights, could harm our business, financial condition, and results of operations” and “Risk Factors—Risks Related to Regulation and Legal Proceedings—We may become subject to litigation brought by third parties claiming infringement, misappropriation, or other violation by us of their intellectual property rights.”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18" w:lineRule="exact"/>
        <w:rPr>
          <w:sz w:val="20"/>
          <w:szCs w:val="20"/>
          <w:color w:val="auto"/>
        </w:rPr>
      </w:pPr>
    </w:p>
    <w:p>
      <w:pPr>
        <w:ind w:left="160" w:firstLine="436"/>
        <w:spacing w:after="0" w:line="249" w:lineRule="auto"/>
        <w:rPr>
          <w:sz w:val="20"/>
          <w:szCs w:val="20"/>
          <w:color w:val="auto"/>
        </w:rPr>
      </w:pPr>
      <w:r>
        <w:rPr>
          <w:rFonts w:ascii="Times New Roman" w:cs="Times New Roman" w:eastAsia="Times New Roman" w:hAnsi="Times New Roman"/>
          <w:sz w:val="18"/>
          <w:szCs w:val="18"/>
          <w:color w:val="auto"/>
        </w:rPr>
        <w:t>Our operations and products are subject to extensive regulation by numerous governmental regulatory authorities, including U.S. and other international regulatory authorities, and other government agencies inside and outside the United States. To varying degrees, each of these agencies requires us to comply with laws and regulations governing the development, design, materials, testing, safety, efficacy, quality, purity, manufacturing, methods, controls, testing, screening, recordkeeping, reporting, processing, storage, registration, authorization, licensing, permitting, labeling, advertising, marketing, distribution, offer for sale, sale, use, expiration, pricing, reimbursement, import, export, clinical trials, post-marketing surveillance of our products, the registration of our facilities, and the claims that we make about our products. The United States and other countries where we sell healthcare and other regulated products, including drugs, human cell and tissue products, dietary supplements, cosmetics, certain foods, and consumer products subject such products to their own clearance, authorization, approval, registration, listing, labeling, manufacturing, recordkeeping, reporting, and other regulatory requirements regarding the performance, safety, and quality of such products. We are also subject to healthcare and other regulations and enforcement by the federal government and the states and foreign governments and authorities in the locations in which we conduct our business. The governmental and regulatory authorities that enforce such laws and rules, and that issue guidance on compliance with such laws and rules include, without limitation, the FDA, CMS, other divisions of the HHS, the HHS Office of Inspector General, EPA, FTC, Consumer Product Safety Commission (“CPSC”), the DOJ and individual U.S. Attorney offices within the DOJ, as well as state and local governments. Our business is also affected by patient and data privacy and security laws, government payer cost containment initiatives, government reimbursement laws and regulations, environmental, health, and safety laws and regulations, as well as laws and regulations with respect to the sale, transportation, storage, handling, and disposal of hazardous or potentially hazardous substances, and safe working conditions. Our business also maintains contracts with governmental agencies and is subject to certain regulatory requirements specific to government contractors.</w:t>
      </w:r>
    </w:p>
    <w:p>
      <w:pPr>
        <w:spacing w:after="0" w:line="201" w:lineRule="exact"/>
        <w:rPr>
          <w:sz w:val="20"/>
          <w:szCs w:val="20"/>
          <w:color w:val="auto"/>
        </w:rPr>
      </w:pPr>
    </w:p>
    <w:p>
      <w:pPr>
        <w:ind w:left="160" w:right="20" w:firstLine="436"/>
        <w:spacing w:after="0" w:line="251" w:lineRule="auto"/>
        <w:rPr>
          <w:sz w:val="20"/>
          <w:szCs w:val="20"/>
          <w:color w:val="auto"/>
        </w:rPr>
      </w:pPr>
      <w:r>
        <w:rPr>
          <w:rFonts w:ascii="Times New Roman" w:cs="Times New Roman" w:eastAsia="Times New Roman" w:hAnsi="Times New Roman"/>
          <w:sz w:val="18"/>
          <w:szCs w:val="18"/>
          <w:color w:val="auto"/>
        </w:rPr>
        <w:t>The regulations to which we are subject are complex and have tended to become more stringent over time. If our business expands in certain ways, we may be subject to new and additional regulatory requirements. The foreign, federal, state, and local regulatory authorities have broad inspection and enforcement powers, including the ability to suspend or limit the distribution of products, suspend, revoke, or terminate our product and facility licenses, permits, and authorizations, request the cessation of distribution and shipments of certain products due to regulatory, safety, or other issues, seize or order the recall of our products, issue safety, quality, or other communications to the public or healthcare providers, enforce laws related to marketing, including promotion of off-label uses of products, and impose injunctions and significant criminal, civil, and administrative sanctions for violations of laws and regulations. Any adverse regulatory or other action, including any adverse press releases or other communications from regulators, may impact our business practices and operations, including by limiting our ability to effectively market, ship, and sell our products, affecting the production and distribution of products by our manufacturing facilities, subjecting us to significant liability, and limiting our ability to obtain future authorizations. Although we are subject to international government regulations in the international end</w:t>
      </w:r>
    </w:p>
    <w:p>
      <w:pPr>
        <w:spacing w:after="0" w:line="12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000"/>
          </w:cols>
          <w:pgMar w:left="320" w:top="452" w:right="57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480"/>
        <w:spacing w:after="0" w:line="278" w:lineRule="auto"/>
        <w:rPr>
          <w:sz w:val="20"/>
          <w:szCs w:val="20"/>
          <w:color w:val="auto"/>
        </w:rPr>
      </w:pPr>
      <w:r>
        <w:rPr>
          <w:rFonts w:ascii="Times New Roman" w:cs="Times New Roman" w:eastAsia="Times New Roman" w:hAnsi="Times New Roman"/>
          <w:sz w:val="18"/>
          <w:szCs w:val="18"/>
          <w:color w:val="auto"/>
        </w:rPr>
        <w:t>markets where we operate and/or provide our products, these regulations do not have a material impact on our products as no international market represents more than 3% of our net sales.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of Medical Devices</w:t>
      </w:r>
    </w:p>
    <w:p>
      <w:pPr>
        <w:spacing w:after="0" w:line="118" w:lineRule="exact"/>
        <w:rPr>
          <w:sz w:val="20"/>
          <w:szCs w:val="20"/>
          <w:color w:val="auto"/>
        </w:rPr>
      </w:pPr>
    </w:p>
    <w:p>
      <w:pPr>
        <w:ind w:left="160" w:right="20" w:firstLine="436"/>
        <w:spacing w:after="0" w:line="250" w:lineRule="auto"/>
        <w:rPr>
          <w:sz w:val="20"/>
          <w:szCs w:val="20"/>
          <w:color w:val="auto"/>
        </w:rPr>
      </w:pPr>
      <w:r>
        <w:rPr>
          <w:rFonts w:ascii="Times New Roman" w:cs="Times New Roman" w:eastAsia="Times New Roman" w:hAnsi="Times New Roman"/>
          <w:sz w:val="18"/>
          <w:szCs w:val="18"/>
          <w:color w:val="auto"/>
        </w:rPr>
        <w:t>Our medical devices are subject to regulation by numerous government agencies, including the FDA and comparable state and foreign agencies. Regulations of the FDA and other regulatory agencies in and outside the United States impose extensive compliance and monitoring obligations on portions of our business. The FDA and other U.S. and foreign governmental agencies regulate, among other things, with respect to medical devices: design, development, and manufacturing; testing, registration, listing, labeling, content, and language of instructions for use and storage; clinical trials; product safety; marketing, sales, and distribution; licensing and permit requirements; premarket clearance, approval and authorization; record keeping procedures; advertising and promotion; recalls and field safety corrective actions; post-market surveillance, including reporting of deaths or serious injuries and malfunctions that, if they were to recur, could lead to death or serious injury; post-market approval studies; and product import and export. The regulations to which we are subject are complex and have tended to become more stringent over time. If our business expands in certain ways, we may be subject to new and additional regulatory requirements. The FDA and state regulatory authorities have broad inspection and enforcement powers, including the ability to suspend or limit the distribution of products by our distribution centers; seize or order the recall of products; terminate, suspend, or revoke licenses and permits; and impose significant criminal, civil, and administrative sanctions for violations of these laws and regulations. Foreign regulations subject us to similar foreign enforcement powers. In addition, the FDA and other governmental and regulatory authorities, both in and outside the United States (including the FTC, the HHS Office of the Inspector General, the DOJ, and various state Attorneys General), monitor the promotion and advertising of our products. Any adverse regulatory or other action, including any adverse press releases or other communications from regulators, depending on its magnitude, may limit our ability to effectively market, ship, and sell our products, limit our ability to obtain future premarket authorizations, or result in a substantial modification to our business practices and operations.</w:t>
      </w:r>
    </w:p>
    <w:p>
      <w:pPr>
        <w:spacing w:after="0" w:line="29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FDA Premarket Clearance and Approval Requirements</w:t>
      </w:r>
    </w:p>
    <w:p>
      <w:pPr>
        <w:spacing w:after="0" w:line="116"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Each medical device we wish to distribute commercially in the United States requires marketing authorization from the FDA prior to distribution, unless the device is exempt from premarket notification requirements. The type of marketing authorization necessary is generally linked to the classification of the device. The FDA classifies medical devices into one of three classes—Class I, II, or III—based on the degree of risk associated with a device and the level of regulatory control deemed necessary to ensure its safety and effectiveness. Class I devices that pose the least risk are subject only to General Controls applicable to all devices, such as requirements for device labeling, premarket notification, and adherence to current good manufacturing practices for devices as set forth in the Quality System Regulation (“QSR”). Class II devices that pose a moderate risk are subject to General Controls and may also be subject to Special Controls, such as performance standards, product-specific guidance documents, special labeling requirements, patient registries, or post-market surveillance. Class III devices are those for which insufficient information exists to assure safety and effectiveness solely through General and Special Controls, including devices that support or sustain human life, are of substantial importance in preventing impairment of human health, or which present a potential unreasonable risk of illness or injury.</w:t>
      </w:r>
    </w:p>
    <w:p>
      <w:pPr>
        <w:spacing w:after="0" w:line="189" w:lineRule="exact"/>
        <w:rPr>
          <w:sz w:val="20"/>
          <w:szCs w:val="20"/>
          <w:color w:val="auto"/>
        </w:rPr>
      </w:pPr>
    </w:p>
    <w:p>
      <w:pPr>
        <w:ind w:left="160" w:right="200" w:firstLine="436"/>
        <w:spacing w:after="0" w:line="254" w:lineRule="auto"/>
        <w:rPr>
          <w:sz w:val="20"/>
          <w:szCs w:val="20"/>
          <w:color w:val="auto"/>
        </w:rPr>
      </w:pPr>
      <w:r>
        <w:rPr>
          <w:rFonts w:ascii="Times New Roman" w:cs="Times New Roman" w:eastAsia="Times New Roman" w:hAnsi="Times New Roman"/>
          <w:sz w:val="18"/>
          <w:szCs w:val="18"/>
          <w:color w:val="auto"/>
        </w:rPr>
        <w:t>Most Class I devices and some Class II devices are exempted by regulation from the 510(k) clearance requirement and can be marketed without prior authorization from the FDA. Class I and II devices that are not exempted are eligible for marketing through the 510(k) clearance pathway. By contrast, devices placed in Class III generally require premarket approval (“PMA”) or de novo clearance prior to commercial marketing. The PMA approval process is more stringent, time-consuming and expensive than the 510(k) clearance process; however, the 510(k) clearance process has also become increasingly stringent and expensive. None of our products are currently approved under a PMA, and we have no plans for any indication or system improvement</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60"/>
          </w:cols>
          <w:pgMar w:left="320" w:top="451" w:right="51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or extension that we believe would require a PMA. If, in the future, we were to file a PMA, we may be subject to additional regulatory requirements.</w:t>
      </w:r>
    </w:p>
    <w:p>
      <w:pPr>
        <w:spacing w:after="0" w:line="3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510(k) Clearance Process</w:t>
      </w:r>
    </w:p>
    <w:p>
      <w:pPr>
        <w:spacing w:after="0" w:line="116" w:lineRule="exact"/>
        <w:rPr>
          <w:sz w:val="20"/>
          <w:szCs w:val="20"/>
          <w:color w:val="auto"/>
        </w:rPr>
      </w:pPr>
    </w:p>
    <w:p>
      <w:pPr>
        <w:ind w:left="160" w:right="40" w:firstLine="436"/>
        <w:spacing w:after="0" w:line="251" w:lineRule="auto"/>
        <w:rPr>
          <w:sz w:val="20"/>
          <w:szCs w:val="20"/>
          <w:color w:val="auto"/>
        </w:rPr>
      </w:pPr>
      <w:r>
        <w:rPr>
          <w:rFonts w:ascii="Times New Roman" w:cs="Times New Roman" w:eastAsia="Times New Roman" w:hAnsi="Times New Roman"/>
          <w:sz w:val="18"/>
          <w:szCs w:val="18"/>
          <w:color w:val="auto"/>
        </w:rPr>
        <w:t>To obtain 510(k) clearance, we must submit a premarket notification to the FDA demonstrating the proposed device to be substantially equivalent to a predicate device. A device is substantially equivalent if, with respect to the predicate device, it has the same intended use and it has either the same technological characteristics, or it has different technological characteristics, but the information provided in the 510(k) submission demonstrates that the device does not raise new questions of safety or effectiveness. The standard review process for 510(k)s is between six to nine months, dependent upon the type of 510(k) filing submitted. Although many 510(k) premarket notifications are cleared without clinical data, in some cases, the FDA may require clinical data to support substantial equivalence. In reviewing a premarket notification, the FDA may request additional information, including clinical data, which may significantly prolong the review process and clearance is never assured. Clinical trials generally require the submission of an investigational device exemption (“IDE”) to the FDA for a specified number of patients and study sites, unless the product is deemed a non-significant risk device eligible for more abbreviated IDE requirements. Clinical trials are subject to numerous requirements and institutional review board approval, oversight, and monitoring. Even if a trial is conducted, the results of clinical testing may not adequately demonstrate the safety and effectiveness of the device or be sufficient to obtain FDA clearance or approval for marketing.</w:t>
      </w:r>
    </w:p>
    <w:p>
      <w:pPr>
        <w:spacing w:after="0" w:line="187" w:lineRule="exact"/>
        <w:rPr>
          <w:sz w:val="20"/>
          <w:szCs w:val="20"/>
          <w:color w:val="auto"/>
        </w:rPr>
      </w:pPr>
    </w:p>
    <w:p>
      <w:pPr>
        <w:ind w:left="160" w:firstLine="436"/>
        <w:spacing w:after="0" w:line="266" w:lineRule="auto"/>
        <w:rPr>
          <w:sz w:val="20"/>
          <w:szCs w:val="20"/>
          <w:color w:val="auto"/>
        </w:rPr>
      </w:pPr>
      <w:r>
        <w:rPr>
          <w:rFonts w:ascii="Times New Roman" w:cs="Times New Roman" w:eastAsia="Times New Roman" w:hAnsi="Times New Roman"/>
          <w:sz w:val="17"/>
          <w:szCs w:val="17"/>
          <w:color w:val="auto"/>
        </w:rPr>
        <w:t>After a device receives 510(k) clearance, any subsequent modification of the device that could significantly affect its safety or effectiveness, or that would constitute a major change in its intended use, requires a new 510(k) clearance or could require submission and approval of a de novo 510(k) or a PMA application in cases where new indications are sought for which there is no predicate. Non-significant changes are handled via internal documentation by the Company. Each manufacturer must judge the significance of modifications based on FDA 510(k) regulatory requirements and guidance documents. The FDA may review any such decision and may disagree with a manufacturer’s determination. If the FDA disagrees with a manufacturer’s determination, the FDA may require the manufacturer to cease marketing and distribution and/or recall the modified device until 510(k) clearance or PMA approval is obtained. In the future, we may make modifications to our products after they have received FDA clearance and, in appropriate circumstances, determine that new clearance is unnecessary. However, the FDA may disagree with our determination, and, if the FDA requires us to seek 510(k) clearance or submit new PMA applications for any modifications to a previously cleared product, we may be required to cease marketing or distributing or recall the modified device until we obtain the required clearance or approval. We may also market or acquire products that are marketed without a 510(k) clearance, appropriate labeling, or that otherwise are marketed in violation of FDA requirements, since medical devices can be marketed only for the indications for which they are cleared or approved. Under these circumstances, we may also be subject to warning letters, significant regulatory fines, or other penalties, and we may no longer be able to market particular products for which a 510(k) clearance is required.</w:t>
      </w:r>
    </w:p>
    <w:p>
      <w:pPr>
        <w:spacing w:after="0" w:line="2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Post-Marketing Requirements</w:t>
      </w:r>
    </w:p>
    <w:p>
      <w:pPr>
        <w:spacing w:after="0" w:line="116"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color w:val="auto"/>
        </w:rPr>
        <w:t>Numerous FDA regulatory requirements apply to devices we manufacture and distribute, including: compliance with the QSR, which require manufacturers and their suppliers to follow the applicable design, testing, processes, control, documentation, labeling, and other quality assurance procedures during the manufacturing process; establishment registration, which requires establishments involved in the production and distribution of medical devices intended for commercial distribution in the United States to register with the FDA; medical device listing, which requires manufacturers to list the devices they have in commercial distribution with the FDA; labeling regulations, which prohibit “misbranded” devices from entering the market, as well as prohibit the promotion of products for unapproved or off-label uses and impose other restrictions on labeling; post-market surveillance, including medical device reporting requirements which requires manufacturers to report to the FDA if their device may have caused or contributed to a death or serious injury, or</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080"/>
          </w:cols>
          <w:pgMar w:left="320" w:top="451" w:right="4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40"/>
        <w:spacing w:after="0" w:line="255" w:lineRule="auto"/>
        <w:rPr>
          <w:sz w:val="20"/>
          <w:szCs w:val="20"/>
          <w:color w:val="auto"/>
        </w:rPr>
      </w:pPr>
      <w:r>
        <w:rPr>
          <w:rFonts w:ascii="Times New Roman" w:cs="Times New Roman" w:eastAsia="Times New Roman" w:hAnsi="Times New Roman"/>
          <w:sz w:val="18"/>
          <w:szCs w:val="18"/>
          <w:color w:val="auto"/>
        </w:rPr>
        <w:t>malfunctioned in a way that would likely cause or contribute to a death or serious injury if it were to recur; and corrections and removal reporting regulations, which require that manufacturers report to the FDA field corrections and product recalls or removals if undertaken to reduce a risk to health posed by the device or to remedy a violation of the Federal Food, Drug, and Cosmetic Act that may present a risk to health. The FDA and other governmental and regulatory authorities actively enforce the laws and regulations prohibiting the promotion of off-label uses, and a company that is found to have improperly promoted off-label uses may be subject to significant liability.</w:t>
      </w:r>
    </w:p>
    <w:p>
      <w:pPr>
        <w:spacing w:after="0" w:line="184"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The FDA enforces these requirements by inspection and market surveillance. Domestic facility records and manufacturing processes are subject to periodic unscheduled inspections by the FDA. The FDA may also inspect foreign facilities that export products to the United States. Failure to comply with applicable regulatory requirements may result in enforcement action or other actions by the FDA, which may include one or more of the following sanctions: adverse press releases and safety communications; requests to stop shipments; untitled letters or warning letters; fines, injunctions, and civil penalties; mandatory recall or seizure of our products; customer notifications and repairs or replacements; administrative detention or banning of our products; consent decrees; operating restrictions, partial suspension or total shutdown of production; refusing our request for 510(k) clearances for new product versions or modifications to existing product versions; revocation of 510(k) clearances previously granted; refusal to grant export approval for our products; and criminal prosecution and penalties. If any of these events were to occur, they could have a material adverse effect on our business, financial condition, and results of operations.</w:t>
      </w:r>
    </w:p>
    <w:p>
      <w:pPr>
        <w:spacing w:after="0" w:line="29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International Regulation of Medical Devices</w:t>
      </w:r>
    </w:p>
    <w:p>
      <w:pPr>
        <w:spacing w:after="0" w:line="116" w:lineRule="exact"/>
        <w:rPr>
          <w:sz w:val="20"/>
          <w:szCs w:val="20"/>
          <w:color w:val="auto"/>
        </w:rPr>
      </w:pPr>
    </w:p>
    <w:p>
      <w:pPr>
        <w:ind w:left="160" w:right="80" w:firstLine="436"/>
        <w:spacing w:after="0" w:line="258" w:lineRule="auto"/>
        <w:rPr>
          <w:sz w:val="20"/>
          <w:szCs w:val="20"/>
          <w:color w:val="auto"/>
        </w:rPr>
      </w:pPr>
      <w:r>
        <w:rPr>
          <w:rFonts w:ascii="Times New Roman" w:cs="Times New Roman" w:eastAsia="Times New Roman" w:hAnsi="Times New Roman"/>
          <w:sz w:val="18"/>
          <w:szCs w:val="18"/>
          <w:color w:val="auto"/>
        </w:rPr>
        <w:t>Sales of medical devices outside the United States are subject to foreign government regulations, which vary substantially from country to country. In order to market our products in other countries, we must comply with applicable regulatory requirements and authorizations and approvals and safety and quality regulations in each country in which the product is marketed. The time required to obtain authorization, approval, or certification by a foreign country may be longer or shorter than that required for FDA clearance, and the requirements may differ significantly.</w:t>
      </w:r>
    </w:p>
    <w:p>
      <w:pPr>
        <w:spacing w:after="0" w:line="2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EU Regulation of Medical Devices</w:t>
      </w:r>
    </w:p>
    <w:p>
      <w:pPr>
        <w:spacing w:after="0" w:line="116" w:lineRule="exact"/>
        <w:rPr>
          <w:sz w:val="20"/>
          <w:szCs w:val="20"/>
          <w:color w:val="auto"/>
        </w:rPr>
      </w:pPr>
    </w:p>
    <w:p>
      <w:pPr>
        <w:ind w:left="160" w:right="120" w:firstLine="436"/>
        <w:spacing w:after="0" w:line="254" w:lineRule="auto"/>
        <w:rPr>
          <w:sz w:val="20"/>
          <w:szCs w:val="20"/>
          <w:color w:val="auto"/>
        </w:rPr>
      </w:pPr>
      <w:r>
        <w:rPr>
          <w:rFonts w:ascii="Times New Roman" w:cs="Times New Roman" w:eastAsia="Times New Roman" w:hAnsi="Times New Roman"/>
          <w:sz w:val="18"/>
          <w:szCs w:val="18"/>
          <w:color w:val="auto"/>
        </w:rPr>
        <w:t>In the EU until May 25, 2021, medical devices were regulated by the Council Directive 93/42/EEC, which has been repealed and replaced by the EU MDR. Unlike directives, regulations are directly applicable in all EU member states without the need for member states to implement into national law. The EU extended the EU MDR transitional periods for certain medical devices until December 31, 2027 or December 31, 2028, depending on a device’s risk class and subject to certain conditions to ensure continued access to medical devices for patients and to allow medical devices already placed on the market in accordance with the current legal framework to remain on the market, provided that the requirements of the transitional provisions are fulfilled.</w:t>
      </w:r>
    </w:p>
    <w:p>
      <w:pPr>
        <w:spacing w:after="0" w:line="184" w:lineRule="exact"/>
        <w:rPr>
          <w:sz w:val="20"/>
          <w:szCs w:val="20"/>
          <w:color w:val="auto"/>
        </w:rPr>
      </w:pPr>
    </w:p>
    <w:p>
      <w:pPr>
        <w:ind w:left="160" w:right="40" w:firstLine="436"/>
        <w:spacing w:after="0" w:line="253" w:lineRule="auto"/>
        <w:rPr>
          <w:sz w:val="20"/>
          <w:szCs w:val="20"/>
          <w:color w:val="auto"/>
        </w:rPr>
      </w:pPr>
      <w:r>
        <w:rPr>
          <w:rFonts w:ascii="Times New Roman" w:cs="Times New Roman" w:eastAsia="Times New Roman" w:hAnsi="Times New Roman"/>
          <w:sz w:val="18"/>
          <w:szCs w:val="18"/>
          <w:color w:val="auto"/>
        </w:rPr>
        <w:t>In the EU, there is currently no premarket government review of medical devices. However, all medical devices placed on the EU market must meet general safety and performance requirements, and compliance with the general safety and performance requirements is a prerequisite for European conformity marking without which medical devices cannot be marketed or sold in the EU. EU MDR requirements regarding the distribution, marketing, and sale, including quality systems and post-market surveillance, have to be observed by manufacturers, importers, and distributors as of the application date (i.e., since May 26, 2021), including registration of economic operators and of devices (once the relevant modules of Eudamed are functional), surveillance, and vigilance requirements. The aforementioned EU rules are generally applicable in the European Economic Area which consists of the 27 EU member states plus Norway, Liechtenstein, and Iceland.</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060"/>
          </w:cols>
          <w:pgMar w:left="320" w:top="452" w:right="51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The NDA Approval Process</w:t>
      </w:r>
    </w:p>
    <w:p>
      <w:pPr>
        <w:spacing w:after="0" w:line="118"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For any new drug products regulated under the Federal Food, Drug, and Cosmetic Act such as our ReadyPrep CHG cloth, a sponsor must submit a New Drug Application (“NDA”), to the FDA for review and approval. The NDA review and approval process may take multiple years and involves steps including the following:</w:t>
      </w:r>
    </w:p>
    <w:p>
      <w:pPr>
        <w:spacing w:after="0" w:line="82" w:lineRule="exact"/>
        <w:rPr>
          <w:sz w:val="20"/>
          <w:szCs w:val="20"/>
          <w:color w:val="auto"/>
        </w:rPr>
      </w:pPr>
    </w:p>
    <w:p>
      <w:pPr>
        <w:ind w:left="1140" w:hanging="438"/>
        <w:spacing w:after="0"/>
        <w:tabs>
          <w:tab w:leader="none" w:pos="11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studies and analytical and stability testing in accordance with applicable regulations;</w:t>
      </w:r>
    </w:p>
    <w:p>
      <w:pPr>
        <w:spacing w:after="0" w:line="127" w:lineRule="exact"/>
        <w:rPr>
          <w:rFonts w:ascii="Times New Roman" w:cs="Times New Roman" w:eastAsia="Times New Roman" w:hAnsi="Times New Roman"/>
          <w:sz w:val="18"/>
          <w:szCs w:val="18"/>
          <w:color w:val="auto"/>
        </w:rPr>
      </w:pPr>
    </w:p>
    <w:p>
      <w:pPr>
        <w:ind w:left="1140" w:right="60" w:hanging="438"/>
        <w:spacing w:after="0" w:line="278" w:lineRule="auto"/>
        <w:tabs>
          <w:tab w:leader="none" w:pos="11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(“IND”) application, which must become effective before clinical trials may begin and must be updated annually and amended when certain changes are made;</w:t>
      </w:r>
    </w:p>
    <w:p>
      <w:pPr>
        <w:spacing w:after="0" w:line="68" w:lineRule="exact"/>
        <w:rPr>
          <w:rFonts w:ascii="Times New Roman" w:cs="Times New Roman" w:eastAsia="Times New Roman" w:hAnsi="Times New Roman"/>
          <w:sz w:val="18"/>
          <w:szCs w:val="18"/>
          <w:color w:val="auto"/>
        </w:rPr>
      </w:pPr>
    </w:p>
    <w:p>
      <w:pPr>
        <w:ind w:left="1140" w:right="100" w:hanging="438"/>
        <w:spacing w:after="0" w:line="278" w:lineRule="auto"/>
        <w:tabs>
          <w:tab w:leader="none" w:pos="11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or IRB, or independent ethics committee, or IEC, at each clinical trial site before each trial may be initiated;</w:t>
      </w:r>
    </w:p>
    <w:p>
      <w:pPr>
        <w:spacing w:after="0" w:line="68" w:lineRule="exact"/>
        <w:rPr>
          <w:rFonts w:ascii="Times New Roman" w:cs="Times New Roman" w:eastAsia="Times New Roman" w:hAnsi="Times New Roman"/>
          <w:sz w:val="18"/>
          <w:szCs w:val="18"/>
          <w:color w:val="auto"/>
        </w:rPr>
      </w:pPr>
    </w:p>
    <w:p>
      <w:pPr>
        <w:jc w:val="both"/>
        <w:ind w:left="1140" w:right="100" w:hanging="438"/>
        <w:spacing w:after="0" w:line="263" w:lineRule="auto"/>
        <w:tabs>
          <w:tab w:leader="none" w:pos="11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in accordance with applicable IND regulations, good clinical practice, or GCP, requirements, including informed consent, financial disclosure by investigators, and other clinical trial-related regulations, to establish the safety and efficacy of the investigational product for each proposed indication and other condition of use;</w:t>
      </w:r>
    </w:p>
    <w:p>
      <w:pPr>
        <w:spacing w:after="0" w:line="81"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an NDA;</w:t>
      </w:r>
    </w:p>
    <w:p>
      <w:pPr>
        <w:spacing w:after="0" w:line="127" w:lineRule="exact"/>
        <w:rPr>
          <w:rFonts w:ascii="Times New Roman" w:cs="Times New Roman" w:eastAsia="Times New Roman" w:hAnsi="Times New Roman"/>
          <w:sz w:val="18"/>
          <w:szCs w:val="18"/>
          <w:color w:val="auto"/>
        </w:rPr>
      </w:pPr>
    </w:p>
    <w:p>
      <w:pPr>
        <w:ind w:left="1140" w:right="380" w:hanging="438"/>
        <w:spacing w:after="0" w:line="278" w:lineRule="auto"/>
        <w:tabs>
          <w:tab w:leader="none" w:pos="11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pre-approval inspections of the manufacturing facility or facilities where the drug will be produced to assess compliance;</w:t>
      </w:r>
    </w:p>
    <w:p>
      <w:pPr>
        <w:spacing w:after="0" w:line="68" w:lineRule="exact"/>
        <w:rPr>
          <w:rFonts w:ascii="Times New Roman" w:cs="Times New Roman" w:eastAsia="Times New Roman" w:hAnsi="Times New Roman"/>
          <w:sz w:val="18"/>
          <w:szCs w:val="18"/>
          <w:color w:val="auto"/>
        </w:rPr>
      </w:pPr>
    </w:p>
    <w:p>
      <w:pPr>
        <w:ind w:left="1140" w:right="380" w:hanging="438"/>
        <w:spacing w:after="0" w:line="278" w:lineRule="auto"/>
        <w:tabs>
          <w:tab w:leader="none" w:pos="11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FDA inspection of select clinical trial sites involved in conducting pivotal studies that generated the data in support of the NDA;</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NDA; and</w:t>
      </w:r>
    </w:p>
    <w:p>
      <w:pPr>
        <w:spacing w:after="0" w:line="127" w:lineRule="exact"/>
        <w:rPr>
          <w:rFonts w:ascii="Times New Roman" w:cs="Times New Roman" w:eastAsia="Times New Roman" w:hAnsi="Times New Roman"/>
          <w:sz w:val="18"/>
          <w:szCs w:val="18"/>
          <w:color w:val="auto"/>
        </w:rPr>
      </w:pPr>
    </w:p>
    <w:p>
      <w:pPr>
        <w:ind w:left="1140" w:right="440" w:hanging="438"/>
        <w:spacing w:after="0" w:line="278" w:lineRule="auto"/>
        <w:tabs>
          <w:tab w:leader="none" w:pos="11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including of the proposed prescribing information and, where applicable, consideration of the views of any FDA advisory committee, prior to any commercial marketing or sale of the drug in the United States.</w:t>
      </w:r>
    </w:p>
    <w:p>
      <w:pPr>
        <w:spacing w:after="0" w:line="162"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Any approvals that we may ultimately receive could be withdrawn if required post-marketing trials or analyses do not meet the FDA requirements, which could materially harm the commercial prospects for our products.</w:t>
      </w:r>
    </w:p>
    <w:p>
      <w:pPr>
        <w:spacing w:after="0" w:line="162" w:lineRule="exact"/>
        <w:rPr>
          <w:sz w:val="20"/>
          <w:szCs w:val="20"/>
          <w:color w:val="auto"/>
        </w:rPr>
      </w:pPr>
    </w:p>
    <w:p>
      <w:pPr>
        <w:ind w:left="160" w:right="140" w:firstLine="436"/>
        <w:spacing w:after="0" w:line="271" w:lineRule="auto"/>
        <w:rPr>
          <w:sz w:val="20"/>
          <w:szCs w:val="20"/>
          <w:color w:val="auto"/>
        </w:rPr>
      </w:pPr>
      <w:r>
        <w:rPr>
          <w:rFonts w:ascii="Times New Roman" w:cs="Times New Roman" w:eastAsia="Times New Roman" w:hAnsi="Times New Roman"/>
          <w:sz w:val="17"/>
          <w:szCs w:val="17"/>
          <w:color w:val="auto"/>
        </w:rPr>
        <w:t>Even if a product candidate receives regulatory approval, the approval may be limited to specific disease states, patient populations and dosages, or might contain significant limitations on use in the form of warnings, precautions or contraindications, or in the form of onerous risk management plans, restrictions on distribution, or post-marketing study requirements. Further, even after regulatory approval is obtained, later discovery of previously unknown problems with a product may result in restrictions on the product or even complete withdrawal of the product from the market. Delay in obtaining, or failure to obtain, regulatory approval for our candidate products, or obtaining approval but for significantly limited use, would harm our business. In addition, we cannot predict what adverse governmental regulations may arise from future U.S. or foreign governmental action.</w:t>
      </w:r>
    </w:p>
    <w:p>
      <w:pPr>
        <w:spacing w:after="0" w:line="2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Trade Regulations</w:t>
      </w:r>
    </w:p>
    <w:p>
      <w:pPr>
        <w:spacing w:after="0" w:line="118" w:lineRule="exact"/>
        <w:rPr>
          <w:sz w:val="20"/>
          <w:szCs w:val="20"/>
          <w:color w:val="auto"/>
        </w:rPr>
      </w:pPr>
    </w:p>
    <w:p>
      <w:pPr>
        <w:ind w:left="160" w:right="20" w:firstLine="436"/>
        <w:spacing w:after="0" w:line="258" w:lineRule="auto"/>
        <w:rPr>
          <w:sz w:val="20"/>
          <w:szCs w:val="20"/>
          <w:color w:val="auto"/>
        </w:rPr>
      </w:pPr>
      <w:r>
        <w:rPr>
          <w:rFonts w:ascii="Times New Roman" w:cs="Times New Roman" w:eastAsia="Times New Roman" w:hAnsi="Times New Roman"/>
          <w:sz w:val="18"/>
          <w:szCs w:val="18"/>
          <w:color w:val="auto"/>
        </w:rPr>
        <w:t>The movement of products, services, and investment across borders subjects us to extensive trade regulations. A variety of laws and regulations in the countries in which we transact business apply to the sale, shipment, and provision of goods, services, and technology across borders. These laws and regulations govern, among other things, our import, export, and other business activities. We are also subject to the risk that these laws and regulations could change in a way that would expose us to additional costs, penalties, or liabilities.</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60"/>
          </w:cols>
          <w:pgMar w:left="320" w:top="452" w:right="51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120"/>
        <w:spacing w:after="0" w:line="253" w:lineRule="auto"/>
        <w:rPr>
          <w:sz w:val="20"/>
          <w:szCs w:val="20"/>
          <w:color w:val="auto"/>
        </w:rPr>
      </w:pPr>
      <w:r>
        <w:rPr>
          <w:rFonts w:ascii="Times New Roman" w:cs="Times New Roman" w:eastAsia="Times New Roman" w:hAnsi="Times New Roman"/>
          <w:sz w:val="18"/>
          <w:szCs w:val="18"/>
          <w:color w:val="auto"/>
        </w:rPr>
        <w:t>Some governments also impose economic sanctions against certain countries, governments, persons, and entities, both for unlawful or malign conduct and to discourage or prevent entities from abiding by other countries’ laws. In addition to our need to comply with such regulations in connection with our direct activities, we also sell and provide goods, technology, and services to agents, representatives, and distributors who may export such items to customers and end-users. If we, or the third parties through which we do business, are not in compliance with applicable import, export control, or economic sanctions laws and regulations, we may be subject to civil or criminal enforcement action and varying degrees of liability. Such actions may disrupt or delay sales of our products or services or result in restrictions on our distribution and sales of products or services that may materially impact our business.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Anti-Boycott Laws</w:t>
      </w:r>
    </w:p>
    <w:p>
      <w:pPr>
        <w:spacing w:after="0" w:line="118"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Under U.S. laws and regulations, U.S. companies and their subsidiaries and affiliates are prohibited from participating or agreeing to participate in unsanctioned foreign boycotts in connection with certain business activities, including the sale, purchase, transfer, shipping, or financing of goods or services within the United States or between the United States and countries outside of the United States. If we, or certain third parties through which we sell or provide goods or services, violate U.S. anti-boycott laws and regulations, we may be subject to civil or criminal enforcement action and varying degrees of liability.</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 Laws and Regulations</w:t>
      </w:r>
    </w:p>
    <w:p>
      <w:pPr>
        <w:spacing w:after="0" w:line="118" w:lineRule="exact"/>
        <w:rPr>
          <w:sz w:val="20"/>
          <w:szCs w:val="20"/>
          <w:color w:val="auto"/>
        </w:rPr>
      </w:pPr>
    </w:p>
    <w:p>
      <w:pPr>
        <w:ind w:left="160" w:right="40" w:firstLine="436"/>
        <w:spacing w:after="0" w:line="253" w:lineRule="auto"/>
        <w:rPr>
          <w:sz w:val="20"/>
          <w:szCs w:val="20"/>
          <w:color w:val="auto"/>
        </w:rPr>
      </w:pPr>
      <w:r>
        <w:rPr>
          <w:rFonts w:ascii="Times New Roman" w:cs="Times New Roman" w:eastAsia="Times New Roman" w:hAnsi="Times New Roman"/>
          <w:sz w:val="18"/>
          <w:szCs w:val="18"/>
          <w:color w:val="auto"/>
        </w:rPr>
        <w:t>Our business includes the Processing of Personal Data of consumers; Medline applicants, employees, and other workforce members; our customers’ patients, plan members, and employees; our vendors’ employees; and other third parties, as well as PHI, where we continue to meet the definition of a Business Associate on behalf of our customers for certain parts of our business. We maintain PHI that we Processed about Medline’s own patients under certain of our historic offerings. We are directly or, through our customers, indirectly subject to numerous and evolving federal, state, and foreign laws and regulations relating to the processing of Personal Data and PHI, such as HIPAA, the TCPA, the Payment Card Industry Data Security Standard, Section 5 of the FTCA, and the GDPR, the CCPA, and similar data privacy legislation enacted or under consideration by various other U.S. states, and U.S. state data breach notification laws.</w:t>
      </w:r>
    </w:p>
    <w:p>
      <w:pPr>
        <w:spacing w:after="0" w:line="184" w:lineRule="exact"/>
        <w:rPr>
          <w:sz w:val="20"/>
          <w:szCs w:val="20"/>
          <w:color w:val="auto"/>
        </w:rPr>
      </w:pPr>
    </w:p>
    <w:p>
      <w:pPr>
        <w:ind w:left="160" w:right="20" w:firstLine="436"/>
        <w:spacing w:after="0" w:line="266" w:lineRule="auto"/>
        <w:rPr>
          <w:sz w:val="20"/>
          <w:szCs w:val="20"/>
          <w:color w:val="auto"/>
        </w:rPr>
      </w:pPr>
      <w:r>
        <w:rPr>
          <w:rFonts w:ascii="Times New Roman" w:cs="Times New Roman" w:eastAsia="Times New Roman" w:hAnsi="Times New Roman"/>
          <w:sz w:val="17"/>
          <w:szCs w:val="17"/>
          <w:color w:val="auto"/>
        </w:rPr>
        <w:t>HIPAA establishes privacy and security standards that limit our use and disclosure of PHI and requires us to implement administrative, physical, and technical safeguards to ensure the confidentiality, integrity, and availability of PHI, as well as to notify affected individuals, the HHS Office for Civil Rights (“OCR”), and, in breaches involving 500 individuals or more in a state / jurisdiction, the media, of breaches of unsecured PHI when we are acting as a Covered Entity. If we are acting as a Business Associate, we must notify our Covered Entity clients of breaches of unsecured PHI and security incidents. HIPAA contains substantial restrictions and requirements with respect to the use and disclosure of certain PHI. These restrictions and requirements are subject to change. For example, in December 2024, OCR issued a notice of proposed rulemaking to update the HIPAA security rule with respect to the cybersecurity of electronic PHI.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 In addition, OCR performs compliance audits in order to proactively enforce the HIPAA privacy and security standards. OCR has the discretion to impose penalties and may require companies to enter into resolution agreements and corrective action plans which impose ongoing compliance requirements. OCR enforcement activity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w:t>
      </w:r>
    </w:p>
    <w:p>
      <w:pPr>
        <w:spacing w:after="0" w:line="179"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In addition to HIPAA, we must adhere to U.S. state patient privacy laws that are not pre-empted by HIPAA, including those that are more stringent than HIPAA requirements. Numerous other U.S. state, federal, and</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080"/>
          </w:cols>
          <w:pgMar w:left="320" w:top="452" w:right="4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80"/>
        <w:spacing w:after="0" w:line="254" w:lineRule="auto"/>
        <w:rPr>
          <w:sz w:val="20"/>
          <w:szCs w:val="20"/>
          <w:color w:val="auto"/>
        </w:rPr>
      </w:pPr>
      <w:r>
        <w:rPr>
          <w:rFonts w:ascii="Times New Roman" w:cs="Times New Roman" w:eastAsia="Times New Roman" w:hAnsi="Times New Roman"/>
          <w:sz w:val="18"/>
          <w:szCs w:val="18"/>
          <w:color w:val="auto"/>
        </w:rPr>
        <w:t>foreign laws, including consumer protection laws and regulations, govern the collection, dissemination, use, access to, confidentiality, and security of patient health information. In addition, Congress and some U.S. states are considering new laws and regulations that further protect the privacy and security of medical records or medical information. With the recent increase in publicity regarding data breaches resulting in improper dissemination of consumer information, all states have passed laws regulating the actions that a business must take if it experiences a data breach, such as prompt disclosure to affected customers. The FTC and states’ Attorneys General have also brought enforcement actions and prosecuted some data breach cases as unfair and/or deceptive acts or practices under the FTC Act, in addition to actions related to the HBNR.</w:t>
      </w:r>
    </w:p>
    <w:p>
      <w:pPr>
        <w:spacing w:after="0" w:line="184" w:lineRule="exact"/>
        <w:rPr>
          <w:sz w:val="20"/>
          <w:szCs w:val="20"/>
          <w:color w:val="auto"/>
        </w:rPr>
      </w:pPr>
    </w:p>
    <w:p>
      <w:pPr>
        <w:jc w:val="both"/>
        <w:ind w:left="160" w:firstLine="436"/>
        <w:spacing w:after="0" w:line="268" w:lineRule="auto"/>
        <w:rPr>
          <w:sz w:val="20"/>
          <w:szCs w:val="20"/>
          <w:color w:val="auto"/>
        </w:rPr>
      </w:pPr>
      <w:r>
        <w:rPr>
          <w:rFonts w:ascii="Times New Roman" w:cs="Times New Roman" w:eastAsia="Times New Roman" w:hAnsi="Times New Roman"/>
          <w:sz w:val="17"/>
          <w:szCs w:val="17"/>
          <w:color w:val="auto"/>
        </w:rPr>
        <w:t>In the United States, the FTC is increasingly active in regulating health-related privacy and security, including by holding companies accountable for statements or promises made about the privacy or security of health information, through Section 5 of the FTCA, which prohibits unfair or deceptive acts or practices. In addition,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2" w:lineRule="exact"/>
        <w:rPr>
          <w:sz w:val="20"/>
          <w:szCs w:val="20"/>
          <w:color w:val="auto"/>
        </w:rPr>
      </w:pPr>
    </w:p>
    <w:p>
      <w:pPr>
        <w:ind w:left="160"/>
        <w:spacing w:after="0" w:line="249" w:lineRule="auto"/>
        <w:rPr>
          <w:sz w:val="20"/>
          <w:szCs w:val="20"/>
          <w:color w:val="auto"/>
        </w:rPr>
      </w:pPr>
      <w:r>
        <w:rPr>
          <w:rFonts w:ascii="Times New Roman" w:cs="Times New Roman" w:eastAsia="Times New Roman" w:hAnsi="Times New Roman"/>
          <w:sz w:val="18"/>
          <w:szCs w:val="18"/>
          <w:color w:val="auto"/>
        </w:rPr>
        <w:t>Individually identifiable health information is considered sensitive data that merits stronger safeguards. For information that is not subject to HIPAA and deemed to be “personal health records,” the FTC may also impose penalties for violations of the HBNR to the extent we are considered a “personal health record-related entity” or “third party service provider.” As a result, we may be subject to scrutiny by federal and state regulators, partners, and consumers related to our collection, use, and disclosure of consumer Personal Data, including health information. Additionally, federal and state consumer protection laws continue to be applied by FTC and states’ Attorneys General to regulate the collection, use, storage, and disclosure of Personal Data.</w:t>
      </w:r>
    </w:p>
    <w:p>
      <w:pPr>
        <w:spacing w:after="0" w:line="191" w:lineRule="exact"/>
        <w:rPr>
          <w:sz w:val="20"/>
          <w:szCs w:val="20"/>
          <w:color w:val="auto"/>
        </w:rPr>
      </w:pPr>
    </w:p>
    <w:p>
      <w:pPr>
        <w:ind w:left="160" w:firstLine="436"/>
        <w:spacing w:after="0" w:line="266" w:lineRule="auto"/>
        <w:rPr>
          <w:sz w:val="20"/>
          <w:szCs w:val="20"/>
          <w:color w:val="auto"/>
        </w:rPr>
      </w:pPr>
      <w:r>
        <w:rPr>
          <w:rFonts w:ascii="Times New Roman" w:cs="Times New Roman" w:eastAsia="Times New Roman" w:hAnsi="Times New Roman"/>
          <w:sz w:val="17"/>
          <w:szCs w:val="17"/>
          <w:color w:val="auto"/>
        </w:rPr>
        <w:t>At the state level in the United States, the CCPA added new privacy protections for California residents with respect to certain types of Personal Data, including by introducing new data privacy rights for California residents and establishing a regulatory agency dedicated to enforcing compliance. The CPRA came into effect on January 1, 2023, applying to information collected by businesses on or after January 1, 2022. Various other U.S. states have enacted similar comprehensive consumer data privacy legislation, and several other U.S. states and countries are considering expanding or passing privacy laws in the near term. Further, states such as Washington, Connecticut, and Nevada have recently enacted broadly applicable laws to protect the privacy of personal health information, which generally require regulated entities to obtain consent for the collection, use, or sharing of any “consumer health data,” which may include Personal Data that is linked or reasonably linkable to a consumer and that identifies a consumer’s past, present, or future physical or mental health. The effects of such state privacy laws are potentially far-reaching and may require us to modify our data Processing practices and policies and incur substantial compliance-related costs and expenses, and it remains unclear how various provisions will be interpreted and enforced by the courts and regulators. It remains possible that the U.S. Congress will ultimately (despite many failed attempts over the past several years) enact a comprehensive federal privacy law that would preempt or partially preempt U.S. state comprehensive privacy laws, but it also remains a possibility that a federal U.S. comprehensive privacy law would not preempt state law but instead layer on additional compliance complexity.</w:t>
      </w:r>
    </w:p>
    <w:p>
      <w:pPr>
        <w:spacing w:after="0" w:line="182" w:lineRule="exact"/>
        <w:rPr>
          <w:sz w:val="20"/>
          <w:szCs w:val="20"/>
          <w:color w:val="auto"/>
        </w:rPr>
      </w:pPr>
    </w:p>
    <w:p>
      <w:pPr>
        <w:ind w:left="160" w:right="60" w:firstLine="436"/>
        <w:spacing w:after="0" w:line="251" w:lineRule="auto"/>
        <w:rPr>
          <w:sz w:val="20"/>
          <w:szCs w:val="20"/>
          <w:color w:val="auto"/>
        </w:rPr>
      </w:pPr>
      <w:r>
        <w:rPr>
          <w:rFonts w:ascii="Times New Roman" w:cs="Times New Roman" w:eastAsia="Times New Roman" w:hAnsi="Times New Roman"/>
          <w:sz w:val="18"/>
          <w:szCs w:val="18"/>
          <w:color w:val="auto"/>
        </w:rPr>
        <w:t>Similarly, many foreign laws and regulations, including in countries in which we currently operate, govern the Processing of Personal Data. For example, the GDPR imposes requirements for controllers and processors subject to the law with respect to Processing the Personal Data of EU and UK residents. Guidance on implementation and compliance practices is often updated or otherwise revised. Ensuring compliance with the GDPR is an ongoing commitment that involves substantial costs, and despite our efforts, data protection authorities or others (including individual consumers) may assert that our business practices fail to comply with its requirements. If our operations are found to violate GDPR requirements, we may incur substantial fines and other penalties, required changes to our business practices and reputational harm, any of which could have an adverse effect on our business. Such penalties are in addition to any civil litigation claims by data controllers and data subjects. Laws and regulations relating to privacy and data protection are continually evolving and subject to potentially differing interpretations by various courts and regulators. The effects of the new privacy laws are</w:t>
      </w:r>
    </w:p>
    <w:p>
      <w:pPr>
        <w:spacing w:after="0" w:line="1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060"/>
          </w:cols>
          <w:pgMar w:left="320" w:top="452" w:right="51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280"/>
        <w:spacing w:after="0" w:line="278" w:lineRule="auto"/>
        <w:rPr>
          <w:sz w:val="20"/>
          <w:szCs w:val="20"/>
          <w:color w:val="auto"/>
        </w:rPr>
      </w:pPr>
      <w:r>
        <w:rPr>
          <w:rFonts w:ascii="Times New Roman" w:cs="Times New Roman" w:eastAsia="Times New Roman" w:hAnsi="Times New Roman"/>
          <w:sz w:val="18"/>
          <w:szCs w:val="18"/>
          <w:color w:val="auto"/>
        </w:rPr>
        <w:t>potentially far-reaching and may require us to modify our data processing practices and policies and incur substantial compliance-related costs and expenses, and it remains unclear how various provisions will be interpreted and enforced by the courts and regulators.</w:t>
      </w:r>
    </w:p>
    <w:p>
      <w:pPr>
        <w:spacing w:after="0" w:line="162" w:lineRule="exact"/>
        <w:rPr>
          <w:sz w:val="20"/>
          <w:szCs w:val="20"/>
          <w:color w:val="auto"/>
        </w:rPr>
      </w:pPr>
    </w:p>
    <w:p>
      <w:pPr>
        <w:ind w:left="160" w:right="80" w:firstLine="436"/>
        <w:spacing w:after="0" w:line="252" w:lineRule="auto"/>
        <w:rPr>
          <w:sz w:val="20"/>
          <w:szCs w:val="20"/>
          <w:color w:val="auto"/>
        </w:rPr>
      </w:pPr>
      <w:r>
        <w:rPr>
          <w:rFonts w:ascii="Times New Roman" w:cs="Times New Roman" w:eastAsia="Times New Roman" w:hAnsi="Times New Roman"/>
          <w:sz w:val="18"/>
          <w:szCs w:val="18"/>
          <w:color w:val="auto"/>
        </w:rPr>
        <w:t>In addition to our product offerings, we also provide electronic medical devices and other digital tools which can connect to each other and to other technology. Many of the laws referenced above also contain requirements to have appropriate technical and organizational security controls and measures in place for such technologies and technical infrastructure. We must manage the information security as well as privacy risks of these connected systems to ensure secure and effective exchange and use of exchanged information. Perceived or actual security vulnerabilities in our products or services, or the perceived or actual failure by us or our customers who use our products or services to comply with applicable legal or contractual data privacy and security requirements, may not only cause us significant reputational harm, but may also lead to claims against us by our customers and/or governmental and regulatory authorities and involve substantial fines, penalties and other liabilities and expenses, and costs for remediation.</w:t>
      </w:r>
    </w:p>
    <w:p>
      <w:pPr>
        <w:spacing w:after="0" w:line="187"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In the event of a privacy or security incident or claim that we, a service provider, or a third party with which we do business has violated applicable privacy or security laws and regulations, we may be subject to regulatory or legal action. If legislation or regulations are changed or expanded, or if governing jurisdictions interpret or implement legislation or regulations in new ways, it could require changes in our business practices and adversely affect our business, financial condition, and results of operations.</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Healthcare Fraud and Abuse Laws and Regulations</w:t>
      </w:r>
    </w:p>
    <w:p>
      <w:pPr>
        <w:spacing w:after="0" w:line="118"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Certain of our businesses involve the marketing and sale of, and third-party payment for, med-surg products that are subject to extensive state, federal, and foreign governmental laws and regulations. U.S. laws and regulations are imposed primarily in connection with government healthcare programs, such as the Medicare, Medicaid, and TRICARE programs, as well as the government’s interest in regulating the quality and cost of healthcare. U.S. federal healthcare laws apply when we or our customers submit claims for items or services that are reimbursed under government healthcare programs, including laws related to kickbacks, false claims, self-referrals and healthcare fraud. We are currently and may in the future be subject to CMS audits of our performance to determine our historical compliance with CMS contracts and regulations. Other governments also impose laws and regulations in connection with their healthcare reimbursement programs and the delivery of healthcare items and services.</w:t>
      </w:r>
    </w:p>
    <w:p>
      <w:pPr>
        <w:spacing w:after="0" w:line="184"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color w:val="auto"/>
        </w:rPr>
        <w:t>Our med-surg products are purchased principally by hospitals and physicians that typically bill various third-party payers, including government healthcare programs, private insurance plans and managed care plans, for the healthcare services provided to their patients. We also directly submitted claims to government healthcare programs as a Medicare-enrolled DMEPOS supplier. As a result, we have been and from time to time are subject to audits by government healthcare programs and third-party payers related to such claims, which may require actions including refunds of overpayments and may result in penalties, litigation or enforcement actions. Although we divested the assets associated with this DMEPOS supplier business unit in October 2023, we may nonetheless be subject to past and future product liability claims, enforcement actions, regulatory investigations, fines and penalties, regardless of their ultimate outcome, any of which could harm our reputation and have a material adverse effect on our business, results of operations and financial condition.</w:t>
      </w:r>
    </w:p>
    <w:p>
      <w:pPr>
        <w:spacing w:after="0" w:line="187" w:lineRule="exact"/>
        <w:rPr>
          <w:sz w:val="20"/>
          <w:szCs w:val="20"/>
          <w:color w:val="auto"/>
        </w:rPr>
      </w:pPr>
    </w:p>
    <w:p>
      <w:pPr>
        <w:ind w:left="160" w:right="20" w:firstLine="436"/>
        <w:spacing w:after="0" w:line="254" w:lineRule="auto"/>
        <w:rPr>
          <w:sz w:val="20"/>
          <w:szCs w:val="20"/>
          <w:color w:val="auto"/>
        </w:rPr>
      </w:pPr>
      <w:r>
        <w:rPr>
          <w:rFonts w:ascii="Times New Roman" w:cs="Times New Roman" w:eastAsia="Times New Roman" w:hAnsi="Times New Roman"/>
          <w:sz w:val="18"/>
          <w:szCs w:val="18"/>
          <w:color w:val="auto"/>
        </w:rPr>
        <w:t>Key federal fraud and abuse laws include the federal AKS, the Stark Law, FCA, and Civil Monetary Penalties Law (“CMP Law”). The AKS prohibits, among other things, any person or entity from knowingly and willfully offering, paying, soliciting, or receiving any remuneration (including any kickback, bribe, or rebate), directly or indirectly, overtly or covertly, to induce, reward, or in return for the referral of an individual for, or the purchasing, leasing, ordering, or arranging for or recommending the purchase, lease, or order of any good, facility, item, or service reimbursable, in whole or in part, by Medicare, Medicaid, or other federal healthcare programs. The term “remuneration” has been broadly interpreted to include anything of value, including cash,</w:t>
      </w:r>
    </w:p>
    <w:p>
      <w:pPr>
        <w:spacing w:after="0" w:line="1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0920"/>
          </w:cols>
          <w:pgMar w:left="320" w:top="452" w:right="6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20"/>
        <w:spacing w:after="0" w:line="250" w:lineRule="auto"/>
        <w:rPr>
          <w:sz w:val="20"/>
          <w:szCs w:val="20"/>
          <w:color w:val="auto"/>
        </w:rPr>
      </w:pPr>
      <w:r>
        <w:rPr>
          <w:rFonts w:ascii="Times New Roman" w:cs="Times New Roman" w:eastAsia="Times New Roman" w:hAnsi="Times New Roman"/>
          <w:sz w:val="18"/>
          <w:szCs w:val="18"/>
          <w:color w:val="auto"/>
        </w:rPr>
        <w:t>improper discounts, and free or reduced price items and services. Among other things, the AKS has been interpreted to apply to arrangements between pharmaceutical, biotechnology, and medical device manufacturers on the one hand and prescribers, purchasers, and formulary managers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AKS. Instead, the legality of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federal healthcare program-covered business, the AKS has been violated. In addition, a person or entity does not need to have actual knowledge of the statute or specific intent to violate it in order to have committed a violation. Violations are subject to civil monetary penalties of up to $124,732 (which is adjusted annually for inflation) for each violation, plus up to three times the remuneration involved, and may result in criminal fines and imprisonment of up to ten years, and/or exclusion from Medicare, Medicaid, or other governmental programs.</w:t>
      </w:r>
    </w:p>
    <w:p>
      <w:pPr>
        <w:spacing w:after="0" w:line="194" w:lineRule="exact"/>
        <w:rPr>
          <w:sz w:val="20"/>
          <w:szCs w:val="20"/>
          <w:color w:val="auto"/>
        </w:rPr>
      </w:pPr>
    </w:p>
    <w:p>
      <w:pPr>
        <w:ind w:left="160" w:right="60" w:firstLine="436"/>
        <w:spacing w:after="0" w:line="255" w:lineRule="auto"/>
        <w:rPr>
          <w:sz w:val="20"/>
          <w:szCs w:val="20"/>
          <w:color w:val="auto"/>
        </w:rPr>
      </w:pPr>
      <w:r>
        <w:rPr>
          <w:rFonts w:ascii="Times New Roman" w:cs="Times New Roman" w:eastAsia="Times New Roman" w:hAnsi="Times New Roman"/>
          <w:sz w:val="18"/>
          <w:szCs w:val="18"/>
          <w:color w:val="auto"/>
        </w:rPr>
        <w:t>Federal law also includes a provision commonly known as the Stark Law, which prohibits a physician from referring Medicare or Medicaid patients to an entity providing “designated health services,” which includes DME, if the physician or immediate family member of the physician has an ownership or investment interest or compensation arrangement with such entity that does not comply with the requirements of a Stark exception. Violation of the Stark Law could result in denial of payment, disgorgement of reimbursements received under a non-compliant arrangement, civil penalties, and exclusion from Medicare, Medicaid, or other governmental programs.</w:t>
      </w:r>
    </w:p>
    <w:p>
      <w:pPr>
        <w:spacing w:after="0" w:line="184" w:lineRule="exact"/>
        <w:rPr>
          <w:sz w:val="20"/>
          <w:szCs w:val="20"/>
          <w:color w:val="auto"/>
        </w:rPr>
      </w:pPr>
    </w:p>
    <w:p>
      <w:pPr>
        <w:ind w:left="160" w:firstLine="436"/>
        <w:spacing w:after="0" w:line="249" w:lineRule="auto"/>
        <w:rPr>
          <w:sz w:val="20"/>
          <w:szCs w:val="20"/>
          <w:color w:val="auto"/>
        </w:rPr>
      </w:pPr>
      <w:r>
        <w:rPr>
          <w:rFonts w:ascii="Times New Roman" w:cs="Times New Roman" w:eastAsia="Times New Roman" w:hAnsi="Times New Roman"/>
          <w:sz w:val="18"/>
          <w:szCs w:val="18"/>
          <w:color w:val="auto"/>
        </w:rPr>
        <w:t>The federal false claims and civil monetary penalties laws, including the civil False Claims Act, prohibit,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Further, a claim including items or services resulting from a violation of the federal AKS or Stark Law also constitutes a false or fraudulent claim for purposes of the federal civil False Claims Act. Actions under the False Claims Act may be brought by the Attorney General or as a qui tam action by a private individual in the name of the U.S. government. Violations of the False Claims Act can result in very significant monetary penalties and treble damages. The federal government is using the False Claims Act and the accompanying threat of significant liability in its investigation and prosecution of pharmaceutical, biotechnology, and medical device companies throughout the country. Manufacturers can be held liable under these laws if they are deemed to “cause” the submission of false or fraudulent claims, for example, in connection with the promotion of products for unapproved or off-label uses and other sales and marketing practices. The government has obtained multi-million and multi-billion dollar settlements under the False Claims Act in addition to individual criminal convictions under applicable criminal statutes. When an entity is determined to have violated the federal civil False Claims Act, the government may impose civil fines and penalties ranging from $13,946 to $27,894 (which are adjusted annually for inflation) for each false claim, plus treble damages, and exclude the entity from participation in Medicare, Medicaid, TRICARE, and other federal healthcare programs. In addition, companies found liable under the False Claims Act have been forced to implement extensive corrective action plans and have often become subject to consent decrees or corporate integrity agreements, severely restricting the manner in which they conduct their business and imposing ongoing reporting and disclosure obligations.</w:t>
      </w:r>
    </w:p>
    <w:p>
      <w:pPr>
        <w:spacing w:after="0" w:line="201" w:lineRule="exact"/>
        <w:rPr>
          <w:sz w:val="20"/>
          <w:szCs w:val="20"/>
          <w:color w:val="auto"/>
        </w:rPr>
      </w:pPr>
    </w:p>
    <w:p>
      <w:pPr>
        <w:ind w:left="160" w:right="100" w:firstLine="436"/>
        <w:spacing w:after="0" w:line="263" w:lineRule="auto"/>
        <w:rPr>
          <w:sz w:val="20"/>
          <w:szCs w:val="20"/>
          <w:color w:val="auto"/>
        </w:rPr>
      </w:pPr>
      <w:r>
        <w:rPr>
          <w:rFonts w:ascii="Times New Roman" w:cs="Times New Roman" w:eastAsia="Times New Roman" w:hAnsi="Times New Roman"/>
          <w:sz w:val="18"/>
          <w:szCs w:val="18"/>
          <w:color w:val="auto"/>
        </w:rPr>
        <w:t>The federal CMP Law imposes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020"/>
          </w:cols>
          <w:pgMar w:left="320" w:top="452" w:right="5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The fraud and abuse laws and regulations have been subject to heightened enforcement activity over the past few years, and significant enforcement activity has been the result of qui tam “relators” who serve as whistleblowers by filing complaints in the name of the United States (and, if applicable, particular states) under applicable false claims laws, and who may receive up to 30% of total government recoveries. Penalties under fraud and abuse laws may be severe and could result in significant civil and criminal penalties and costs, including the loss of licenses and the ability to participate in federal and state healthcare programs. Such penalties could have a material adverse effect on our business, results of operations and financial condition. Also, these measures may be interpreted or applied by a prosecutorial, regulatory, or judicial authority in a manner that could require us to make changes in our operations or incur substantial defense and settlement expenses. Given the significant size of actual and potential settlements, it is expected that governmental authorities will continue to devote substantial resources to investigating healthcare providers’ and manufacturers’ compliance with applicable fraud and abuse laws. Even unsuccessful challenges by regulatory authorities or private relators could result in reputational harm and the incurring of substantial costs.</w:t>
      </w:r>
    </w:p>
    <w:p>
      <w:pPr>
        <w:spacing w:after="0" w:line="189" w:lineRule="exact"/>
        <w:rPr>
          <w:sz w:val="20"/>
          <w:szCs w:val="20"/>
          <w:color w:val="auto"/>
        </w:rPr>
      </w:pPr>
    </w:p>
    <w:p>
      <w:pPr>
        <w:ind w:left="160" w:right="160" w:firstLine="436"/>
        <w:spacing w:after="0" w:line="254" w:lineRule="auto"/>
        <w:rPr>
          <w:sz w:val="20"/>
          <w:szCs w:val="20"/>
          <w:color w:val="auto"/>
        </w:rPr>
      </w:pPr>
      <w:r>
        <w:rPr>
          <w:rFonts w:ascii="Times New Roman" w:cs="Times New Roman" w:eastAsia="Times New Roman" w:hAnsi="Times New Roman"/>
          <w:sz w:val="18"/>
          <w:szCs w:val="18"/>
          <w:color w:val="auto"/>
        </w:rPr>
        <w:t>In addition, as a manufacturer of FDA-cleared devices reimbursable by federal healthcare programs, we are subject to the Physician Payments Sunshine Act (the “Sunshine Act”), which requires us to annually report certain payments and other transfers of value we make to U.S.-licensed physicians, as defined by statute, certain other healthcare professionals and U.S. teaching hospitals, as well as ownership and investment interests held by physicians and their immediate family members. The Sunshine Act pre-empts similar state reporting laws, although we or our subsidiaries may be required to report under certain state transparency laws that address circumstances not covered by the Sunshine Act, and some of these state laws, as well as the federal law, can be ambiguous.</w:t>
      </w:r>
    </w:p>
    <w:p>
      <w:pPr>
        <w:spacing w:after="0" w:line="184" w:lineRule="exact"/>
        <w:rPr>
          <w:sz w:val="20"/>
          <w:szCs w:val="20"/>
          <w:color w:val="auto"/>
        </w:rPr>
      </w:pPr>
    </w:p>
    <w:p>
      <w:pPr>
        <w:ind w:left="160" w:right="40" w:firstLine="436"/>
        <w:spacing w:after="0" w:line="258" w:lineRule="auto"/>
        <w:rPr>
          <w:sz w:val="20"/>
          <w:szCs w:val="20"/>
          <w:color w:val="auto"/>
        </w:rPr>
      </w:pPr>
      <w:r>
        <w:rPr>
          <w:rFonts w:ascii="Times New Roman" w:cs="Times New Roman" w:eastAsia="Times New Roman" w:hAnsi="Times New Roman"/>
          <w:sz w:val="18"/>
          <w:szCs w:val="18"/>
          <w:color w:val="auto"/>
        </w:rPr>
        <w:t>Most states have adopted similar laws related to transparency, kickbacks, false claims, and self-referrals that apply to products or services covered by state Medicaid and other healthcare programs and private third-party payers, some of which apply to manufacturers and suppliers of items reimbursed by any payor, including commercial payors. In addition, these state laws have their own penalties, which may be in addition to federal penalties.</w:t>
      </w:r>
    </w:p>
    <w:p>
      <w:pPr>
        <w:spacing w:after="0" w:line="180" w:lineRule="exact"/>
        <w:rPr>
          <w:sz w:val="20"/>
          <w:szCs w:val="20"/>
          <w:color w:val="auto"/>
        </w:rPr>
      </w:pPr>
    </w:p>
    <w:p>
      <w:pPr>
        <w:ind w:left="160" w:right="100" w:firstLine="436"/>
        <w:spacing w:after="0" w:line="253" w:lineRule="auto"/>
        <w:rPr>
          <w:sz w:val="20"/>
          <w:szCs w:val="20"/>
          <w:color w:val="auto"/>
        </w:rPr>
      </w:pPr>
      <w:r>
        <w:rPr>
          <w:rFonts w:ascii="Times New Roman" w:cs="Times New Roman" w:eastAsia="Times New Roman" w:hAnsi="Times New Roman"/>
          <w:sz w:val="18"/>
          <w:szCs w:val="18"/>
          <w:color w:val="auto"/>
        </w:rPr>
        <w:t>We are also subject to foreign regulations requiring transparency of certain interactions between suppliers and their customers. Many member states in the EU have adopted specific anti-gift statutes that further limit commercial practices for medical devices, in particular vis-à-vis healthcare professionals and organizations. Additionally, there has been a recent trend of increased regulation of payments and transfers of value provided to healthcare professionals or entities. In addition, many EU member states have adopted such national “Sunshine Acts” which impose reporting and transparency requirements (often on an annual basis), similar to the requirements in the United States, on medical device manufacturers. Certain countries also mandate implementation of commercial compliance programs. Any failure to comply with these laws and regulations could subject us or our officers and employees to criminal and civil financial penalties.</w:t>
      </w:r>
    </w:p>
    <w:p>
      <w:pPr>
        <w:spacing w:after="0" w:line="184" w:lineRule="exact"/>
        <w:rPr>
          <w:sz w:val="20"/>
          <w:szCs w:val="20"/>
          <w:color w:val="auto"/>
        </w:rPr>
      </w:pPr>
    </w:p>
    <w:p>
      <w:pPr>
        <w:ind w:left="160" w:right="280" w:firstLine="436"/>
        <w:spacing w:after="0" w:line="258" w:lineRule="auto"/>
        <w:rPr>
          <w:sz w:val="20"/>
          <w:szCs w:val="20"/>
          <w:color w:val="auto"/>
        </w:rPr>
      </w:pPr>
      <w:r>
        <w:rPr>
          <w:rFonts w:ascii="Times New Roman" w:cs="Times New Roman" w:eastAsia="Times New Roman" w:hAnsi="Times New Roman"/>
          <w:sz w:val="18"/>
          <w:szCs w:val="18"/>
          <w:color w:val="auto"/>
        </w:rPr>
        <w:t>While we believe that we are substantially compliant with applicable fraud and abuse laws and regulations, and have implemented compliance programs and controls in place designed to ensure substantial compliance, we cannot predict whether changes in applicable law, or interpretation of laws, or changes in our services or marketing practices in response to changes in applicable law or interpretation of laws, or failure to comply with applicable law, could have a material adverse effect on our business, results of operations and financial condition.</w:t>
      </w:r>
    </w:p>
    <w:p>
      <w:pPr>
        <w:spacing w:after="0" w:line="180" w:lineRule="exact"/>
        <w:rPr>
          <w:sz w:val="20"/>
          <w:szCs w:val="20"/>
          <w:color w:val="auto"/>
        </w:rPr>
      </w:pPr>
    </w:p>
    <w:p>
      <w:pPr>
        <w:jc w:val="both"/>
        <w:ind w:left="160" w:right="160" w:firstLine="436"/>
        <w:spacing w:after="0" w:line="263" w:lineRule="auto"/>
        <w:rPr>
          <w:sz w:val="20"/>
          <w:szCs w:val="20"/>
          <w:color w:val="auto"/>
        </w:rPr>
      </w:pPr>
      <w:r>
        <w:rPr>
          <w:rFonts w:ascii="Times New Roman" w:cs="Times New Roman" w:eastAsia="Times New Roman" w:hAnsi="Times New Roman"/>
          <w:sz w:val="18"/>
          <w:szCs w:val="18"/>
          <w:color w:val="auto"/>
        </w:rPr>
        <w:t>Implementation of legislative or regulatory reforms to reimbursement systems, or adverse decisions relating to our products by administrators of these systems in coverage or reimbursement, could significantly reduce reimbursement or result in the denial of coverage, which could have an impact on the acceptance of and demand for our products and the prices that our customers are willing to pay for them.</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060"/>
          </w:cols>
          <w:pgMar w:left="320" w:top="452" w:right="51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Health and Safety Requirements</w:t>
      </w:r>
    </w:p>
    <w:p>
      <w:pPr>
        <w:spacing w:after="0" w:line="118"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We are subject to various environmental, health and safety (“EHS”) requirements both inside and outside the United States. Like other companies in our industry, our manufacturing and other operations involve air emissions, wastewater and stormwater discharges, and the storage, use, and management of hazardous and other sensitive materials, and the disposal of hazardous waste. We are also subject to requirements relating to safe working conditions and laboratory practices. Our operations involve the use of substances regulated under EHS requirements, primarily in our manufacturing and sterilization processes. We believe we have implemented policies, practices and procedures that enable us to comply with applicable EHS requirements. However, EHS requirements may be detailed and complex, and we sometimes have been cited for violations of such requirements and may be cited for violations in the future. In addition, many such requirements are becoming increasingly stringent, and we are sometimes required to make changes to our operations for continued compliance, which can require substantial capital investments as well as increases in operating costs. See “Risk Factors—Risks Related to Regulation and Legal Proceedings—We are subject to extensive environmental, health and safety requirements, and our operations involve hazardous and other environmentally sensitive substances.”</w:t>
      </w:r>
    </w:p>
    <w:p>
      <w:pPr>
        <w:spacing w:after="0" w:line="189" w:lineRule="exact"/>
        <w:rPr>
          <w:sz w:val="20"/>
          <w:szCs w:val="20"/>
          <w:color w:val="auto"/>
        </w:rPr>
      </w:pPr>
    </w:p>
    <w:p>
      <w:pPr>
        <w:ind w:left="160" w:right="60" w:firstLine="436"/>
        <w:spacing w:after="0" w:line="271" w:lineRule="auto"/>
        <w:rPr>
          <w:sz w:val="20"/>
          <w:szCs w:val="20"/>
          <w:color w:val="auto"/>
        </w:rPr>
      </w:pPr>
      <w:r>
        <w:rPr>
          <w:rFonts w:ascii="Times New Roman" w:cs="Times New Roman" w:eastAsia="Times New Roman" w:hAnsi="Times New Roman"/>
          <w:sz w:val="17"/>
          <w:szCs w:val="17"/>
          <w:color w:val="auto"/>
        </w:rPr>
        <w:t>For example, we, as well as others in our industry, rely on EtO to sterilize certain medical products that we manufacture. In light of evolving science regarding risks related to EtO exposure, regulatory actions have been taken by some jurisdictions to reduce EtO emissions, and we have made substantial improvements to our two primary EtO sterilization facilities to meet such requirements and otherwise manage EtO emissions. There also has been a significant increase in regulations regarding PFAS in both the United States and Europe, including new and evolving regulations that prohibit the use (or require disclosure of the presence) of certain forms of PFAS in products. PFAS are ubiquitous in manufacturing, and not all forms of PFAS have been found to be hazardous to human health. We are actively developing and implementing protocols to comply with evolving regulations.</w:t>
      </w:r>
    </w:p>
    <w:p>
      <w:pPr>
        <w:spacing w:after="0" w:line="2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Operating, Security and Licensure Standards</w:t>
      </w:r>
    </w:p>
    <w:p>
      <w:pPr>
        <w:spacing w:after="0" w:line="118" w:lineRule="exact"/>
        <w:rPr>
          <w:sz w:val="20"/>
          <w:szCs w:val="20"/>
          <w:color w:val="auto"/>
        </w:rPr>
      </w:pPr>
    </w:p>
    <w:p>
      <w:pPr>
        <w:ind w:left="160" w:right="60" w:firstLine="436"/>
        <w:spacing w:after="0" w:line="253" w:lineRule="auto"/>
        <w:rPr>
          <w:sz w:val="20"/>
          <w:szCs w:val="20"/>
          <w:color w:val="auto"/>
        </w:rPr>
      </w:pPr>
      <w:r>
        <w:rPr>
          <w:rFonts w:ascii="Times New Roman" w:cs="Times New Roman" w:eastAsia="Times New Roman" w:hAnsi="Times New Roman"/>
          <w:sz w:val="18"/>
          <w:szCs w:val="18"/>
          <w:color w:val="auto"/>
        </w:rPr>
        <w:t>We are subject to certain operational, security, and licensure requirements, including the federal Drug Supply Chain Security Act (“DSCSA”) in the United States, which mandates an industry-wide, national serialization system for pharmaceutical packaging with a ten-year phase-in process. By November 2018, all manufacturers and re-packagers were required to mark each prescription drug package with a unique serialized code. The DSCSA also establishes certain requirements for the licensing and operation of prescription drug wholesalers and third-party logistics providers and includes the eventual creation of national wholesaler and third-party logistics provider licenses in cases where states do not license such entities. In addition, with respect to our DME business, we are subject to certain state licensure laws (including state pharmacy laws), and also certain accreditation standards, including to qualify for reimbursement from Medicare and other third-party payers.</w:t>
      </w:r>
    </w:p>
    <w:p>
      <w:pPr>
        <w:spacing w:after="0" w:line="184" w:lineRule="exact"/>
        <w:rPr>
          <w:sz w:val="20"/>
          <w:szCs w:val="20"/>
          <w:color w:val="auto"/>
        </w:rPr>
      </w:pPr>
    </w:p>
    <w:p>
      <w:pPr>
        <w:ind w:left="160" w:right="80" w:firstLine="436"/>
        <w:spacing w:after="0" w:line="258" w:lineRule="auto"/>
        <w:rPr>
          <w:sz w:val="20"/>
          <w:szCs w:val="20"/>
          <w:color w:val="auto"/>
        </w:rPr>
      </w:pPr>
      <w:r>
        <w:rPr>
          <w:rFonts w:ascii="Times New Roman" w:cs="Times New Roman" w:eastAsia="Times New Roman" w:hAnsi="Times New Roman"/>
          <w:sz w:val="18"/>
          <w:szCs w:val="18"/>
          <w:color w:val="auto"/>
        </w:rPr>
        <w:t>We are also subject to the FDA’s unique device identification system requirements, which require “labelers” to include unique device identifiers (“UDIs”), with a content and format prescribed by the FDA and issued under a system operated by an FDA-accredited issuing agency, on the labels and packages of medical devices and to directly mark certain devices with UDIs. The UDI regulations also require labelers to submit certain information concerning UDI-labeled devices to the FDA.</w:t>
      </w:r>
    </w:p>
    <w:p>
      <w:pPr>
        <w:spacing w:after="0" w:line="180" w:lineRule="exact"/>
        <w:rPr>
          <w:sz w:val="20"/>
          <w:szCs w:val="20"/>
          <w:color w:val="auto"/>
        </w:rPr>
      </w:pPr>
    </w:p>
    <w:p>
      <w:pPr>
        <w:ind w:left="160" w:right="120" w:firstLine="436"/>
        <w:spacing w:after="0" w:line="258" w:lineRule="auto"/>
        <w:rPr>
          <w:sz w:val="20"/>
          <w:szCs w:val="20"/>
          <w:color w:val="auto"/>
        </w:rPr>
      </w:pPr>
      <w:r>
        <w:rPr>
          <w:rFonts w:ascii="Times New Roman" w:cs="Times New Roman" w:eastAsia="Times New Roman" w:hAnsi="Times New Roman"/>
          <w:sz w:val="18"/>
          <w:szCs w:val="18"/>
          <w:color w:val="auto"/>
        </w:rPr>
        <w:t>Certain of our businesses are also required to register for permits and/or licenses with various state boards of pharmacy, state health departments and/or comparable state agencies as well as comparable foreign agencies, and certain accrediting bodies, depending on the type of operations and location of product distribution, manufacturing or sale. These businesses include those that distribute, manufacture, and/or repackage medical products, or own pharmacy operations.</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80"/>
          </w:cols>
          <w:pgMar w:left="320" w:top="451" w:right="4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Antitrust and Consumer Protection</w:t>
      </w:r>
    </w:p>
    <w:p>
      <w:pPr>
        <w:spacing w:after="0" w:line="118" w:lineRule="exact"/>
        <w:rPr>
          <w:sz w:val="20"/>
          <w:szCs w:val="20"/>
          <w:color w:val="auto"/>
        </w:rPr>
      </w:pPr>
    </w:p>
    <w:p>
      <w:pPr>
        <w:ind w:left="160" w:right="140" w:firstLine="436"/>
        <w:spacing w:after="0" w:line="254" w:lineRule="auto"/>
        <w:rPr>
          <w:sz w:val="20"/>
          <w:szCs w:val="20"/>
          <w:color w:val="auto"/>
        </w:rPr>
      </w:pPr>
      <w:r>
        <w:rPr>
          <w:rFonts w:ascii="Times New Roman" w:cs="Times New Roman" w:eastAsia="Times New Roman" w:hAnsi="Times New Roman"/>
          <w:sz w:val="18"/>
          <w:szCs w:val="18"/>
          <w:color w:val="auto"/>
        </w:rPr>
        <w:t>The federal government of the United States, most U.S. states, and many foreign countries have antitrust laws that prohibit certain types of conduct deemed to be anti-competitive, as well as consumer protection laws that seek to protect consumers from improper business practices. At the U.S. federal level, the FTC, CPSC and DOJ oversee enforcement of these types of laws, and states have similar government agencies. Violations of antitrust or consumer protection laws may result in various sanctions, including criminal and civil penalties. Private plaintiffs may also bring civil lawsuits against us in the United States for alleged antitrust law violations, including claims for treble damages. EU law also regulates competition and provides for detailed rules protecting consumers.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International Transactions</w:t>
      </w:r>
    </w:p>
    <w:p>
      <w:pPr>
        <w:spacing w:after="0" w:line="118" w:lineRule="exact"/>
        <w:rPr>
          <w:sz w:val="20"/>
          <w:szCs w:val="20"/>
          <w:color w:val="auto"/>
        </w:rPr>
      </w:pPr>
    </w:p>
    <w:p>
      <w:pPr>
        <w:ind w:left="160" w:right="60" w:firstLine="436"/>
        <w:spacing w:after="0" w:line="255" w:lineRule="auto"/>
        <w:rPr>
          <w:sz w:val="20"/>
          <w:szCs w:val="20"/>
          <w:color w:val="auto"/>
        </w:rPr>
      </w:pPr>
      <w:r>
        <w:rPr>
          <w:rFonts w:ascii="Times New Roman" w:cs="Times New Roman" w:eastAsia="Times New Roman" w:hAnsi="Times New Roman"/>
          <w:sz w:val="18"/>
          <w:szCs w:val="18"/>
          <w:color w:val="auto"/>
        </w:rPr>
        <w:t>U.S. and foreign import and export laws and regulations require us to abide by certain standards relating to the importation and exportation of products, including but not limited to the absence of forced labor in our supply chain. We also are subject to certain laws and regulations concerning the conduct of our foreign operations, including the FCPA, U.S. export control laws, the UK Bribery Act, German anti-corruption laws, and other anti-bribery laws and laws pertaining to the accuracy of our internal books and records, as well as other types of foreign requirements similar to those imposed in the United States.</w:t>
      </w:r>
    </w:p>
    <w:p>
      <w:pPr>
        <w:spacing w:after="0" w:line="184"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While we believe that we are substantially compliant with the foregoing laws and regulations promulgated thereunder and possess all material permits and licenses required for the conduct of our business, and while we have policies against and seek to avoid the import of goods that are manufactured in whole or in part by forced labor or other exploitative labor practices, there can be no assurance that regulations that impact our business or customers’ practices will not have a material adverse effect on our business, results of operations and financial condition.</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corporate headquarters are located in Northfield, Illinois, where we own approximately 735,000 square feet of space.</w:t>
      </w:r>
    </w:p>
    <w:p>
      <w:pPr>
        <w:spacing w:after="0" w:line="221" w:lineRule="exact"/>
        <w:rPr>
          <w:sz w:val="20"/>
          <w:szCs w:val="20"/>
          <w:color w:val="auto"/>
        </w:rPr>
      </w:pPr>
    </w:p>
    <w:p>
      <w:pPr>
        <w:ind w:left="160" w:right="80" w:firstLine="436"/>
        <w:spacing w:after="0" w:line="258" w:lineRule="auto"/>
        <w:rPr>
          <w:sz w:val="20"/>
          <w:szCs w:val="20"/>
          <w:color w:val="auto"/>
        </w:rPr>
      </w:pPr>
      <w:r>
        <w:rPr>
          <w:rFonts w:ascii="Times New Roman" w:cs="Times New Roman" w:eastAsia="Times New Roman" w:hAnsi="Times New Roman"/>
          <w:sz w:val="18"/>
          <w:szCs w:val="18"/>
          <w:color w:val="auto"/>
        </w:rPr>
        <w:t>We also own or lease 123 real estate sites in the United States, including 19 manufacturing facilities used for our Medline Brand segment and 45 warehouse distribution facilities used for our Medline Brand and Supply Chain Solutions segments, and 83 real estate sites internationally, including 14 manufacturing facilities used for our Medline Brand segment and 24 warehouse distribution facilities used for our Medline Brand and Supply Chain Solutions segments.</w:t>
      </w:r>
    </w:p>
    <w:p>
      <w:pPr>
        <w:spacing w:after="0" w:line="180" w:lineRule="exact"/>
        <w:rPr>
          <w:sz w:val="20"/>
          <w:szCs w:val="20"/>
          <w:color w:val="auto"/>
        </w:rPr>
      </w:pPr>
    </w:p>
    <w:p>
      <w:pPr>
        <w:ind w:left="160" w:right="740" w:firstLine="436"/>
        <w:spacing w:after="0" w:line="278" w:lineRule="auto"/>
        <w:rPr>
          <w:sz w:val="20"/>
          <w:szCs w:val="20"/>
          <w:color w:val="auto"/>
        </w:rPr>
      </w:pPr>
      <w:r>
        <w:rPr>
          <w:rFonts w:ascii="Times New Roman" w:cs="Times New Roman" w:eastAsia="Times New Roman" w:hAnsi="Times New Roman"/>
          <w:sz w:val="18"/>
          <w:szCs w:val="18"/>
          <w:color w:val="auto"/>
        </w:rPr>
        <w:t>We believe that our facilities are sufficient for our current needs and that, should they be needed, additional facilities will be available to accommodate the expansion of our business.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8" w:lineRule="exact"/>
        <w:rPr>
          <w:sz w:val="20"/>
          <w:szCs w:val="20"/>
          <w:color w:val="auto"/>
        </w:rPr>
      </w:pPr>
    </w:p>
    <w:p>
      <w:pPr>
        <w:jc w:val="both"/>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From time to time, we have been and may in the future be subject to claims and legal actions arising in the ordinary course of business. We intend to vigorously defend ourselves against our outstanding litigation and do not currently believe that the outcome of any such litigation will have a material adverse effect on our business, results of operations and financial condition.</w:t>
      </w:r>
    </w:p>
    <w:p>
      <w:pPr>
        <w:spacing w:after="0" w:line="175" w:lineRule="exact"/>
        <w:rPr>
          <w:sz w:val="20"/>
          <w:szCs w:val="20"/>
          <w:color w:val="auto"/>
        </w:rPr>
      </w:pPr>
    </w:p>
    <w:p>
      <w:pPr>
        <w:ind w:left="160" w:right="260" w:firstLine="436"/>
        <w:spacing w:after="0" w:line="255" w:lineRule="auto"/>
        <w:rPr>
          <w:sz w:val="20"/>
          <w:szCs w:val="20"/>
          <w:color w:val="auto"/>
        </w:rPr>
      </w:pPr>
      <w:r>
        <w:rPr>
          <w:rFonts w:ascii="Times New Roman" w:cs="Times New Roman" w:eastAsia="Times New Roman" w:hAnsi="Times New Roman"/>
          <w:sz w:val="18"/>
          <w:szCs w:val="18"/>
          <w:color w:val="auto"/>
        </w:rPr>
        <w:t>In litigation, including those described above, plaintiffs may seek various remedies, including, without limitation: declaratory and/or injunctive relief; compensatory or punitive damages; restitution, disgorgement, civil penalties, abatement, attorneys’ fees, costs, and/or other relief. Settlement demands may seek significant monetary and other remedies, or otherwise be on terms that we do not consider reasonable under the circumstances. In addition, awards against and settlements by our competitors or publicity associated with our current litigation could incentivize parties to bring additional claims against us.</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060"/>
          </w:cols>
          <w:pgMar w:left="320" w:top="452" w:right="51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18" w:lineRule="exact"/>
        <w:rPr>
          <w:sz w:val="20"/>
          <w:szCs w:val="20"/>
          <w:color w:val="auto"/>
        </w:rPr>
      </w:pPr>
    </w:p>
    <w:p>
      <w:pPr>
        <w:ind w:left="160" w:right="60" w:firstLine="436"/>
        <w:spacing w:after="0" w:line="278" w:lineRule="auto"/>
        <w:rPr>
          <w:sz w:val="20"/>
          <w:szCs w:val="20"/>
          <w:color w:val="auto"/>
        </w:rPr>
      </w:pPr>
      <w:r>
        <w:rPr>
          <w:rFonts w:ascii="Times New Roman" w:cs="Times New Roman" w:eastAsia="Times New Roman" w:hAnsi="Times New Roman"/>
          <w:sz w:val="18"/>
          <w:szCs w:val="18"/>
          <w:color w:val="auto"/>
        </w:rPr>
        <w:t>Set forth below is a list of the names, ages (as of February 9, 2026) and positions of all directors and executive officers of Medline Inc. at the time of this offering.</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85"/>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7"/>
        </w:trPr>
        <w:tc>
          <w:tcPr>
            <w:tcW w:w="4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Boyle</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4"/>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B. Drazin</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4"/>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L. Miller</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4"/>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 M. Liberman</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214"/>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P. Golwas</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Commercial Officer</w:t>
            </w:r>
          </w:p>
        </w:tc>
      </w:tr>
      <w:tr>
        <w:trPr>
          <w:trHeight w:val="214"/>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P. Shryock</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Human Resources Officer</w:t>
            </w:r>
          </w:p>
        </w:tc>
      </w:tr>
      <w:tr>
        <w:trPr>
          <w:trHeight w:val="214"/>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Amanda H. Laabs</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Product Officer</w:t>
            </w:r>
          </w:p>
        </w:tc>
      </w:tr>
      <w:tr>
        <w:trPr>
          <w:trHeight w:val="214"/>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J. Abrams</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Executive Vice President, Supply Chain Solutions</w:t>
            </w:r>
          </w:p>
        </w:tc>
      </w:tr>
      <w:tr>
        <w:trPr>
          <w:trHeight w:val="214"/>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N. Mills</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Chair of the Board of Directors</w:t>
            </w:r>
          </w:p>
        </w:tc>
      </w:tr>
      <w:tr>
        <w:trPr>
          <w:trHeight w:val="214"/>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P. Baratta</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Jacob D. Best</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Todd M. Bluedorn</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A. Galanti</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Patrick J. Healy</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J. Mills</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R. Schmidt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Anushka M. Sunder</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W. Sweet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w:t>
            </w: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H. Wise</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2" w:lineRule="exact"/>
        <w:rPr>
          <w:sz w:val="20"/>
          <w:szCs w:val="20"/>
          <w:color w:val="auto"/>
        </w:rPr>
      </w:pPr>
    </w:p>
    <w:p>
      <w:pPr>
        <w:ind w:left="160" w:right="20" w:firstLine="436"/>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James M. Boyle </w:t>
      </w:r>
      <w:r>
        <w:rPr>
          <w:rFonts w:ascii="Times New Roman" w:cs="Times New Roman" w:eastAsia="Times New Roman" w:hAnsi="Times New Roman"/>
          <w:sz w:val="17"/>
          <w:szCs w:val="17"/>
          <w:color w:val="auto"/>
        </w:rPr>
        <w:t>has served as our Chief Executive Officer since 2023 and as a member of our board of directors since 2023. Prior to his current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role, Mr. Boyle was an Executive Vice President from 2018 to 2023, managing Medline’s customer base of healthcare providers across the continuum of care. In that role, Mr. Boyle was responsible for the strategic direction and execution of all commercial functions across all healthcare sales divisions, as well as the operations and logistics organization. In addition, he oversaw Medline’s distributed products business and the customer support infrastructure to meet the unique challenges of Medline’s customers and their patient communities. Mr. Boyle joined Medline in 1996 as a sales representative in San Antonio, Texas. Since joining, he has held roles as a Sales Trainer, Senior Account Manager, Division Vice President, and Senior Vice President.</w:t>
      </w:r>
    </w:p>
    <w:p>
      <w:pPr>
        <w:spacing w:after="0" w:line="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Mr. Boyle received his B.S. in Industrial Distribution from Texas A&amp;M University.</w:t>
      </w:r>
    </w:p>
    <w:p>
      <w:pPr>
        <w:spacing w:after="0" w:line="198" w:lineRule="exact"/>
        <w:rPr>
          <w:sz w:val="20"/>
          <w:szCs w:val="20"/>
          <w:color w:val="auto"/>
        </w:rPr>
      </w:pPr>
    </w:p>
    <w:p>
      <w:pPr>
        <w:ind w:left="160" w:right="120" w:firstLine="43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B. Drazin </w:t>
      </w:r>
      <w:r>
        <w:rPr>
          <w:rFonts w:ascii="Times New Roman" w:cs="Times New Roman" w:eastAsia="Times New Roman" w:hAnsi="Times New Roman"/>
          <w:sz w:val="18"/>
          <w:szCs w:val="18"/>
          <w:color w:val="auto"/>
        </w:rPr>
        <w:t>joined Medline in 2018 as Chief Financial Officer. Prior to joining Medline, Mr. Drazin served as Vice President, Global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FP&amp;A and Investor Relations at Illinois Tool Works Inc. from 2016 to 2018. From 2014 to 2018, he served as Vice President, Global Financial Planning &amp; Analysis at Illinois Tool Works Inc. From 2008 to 2014, he served as Group Controller at Illinois Tool Works Inc. Prior to Illinois Tool Works Inc., he served as Group Controller at Click Commerce, Inc., Chief Financial Officer at Presutti Laboratories, Controller at CloudShield Technologies, Inc., Chief Financial Officer at Silicon Valley Internet Capital, and Senior Auditor at Arthur Anderson LLP. Mr. Drazin received his B.S. from Gies College of Business at the University of Illinois at Urbana-Champaign and his M.B.A. from the Kellogg School of Management at Northwestern University.</w:t>
      </w:r>
    </w:p>
    <w:p>
      <w:pPr>
        <w:spacing w:after="0" w:line="184" w:lineRule="exact"/>
        <w:rPr>
          <w:sz w:val="20"/>
          <w:szCs w:val="20"/>
          <w:color w:val="auto"/>
        </w:rPr>
      </w:pPr>
    </w:p>
    <w:p>
      <w:pPr>
        <w:ind w:left="160" w:right="520" w:firstLine="436"/>
        <w:spacing w:after="0" w:line="288"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Stephen L. Miller </w:t>
      </w:r>
      <w:r>
        <w:rPr>
          <w:rFonts w:ascii="Times New Roman" w:cs="Times New Roman" w:eastAsia="Times New Roman" w:hAnsi="Times New Roman"/>
          <w:sz w:val="17"/>
          <w:szCs w:val="17"/>
          <w:color w:val="auto"/>
        </w:rPr>
        <w:t>has served as our Chief Operating Officer since January 1, 2025. Mr. Miller joined Medline in 2022 as Executive Vice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President, Supply Chain, a role he held through 2024. Prior to joining Medline, Mr. Miller served as Walmart’s Senior Vice President, Fulfillment Operations from 2020 to 2022 and Vice President, People (U.S. Supply Chain) from 2018 to 2020. Prior to that, he served in various supply chain</w:t>
      </w:r>
    </w:p>
    <w:p>
      <w:pPr>
        <w:spacing w:after="0" w:line="8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080"/>
          </w:cols>
          <w:pgMar w:left="320" w:top="451" w:right="4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40"/>
        <w:spacing w:after="0" w:line="278" w:lineRule="auto"/>
        <w:rPr>
          <w:sz w:val="20"/>
          <w:szCs w:val="20"/>
          <w:color w:val="auto"/>
        </w:rPr>
      </w:pPr>
      <w:r>
        <w:rPr>
          <w:rFonts w:ascii="Times New Roman" w:cs="Times New Roman" w:eastAsia="Times New Roman" w:hAnsi="Times New Roman"/>
          <w:sz w:val="18"/>
          <w:szCs w:val="18"/>
          <w:color w:val="auto"/>
        </w:rPr>
        <w:t>and manufacturing operations, corporate strategy and human resources roles at The Goodyear Tire &amp; Rubber Company, where he worked for four years, and Kimberly-Clark, where he worked for 19 years. Mr. Miller received his B.S. in Business Logistics from Penn State University.</w:t>
      </w:r>
    </w:p>
    <w:p>
      <w:pPr>
        <w:spacing w:after="0" w:line="158"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Alex M. Liberman </w:t>
      </w:r>
      <w:r>
        <w:rPr>
          <w:rFonts w:ascii="Times New Roman" w:cs="Times New Roman" w:eastAsia="Times New Roman" w:hAnsi="Times New Roman"/>
          <w:sz w:val="18"/>
          <w:szCs w:val="18"/>
          <w:color w:val="auto"/>
        </w:rPr>
        <w:t>joined Medline in 1999 as General Counsel and was retitled Chief Legal Officer in 2023. In this role, he oversees several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teams responsible for counseling, dispute resolution, compliance, governance, risk, and regulatory. Mr. Liberman additionally held the title of Assistant Secretary from 1999 to 2023 and Secretary from 2023 to 2024, responsible for enterprise risk management at both the board and operational levels. He built several functions within Medline’s corporate office, including legal, compliance, privacy, sustainability, legal operations, and global secretarial—all of which he oversees—and also was instrumental in developing other corporate functions, including medical affairs and information governance. Prior to joining Medline, Mr. Liberman worked as a partner at Hedlund Hanley &amp; John from 1997 to 1998, where he was previously a Senior Associate from 1992 to 1996. Before Hedlund Hanley &amp; John, he was an associate at Sidley Austin. Mr. Liberman received his B.A. in English from the University of Iowa and his J.D. from the University of Michigan.</w:t>
      </w:r>
    </w:p>
    <w:p>
      <w:pPr>
        <w:spacing w:after="0" w:line="180" w:lineRule="exact"/>
        <w:rPr>
          <w:sz w:val="20"/>
          <w:szCs w:val="20"/>
          <w:color w:val="auto"/>
        </w:rPr>
      </w:pPr>
    </w:p>
    <w:p>
      <w:pPr>
        <w:ind w:left="160" w:right="100" w:firstLine="43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Douglas P. Golwas </w:t>
      </w:r>
      <w:r>
        <w:rPr>
          <w:rFonts w:ascii="Times New Roman" w:cs="Times New Roman" w:eastAsia="Times New Roman" w:hAnsi="Times New Roman"/>
          <w:sz w:val="18"/>
          <w:szCs w:val="18"/>
          <w:color w:val="auto"/>
        </w:rPr>
        <w:t>has served as our Chief Commercial Officer since 2023. Mr. Golwas joined Medline in 2008 as a Vice President; during 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career at the Company, he has held various roles, including most recently as Executive Vice President, Acute Care Sales from 2020 to 2023 and Senior Vice President, Corporate Sales from 2015 to 2019. Prior to joining Medline, he served as Vice President of Sales and Marketing at Carrington Laboratories. Prior to that, he served as Vice President of Sales and Marketing at Berkshire Corporation. Mr. Golwas received his B.S. from Texas Tech University and his M.B.A. from The University of Dallas.</w:t>
      </w:r>
    </w:p>
    <w:p>
      <w:pPr>
        <w:spacing w:after="0" w:line="180" w:lineRule="exact"/>
        <w:rPr>
          <w:sz w:val="20"/>
          <w:szCs w:val="20"/>
          <w:color w:val="auto"/>
        </w:rPr>
      </w:pPr>
    </w:p>
    <w:p>
      <w:pPr>
        <w:jc w:val="both"/>
        <w:ind w:left="160" w:right="180" w:firstLine="436"/>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Christopher P. Shryock </w:t>
      </w:r>
      <w:r>
        <w:rPr>
          <w:rFonts w:ascii="Times New Roman" w:cs="Times New Roman" w:eastAsia="Times New Roman" w:hAnsi="Times New Roman"/>
          <w:sz w:val="17"/>
          <w:szCs w:val="17"/>
          <w:color w:val="auto"/>
        </w:rPr>
        <w:t>has served as our Chief Human Resources Officer since joining Medline in 2024. Prior to joining Medline, Mr. Shryock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served as Senior Vice President and Chief People Officer at Sam’s Club from 2020 to 2024. Prior to that, Mr. Shryock worked at PepsiCo for 14 years where he served in various roles, including most recently as Senior Vice President, Human Resources, PepsiCo Foods North America (PFNA)</w:t>
      </w:r>
    </w:p>
    <w:p>
      <w:pPr>
        <w:ind w:left="160" w:right="200"/>
        <w:spacing w:after="0" w:line="256" w:lineRule="auto"/>
        <w:rPr>
          <w:sz w:val="20"/>
          <w:szCs w:val="20"/>
          <w:color w:val="auto"/>
        </w:rPr>
      </w:pPr>
      <w:r>
        <w:rPr>
          <w:rFonts w:ascii="Times New Roman" w:cs="Times New Roman" w:eastAsia="Times New Roman" w:hAnsi="Times New Roman"/>
          <w:sz w:val="18"/>
          <w:szCs w:val="18"/>
          <w:color w:val="auto"/>
        </w:rPr>
        <w:t>Commercial. Before PepsiCo, Mr. Shryock served as Manager, Talent Development at Cendant Corporation from 2005 to 2007. Mr. Shryock received his B.S. in Psychology from Xavier University and his M.A. in Industrial/Organizational Psychology from Hofstra University.</w:t>
      </w:r>
    </w:p>
    <w:p>
      <w:pPr>
        <w:spacing w:after="0" w:line="178" w:lineRule="exact"/>
        <w:rPr>
          <w:sz w:val="20"/>
          <w:szCs w:val="20"/>
          <w:color w:val="auto"/>
        </w:rPr>
      </w:pPr>
    </w:p>
    <w:p>
      <w:pPr>
        <w:ind w:left="160" w:right="40" w:firstLine="43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Amanda H. Laabs </w:t>
      </w:r>
      <w:r>
        <w:rPr>
          <w:rFonts w:ascii="Times New Roman" w:cs="Times New Roman" w:eastAsia="Times New Roman" w:hAnsi="Times New Roman"/>
          <w:sz w:val="18"/>
          <w:szCs w:val="18"/>
          <w:color w:val="auto"/>
        </w:rPr>
        <w:t>has served as our Chief Product Officer since January 1, 2025. Ms. Laabs joined Medline in 2006 as part of our medical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textiles division and has held a series of escalating product management leadership roles during her time at Medline, including most recently as our Executive Vice President, Medline Brand from 2023 until January 1, 2025. In 2013, Ms. Laabs served in a general manager role leading Medline’s surgical drapes and gowns division, as well as the personal protection division. From 2017 to 2020, she led the Dynacor kitting division, which involved integrating the newly acquired Centurion Medical Products company. In 2020, with that integration successfully completed, Ms. Laabs added the larger surgical kitting business to her portfolio. Prior to joining Medline, Ms. Laabs worked at DuPont, where she worked with leading healthcare companies in a medical-device sales role. Ms. Laabs received dual B.S. degrees in marketing and management science from Virginia Tech and her M.B.A. from the University of Notre Dame.</w:t>
      </w:r>
    </w:p>
    <w:p>
      <w:pPr>
        <w:spacing w:after="0" w:line="180" w:lineRule="exact"/>
        <w:rPr>
          <w:sz w:val="20"/>
          <w:szCs w:val="20"/>
          <w:color w:val="auto"/>
        </w:rPr>
      </w:pPr>
    </w:p>
    <w:p>
      <w:pPr>
        <w:ind w:left="160" w:right="100" w:firstLine="43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J. Abrams </w:t>
      </w:r>
      <w:r>
        <w:rPr>
          <w:rFonts w:ascii="Times New Roman" w:cs="Times New Roman" w:eastAsia="Times New Roman" w:hAnsi="Times New Roman"/>
          <w:sz w:val="18"/>
          <w:szCs w:val="18"/>
          <w:color w:val="auto"/>
        </w:rPr>
        <w:t>has served as our Executive Vice President, Supply Chain Solutions since 2023. Mr. Abrams joined Medline in 2009 as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of Preferred Healthcare and Executive Vice President of Real Estate &amp; Assets and was promoted to President of the Distributed Products Division the following year. While working at Medline, Mr. Abrams also served as President of Suture Express from 2019 to 2021. Prior to joining Medline, Mr. Abrams served as Founding Principal at Hazel Ravine Partners, LLC from 2004 to 2008, and as Chief Executive Officer at InfoPlus Corporation from 2001 to 2003. Mr. Abrams received his B.S.E. in Finance and Real Estate from the Wharton School at the University of Pennsylvania and his M.M. in Finance from the Kellogg School of Management at Northwestern University.</w:t>
      </w:r>
    </w:p>
    <w:p>
      <w:pPr>
        <w:spacing w:after="0" w:line="1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080"/>
          </w:cols>
          <w:pgMar w:left="320" w:top="451" w:right="4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right="340" w:firstLine="436"/>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Charles N. Mills </w:t>
      </w:r>
      <w:r>
        <w:rPr>
          <w:rFonts w:ascii="Times New Roman" w:cs="Times New Roman" w:eastAsia="Times New Roman" w:hAnsi="Times New Roman"/>
          <w:sz w:val="17"/>
          <w:szCs w:val="17"/>
          <w:color w:val="auto"/>
        </w:rPr>
        <w:t>has served as the Chair of our board of directors since 2018 and as a member of our board of directors since 1985. Mr. Mills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served as our Chief Executive Officer from 1997 to 2023. He joined Medline in 1986 as a sales representative and has since held various positions within the company, including sales management, Vice President of Marketing, and Vice President of Manufacturing. Prior to joining Medline,</w:t>
      </w:r>
    </w:p>
    <w:p>
      <w:pPr>
        <w:ind w:left="160" w:right="60"/>
        <w:spacing w:after="0" w:line="252" w:lineRule="auto"/>
        <w:rPr>
          <w:sz w:val="20"/>
          <w:szCs w:val="20"/>
          <w:color w:val="auto"/>
        </w:rPr>
      </w:pPr>
      <w:r>
        <w:rPr>
          <w:rFonts w:ascii="Times New Roman" w:cs="Times New Roman" w:eastAsia="Times New Roman" w:hAnsi="Times New Roman"/>
          <w:sz w:val="18"/>
          <w:szCs w:val="18"/>
          <w:color w:val="auto"/>
        </w:rPr>
        <w:t>Mr. Mills was a sales representative with IBM. Mr. Mills received both his B.S. in Mechanical Engineering and his M.B.A. from Cornell University. He also serves as a Director of Northwestern Memorial Hospital and was recognized by Modern Healthcare in 2021 as one of the 100 most influential people in healthcare.</w:t>
      </w:r>
    </w:p>
    <w:p>
      <w:pPr>
        <w:spacing w:after="0" w:line="181" w:lineRule="exact"/>
        <w:rPr>
          <w:sz w:val="20"/>
          <w:szCs w:val="20"/>
          <w:color w:val="auto"/>
        </w:rPr>
      </w:pPr>
    </w:p>
    <w:p>
      <w:pPr>
        <w:ind w:left="160" w:right="140" w:firstLine="436"/>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Joseph P. Baratta </w:t>
      </w:r>
      <w:r>
        <w:rPr>
          <w:rFonts w:ascii="Times New Roman" w:cs="Times New Roman" w:eastAsia="Times New Roman" w:hAnsi="Times New Roman"/>
          <w:sz w:val="18"/>
          <w:szCs w:val="18"/>
          <w:color w:val="auto"/>
        </w:rPr>
        <w:t>has served as a member of our board of directors since 2021. Mr. Baratta is the Global Head of Blackstone Private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Strategies and a member of Blackstone’s Board of Directors. He is also a member of the firm’s Management Committee and serves on many of the firm’s investment committees. Mr. Baratta joined Blackstone in 1998 and in 2001 he moved to London to help establish Blackstone’s corporate private equity business in Europe. Since 2012, Mr. Baratta has served as the firm’s Global Head of Private Equity and is located in New York. Mr. Baratta has served on the boards of many past Blackstone portfolio companies and currently serves as a member or observer on the boards of Ancestry, Candle Media, Merlin Entertainments Group, and SESAC. He is also a former member of the Board of Trustees of Georgetown University; is a trustee of the Tate Foundation; and serves on the board of Year Up, an organization focused on youth employment. Before joining Blackstone, Mr. Baratta was with Tinicum Incorporated and McCown De Leeuw &amp; Company. Mr. Baratta also worked at Morgan Stanley in its mergers and acquisitions department. Mr. Baratta graduated magna cum laude from Georgetown University.</w:t>
      </w:r>
    </w:p>
    <w:p>
      <w:pPr>
        <w:spacing w:after="0" w:line="184" w:lineRule="exact"/>
        <w:rPr>
          <w:sz w:val="20"/>
          <w:szCs w:val="20"/>
          <w:color w:val="auto"/>
        </w:rPr>
      </w:pPr>
    </w:p>
    <w:p>
      <w:pPr>
        <w:ind w:left="160" w:right="140" w:firstLine="43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Jacob D. Best </w:t>
      </w:r>
      <w:r>
        <w:rPr>
          <w:rFonts w:ascii="Times New Roman" w:cs="Times New Roman" w:eastAsia="Times New Roman" w:hAnsi="Times New Roman"/>
          <w:sz w:val="18"/>
          <w:szCs w:val="18"/>
          <w:color w:val="auto"/>
        </w:rPr>
        <w:t>has served as a member of our board of directors since 2021. Mr. Best is a Partner at H&amp;F, where he leads Healthcare investing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activities in North America. Mr. Best joined H&amp;F in 2009 and re-joined the firm in 2016. He is active in H&amp;F’s investments in PointClickCare and athenahealth. Mr. Best was formerly a Director of Associated Materials, Goodman Global, Snap One, and Ellucian, and was active in H&amp;F’s investments in Verisure. Prior to re-joining H&amp;F, Mr. Best worked as the Chief of Staff at Change Healthcare (formerly Emdeon) and the Head of Medical Networks at Grand Rounds. Prior to H&amp;F, Mr. Best worked at Bain &amp; Company in New York. Mr. Best received his B.A. from the University of Virginia and his M.B.A. from the Stanford University Graduate School of Business, where he was an Arjay Miller Scholar.</w:t>
      </w:r>
    </w:p>
    <w:p>
      <w:pPr>
        <w:spacing w:after="0" w:line="178"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Todd M. Bluedorn </w:t>
      </w:r>
      <w:r>
        <w:rPr>
          <w:rFonts w:ascii="Times New Roman" w:cs="Times New Roman" w:eastAsia="Times New Roman" w:hAnsi="Times New Roman"/>
          <w:sz w:val="18"/>
          <w:szCs w:val="18"/>
          <w:color w:val="auto"/>
        </w:rPr>
        <w:t>has served as a member of our board of directors since 2025. Mr. Bluedorn served as Vice Chair of Madison Industries,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privately held industrial company, from 2022 to 2023. Prior to that, he was Chief Executive Officer of Lennox International Inc. (“Lennox”), a climate control solutions provider, from 2007 to 2022 and served as chair of the board of Lennox from 2012 to 2022. Prior to Lennox, Mr. Bluedorn held several senior management positions at United Technologies Corporation from 1995 to 2007 and started his career with McKinsey &amp; Company, where he worked from 1992 to 1995. Mr. Bluedorn served on the board of directors of Eaton Corporation, a global power management company, from 2010 to April 2020. He has served on the board of directors of Texas Instruments, a global semiconductor company, since 2017, where he is the chair of the governance and stockholder relations committee, and Samsara Inc., a connected cloud operations software company, since 2023, where he is a member of the compensation committee and the nominating and corporate governance committee. Mr. Bluedorn received his B.S. in electrical engineering from The United States Military Academy at West Point and his M.B.A from Harvard Business School.</w:t>
      </w:r>
    </w:p>
    <w:p>
      <w:pPr>
        <w:spacing w:after="0" w:line="184" w:lineRule="exact"/>
        <w:rPr>
          <w:sz w:val="20"/>
          <w:szCs w:val="20"/>
          <w:color w:val="auto"/>
        </w:rPr>
      </w:pPr>
    </w:p>
    <w:p>
      <w:pPr>
        <w:ind w:left="160" w:right="200" w:firstLine="43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Richard A. Galanti </w:t>
      </w:r>
      <w:r>
        <w:rPr>
          <w:rFonts w:ascii="Times New Roman" w:cs="Times New Roman" w:eastAsia="Times New Roman" w:hAnsi="Times New Roman"/>
          <w:sz w:val="18"/>
          <w:szCs w:val="18"/>
          <w:color w:val="auto"/>
        </w:rPr>
        <w:t>has served as a member of our board of directors since 2025. Mr. Galanti was Executive Vice President and Chief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of Costco Wholesale Corporation, a multibillion-dollar global retailer, from October 1993 to March 2024, and Executive Vice President of Costco Wholesale from March 2024 to January 2025. Mr. Galanti joined Costco Wholesale in March 1984 as Vice President of Finance. Mr. Galanti currently serves on the board of directors of Affirm Holdings, Inc., and he served on the board of directors of Costco Wholesale from January 1995 to January 2025. Mr. Galanti received his B.S. in economics from The Wharton School at the University of Pennsylvania and his M.B.A. from Stanford University.</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060"/>
          </w:cols>
          <w:pgMar w:left="320" w:top="451" w:right="51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right="60" w:firstLine="436"/>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Patrick J. Healy </w:t>
      </w:r>
      <w:r>
        <w:rPr>
          <w:rFonts w:ascii="Times New Roman" w:cs="Times New Roman" w:eastAsia="Times New Roman" w:hAnsi="Times New Roman"/>
          <w:sz w:val="18"/>
          <w:szCs w:val="18"/>
          <w:color w:val="auto"/>
        </w:rPr>
        <w:t>has served as a member of our board of directors since 2025. Mr. Healy is the Chief Executive Officer of H&amp;F. He is also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of H&amp;F’s Investment Committee and the Chairman of its Compensation Committee. Mr. Healy joined H&amp;F in 1994. He is currently a Director of Verisure (Securitas Direct) and Global Music Rights (GMR). His previous investment activities include: Action, Allfunds, AutoScout24, Axel Springer, CarProof, Digitas, DoubleClick, Formula One, Gartmore Investment Management, Gaztransport &amp; Technigaz, Hostelworld (Web Reservations), Iris Software, Mondrian Investment Partners, Nasdaq, National Information Consortium, Nets, Neverfail Springwater, Nielsen, PowerBar, ProSiebenSat.1 Media SE, Scout24, SimpliSafe, TeamSystem, VoiceStream Wireless, Wood Mackenzie, and Young &amp; Rubicam. Prior to H&amp;F, Mr. Healy was employed by James D. Wolfensohn Incorporated in New York and Consolidated Press Holdings in Australia. Mr. Healy started his career stocking paint and sundries at Schoening’s Paint and Wallpaper in Rockford, IL. Mr. Healy received his B.A. from Harvard College and his M.B.A. from Harvard Business School.</w:t>
      </w:r>
    </w:p>
    <w:p>
      <w:pPr>
        <w:spacing w:after="0" w:line="184"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Andrew J. Mills </w:t>
      </w:r>
      <w:r>
        <w:rPr>
          <w:rFonts w:ascii="Times New Roman" w:cs="Times New Roman" w:eastAsia="Times New Roman" w:hAnsi="Times New Roman"/>
          <w:sz w:val="18"/>
          <w:szCs w:val="18"/>
          <w:color w:val="auto"/>
        </w:rPr>
        <w:t>has served as a member of our board of directors since 1985 and served as our President from 1997 to 2023. Mr. Mills is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Executive Officer and General Partner of Council Ring Capital, LLC, a position he has held since 2021. He joined Medline as a sales representative in 1986. He then worked in Medline’s OR product division from 1989 to 1992 and went on to manage the Company’s marketing department from 1993 to 1996. He assumed the position of President in 1997 and served in that capacity until his retirement in 2023. Mr. Mills holds 22 granted patents and has three pending. Before joining Medline, he worked in brand management for Procter &amp; Gamble. Mr. Mills received his B.S. from Tulane University and his M.B.A. from the Kellogg School of Management at Northwestern University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He currently serves as a trustee of the Vivo Foundation and the Rush University Medical Center board and was recognized by Modern Healthcare in 2020 and 2021 as one of the 100 most influential people in healthcare.</w:t>
      </w:r>
    </w:p>
    <w:p>
      <w:pPr>
        <w:spacing w:after="0" w:line="180" w:lineRule="exact"/>
        <w:rPr>
          <w:sz w:val="20"/>
          <w:szCs w:val="20"/>
          <w:color w:val="auto"/>
        </w:rPr>
      </w:pPr>
    </w:p>
    <w:p>
      <w:pPr>
        <w:ind w:left="160" w:right="140" w:firstLine="43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R. Schmidt </w:t>
      </w:r>
      <w:r>
        <w:rPr>
          <w:rFonts w:ascii="Times New Roman" w:cs="Times New Roman" w:eastAsia="Times New Roman" w:hAnsi="Times New Roman"/>
          <w:sz w:val="18"/>
          <w:szCs w:val="18"/>
          <w:color w:val="auto"/>
        </w:rPr>
        <w:t>has served as a member of our board of directors since 2021. Mr. Schmidt is a Partner and Global Co-Head of Healthcare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Carlyle. He joined Carlyle in 2011 and has been involved in a number of the firm’s investments globally. He is currently a member of the Board of Directors of Included Health, MedRisk, Resonetics, Unchained Labs, and Vantive, and he previously served as a member of the Board of Directors of One Medical and QuidelOrtho. Prior to joining Carlyle, Mr. Schmidt worked at Welsh, Carson, Anderson &amp; Stowe, a private equity firm focused on healthcare and technology investments, and Merrill Lynch Global Private Equity, focused on buyouts in North America. Mr. Schmidt received his B.S. in economics from The Wharton School at the University of Pennsylvania and his M.B.A. from Harvard Business School. He currently serves as a member of the University of Pennsylvania’s External Advisory Board at the Leonard Davis Institute of Health Economics.</w:t>
      </w:r>
    </w:p>
    <w:p>
      <w:pPr>
        <w:spacing w:after="0" w:line="184" w:lineRule="exact"/>
        <w:rPr>
          <w:sz w:val="20"/>
          <w:szCs w:val="20"/>
          <w:color w:val="auto"/>
        </w:rPr>
      </w:pPr>
    </w:p>
    <w:p>
      <w:pPr>
        <w:ind w:left="160" w:right="120" w:firstLine="43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Anushka M. Sunder </w:t>
      </w:r>
      <w:r>
        <w:rPr>
          <w:rFonts w:ascii="Times New Roman" w:cs="Times New Roman" w:eastAsia="Times New Roman" w:hAnsi="Times New Roman"/>
          <w:sz w:val="18"/>
          <w:szCs w:val="18"/>
          <w:color w:val="auto"/>
        </w:rPr>
        <w:t>has served as a member of our board of directors since 2021. Ms. Sunder is a Senior Managing Director at Blackstone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Head of Healthcare Private Equity North America. She leads investments in the Business Services and Healthcare sectors and previously spent time in technology and consumer. Ms. Sunder joined Blackstone in 2013 and is a Director of Advarra, Allied, CoreTrust, Precision Medicine Group, TeamHealth, and Optiv and previously served as a Director of Blue Yonder and HealthEdge. She has also been actively involved in Blackstone’s investments in Signature Aviation and NCR. She is Executive Sponsor of Blackstone’s Women’s Initiative. Before joining Blackstone, Ms. Sunder was at TPG Capital and at Goldman Sachs in the Financial Institutions Group. Ms. Sunder received her B.A. from Harvard College, where she graduated magna cum laude and Phi Beta Kappa, and her M.B.A. from Harvard Business School.</w:t>
      </w:r>
    </w:p>
    <w:p>
      <w:pPr>
        <w:spacing w:after="0" w:line="184" w:lineRule="exact"/>
        <w:rPr>
          <w:sz w:val="20"/>
          <w:szCs w:val="20"/>
          <w:color w:val="auto"/>
        </w:rPr>
      </w:pPr>
    </w:p>
    <w:p>
      <w:pPr>
        <w:ind w:left="160" w:right="60" w:firstLine="43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Thomas W. Sweet </w:t>
      </w:r>
      <w:r>
        <w:rPr>
          <w:rFonts w:ascii="Times New Roman" w:cs="Times New Roman" w:eastAsia="Times New Roman" w:hAnsi="Times New Roman"/>
          <w:sz w:val="18"/>
          <w:szCs w:val="18"/>
          <w:color w:val="auto"/>
        </w:rPr>
        <w:t>has served as a member of our board of directors since 2024. Mr. Sweet was Chief Financial Officer of Dell Technologies,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global information technology company, from 2014 to August 2023, overseeing all aspects of the company’s finance function, including Dell Financial Services and Dell Technologies Capital, as well as global business operations and corporate strategy. He joined Dell in 1997 and held leadership positions in finance, sales, and in various corporate business units before being named CFO in 2014. Prior to joining Dell, Mr. Sweet was vice president of accounting and finance for Telos Corporation, a cyber, cloud, and enterprise security company, and before that he spent 13 years with Pricewaterhouse providing</w:t>
      </w:r>
    </w:p>
    <w:p>
      <w:pPr>
        <w:spacing w:after="0" w:line="1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060"/>
          </w:cols>
          <w:pgMar w:left="320" w:top="452" w:right="51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80"/>
        <w:spacing w:after="0" w:line="263" w:lineRule="auto"/>
        <w:rPr>
          <w:sz w:val="20"/>
          <w:szCs w:val="20"/>
          <w:color w:val="auto"/>
        </w:rPr>
      </w:pPr>
      <w:r>
        <w:rPr>
          <w:rFonts w:ascii="Times New Roman" w:cs="Times New Roman" w:eastAsia="Times New Roman" w:hAnsi="Times New Roman"/>
          <w:sz w:val="18"/>
          <w:szCs w:val="18"/>
          <w:color w:val="auto"/>
        </w:rPr>
        <w:t>audit and accounting services to the technology industry. He currently serves on the Board of Directors of 3M and Trimble Inc., as well as the Salvation Army Central Texas Advisory Board and the Chancellor’s Council Executive Committee for the University of Texas System. Mr. Sweet received his B.B.A. in Accounting from Western Michigan University and is a CPA.</w:t>
      </w:r>
    </w:p>
    <w:p>
      <w:pPr>
        <w:spacing w:after="0" w:line="171" w:lineRule="exact"/>
        <w:rPr>
          <w:sz w:val="20"/>
          <w:szCs w:val="20"/>
          <w:color w:val="auto"/>
        </w:rPr>
      </w:pPr>
    </w:p>
    <w:p>
      <w:pPr>
        <w:ind w:left="160" w:right="20" w:firstLine="436"/>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Stephen H. Wise </w:t>
      </w:r>
      <w:r>
        <w:rPr>
          <w:rFonts w:ascii="Times New Roman" w:cs="Times New Roman" w:eastAsia="Times New Roman" w:hAnsi="Times New Roman"/>
          <w:sz w:val="18"/>
          <w:szCs w:val="18"/>
          <w:color w:val="auto"/>
        </w:rPr>
        <w:t>has served as a member of our board of directors since 2021. Mr. Wise is a Partner and Co-Head of Americas Corporate Private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at Carlyle. Previously, he was the Global Head of Healthcare at Carlyle. He joined Carlyle in 2006 and has led or been a key contributor to several investments including CorroHealth, Curia, Grupo Qualicorp, HCR Manorcare, Healthscope, Medline, MedRisk, Millicent Pharma, MultiPlan, OneMedical, PPD, QuidelOrtho, Rede D’Or São Luiz, Resonetics, Sedgwick, TriNetX, Unchained Labs, and WellDyneRx. He has also led Carlyle’s broader life sciences efforts, including the acquisition of Abingworth in 2022. Mr. Wise currently serves as a Director on the boards of Launch Therapeutics, Resonetics, Sedgwick, and Vantive. He serves on the Board of Dean’s Advisors for Harvard Business School, the Board of Dean’s Advisors for the Harvard School of Public Health, and the Board of Trustees for Bucknell University. He also serves on the advisory board for the Massachusetts General Hospital Center for Global Health. Prior to joining Carlyle, Mr. Wise worked with JLL Partners, a New York-based private equity firm, where he focused on healthcare-related investments. Previously, he worked with J.W. Childs Associates, a Boston-based private equity firm, and prior to that, in the leveraged finance group of Credit Suisse. Mr. Wise earned a B.A. in economics and finance from Bucknell University and received his M.B.A. from Harvard Business School.</w:t>
      </w:r>
    </w:p>
    <w:p>
      <w:pPr>
        <w:spacing w:after="0" w:line="2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Composition of the Board of Directors</w:t>
      </w:r>
    </w:p>
    <w:p>
      <w:pPr>
        <w:spacing w:after="0" w:line="118"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In addition, we entered into separate director nomination agreements with the Designating Stockholders in connection with our IPO. These agreements grant the Designating Stockholders the right to designate an agreed number of individuals to our board of directors subject to the maintenance of certain ownership requirements in us. See “Certain Relationships and Related Person Transactions—Director Nomination Agreements.”</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18" w:lineRule="exact"/>
        <w:rPr>
          <w:sz w:val="20"/>
          <w:szCs w:val="20"/>
          <w:color w:val="auto"/>
        </w:rPr>
      </w:pPr>
    </w:p>
    <w:p>
      <w:pPr>
        <w:ind w:left="160" w:right="560" w:firstLine="436"/>
        <w:spacing w:after="0" w:line="278" w:lineRule="auto"/>
        <w:rPr>
          <w:sz w:val="20"/>
          <w:szCs w:val="20"/>
          <w:color w:val="auto"/>
        </w:rPr>
      </w:pPr>
      <w:r>
        <w:rPr>
          <w:rFonts w:ascii="Times New Roman" w:cs="Times New Roman" w:eastAsia="Times New Roman" w:hAnsi="Times New Roman"/>
          <w:sz w:val="18"/>
          <w:szCs w:val="18"/>
          <w:color w:val="auto"/>
        </w:rPr>
        <w:t>Our board of directors has affirmatively determined that each of Mr. Baratta, Mr. Best, Mr. Bluedorn, Mr. Galanti, Mr. Healy, Mr. Schmidt, Ms. Sunder, Mr. Sweet, and Mr. Wise qualify as independent directors under Nasdaq listing standards.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Background and Experience of Directors</w:t>
      </w:r>
    </w:p>
    <w:p>
      <w:pPr>
        <w:spacing w:after="0" w:line="118" w:lineRule="exact"/>
        <w:rPr>
          <w:sz w:val="20"/>
          <w:szCs w:val="20"/>
          <w:color w:val="auto"/>
        </w:rPr>
      </w:pPr>
    </w:p>
    <w:p>
      <w:pPr>
        <w:ind w:left="160" w:right="80" w:firstLine="436"/>
        <w:spacing w:after="0" w:line="255" w:lineRule="auto"/>
        <w:rPr>
          <w:sz w:val="20"/>
          <w:szCs w:val="20"/>
          <w:color w:val="auto"/>
        </w:rPr>
      </w:pPr>
      <w:r>
        <w:rPr>
          <w:rFonts w:ascii="Times New Roman" w:cs="Times New Roman" w:eastAsia="Times New Roman" w:hAnsi="Times New Roman"/>
          <w:sz w:val="18"/>
          <w:szCs w:val="18"/>
          <w:color w:val="auto"/>
        </w:rPr>
        <w:t>When considering whether directors have the experience, qualifications, attributes or skills, taken as a whole, to enable our board of directors to satisfy its oversight responsibilities effectively in light of our business and structure, the board of directors focuses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 In particular, the members of our board of directors considered the following important characteristics, among others:</w:t>
      </w:r>
    </w:p>
    <w:p>
      <w:pPr>
        <w:spacing w:after="0" w:line="91" w:lineRule="exact"/>
        <w:rPr>
          <w:sz w:val="20"/>
          <w:szCs w:val="20"/>
          <w:color w:val="auto"/>
        </w:rPr>
      </w:pPr>
    </w:p>
    <w:p>
      <w:pPr>
        <w:ind w:left="1140" w:right="200" w:hanging="438"/>
        <w:spacing w:after="0" w:line="278" w:lineRule="auto"/>
        <w:tabs>
          <w:tab w:leader="none" w:pos="11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Boyle—our board of directors considered Mr. Boyle’s perspective, experience, and thorough knowledge of our industry as our Chief Executive Officer.</w:t>
      </w:r>
    </w:p>
    <w:p>
      <w:pPr>
        <w:spacing w:after="0" w:line="68" w:lineRule="exact"/>
        <w:rPr>
          <w:rFonts w:ascii="Times New Roman" w:cs="Times New Roman" w:eastAsia="Times New Roman" w:hAnsi="Times New Roman"/>
          <w:sz w:val="18"/>
          <w:szCs w:val="18"/>
          <w:color w:val="auto"/>
        </w:rPr>
      </w:pPr>
    </w:p>
    <w:p>
      <w:pPr>
        <w:ind w:left="1140" w:right="180" w:hanging="438"/>
        <w:spacing w:after="0" w:line="263" w:lineRule="auto"/>
        <w:tabs>
          <w:tab w:leader="none" w:pos="11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 Mills—our board of directors considered Mr. C. Mills’ extensive industry knowledge, management expertise, and business experience, particularly from his former role as Medline’s Chief Executive Officer. The Mills Family intends to designate Mr. C. Mills to our board of directors pursuant to its director nomination agreement.</w:t>
      </w:r>
    </w:p>
    <w:p>
      <w:pPr>
        <w:spacing w:after="0" w:line="81" w:lineRule="exact"/>
        <w:rPr>
          <w:rFonts w:ascii="Times New Roman" w:cs="Times New Roman" w:eastAsia="Times New Roman" w:hAnsi="Times New Roman"/>
          <w:sz w:val="18"/>
          <w:szCs w:val="18"/>
          <w:color w:val="auto"/>
        </w:rPr>
      </w:pPr>
    </w:p>
    <w:p>
      <w:pPr>
        <w:ind w:left="1140" w:right="600" w:hanging="438"/>
        <w:spacing w:after="0" w:line="278" w:lineRule="auto"/>
        <w:tabs>
          <w:tab w:leader="none" w:pos="11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Baratta—our board of directors considered Mr. Baratta’s extensive financial, management, and investment experience from his involvement at Blackstone, including as the Global Head of Private</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080"/>
          </w:cols>
          <w:pgMar w:left="320" w:top="452" w:right="4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140" w:right="400"/>
        <w:spacing w:after="0" w:line="278" w:lineRule="auto"/>
        <w:rPr>
          <w:sz w:val="20"/>
          <w:szCs w:val="20"/>
          <w:color w:val="auto"/>
        </w:rPr>
      </w:pPr>
      <w:r>
        <w:rPr>
          <w:rFonts w:ascii="Times New Roman" w:cs="Times New Roman" w:eastAsia="Times New Roman" w:hAnsi="Times New Roman"/>
          <w:sz w:val="18"/>
          <w:szCs w:val="18"/>
          <w:color w:val="auto"/>
        </w:rPr>
        <w:t>Equity, and his service on the boards of various companies across multiple sectors. Blackstone intends to designate Mr. Baratta to our board of directors pursuant to its director nomination agreement.</w:t>
      </w:r>
    </w:p>
    <w:p>
      <w:pPr>
        <w:spacing w:after="0" w:line="69" w:lineRule="exact"/>
        <w:rPr>
          <w:sz w:val="20"/>
          <w:szCs w:val="20"/>
          <w:color w:val="auto"/>
        </w:rPr>
      </w:pPr>
    </w:p>
    <w:p>
      <w:pPr>
        <w:ind w:left="1140" w:right="160" w:hanging="438"/>
        <w:spacing w:after="0" w:line="263" w:lineRule="auto"/>
        <w:tabs>
          <w:tab w:leader="none" w:pos="11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Best—our board of directors considered Mr. Best’s significant financial, management, and investment experience from his involvement at H&amp;F, including as a Partner, as well as his thorough knowledge of our industry. H&amp;F intends to designate Mr. Best to our board of directors pursuant to its director nomination agreement.</w:t>
      </w:r>
    </w:p>
    <w:p>
      <w:pPr>
        <w:spacing w:after="0" w:line="81" w:lineRule="exact"/>
        <w:rPr>
          <w:rFonts w:ascii="Times New Roman" w:cs="Times New Roman" w:eastAsia="Times New Roman" w:hAnsi="Times New Roman"/>
          <w:sz w:val="18"/>
          <w:szCs w:val="18"/>
          <w:color w:val="auto"/>
        </w:rPr>
      </w:pPr>
    </w:p>
    <w:p>
      <w:pPr>
        <w:ind w:left="1140" w:right="80" w:hanging="438"/>
        <w:spacing w:after="0" w:line="278" w:lineRule="auto"/>
        <w:tabs>
          <w:tab w:leader="none" w:pos="11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Bluedorn—our board of directors considered Mr. Bluedorn’s significant management expertise and business experience, including his time as Chief Executive Officer of Lennox and his service on the boards of multiple companies.</w:t>
      </w:r>
    </w:p>
    <w:p>
      <w:pPr>
        <w:spacing w:after="0" w:line="68" w:lineRule="exact"/>
        <w:rPr>
          <w:rFonts w:ascii="Times New Roman" w:cs="Times New Roman" w:eastAsia="Times New Roman" w:hAnsi="Times New Roman"/>
          <w:sz w:val="18"/>
          <w:szCs w:val="18"/>
          <w:color w:val="auto"/>
        </w:rPr>
      </w:pPr>
    </w:p>
    <w:p>
      <w:pPr>
        <w:ind w:left="1140" w:right="180" w:hanging="438"/>
        <w:spacing w:after="0" w:line="278" w:lineRule="auto"/>
        <w:tabs>
          <w:tab w:leader="none" w:pos="11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Galanti—our board of directors considered Mr. Galanti’s significant finance and financial reporting experience, specifically as Chief Financial Officer of Costco Wholesale.</w:t>
      </w:r>
    </w:p>
    <w:p>
      <w:pPr>
        <w:spacing w:after="0" w:line="68" w:lineRule="exact"/>
        <w:rPr>
          <w:rFonts w:ascii="Times New Roman" w:cs="Times New Roman" w:eastAsia="Times New Roman" w:hAnsi="Times New Roman"/>
          <w:sz w:val="18"/>
          <w:szCs w:val="18"/>
          <w:color w:val="auto"/>
        </w:rPr>
      </w:pPr>
    </w:p>
    <w:p>
      <w:pPr>
        <w:ind w:left="1140" w:right="100" w:hanging="438"/>
        <w:spacing w:after="0" w:line="263" w:lineRule="auto"/>
        <w:tabs>
          <w:tab w:leader="none" w:pos="11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Healy—our board of directors considered Mr. Healy’s extensive financial, management, and investment experience, particularly from his role as Chief Executive Officer of H&amp;F and his service on the boards of various companies across multiple sectors. H&amp;F intends to designate Mr. Healy to our board of directors pursuant to its director nomination agreement.</w:t>
      </w:r>
    </w:p>
    <w:p>
      <w:pPr>
        <w:spacing w:after="0" w:line="81" w:lineRule="exact"/>
        <w:rPr>
          <w:rFonts w:ascii="Times New Roman" w:cs="Times New Roman" w:eastAsia="Times New Roman" w:hAnsi="Times New Roman"/>
          <w:sz w:val="18"/>
          <w:szCs w:val="18"/>
          <w:color w:val="auto"/>
        </w:rPr>
      </w:pPr>
    </w:p>
    <w:p>
      <w:pPr>
        <w:ind w:left="1140" w:right="180" w:hanging="438"/>
        <w:spacing w:after="0" w:line="263" w:lineRule="auto"/>
        <w:tabs>
          <w:tab w:leader="none" w:pos="11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 Mills—our board of directors considered Mr. A. Mills’ extensive industry knowledge, management expertise, and business experience, particularly from his former role as President of Medline. The Mills Family intends to designate Mr. A. Mills to our board of directors pursuant to its director nomination agreement.</w:t>
      </w:r>
    </w:p>
    <w:p>
      <w:pPr>
        <w:spacing w:after="0" w:line="81" w:lineRule="exact"/>
        <w:rPr>
          <w:rFonts w:ascii="Times New Roman" w:cs="Times New Roman" w:eastAsia="Times New Roman" w:hAnsi="Times New Roman"/>
          <w:sz w:val="18"/>
          <w:szCs w:val="18"/>
          <w:color w:val="auto"/>
        </w:rPr>
      </w:pPr>
    </w:p>
    <w:p>
      <w:pPr>
        <w:ind w:left="1140" w:hanging="438"/>
        <w:spacing w:after="0" w:line="263" w:lineRule="auto"/>
        <w:tabs>
          <w:tab w:leader="none" w:pos="11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Schmidt—our board of directors considered Mr. Schmidt’s significant financial, management, and investment experience from his involvement at Carlyle, including as Partner and Global Co-Head of Healthcare, as well as his thorough knowledge of our industry. Carlyle intends to designate Mr. Schmidt to our board of directors pursuant to its director nomination agreement.</w:t>
      </w:r>
    </w:p>
    <w:p>
      <w:pPr>
        <w:spacing w:after="0" w:line="81" w:lineRule="exact"/>
        <w:rPr>
          <w:rFonts w:ascii="Times New Roman" w:cs="Times New Roman" w:eastAsia="Times New Roman" w:hAnsi="Times New Roman"/>
          <w:sz w:val="18"/>
          <w:szCs w:val="18"/>
          <w:color w:val="auto"/>
        </w:rPr>
      </w:pPr>
    </w:p>
    <w:p>
      <w:pPr>
        <w:ind w:left="1140" w:right="160" w:hanging="438"/>
        <w:spacing w:after="0" w:line="258" w:lineRule="auto"/>
        <w:tabs>
          <w:tab w:leader="none" w:pos="11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Sunder—our board of directors considered Ms. Sunder’s extensive financial, management, and investment expertise from her involvement as Blackstone, including as Senior Managing Director and Head of Healthcare Private Equity North America, as well as her thorough knowledge of our industry. Blackstone intends to designate Ms. Sunder to the board of directors pursuant to its director nomination agreement.</w:t>
      </w:r>
    </w:p>
    <w:p>
      <w:pPr>
        <w:spacing w:after="0" w:line="86" w:lineRule="exact"/>
        <w:rPr>
          <w:rFonts w:ascii="Times New Roman" w:cs="Times New Roman" w:eastAsia="Times New Roman" w:hAnsi="Times New Roman"/>
          <w:sz w:val="18"/>
          <w:szCs w:val="18"/>
          <w:color w:val="auto"/>
        </w:rPr>
      </w:pPr>
    </w:p>
    <w:p>
      <w:pPr>
        <w:ind w:left="1140" w:right="60" w:hanging="438"/>
        <w:spacing w:after="0" w:line="278" w:lineRule="auto"/>
        <w:tabs>
          <w:tab w:leader="none" w:pos="11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Sweet—our board of directors considered Mr. Sweet’s significant financial and audit experience, including his time as Chief Financial Officer at Dell and his service on the boards of a diverse group of companies.</w:t>
      </w:r>
    </w:p>
    <w:p>
      <w:pPr>
        <w:spacing w:after="0" w:line="68" w:lineRule="exact"/>
        <w:rPr>
          <w:rFonts w:ascii="Times New Roman" w:cs="Times New Roman" w:eastAsia="Times New Roman" w:hAnsi="Times New Roman"/>
          <w:sz w:val="18"/>
          <w:szCs w:val="18"/>
          <w:color w:val="auto"/>
        </w:rPr>
      </w:pPr>
    </w:p>
    <w:p>
      <w:pPr>
        <w:ind w:left="1140" w:right="40" w:hanging="438"/>
        <w:spacing w:after="0" w:line="263" w:lineRule="auto"/>
        <w:tabs>
          <w:tab w:leader="none" w:pos="11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Wise—our board of directors considered Mr. Wise’s significant financial, management, and investment experience from his involvement at Carlyle, including as Partner and Co-Head of Americas Corporate Private Equity, as well as his thorough knowledge of our industry. Carlyle intends to designate Mr. Wise to our board of directors pursuant to its director nomination agreement.</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18" w:lineRule="exact"/>
        <w:rPr>
          <w:sz w:val="20"/>
          <w:szCs w:val="20"/>
          <w:color w:val="auto"/>
        </w:rPr>
      </w:pPr>
    </w:p>
    <w:p>
      <w:pPr>
        <w:ind w:left="160" w:right="180" w:firstLine="436"/>
        <w:spacing w:after="0" w:line="258" w:lineRule="auto"/>
        <w:rPr>
          <w:sz w:val="20"/>
          <w:szCs w:val="20"/>
          <w:color w:val="auto"/>
        </w:rPr>
      </w:pPr>
      <w:r>
        <w:rPr>
          <w:rFonts w:ascii="Times New Roman" w:cs="Times New Roman" w:eastAsia="Times New Roman" w:hAnsi="Times New Roman"/>
          <w:sz w:val="18"/>
          <w:szCs w:val="18"/>
          <w:color w:val="auto"/>
        </w:rPr>
        <w:t>Our board of directors has the following committees: an audit committee; a compensation committee; a nominating and corporate governance committee; and a risk and compliance committee. The composition and responsibilities of each committee are described below. Our board of directors may also establish from time to time any other committees that it deems necessary or desirable. Members serve on these committees until their resignation or until otherwise determined by our board of directors.</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060"/>
          </w:cols>
          <w:pgMar w:left="320" w:top="451" w:right="51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18" w:lineRule="exact"/>
        <w:rPr>
          <w:sz w:val="20"/>
          <w:szCs w:val="20"/>
          <w:color w:val="auto"/>
        </w:rPr>
      </w:pPr>
    </w:p>
    <w:p>
      <w:pPr>
        <w:ind w:left="160" w:right="220" w:firstLine="436"/>
        <w:spacing w:after="0" w:line="278" w:lineRule="auto"/>
        <w:rPr>
          <w:sz w:val="20"/>
          <w:szCs w:val="20"/>
          <w:color w:val="auto"/>
        </w:rPr>
      </w:pPr>
      <w:r>
        <w:rPr>
          <w:rFonts w:ascii="Times New Roman" w:cs="Times New Roman" w:eastAsia="Times New Roman" w:hAnsi="Times New Roman"/>
          <w:sz w:val="18"/>
          <w:szCs w:val="18"/>
          <w:color w:val="auto"/>
        </w:rPr>
        <w:t>Our audit committee consists of Mr. Bluedorn, Mr. Galanti, and Mr. Sweet, with Mr. Sweet serving as chair. Our audit committee is responsible for, among other things:</w:t>
      </w:r>
    </w:p>
    <w:p>
      <w:pPr>
        <w:spacing w:after="0" w:line="69" w:lineRule="exact"/>
        <w:rPr>
          <w:sz w:val="20"/>
          <w:szCs w:val="20"/>
          <w:color w:val="auto"/>
        </w:rPr>
      </w:pPr>
    </w:p>
    <w:p>
      <w:pPr>
        <w:ind w:left="1140" w:hanging="438"/>
        <w:spacing w:after="0"/>
        <w:tabs>
          <w:tab w:leader="none" w:pos="114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selecting and hiring our independent auditors, and approving the audit and non-audit services to be performed by our independent auditors;</w:t>
      </w:r>
    </w:p>
    <w:p>
      <w:pPr>
        <w:spacing w:after="0" w:line="138" w:lineRule="exact"/>
        <w:rPr>
          <w:rFonts w:ascii="Times New Roman" w:cs="Times New Roman" w:eastAsia="Times New Roman" w:hAnsi="Times New Roman"/>
          <w:sz w:val="17"/>
          <w:szCs w:val="17"/>
          <w:color w:val="auto"/>
        </w:rPr>
      </w:pPr>
    </w:p>
    <w:p>
      <w:pPr>
        <w:ind w:left="1140" w:hanging="438"/>
        <w:spacing w:after="0"/>
        <w:tabs>
          <w:tab w:leader="none" w:pos="11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of directors in evaluating the qualifications, performance, and independence of our independent auditors;</w:t>
      </w:r>
    </w:p>
    <w:p>
      <w:pPr>
        <w:spacing w:after="0" w:line="127" w:lineRule="exact"/>
        <w:rPr>
          <w:rFonts w:ascii="Times New Roman" w:cs="Times New Roman" w:eastAsia="Times New Roman" w:hAnsi="Times New Roman"/>
          <w:sz w:val="18"/>
          <w:szCs w:val="18"/>
          <w:color w:val="auto"/>
        </w:rPr>
      </w:pPr>
    </w:p>
    <w:p>
      <w:pPr>
        <w:ind w:left="1140" w:right="640" w:hanging="438"/>
        <w:spacing w:after="0" w:line="278" w:lineRule="auto"/>
        <w:tabs>
          <w:tab w:leader="none" w:pos="11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of directors in monitoring the quality and integrity of our financial statements and our accounting and financial reporting;</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of directors in monitoring our compliance with legal and regulatory requirements;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internal controls over financial reporting processes;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of directors in monitoring the performance of our internal audit function;</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independent auditors our annual and quarterly financial statements;</w:t>
      </w:r>
    </w:p>
    <w:p>
      <w:pPr>
        <w:spacing w:after="0" w:line="127" w:lineRule="exact"/>
        <w:rPr>
          <w:rFonts w:ascii="Times New Roman" w:cs="Times New Roman" w:eastAsia="Times New Roman" w:hAnsi="Times New Roman"/>
          <w:sz w:val="18"/>
          <w:szCs w:val="18"/>
          <w:color w:val="auto"/>
        </w:rPr>
      </w:pPr>
    </w:p>
    <w:p>
      <w:pPr>
        <w:ind w:left="1140" w:right="20" w:hanging="438"/>
        <w:spacing w:after="0" w:line="263" w:lineRule="auto"/>
        <w:tabs>
          <w:tab w:leader="none" w:pos="11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auditing matters and the confidential, anonymous submission by our employees of concerns regarding questionable accounting or auditing matters; and</w:t>
      </w:r>
    </w:p>
    <w:p>
      <w:pPr>
        <w:spacing w:after="0" w:line="81"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per SEC rules and regulations to be included in our annual proxy statement.</w:t>
      </w:r>
    </w:p>
    <w:p>
      <w:pPr>
        <w:spacing w:after="0" w:line="221" w:lineRule="exact"/>
        <w:rPr>
          <w:sz w:val="20"/>
          <w:szCs w:val="20"/>
          <w:color w:val="auto"/>
        </w:rPr>
      </w:pPr>
    </w:p>
    <w:p>
      <w:pPr>
        <w:ind w:left="160" w:right="240" w:firstLine="436"/>
        <w:spacing w:after="0" w:line="254" w:lineRule="auto"/>
        <w:rPr>
          <w:sz w:val="20"/>
          <w:szCs w:val="20"/>
          <w:color w:val="auto"/>
        </w:rPr>
      </w:pPr>
      <w:r>
        <w:rPr>
          <w:rFonts w:ascii="Times New Roman" w:cs="Times New Roman" w:eastAsia="Times New Roman" w:hAnsi="Times New Roman"/>
          <w:sz w:val="18"/>
          <w:szCs w:val="18"/>
          <w:color w:val="auto"/>
        </w:rPr>
        <w:t>The SEC rules and Nasdaq rules require us to have one independent audit committee member upon the listing of our Class A common stock on Nasdaq, a majority of independent directors within 90 days of the effective date of the registration statement, and all independent audit committee members within one year of the effective date of the IPO registration statement. Mr. Bluedorn, Mr. Galanti, and Mr. Sweet qualify as independent directors under Nasdaq listing standards and the independence standards of Rule 10A-3 of the Exchange Act. In addition, our board of directors has determined that Mr. Galanti and Mr. Sweet are audit committee financial experts within the meaning of Item 407(d) of Regulation S-K under the Securities Act.</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18" w:lineRule="exact"/>
        <w:rPr>
          <w:sz w:val="20"/>
          <w:szCs w:val="20"/>
          <w:color w:val="auto"/>
        </w:rPr>
      </w:pPr>
    </w:p>
    <w:p>
      <w:pPr>
        <w:ind w:left="160" w:right="80" w:firstLine="436"/>
        <w:spacing w:after="0" w:line="278" w:lineRule="auto"/>
        <w:rPr>
          <w:sz w:val="20"/>
          <w:szCs w:val="20"/>
          <w:color w:val="auto"/>
        </w:rPr>
      </w:pPr>
      <w:r>
        <w:rPr>
          <w:rFonts w:ascii="Times New Roman" w:cs="Times New Roman" w:eastAsia="Times New Roman" w:hAnsi="Times New Roman"/>
          <w:sz w:val="18"/>
          <w:szCs w:val="18"/>
          <w:color w:val="auto"/>
        </w:rPr>
        <w:t>Our compensation committee consists of Mr. Best, Mr. Schmidt, and Ms. Sunder, with Ms. Sunder serving as chair. Our compensation committee is responsible for, among other things:</w:t>
      </w:r>
    </w:p>
    <w:p>
      <w:pPr>
        <w:spacing w:after="0" w:line="69" w:lineRule="exact"/>
        <w:rPr>
          <w:sz w:val="20"/>
          <w:szCs w:val="20"/>
          <w:color w:val="auto"/>
        </w:rPr>
      </w:pPr>
    </w:p>
    <w:p>
      <w:pPr>
        <w:ind w:left="1140" w:right="100" w:hanging="438"/>
        <w:spacing w:after="0" w:line="258" w:lineRule="auto"/>
        <w:tabs>
          <w:tab w:leader="none" w:pos="11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corporate goals and objectives relevant to the compensation of our CEO, evaluating our CEO’s performance in light of those goals and objectives, and, either as a committee or together with the other independent directors (as directed by the board of directors), determining and approving, or making recommendations to the board of directors with respect to, our CEO’s compensation level based on such evaluation;</w:t>
      </w:r>
    </w:p>
    <w:p>
      <w:pPr>
        <w:spacing w:after="0" w:line="86" w:lineRule="exact"/>
        <w:rPr>
          <w:rFonts w:ascii="Times New Roman" w:cs="Times New Roman" w:eastAsia="Times New Roman" w:hAnsi="Times New Roman"/>
          <w:sz w:val="18"/>
          <w:szCs w:val="18"/>
          <w:color w:val="auto"/>
        </w:rPr>
      </w:pPr>
    </w:p>
    <w:p>
      <w:pPr>
        <w:ind w:left="1140" w:right="220" w:hanging="438"/>
        <w:spacing w:after="0" w:line="278" w:lineRule="auto"/>
        <w:tabs>
          <w:tab w:leader="none" w:pos="11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the board of directors with respect to, the compensation of our other executive officers, including annual base salary, bonus, and equity-based incentives and other benefits;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the compensation of our directors;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our “Compensation Discussion and Analysis” disclosure required by SEC rules;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required by the SEC to be included in our annual proxy statement;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with respect to our equity compensation plans.</w:t>
      </w:r>
    </w:p>
    <w:p>
      <w:pPr>
        <w:spacing w:after="0" w:line="15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060"/>
          </w:cols>
          <w:pgMar w:left="320" w:top="452" w:right="51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18" w:lineRule="exact"/>
        <w:rPr>
          <w:sz w:val="20"/>
          <w:szCs w:val="20"/>
          <w:color w:val="auto"/>
        </w:rPr>
      </w:pPr>
    </w:p>
    <w:p>
      <w:pPr>
        <w:ind w:left="160" w:right="80" w:firstLine="436"/>
        <w:spacing w:after="0" w:line="278"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Mr. Best, Mr. Schmidt, and Ms. Sunder, with Mr. Schmidt serving as chair. The nominating and corporate governance committee is responsible for, among other things:</w:t>
      </w:r>
    </w:p>
    <w:p>
      <w:pPr>
        <w:spacing w:after="0" w:line="69" w:lineRule="exact"/>
        <w:rPr>
          <w:sz w:val="20"/>
          <w:szCs w:val="20"/>
          <w:color w:val="auto"/>
        </w:rPr>
      </w:pPr>
    </w:p>
    <w:p>
      <w:pPr>
        <w:ind w:left="1140" w:hanging="438"/>
        <w:spacing w:after="0"/>
        <w:tabs>
          <w:tab w:leader="none" w:pos="11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our board of directors in identifying prospective director nominees and recommending nominees to the board of directors;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board of directors;</w:t>
      </w:r>
    </w:p>
    <w:p>
      <w:pPr>
        <w:spacing w:after="0" w:line="127" w:lineRule="exact"/>
        <w:rPr>
          <w:rFonts w:ascii="Times New Roman" w:cs="Times New Roman" w:eastAsia="Times New Roman" w:hAnsi="Times New Roman"/>
          <w:sz w:val="18"/>
          <w:szCs w:val="18"/>
          <w:color w:val="auto"/>
        </w:rPr>
      </w:pPr>
    </w:p>
    <w:p>
      <w:pPr>
        <w:ind w:left="1140" w:right="160" w:hanging="438"/>
        <w:spacing w:after="0" w:line="278" w:lineRule="auto"/>
        <w:tabs>
          <w:tab w:leader="none" w:pos="11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developments in corporate governance practices and developing and recommending a set of corporate governance guidelines; and</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members for each committee of our board of directors.</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Risk and Compliance Committee</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Our risk and compliance committee consists of Mr. Best, Mr. C. Mills, Mr. Schmidt, Ms. Sunder, and Mr. Sweet, with Mr. Best serving as chair.</w:t>
      </w:r>
    </w:p>
    <w:p>
      <w:pPr>
        <w:spacing w:after="0" w:line="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risk and compliance committee is responsible for, among other things:</w:t>
      </w:r>
    </w:p>
    <w:p>
      <w:pPr>
        <w:spacing w:after="0" w:line="109" w:lineRule="exact"/>
        <w:rPr>
          <w:sz w:val="20"/>
          <w:szCs w:val="20"/>
          <w:color w:val="auto"/>
        </w:rPr>
      </w:pPr>
    </w:p>
    <w:p>
      <w:pPr>
        <w:ind w:left="1140" w:right="300" w:hanging="438"/>
        <w:spacing w:after="0" w:line="278" w:lineRule="auto"/>
        <w:tabs>
          <w:tab w:leader="none" w:pos="11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risk management framework and compliance program as well as infrastructure designed to identify, assess, manage, and monitor the Company’s risks;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risk management and compliance program policies, guidelines and practices implemented by management;</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allocation of risk oversight responsibilities to the board of directors and its committees; and</w:t>
      </w:r>
    </w:p>
    <w:p>
      <w:pPr>
        <w:spacing w:after="0" w:line="127" w:lineRule="exact"/>
        <w:rPr>
          <w:rFonts w:ascii="Times New Roman" w:cs="Times New Roman" w:eastAsia="Times New Roman" w:hAnsi="Times New Roman"/>
          <w:sz w:val="18"/>
          <w:szCs w:val="18"/>
          <w:color w:val="auto"/>
        </w:rPr>
      </w:pPr>
    </w:p>
    <w:p>
      <w:pPr>
        <w:ind w:left="1140" w:right="320" w:hanging="438"/>
        <w:spacing w:after="0" w:line="278" w:lineRule="auto"/>
        <w:tabs>
          <w:tab w:leader="none" w:pos="11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management’s exercise of its responsibility to manage legal and regulatory compliance and material government and other investigations.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18" w:lineRule="exact"/>
        <w:rPr>
          <w:sz w:val="20"/>
          <w:szCs w:val="20"/>
          <w:color w:val="auto"/>
        </w:rPr>
      </w:pPr>
    </w:p>
    <w:p>
      <w:pPr>
        <w:ind w:left="160" w:right="180" w:firstLine="436"/>
        <w:spacing w:after="0" w:line="254" w:lineRule="auto"/>
        <w:rPr>
          <w:sz w:val="20"/>
          <w:szCs w:val="20"/>
          <w:color w:val="auto"/>
        </w:rPr>
      </w:pPr>
      <w:r>
        <w:rPr>
          <w:rFonts w:ascii="Times New Roman" w:cs="Times New Roman" w:eastAsia="Times New Roman" w:hAnsi="Times New Roman"/>
          <w:sz w:val="18"/>
          <w:szCs w:val="18"/>
          <w:color w:val="auto"/>
        </w:rPr>
        <w:t>Other than Mr. J. Abrams, Mr. Boyle, Mr. A. Mills, and Mr. C. Mills, no member of our board of directors was at any time during the last completed fiscal year, or at any other time, one of our officers or employees. None of our executive officers currently serves, or has served during the last completed fiscal year, as a member of the board of directors or compensation committee (or other committee performing equivalent functions) of any entity that has one or more of its executive officers serving on our board of directors or compensation committee. We are party to certain transactions with affiliates of our Principal Stockholders and Other Pre-IPO Investors described in “Certain Relationships and Related Person Transactions.”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18"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Our Code of Conduct and Ethics applies to all of our officers, directors, and employees, including our principal executive officer, principal financial officer, principal accounting officer, and controller, or persons performing similar functions, and is posted on our website. Our Code of Conduct and Ethics is a “code of ethics,” as defined in Item 406(b) of Regulation S-K. We will make any legally required disclosures regarding amendments to, or waivers of, provisions of our code of ethics on our website. The information contained on, or accessible from, our website is not part of this prospectus by reference or otherwise.</w:t>
      </w:r>
    </w:p>
    <w:p>
      <w:pPr>
        <w:spacing w:after="0" w:line="11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000"/>
          </w:cols>
          <w:pgMar w:left="320" w:top="452" w:right="57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Compensation Discussion and Analysis</w:t>
      </w:r>
    </w:p>
    <w:p>
      <w:pPr>
        <w:spacing w:after="0" w:line="118" w:lineRule="exact"/>
        <w:rPr>
          <w:sz w:val="20"/>
          <w:szCs w:val="20"/>
          <w:color w:val="auto"/>
        </w:rPr>
      </w:pPr>
    </w:p>
    <w:p>
      <w:pPr>
        <w:ind w:left="160" w:right="60" w:firstLine="436"/>
        <w:spacing w:after="0" w:line="258" w:lineRule="auto"/>
        <w:rPr>
          <w:sz w:val="20"/>
          <w:szCs w:val="20"/>
          <w:color w:val="auto"/>
        </w:rPr>
      </w:pPr>
      <w:r>
        <w:rPr>
          <w:rFonts w:ascii="Times New Roman" w:cs="Times New Roman" w:eastAsia="Times New Roman" w:hAnsi="Times New Roman"/>
          <w:sz w:val="18"/>
          <w:szCs w:val="18"/>
          <w:color w:val="auto"/>
        </w:rPr>
        <w:t>This Compensation Discussion and Analysis provides an overview of our executive compensation philosophy, the overall objectives of our executive compensation program, and each material element of compensation for the fiscal year ended December 31, 2025 that we provided to the following executive officers (whom we refer to as our “Named Executive Officers”), who served in the following principal capacities during fiscal year 2025:</w:t>
      </w:r>
    </w:p>
    <w:p>
      <w:pPr>
        <w:spacing w:after="0" w:line="200" w:lineRule="exact"/>
        <w:rPr>
          <w:sz w:val="20"/>
          <w:szCs w:val="20"/>
          <w:color w:val="auto"/>
        </w:rPr>
      </w:pPr>
    </w:p>
    <w:tbl>
      <w:tblPr>
        <w:tblLayout w:type="fixed"/>
        <w:tblInd w:w="1920" w:type="dxa"/>
        <w:tblCellMar>
          <w:top w:w="0" w:type="dxa"/>
          <w:left w:w="0" w:type="dxa"/>
          <w:bottom w:w="0" w:type="dxa"/>
          <w:right w:w="0" w:type="dxa"/>
        </w:tblCellMar>
      </w:tblPr>
      <w:tr>
        <w:trPr>
          <w:trHeight w:val="172"/>
        </w:trPr>
        <w:tc>
          <w:tcPr>
            <w:tcW w:w="2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80" w:type="dxa"/>
            <w:vAlign w:val="bottom"/>
            <w:gridSpan w:val="3"/>
          </w:tcPr>
          <w:p>
            <w:pPr>
              <w:ind w:left="13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Boyle</w:t>
            </w:r>
          </w:p>
        </w:tc>
        <w:tc>
          <w:tcPr>
            <w:tcW w:w="4680" w:type="dxa"/>
            <w:vAlign w:val="bottom"/>
            <w:gridSpan w:val="3"/>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B. Drazin</w:t>
            </w:r>
          </w:p>
        </w:tc>
        <w:tc>
          <w:tcPr>
            <w:tcW w:w="468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Pigott</w:t>
            </w:r>
          </w:p>
        </w:tc>
        <w:tc>
          <w:tcPr>
            <w:tcW w:w="4680" w:type="dxa"/>
            <w:vAlign w:val="bottom"/>
            <w:gridSpan w:val="3"/>
            <w:shd w:val="clear" w:color="auto" w:fill="CCEEFF"/>
          </w:tcPr>
          <w:p>
            <w:pPr>
              <w:ind w:left="1360"/>
              <w:spacing w:after="0" w:line="214" w:lineRule="exact"/>
              <w:rPr>
                <w:sz w:val="20"/>
                <w:szCs w:val="20"/>
                <w:color w:val="auto"/>
              </w:rPr>
            </w:pPr>
            <w:r>
              <w:rPr>
                <w:rFonts w:ascii="Times New Roman" w:cs="Times New Roman" w:eastAsia="Times New Roman" w:hAnsi="Times New Roman"/>
                <w:sz w:val="17"/>
                <w:szCs w:val="17"/>
                <w:color w:val="auto"/>
              </w:rPr>
              <w:t>President</w:t>
            </w:r>
            <w:r>
              <w:rPr>
                <w:rFonts w:ascii="Times New Roman" w:cs="Times New Roman" w:eastAsia="Times New Roman" w:hAnsi="Times New Roman"/>
                <w:sz w:val="24"/>
                <w:szCs w:val="24"/>
                <w:color w:val="auto"/>
                <w:vertAlign w:val="superscript"/>
              </w:rPr>
              <w:t>(1)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P. Golwas</w:t>
            </w:r>
          </w:p>
        </w:tc>
        <w:tc>
          <w:tcPr>
            <w:tcW w:w="468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Chief Commercial Officer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L. Miller</w:t>
            </w:r>
          </w:p>
        </w:tc>
        <w:tc>
          <w:tcPr>
            <w:tcW w:w="4680" w:type="dxa"/>
            <w:vAlign w:val="bottom"/>
            <w:gridSpan w:val="3"/>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Chief Operating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5" w:lineRule="exact"/>
        <w:rPr>
          <w:sz w:val="20"/>
          <w:szCs w:val="20"/>
          <w:color w:val="auto"/>
        </w:rPr>
      </w:pPr>
    </w:p>
    <w:p>
      <w:pPr>
        <w:ind w:left="600" w:hanging="433"/>
        <w:spacing w:after="0"/>
        <w:tabs>
          <w:tab w:leader="none" w:pos="60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Pigott retired as President of Medline on December 31, 2025.</w:t>
      </w:r>
    </w:p>
    <w:p>
      <w:pPr>
        <w:spacing w:after="0" w:line="204"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The compensation committee of our board of directors (the “Compensation Committee”) is responsible for establishing, implementing, and evaluating our employee compensation and benefit programs. The Compensation Committee periodically reviews and makes recommendations to the board of directors with respect to the adoption of, or amendments to, all equity-based incentive compensation plans for employees, and cash-based incentive plans for executive officers. Our compensation plans and practices are designed by our Compensation Committee to promote achievement of short- and long-term financial and operational objectives while mitigating the possibility of encouraging excessive risk-taking behavior and the potential impact thereof. The Compensation Committee annually evaluates the performance of our executive officers, establishes the annual salaries and annual cash incentive awards for our executive officers, and approves all equity awards. The Compensation Committee’s objective is to ensure that the total compensation paid to our Named Executive Officers, as well as other members of our senior leadership team, is fair, reasonable, and competitive. Generally, the types of compensation and benefits provided to our Named Executive Officers are similar to those provided to other senior members of our management team.</w:t>
      </w:r>
    </w:p>
    <w:p>
      <w:pPr>
        <w:spacing w:after="0" w:line="2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Objectives and Philosophy</w:t>
      </w:r>
    </w:p>
    <w:p>
      <w:pPr>
        <w:spacing w:after="0" w:line="118" w:lineRule="exact"/>
        <w:rPr>
          <w:sz w:val="20"/>
          <w:szCs w:val="20"/>
          <w:color w:val="auto"/>
        </w:rPr>
      </w:pPr>
    </w:p>
    <w:p>
      <w:pPr>
        <w:ind w:left="160" w:right="160" w:firstLine="436"/>
        <w:spacing w:after="0" w:line="254" w:lineRule="auto"/>
        <w:rPr>
          <w:sz w:val="20"/>
          <w:szCs w:val="20"/>
          <w:color w:val="auto"/>
        </w:rPr>
      </w:pPr>
      <w:r>
        <w:rPr>
          <w:rFonts w:ascii="Times New Roman" w:cs="Times New Roman" w:eastAsia="Times New Roman" w:hAnsi="Times New Roman"/>
          <w:sz w:val="18"/>
          <w:szCs w:val="18"/>
          <w:color w:val="auto"/>
        </w:rPr>
        <w:t>The goal of our executive compensation program is to create long-term value for our investors while at the same time rewarding our executives for superior financial and operating performance and to support retention in a competitive market environment. We believe the most effective way to achieve these objectives is to design an executive compensation program rewarding the achievement of specific annual, long-term, and strategic goals and aligning executives’ interests with those of our investors by further rewarding performance above established goals. We use this philosophy as the foundation for evaluating and improving the effectiveness of our executive pay program. The following are the core elements of our executive compensation philosophy:</w:t>
      </w:r>
    </w:p>
    <w:p>
      <w:pPr>
        <w:spacing w:after="0" w:line="90" w:lineRule="exact"/>
        <w:rPr>
          <w:sz w:val="20"/>
          <w:szCs w:val="20"/>
          <w:color w:val="auto"/>
        </w:rPr>
      </w:pPr>
    </w:p>
    <w:p>
      <w:pPr>
        <w:jc w:val="both"/>
        <w:ind w:left="1140" w:right="460" w:hanging="438"/>
        <w:spacing w:after="0" w:line="285" w:lineRule="auto"/>
        <w:tabs>
          <w:tab w:leader="none" w:pos="114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Market Competitive</w:t>
      </w:r>
      <w:r>
        <w:rPr>
          <w:rFonts w:ascii="Times New Roman" w:cs="Times New Roman" w:eastAsia="Times New Roman" w:hAnsi="Times New Roman"/>
          <w:sz w:val="17"/>
          <w:szCs w:val="17"/>
          <w:color w:val="auto"/>
        </w:rPr>
        <w:t>: Compensation levels and programs for members of our senior leadership team, including the Named Executive Officers, should be competitive relative to the marketplace in which we operate. It is important to leverage an understanding of what constitutes competitive pay in our markets and build strategies to attract, incentivize, reward, and retain top talent;</w:t>
      </w:r>
    </w:p>
    <w:p>
      <w:pPr>
        <w:spacing w:after="0" w:line="65" w:lineRule="exact"/>
        <w:rPr>
          <w:rFonts w:ascii="Times New Roman" w:cs="Times New Roman" w:eastAsia="Times New Roman" w:hAnsi="Times New Roman"/>
          <w:sz w:val="17"/>
          <w:szCs w:val="17"/>
          <w:color w:val="auto"/>
        </w:rPr>
      </w:pPr>
    </w:p>
    <w:p>
      <w:pPr>
        <w:ind w:left="1140" w:right="220" w:hanging="438"/>
        <w:spacing w:after="0" w:line="278" w:lineRule="auto"/>
        <w:tabs>
          <w:tab w:leader="none" w:pos="11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Performance-Based</w:t>
      </w:r>
      <w:r>
        <w:rPr>
          <w:rFonts w:ascii="Times New Roman" w:cs="Times New Roman" w:eastAsia="Times New Roman" w:hAnsi="Times New Roman"/>
          <w:sz w:val="18"/>
          <w:szCs w:val="18"/>
          <w:color w:val="auto"/>
        </w:rPr>
        <w:t>: A significant portion of executive compensation should be performance-based pay that is “at risk,” based on short-term and long-term goals, which reward both organizational and individual performance; and</w:t>
      </w:r>
    </w:p>
    <w:p>
      <w:pPr>
        <w:spacing w:after="0" w:line="68" w:lineRule="exact"/>
        <w:rPr>
          <w:rFonts w:ascii="Times New Roman" w:cs="Times New Roman" w:eastAsia="Times New Roman" w:hAnsi="Times New Roman"/>
          <w:sz w:val="18"/>
          <w:szCs w:val="18"/>
          <w:color w:val="auto"/>
        </w:rPr>
      </w:pPr>
    </w:p>
    <w:p>
      <w:pPr>
        <w:ind w:left="1140" w:right="20" w:hanging="438"/>
        <w:spacing w:after="0" w:line="278" w:lineRule="auto"/>
        <w:tabs>
          <w:tab w:leader="none" w:pos="11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Aligned</w:t>
      </w:r>
      <w:r>
        <w:rPr>
          <w:rFonts w:ascii="Times New Roman" w:cs="Times New Roman" w:eastAsia="Times New Roman" w:hAnsi="Times New Roman"/>
          <w:sz w:val="18"/>
          <w:szCs w:val="18"/>
          <w:color w:val="auto"/>
        </w:rPr>
        <w:t>: Incentives should be structured to create a strong alignment between executives and investors on both a short-term and a long-term basis.</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040"/>
          </w:cols>
          <w:pgMar w:left="320" w:top="452" w:right="5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By incorporating these design elements, we believe our executive compensation program is responsive to our investors’ objectives and effective in attracting, motivating, and retaining the level of talent necessary to grow and manage our business successfully.</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Process for Determining 2025 Compensation</w:t>
      </w:r>
    </w:p>
    <w:p>
      <w:pPr>
        <w:spacing w:after="0" w:line="118" w:lineRule="exact"/>
        <w:rPr>
          <w:sz w:val="20"/>
          <w:szCs w:val="20"/>
          <w:color w:val="auto"/>
        </w:rPr>
      </w:pPr>
    </w:p>
    <w:p>
      <w:pPr>
        <w:ind w:left="160" w:right="60" w:firstLine="436"/>
        <w:spacing w:after="0" w:line="254" w:lineRule="auto"/>
        <w:rPr>
          <w:sz w:val="20"/>
          <w:szCs w:val="20"/>
          <w:color w:val="auto"/>
        </w:rPr>
      </w:pPr>
      <w:r>
        <w:rPr>
          <w:rFonts w:ascii="Times New Roman" w:cs="Times New Roman" w:eastAsia="Times New Roman" w:hAnsi="Times New Roman"/>
          <w:sz w:val="18"/>
          <w:szCs w:val="18"/>
          <w:color w:val="auto"/>
        </w:rPr>
        <w:t>The Compensation Committee is responsible for overseeing key aspects of the executive compensation program, including executive salaries, goals, and payouts under the annual cash incentive plan, the size and structure of equity awards, and any executive perquisites or other benefits. The Compensation Committee is responsible for determining the compensation of the Chief Executive Officer and the other executive officers. At the beginning of each performance cycle, the Compensation Committee approves financial goals designed to align executive pay with company performance and stockholder interests, provide competitive pay opportunities dependent on performance, retain talent, create optimal stockholder value, and mitigate material risk.</w:t>
      </w:r>
    </w:p>
    <w:p>
      <w:pPr>
        <w:spacing w:after="0" w:line="184" w:lineRule="exact"/>
        <w:rPr>
          <w:sz w:val="20"/>
          <w:szCs w:val="20"/>
          <w:color w:val="auto"/>
        </w:rPr>
      </w:pPr>
    </w:p>
    <w:p>
      <w:pPr>
        <w:ind w:left="160" w:firstLine="436"/>
        <w:spacing w:after="0" w:line="274" w:lineRule="auto"/>
        <w:rPr>
          <w:sz w:val="20"/>
          <w:szCs w:val="20"/>
          <w:color w:val="auto"/>
        </w:rPr>
      </w:pPr>
      <w:r>
        <w:rPr>
          <w:rFonts w:ascii="Times New Roman" w:cs="Times New Roman" w:eastAsia="Times New Roman" w:hAnsi="Times New Roman"/>
          <w:sz w:val="17"/>
          <w:szCs w:val="17"/>
          <w:color w:val="auto"/>
        </w:rPr>
        <w:t>In determining the compensation of each of our Named Executive Officers (other than the Chief Executive Officer), the Compensation Committee seeks the input of the Chief Executive Officer. The Chief Executive Officer provides recommendations at least annually to the Compensation Committee regarding the compensation of the other Named Executive Officers. The performance of our Named Executive Officers is reviewed at least annually by the Compensation Committee, with assessments provided by the Chief Executive Officer of all of our Named Executive Officers (other than the Chief Executive Officer), and the Compensation Committee determines each Named Executive Officer’s compensation at least annually.</w:t>
      </w:r>
    </w:p>
    <w:p>
      <w:pPr>
        <w:spacing w:after="0" w:line="168" w:lineRule="exact"/>
        <w:rPr>
          <w:sz w:val="20"/>
          <w:szCs w:val="20"/>
          <w:color w:val="auto"/>
        </w:rPr>
      </w:pPr>
    </w:p>
    <w:p>
      <w:pPr>
        <w:ind w:left="160" w:right="20" w:firstLine="436"/>
        <w:spacing w:after="0" w:line="252" w:lineRule="auto"/>
        <w:rPr>
          <w:sz w:val="20"/>
          <w:szCs w:val="20"/>
          <w:color w:val="auto"/>
        </w:rPr>
      </w:pPr>
      <w:r>
        <w:rPr>
          <w:rFonts w:ascii="Times New Roman" w:cs="Times New Roman" w:eastAsia="Times New Roman" w:hAnsi="Times New Roman"/>
          <w:sz w:val="18"/>
          <w:szCs w:val="18"/>
          <w:color w:val="auto"/>
        </w:rPr>
        <w:t>We believe that compensation should be competitive with compensation for executive officers in similar positions and with similar responsibilities in our marketplace. In determining compensation levels for our Named Executive Officers, the Compensation Committee relies upon the judgment and experience of its members, including their knowledge of competitive compensation levels in our industry. The Compensation Committee considers each Named Executive Officer’s performance, scope of responsibilities, depth and breadth of overall leadership experience, and the importance of the officer’s position to achieving our strategies. Beginning on August 27, 2024 and with respect to 2025 compensation, the Compensation Committee also reviewed and considered survey and benchmarking data of a comparator group of companies prepared by the Compensation Committee’s compensation consultant, Korn Ferry. The Compensation Committee reviews peer company information and market data to better assess the range of compensation needed to attract, retain, and motivate executive talent in our highly competitive industry.</w:t>
      </w:r>
    </w:p>
    <w:p>
      <w:pPr>
        <w:spacing w:after="0" w:line="187" w:lineRule="exact"/>
        <w:rPr>
          <w:sz w:val="20"/>
          <w:szCs w:val="20"/>
          <w:color w:val="auto"/>
        </w:rPr>
      </w:pPr>
    </w:p>
    <w:p>
      <w:pPr>
        <w:ind w:left="160" w:right="60" w:firstLine="436"/>
        <w:spacing w:after="0" w:line="254" w:lineRule="auto"/>
        <w:rPr>
          <w:sz w:val="20"/>
          <w:szCs w:val="20"/>
          <w:color w:val="auto"/>
        </w:rPr>
      </w:pPr>
      <w:r>
        <w:rPr>
          <w:rFonts w:ascii="Times New Roman" w:cs="Times New Roman" w:eastAsia="Times New Roman" w:hAnsi="Times New Roman"/>
          <w:sz w:val="18"/>
          <w:szCs w:val="18"/>
          <w:color w:val="auto"/>
        </w:rPr>
        <w:t>For fiscal year 2025, Korn Ferry provided benchmarking data for compensation planning and worked with management and the Compensation Committee on the overall compensation structure for our senior leadership team. As part of its work, Korn Ferry recommended, and the Compensation Committee approved, a peer group that places greater weight on the peer group’s size and performance profile, with a focus on revenue, revenue growth and market performance. In selecting the peer group, the aim was to select the most appropriate companies against which our compensation-related performance should be measured. The peer group for 2025 consisted of sixteen publicly traded companies with revenues between approximately 0.5 to 1.8 times those of Medline.</w:t>
      </w:r>
    </w:p>
    <w:p>
      <w:pPr>
        <w:spacing w:after="0" w:line="210" w:lineRule="exact"/>
        <w:rPr>
          <w:sz w:val="20"/>
          <w:szCs w:val="20"/>
          <w:color w:val="auto"/>
        </w:rPr>
      </w:pPr>
    </w:p>
    <w:tbl>
      <w:tblPr>
        <w:tblLayout w:type="fixed"/>
        <w:tblInd w:w="620" w:type="dxa"/>
        <w:tblCellMar>
          <w:top w:w="0" w:type="dxa"/>
          <w:left w:w="0" w:type="dxa"/>
          <w:bottom w:w="0" w:type="dxa"/>
          <w:right w:w="0" w:type="dxa"/>
        </w:tblCellMar>
      </w:tblPr>
      <w:tr>
        <w:trPr>
          <w:trHeight w:val="21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3M Company</w:t>
            </w:r>
          </w:p>
        </w:tc>
        <w:tc>
          <w:tcPr>
            <w:tcW w:w="21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Honeywell International Inc.</w:t>
            </w:r>
          </w:p>
        </w:tc>
      </w:tr>
      <w:tr>
        <w:trPr>
          <w:trHeight w:val="21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Abbott Laboratories</w:t>
            </w:r>
          </w:p>
        </w:tc>
        <w:tc>
          <w:tcPr>
            <w:tcW w:w="44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  Illinois Tool Works, Inc.</w:t>
            </w:r>
          </w:p>
        </w:tc>
      </w:tr>
      <w:tr>
        <w:trPr>
          <w:trHeight w:val="21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Baxter International Inc.</w:t>
            </w:r>
          </w:p>
        </w:tc>
        <w:tc>
          <w:tcPr>
            <w:tcW w:w="21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Kimberly-Clark Corporation</w:t>
            </w:r>
          </w:p>
        </w:tc>
      </w:tr>
      <w:tr>
        <w:trPr>
          <w:trHeight w:val="214"/>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Becton, Dickinson and Company</w:t>
            </w:r>
          </w:p>
        </w:tc>
        <w:tc>
          <w:tcPr>
            <w:tcW w:w="21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Medtronic plc</w:t>
            </w:r>
          </w:p>
        </w:tc>
      </w:tr>
      <w:tr>
        <w:trPr>
          <w:trHeight w:val="21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Colgate-Palmolive Company</w:t>
            </w:r>
          </w:p>
        </w:tc>
        <w:tc>
          <w:tcPr>
            <w:tcW w:w="44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  Owens &amp; Minor, Inc.</w:t>
            </w:r>
          </w:p>
        </w:tc>
      </w:tr>
      <w:tr>
        <w:trPr>
          <w:trHeight w:val="21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Danaher Corporation</w:t>
            </w:r>
          </w:p>
        </w:tc>
        <w:tc>
          <w:tcPr>
            <w:tcW w:w="21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Stryker Corporation</w:t>
            </w:r>
          </w:p>
        </w:tc>
      </w:tr>
      <w:tr>
        <w:trPr>
          <w:trHeight w:val="214"/>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GE HealthCare Technologies Inc.</w:t>
            </w:r>
          </w:p>
        </w:tc>
        <w:tc>
          <w:tcPr>
            <w:tcW w:w="44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  Thermo Fisher Scientific Inc.</w:t>
            </w:r>
          </w:p>
        </w:tc>
      </w:tr>
      <w:tr>
        <w:trPr>
          <w:trHeight w:val="23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Henry Schein, Inc.</w:t>
            </w:r>
          </w:p>
        </w:tc>
        <w:tc>
          <w:tcPr>
            <w:tcW w:w="21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W.W. Grainger, Inc.</w:t>
            </w:r>
          </w:p>
        </w:tc>
      </w:tr>
      <w:tr>
        <w:trPr>
          <w:trHeight w:val="361"/>
        </w:trPr>
        <w:tc>
          <w:tcPr>
            <w:tcW w:w="1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1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173</w:t>
            </w:r>
          </w:p>
        </w:tc>
        <w:tc>
          <w:tcPr>
            <w:tcW w:w="2220" w:type="dxa"/>
            <w:vAlign w:val="bottom"/>
          </w:tcPr>
          <w:p>
            <w:pPr>
              <w:spacing w:after="0"/>
              <w:rPr>
                <w:sz w:val="24"/>
                <w:szCs w:val="24"/>
                <w:color w:val="auto"/>
              </w:rPr>
            </w:pPr>
          </w:p>
        </w:tc>
      </w:tr>
    </w:tbl>
    <w:p>
      <w:pPr>
        <w:sectPr>
          <w:pgSz w:w="11900" w:h="16838" w:orient="portrait"/>
          <w:cols w:equalWidth="0" w:num="1">
            <w:col w:w="11080"/>
          </w:cols>
          <w:pgMar w:left="320" w:top="452" w:right="4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80" w:firstLine="436"/>
        <w:spacing w:after="0" w:line="258" w:lineRule="auto"/>
        <w:rPr>
          <w:sz w:val="20"/>
          <w:szCs w:val="20"/>
          <w:color w:val="auto"/>
        </w:rPr>
      </w:pPr>
      <w:r>
        <w:rPr>
          <w:rFonts w:ascii="Times New Roman" w:cs="Times New Roman" w:eastAsia="Times New Roman" w:hAnsi="Times New Roman"/>
          <w:sz w:val="18"/>
          <w:szCs w:val="18"/>
          <w:color w:val="auto"/>
        </w:rPr>
        <w:t>The Compensation Committee intends to retain an independent executive compensation consultant to provide the Compensation Committee with input and guidance on all components of our executive compensation program, including peer group selection, risk, and stockholder alignment, and advise the Compensation Committee with respect to market data for base salary, annual bonus, long-term equity compensation, and other competitive pay practices for similarly situated executives in our peer group.</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Relationship of Compensation Practices to Risk Management</w:t>
      </w:r>
    </w:p>
    <w:p>
      <w:pPr>
        <w:spacing w:after="0" w:line="118" w:lineRule="exact"/>
        <w:rPr>
          <w:sz w:val="20"/>
          <w:szCs w:val="20"/>
          <w:color w:val="auto"/>
        </w:rPr>
      </w:pPr>
    </w:p>
    <w:p>
      <w:pPr>
        <w:ind w:left="160" w:right="360" w:firstLine="436"/>
        <w:spacing w:after="0" w:line="278" w:lineRule="auto"/>
        <w:rPr>
          <w:sz w:val="20"/>
          <w:szCs w:val="20"/>
          <w:color w:val="auto"/>
        </w:rPr>
      </w:pPr>
      <w:r>
        <w:rPr>
          <w:rFonts w:ascii="Times New Roman" w:cs="Times New Roman" w:eastAsia="Times New Roman" w:hAnsi="Times New Roman"/>
          <w:sz w:val="18"/>
          <w:szCs w:val="18"/>
          <w:color w:val="auto"/>
        </w:rPr>
        <w:t>Our compensation plans and practices are designed to mitigate the possibility of encouraging excessive risk-taking behavior and the potential impacts thereof. For example, the following features of our executive compensation program mitigate risk:</w:t>
      </w:r>
    </w:p>
    <w:p>
      <w:pPr>
        <w:spacing w:after="0" w:line="69" w:lineRule="exact"/>
        <w:rPr>
          <w:sz w:val="20"/>
          <w:szCs w:val="20"/>
          <w:color w:val="auto"/>
        </w:rPr>
      </w:pPr>
    </w:p>
    <w:p>
      <w:pPr>
        <w:ind w:left="1140" w:hanging="438"/>
        <w:spacing w:after="0"/>
        <w:tabs>
          <w:tab w:leader="none" w:pos="11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Challenging, but attainable goals that are well-defined and communicated;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variable compensation tied to a mix of financial and operational objectives;</w:t>
      </w:r>
    </w:p>
    <w:p>
      <w:pPr>
        <w:spacing w:after="0" w:line="127" w:lineRule="exact"/>
        <w:rPr>
          <w:rFonts w:ascii="Times New Roman" w:cs="Times New Roman" w:eastAsia="Times New Roman" w:hAnsi="Times New Roman"/>
          <w:sz w:val="18"/>
          <w:szCs w:val="18"/>
          <w:color w:val="auto"/>
        </w:rPr>
      </w:pPr>
    </w:p>
    <w:p>
      <w:pPr>
        <w:ind w:left="1140" w:right="420" w:hanging="438"/>
        <w:spacing w:after="0" w:line="278" w:lineRule="auto"/>
        <w:tabs>
          <w:tab w:leader="none" w:pos="11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Multi-year, overlapping vesting terms for equity awards, and for the Chief Executive Officer, President, and Chief Operating Officer, financial objectives for a portion of outstanding equity awards; and</w:t>
      </w:r>
    </w:p>
    <w:p>
      <w:pPr>
        <w:spacing w:after="0" w:line="68" w:lineRule="exact"/>
        <w:rPr>
          <w:rFonts w:ascii="Times New Roman" w:cs="Times New Roman" w:eastAsia="Times New Roman" w:hAnsi="Times New Roman"/>
          <w:sz w:val="18"/>
          <w:szCs w:val="18"/>
          <w:color w:val="auto"/>
        </w:rPr>
      </w:pPr>
    </w:p>
    <w:p>
      <w:pPr>
        <w:ind w:left="1140" w:right="280" w:hanging="438"/>
        <w:spacing w:after="0" w:line="278" w:lineRule="auto"/>
        <w:tabs>
          <w:tab w:leader="none" w:pos="11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controls in the administration of our plans to ensure performance against established company performance metrics is objectively and independently determined.</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Considerations in Setting 2025 Compensation</w:t>
      </w:r>
    </w:p>
    <w:p>
      <w:pPr>
        <w:spacing w:after="0" w:line="118"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The 2025 compensation of our Named Executive Officers was based on the Company’s performance against enterprise priorities and specific performance metrics and on each Named Executive Officer’s individual performance against their annual strategic objectives. The Compensation Committee believes the total 2025 compensation of our Named Executive Officers was competitive while at the same time being responsible to our stockholders because a significant percentage of total compensation in 2025 was allocated to variable compensation. This variable compensation is paid only upon achievement of Company performance objectives and individual Named Executive Officer goals that contribute to the creation of stockholder value.</w:t>
      </w:r>
    </w:p>
    <w:p>
      <w:pPr>
        <w:spacing w:after="0" w:line="184" w:lineRule="exact"/>
        <w:rPr>
          <w:sz w:val="20"/>
          <w:szCs w:val="20"/>
          <w:color w:val="auto"/>
        </w:rPr>
      </w:pPr>
    </w:p>
    <w:p>
      <w:pPr>
        <w:ind w:left="160" w:right="520" w:firstLine="436"/>
        <w:spacing w:after="0" w:line="278" w:lineRule="auto"/>
        <w:rPr>
          <w:sz w:val="20"/>
          <w:szCs w:val="20"/>
          <w:color w:val="auto"/>
        </w:rPr>
      </w:pPr>
      <w:r>
        <w:rPr>
          <w:rFonts w:ascii="Times New Roman" w:cs="Times New Roman" w:eastAsia="Times New Roman" w:hAnsi="Times New Roman"/>
          <w:sz w:val="18"/>
          <w:szCs w:val="18"/>
          <w:color w:val="auto"/>
        </w:rPr>
        <w:t>The following is a summary of key considerations that affected the development of 2025 compensation decisions for our Named Executive Officers, and which the Compensation Committee believes will continue to affect its compensation decisions in future fiscal years:</w:t>
      </w:r>
    </w:p>
    <w:p>
      <w:pPr>
        <w:spacing w:after="0" w:line="160" w:lineRule="exact"/>
        <w:rPr>
          <w:sz w:val="20"/>
          <w:szCs w:val="20"/>
          <w:color w:val="auto"/>
        </w:rPr>
      </w:pPr>
    </w:p>
    <w:p>
      <w:pPr>
        <w:ind w:left="160" w:firstLine="436"/>
        <w:spacing w:after="0" w:line="256" w:lineRule="auto"/>
        <w:rPr>
          <w:sz w:val="20"/>
          <w:szCs w:val="20"/>
          <w:color w:val="auto"/>
        </w:rPr>
      </w:pPr>
      <w:r>
        <w:rPr>
          <w:rFonts w:ascii="Times New Roman" w:cs="Times New Roman" w:eastAsia="Times New Roman" w:hAnsi="Times New Roman"/>
          <w:sz w:val="18"/>
          <w:szCs w:val="18"/>
          <w:i w:val="1"/>
          <w:iCs w:val="1"/>
          <w:color w:val="auto"/>
        </w:rPr>
        <w:t>Use of Market Data</w:t>
      </w:r>
      <w:r>
        <w:rPr>
          <w:rFonts w:ascii="Times New Roman" w:cs="Times New Roman" w:eastAsia="Times New Roman" w:hAnsi="Times New Roman"/>
          <w:sz w:val="18"/>
          <w:szCs w:val="18"/>
          <w:color w:val="auto"/>
        </w:rPr>
        <w:t>. We establish target compensation levels that are consistent with market practice and internal equity considerations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 responsibility, and contribution) relative to base salaries, cash bonuses, and long-term equity compensation. Target compensation levels are additionally consistent with an assessment of the appropriate pay mix for a particular position. In order to gauge the competitiveness of our compensation programs, we also review compensation practices and pay opportunities from our peer group. We attempt to position ourselves to attract and retain qualified senior executives in the face of competitive pressures in relevant labor markets.</w:t>
      </w:r>
    </w:p>
    <w:p>
      <w:pPr>
        <w:spacing w:after="0" w:line="180" w:lineRule="exact"/>
        <w:rPr>
          <w:sz w:val="20"/>
          <w:szCs w:val="20"/>
          <w:color w:val="auto"/>
        </w:rPr>
      </w:pPr>
    </w:p>
    <w:p>
      <w:pPr>
        <w:ind w:left="160" w:right="12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Emphasis on Performance</w:t>
      </w:r>
      <w:r>
        <w:rPr>
          <w:rFonts w:ascii="Times New Roman" w:cs="Times New Roman" w:eastAsia="Times New Roman" w:hAnsi="Times New Roman"/>
          <w:sz w:val="18"/>
          <w:szCs w:val="18"/>
          <w:color w:val="auto"/>
        </w:rPr>
        <w:t>. Our compensation program provides increased pay opportunities upon achievement of goals correlated with superior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over the long term. When evaluating base salary, individual performance is the primary driver that determines each Named Executive Officer’s annual increase, if any. Historically, we have used annual cash bonus and appreciation-based equity awards (profits interests) to reward corporate and individual performance.</w:t>
      </w:r>
    </w:p>
    <w:p>
      <w:pPr>
        <w:spacing w:after="0" w:line="180" w:lineRule="exact"/>
        <w:rPr>
          <w:sz w:val="20"/>
          <w:szCs w:val="20"/>
          <w:color w:val="auto"/>
        </w:rPr>
      </w:pPr>
    </w:p>
    <w:p>
      <w:pPr>
        <w:ind w:left="160" w:right="100" w:firstLine="436"/>
        <w:spacing w:after="0" w:line="264" w:lineRule="auto"/>
        <w:rPr>
          <w:sz w:val="20"/>
          <w:szCs w:val="20"/>
          <w:color w:val="auto"/>
        </w:rPr>
      </w:pPr>
      <w:r>
        <w:rPr>
          <w:rFonts w:ascii="Times New Roman" w:cs="Times New Roman" w:eastAsia="Times New Roman" w:hAnsi="Times New Roman"/>
          <w:sz w:val="18"/>
          <w:szCs w:val="18"/>
          <w:i w:val="1"/>
          <w:iCs w:val="1"/>
          <w:color w:val="auto"/>
        </w:rPr>
        <w:t>Importance of Company Results</w:t>
      </w:r>
      <w:r>
        <w:rPr>
          <w:rFonts w:ascii="Times New Roman" w:cs="Times New Roman" w:eastAsia="Times New Roman" w:hAnsi="Times New Roman"/>
          <w:sz w:val="18"/>
          <w:szCs w:val="18"/>
          <w:color w:val="auto"/>
        </w:rPr>
        <w:t>. In determining the amount of cash bonus for each Named Executive Officer, we consider, among other things,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with respect to our success in implementing our business strategies that yield long-term benefits and align our Named Executive Officers’ interests with those of our</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040"/>
          </w:cols>
          <w:pgMar w:left="320" w:top="452" w:right="5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120"/>
        <w:spacing w:after="0" w:line="263" w:lineRule="auto"/>
        <w:rPr>
          <w:sz w:val="20"/>
          <w:szCs w:val="20"/>
          <w:color w:val="auto"/>
        </w:rPr>
      </w:pPr>
      <w:r>
        <w:rPr>
          <w:rFonts w:ascii="Times New Roman" w:cs="Times New Roman" w:eastAsia="Times New Roman" w:hAnsi="Times New Roman"/>
          <w:sz w:val="18"/>
          <w:szCs w:val="18"/>
          <w:color w:val="auto"/>
        </w:rPr>
        <w:t>investors. The Compensation Committee believes it is important to hold our Named Executive Officers accountable for overall Company results. For a discussion of the individual and Company performance measures considered by the Committee (as defined below) in connection with 2025 bonus payments, see “—Compensation Elements—Annual Incentive Compensation” below.</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Compensation Elements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There are three key components of our executive compensation program for our senior leadership team, including our Named Executive Officers:</w:t>
      </w:r>
    </w:p>
    <w:p>
      <w:pPr>
        <w:spacing w:after="0" w:line="139" w:lineRule="exact"/>
        <w:rPr>
          <w:sz w:val="20"/>
          <w:szCs w:val="20"/>
          <w:color w:val="auto"/>
        </w:rPr>
      </w:pPr>
    </w:p>
    <w:p>
      <w:pPr>
        <w:ind w:left="1140" w:hanging="438"/>
        <w:spacing w:after="0"/>
        <w:tabs>
          <w:tab w:leader="none" w:pos="11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bonus; and</w:t>
      </w:r>
    </w:p>
    <w:p>
      <w:pPr>
        <w:spacing w:after="0" w:line="127" w:lineRule="exact"/>
        <w:rPr>
          <w:rFonts w:ascii="Times New Roman" w:cs="Times New Roman" w:eastAsia="Times New Roman" w:hAnsi="Times New Roman"/>
          <w:sz w:val="18"/>
          <w:szCs w:val="18"/>
          <w:color w:val="auto"/>
        </w:rPr>
      </w:pPr>
    </w:p>
    <w:p>
      <w:pPr>
        <w:ind w:left="1140" w:right="320" w:hanging="438"/>
        <w:spacing w:after="0" w:line="278" w:lineRule="auto"/>
        <w:tabs>
          <w:tab w:leader="none" w:pos="11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incentive compensation in the form of Incentive Units, which are intended to be profits interests for U.S. income tax purposes.</w:t>
      </w:r>
    </w:p>
    <w:p>
      <w:pPr>
        <w:spacing w:after="0" w:line="162" w:lineRule="exact"/>
        <w:rPr>
          <w:sz w:val="20"/>
          <w:szCs w:val="20"/>
          <w:color w:val="auto"/>
        </w:rPr>
      </w:pPr>
    </w:p>
    <w:p>
      <w:pPr>
        <w:ind w:left="160" w:right="840" w:firstLine="436"/>
        <w:spacing w:after="0" w:line="278" w:lineRule="auto"/>
        <w:rPr>
          <w:sz w:val="20"/>
          <w:szCs w:val="20"/>
          <w:color w:val="auto"/>
        </w:rPr>
      </w:pPr>
      <w:r>
        <w:rPr>
          <w:rFonts w:ascii="Times New Roman" w:cs="Times New Roman" w:eastAsia="Times New Roman" w:hAnsi="Times New Roman"/>
          <w:sz w:val="18"/>
          <w:szCs w:val="18"/>
          <w:color w:val="auto"/>
        </w:rPr>
        <w:t>In addition to these key compensation elements, the Named Executive Officers are provided certain other compensation. See “—Other Compensation.”</w:t>
      </w:r>
    </w:p>
    <w:p>
      <w:pPr>
        <w:spacing w:after="0" w:line="162" w:lineRule="exact"/>
        <w:rPr>
          <w:sz w:val="20"/>
          <w:szCs w:val="20"/>
          <w:color w:val="auto"/>
        </w:rPr>
      </w:pPr>
    </w:p>
    <w:p>
      <w:pPr>
        <w:ind w:left="160" w:right="260" w:firstLine="436"/>
        <w:spacing w:after="0" w:line="258" w:lineRule="auto"/>
        <w:rPr>
          <w:sz w:val="20"/>
          <w:szCs w:val="20"/>
          <w:color w:val="auto"/>
        </w:rPr>
      </w:pPr>
      <w:r>
        <w:rPr>
          <w:rFonts w:ascii="Times New Roman" w:cs="Times New Roman" w:eastAsia="Times New Roman" w:hAnsi="Times New Roman"/>
          <w:sz w:val="18"/>
          <w:szCs w:val="18"/>
          <w:color w:val="auto"/>
        </w:rPr>
        <w:t>We believe that offering each of the components of our executive compensation program is necessary to remain competitive in attracting, retaining, and motivating talented executives. Furthermore, we structure the annual incentive bonus and long-term equity incentive compensation to ensure alignment of our executives’ interests with those of our stockholders. Collectively, these components are designed to motivate and reward our executives and drive our short- and long-term performance and increase stockholder value.</w:t>
      </w:r>
    </w:p>
    <w:p>
      <w:pPr>
        <w:spacing w:after="0" w:line="180" w:lineRule="exact"/>
        <w:rPr>
          <w:sz w:val="20"/>
          <w:szCs w:val="20"/>
          <w:color w:val="auto"/>
        </w:rPr>
      </w:pPr>
    </w:p>
    <w:p>
      <w:pPr>
        <w:ind w:left="160" w:right="180" w:firstLine="436"/>
        <w:spacing w:after="0" w:line="255" w:lineRule="auto"/>
        <w:rPr>
          <w:sz w:val="20"/>
          <w:szCs w:val="20"/>
          <w:color w:val="auto"/>
        </w:rPr>
      </w:pPr>
      <w:r>
        <w:rPr>
          <w:rFonts w:ascii="Times New Roman" w:cs="Times New Roman" w:eastAsia="Times New Roman" w:hAnsi="Times New Roman"/>
          <w:sz w:val="18"/>
          <w:szCs w:val="18"/>
          <w:color w:val="auto"/>
        </w:rPr>
        <w:t>Our base salaries are designed to attract and retain individuals with superior talent, to be market competitive and to reward executives for their individual performance and our short-term performance. Our annual incentive bonus program is designed to motivate our executives to achieve the targets we set annually for selected performance metrics, to reward them for that achievement and to hold them accountable if they fail to deliver. Our long-term incentive compensation ensures that our executives have a continuing stake in our long-term success and have incentives to increase our equity value.</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18" w:lineRule="exact"/>
        <w:rPr>
          <w:sz w:val="20"/>
          <w:szCs w:val="20"/>
          <w:color w:val="auto"/>
        </w:rPr>
      </w:pPr>
    </w:p>
    <w:p>
      <w:pPr>
        <w:ind w:left="160" w:right="40" w:firstLine="436"/>
        <w:spacing w:after="0" w:line="268" w:lineRule="auto"/>
        <w:rPr>
          <w:sz w:val="20"/>
          <w:szCs w:val="20"/>
          <w:color w:val="auto"/>
        </w:rPr>
      </w:pPr>
      <w:r>
        <w:rPr>
          <w:rFonts w:ascii="Times New Roman" w:cs="Times New Roman" w:eastAsia="Times New Roman" w:hAnsi="Times New Roman"/>
          <w:sz w:val="17"/>
          <w:szCs w:val="17"/>
          <w:color w:val="auto"/>
        </w:rPr>
        <w:t>The Compensation Committee believes that base salaries are an important component of our executive compensation program and are critical in attracting and retaining executive talent. The Compensation Committee typically reviews base salaries of our Named Executive Officers in the fourth quarter of each year, with any changes effective on the first day of the following fiscal year. In setting annual base salaries, the Compensation Committee takes into consideration our overall financial and operating performance in the prior year, our company-wide target for base salary increases for all employees, its members’ assessment of market and competitive salary information within our peer group, inflation, changes in the scope of an executive officer’s job responsibilities, other components of compensation, and other relevant factors. The Compensation Committee also reviews each Named Executive Officer’s individual performance and the performance of the divisions, business units, or departments for which that person is responsible. For Named Executive Officers other than the Chief Executive Officer, the Compensation Committee also considers any feedback from the Chief Executive Officer regarding that person’s performance. No formulaic base salary increases are provided to the Named Executive Officers.</w:t>
      </w:r>
    </w:p>
    <w:p>
      <w:pPr>
        <w:spacing w:after="0" w:line="175"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Based on its review of peer data and each Named Executive Officer’s individual performance, the Compensation Committee approved an increase to the base salary of Mr. Golwas, whose base salary increased from $700,000 to $800,000 for fiscal year 2025. No changes were made to the base salaries of our other Named Executive Officers for fiscal year 2025.</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040"/>
          </w:cols>
          <w:pgMar w:left="320" w:top="451" w:right="5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base salary for each of our Named Executive Officers during the fiscal year ended December 31, 2025 was as follows:</w:t>
      </w:r>
    </w:p>
    <w:p>
      <w:pPr>
        <w:spacing w:after="0" w:line="228"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7"/>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84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160"/>
              <w:spacing w:after="0" w:line="159" w:lineRule="exact"/>
              <w:rPr>
                <w:sz w:val="20"/>
                <w:szCs w:val="20"/>
                <w:color w:val="auto"/>
              </w:rPr>
            </w:pPr>
            <w:r>
              <w:rPr>
                <w:rFonts w:ascii="Times New Roman" w:cs="Times New Roman" w:eastAsia="Times New Roman" w:hAnsi="Times New Roman"/>
                <w:sz w:val="14"/>
                <w:szCs w:val="14"/>
                <w:b w:val="1"/>
                <w:bCs w:val="1"/>
                <w:color w:val="auto"/>
              </w:rPr>
              <w:t>Base Salary</w:t>
            </w:r>
          </w:p>
        </w:tc>
        <w:tc>
          <w:tcPr>
            <w:tcW w:w="0" w:type="dxa"/>
            <w:vAlign w:val="bottom"/>
          </w:tcPr>
          <w:p>
            <w:pPr>
              <w:spacing w:after="0"/>
              <w:rPr>
                <w:sz w:val="1"/>
                <w:szCs w:val="1"/>
                <w:color w:val="auto"/>
              </w:rPr>
            </w:pPr>
          </w:p>
        </w:tc>
      </w:tr>
      <w:tr>
        <w:trPr>
          <w:trHeight w:val="201"/>
        </w:trPr>
        <w:tc>
          <w:tcPr>
            <w:tcW w:w="620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James M. Boyle</w:t>
            </w:r>
          </w:p>
        </w:tc>
        <w:tc>
          <w:tcPr>
            <w:tcW w:w="12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   1,250,000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B. Drazin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810,000</w:t>
            </w:r>
          </w:p>
        </w:tc>
        <w:tc>
          <w:tcPr>
            <w:tcW w:w="0" w:type="dxa"/>
            <w:vAlign w:val="bottom"/>
          </w:tcPr>
          <w:p>
            <w:pPr>
              <w:spacing w:after="0"/>
              <w:rPr>
                <w:sz w:val="1"/>
                <w:szCs w:val="1"/>
                <w:color w:val="auto"/>
              </w:rPr>
            </w:pPr>
          </w:p>
        </w:tc>
      </w:tr>
      <w:tr>
        <w:trPr>
          <w:trHeight w:val="214"/>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Pigott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P. Golwas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800,000</w:t>
            </w:r>
          </w:p>
        </w:tc>
        <w:tc>
          <w:tcPr>
            <w:tcW w:w="0" w:type="dxa"/>
            <w:vAlign w:val="bottom"/>
          </w:tcPr>
          <w:p>
            <w:pPr>
              <w:spacing w:after="0"/>
              <w:rPr>
                <w:sz w:val="1"/>
                <w:szCs w:val="1"/>
                <w:color w:val="auto"/>
              </w:rPr>
            </w:pPr>
          </w:p>
        </w:tc>
      </w:tr>
      <w:tr>
        <w:trPr>
          <w:trHeight w:val="214"/>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L. Miller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800,000</w:t>
            </w: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Annual Incentive Compensation</w:t>
      </w:r>
    </w:p>
    <w:p>
      <w:pPr>
        <w:spacing w:after="0" w:line="118" w:lineRule="exact"/>
        <w:rPr>
          <w:sz w:val="20"/>
          <w:szCs w:val="20"/>
          <w:color w:val="auto"/>
        </w:rPr>
      </w:pPr>
    </w:p>
    <w:p>
      <w:pPr>
        <w:ind w:left="160" w:firstLine="436"/>
        <w:spacing w:after="0" w:line="270" w:lineRule="auto"/>
        <w:rPr>
          <w:sz w:val="20"/>
          <w:szCs w:val="20"/>
          <w:color w:val="auto"/>
        </w:rPr>
      </w:pPr>
      <w:r>
        <w:rPr>
          <w:rFonts w:ascii="Times New Roman" w:cs="Times New Roman" w:eastAsia="Times New Roman" w:hAnsi="Times New Roman"/>
          <w:sz w:val="17"/>
          <w:szCs w:val="17"/>
          <w:color w:val="auto"/>
        </w:rPr>
        <w:t>We maintain an annual cash-based incentive plan, the Medline Industries, LP Annual Incentive Plan (the “AIP”), which is internally referred to as “Formula,” to reward employees who contribute to our growth, profitability, and value. Annual performance goals are established for each participant and participants must remain employed in good standing through December 31 of the applicable performance year in order to receive their annual bonus. The AIP allows participants to receive quarterly advances on their annual bonus throughout the year based on the company’s determination of performance against objective goals through each calendar quarter. Annual bonus payments, based on actual performance, are reconciled at year-end and any unearned advances are subject to recoupment. The performance objectives for our AIP are established by the Compensation Committee on an annual basis, and following completion of the performance period, the committee determines the actual achievement percentage for each metric.</w:t>
      </w:r>
    </w:p>
    <w:p>
      <w:pPr>
        <w:spacing w:after="0" w:line="172" w:lineRule="exact"/>
        <w:rPr>
          <w:sz w:val="20"/>
          <w:szCs w:val="20"/>
          <w:color w:val="auto"/>
        </w:rPr>
      </w:pPr>
    </w:p>
    <w:p>
      <w:pPr>
        <w:ind w:left="160" w:right="60" w:firstLine="436"/>
        <w:spacing w:after="0" w:line="252" w:lineRule="auto"/>
        <w:rPr>
          <w:sz w:val="20"/>
          <w:szCs w:val="20"/>
          <w:color w:val="auto"/>
        </w:rPr>
      </w:pPr>
      <w:r>
        <w:rPr>
          <w:rFonts w:ascii="Times New Roman" w:cs="Times New Roman" w:eastAsia="Times New Roman" w:hAnsi="Times New Roman"/>
          <w:sz w:val="18"/>
          <w:szCs w:val="18"/>
          <w:color w:val="auto"/>
        </w:rPr>
        <w:t>Under our AIP, each Named Executive Officer has threshold, target and maximum bonus opportunities expressed as a percentage of the Named Executive Officer’s base salary. As described further below, the 2025 AIP bonus opportunity for Mr. Golwas includes an “expense modifier” and a “bad debt modifier.” The expense modifier provided for certain increases or decreases to Mr. Golwas’s AIP payout, which would be lowered or raised by $3,000 for each 10 basis point increase or decrease in total selling expense growth above or below 85% of sales growth, respectively. Adjustments attributable to the modifier are subject to a cap of $25,000, although the modifier cannot result in Mr. Golwas’s actual AIP payout being less than threshold payout nor greater than maximum payout. The bad debt modifier provided that net bad debt amounts exceeding 0.6% Acute Care sales and 0.8% for Post Acute sales would be attributable to cost of goods sold for purposes of calculating the growth performance metric applicable to Mr. Golwas’s AIP award.</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2025 AIP payout opportunities for Messrs. Boyle, Drazin, Pigott, and Miller included no such modifiers.</w:t>
      </w: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For fiscal year 2025, our Named Executive Officers had target and maximum bonus opportunities under the AIP as follows:</w:t>
      </w:r>
    </w:p>
    <w:p>
      <w:pPr>
        <w:spacing w:after="0" w:line="228"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940" w:type="dxa"/>
            <w:vAlign w:val="bottom"/>
            <w:gridSpan w:val="2"/>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w w:val="99"/>
              </w:rPr>
              <w:t>AIP</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AIP</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940" w:type="dxa"/>
            <w:vAlign w:val="bottom"/>
            <w:gridSpan w:val="2"/>
          </w:tcPr>
          <w:p>
            <w:pPr>
              <w:jc w:val="center"/>
              <w:ind w:right="1100"/>
              <w:spacing w:after="0" w:line="147"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102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940" w:type="dxa"/>
            <w:vAlign w:val="bottom"/>
            <w:gridSpan w:val="2"/>
          </w:tcPr>
          <w:p>
            <w:pPr>
              <w:jc w:val="center"/>
              <w:ind w:right="1120"/>
              <w:spacing w:after="0" w:line="147" w:lineRule="exact"/>
              <w:rPr>
                <w:sz w:val="20"/>
                <w:szCs w:val="20"/>
                <w:color w:val="auto"/>
              </w:rPr>
            </w:pPr>
            <w:r>
              <w:rPr>
                <w:rFonts w:ascii="Times New Roman" w:cs="Times New Roman" w:eastAsia="Times New Roman" w:hAnsi="Times New Roman"/>
                <w:sz w:val="14"/>
                <w:szCs w:val="14"/>
                <w:b w:val="1"/>
                <w:bCs w:val="1"/>
                <w:color w:val="auto"/>
              </w:rPr>
              <w:t>Annual</w:t>
            </w:r>
          </w:p>
        </w:tc>
        <w:tc>
          <w:tcPr>
            <w:tcW w:w="102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Annual</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940" w:type="dxa"/>
            <w:vAlign w:val="bottom"/>
            <w:gridSpan w:val="2"/>
          </w:tcPr>
          <w:p>
            <w:pPr>
              <w:jc w:val="center"/>
              <w:ind w:right="1100"/>
              <w:spacing w:after="0" w:line="147" w:lineRule="exact"/>
              <w:rPr>
                <w:sz w:val="20"/>
                <w:szCs w:val="20"/>
                <w:color w:val="auto"/>
              </w:rPr>
            </w:pPr>
            <w:r>
              <w:rPr>
                <w:rFonts w:ascii="Times New Roman" w:cs="Times New Roman" w:eastAsia="Times New Roman" w:hAnsi="Times New Roman"/>
                <w:sz w:val="14"/>
                <w:szCs w:val="14"/>
                <w:b w:val="1"/>
                <w:bCs w:val="1"/>
                <w:color w:val="auto"/>
              </w:rPr>
              <w:t>Bonus as a</w:t>
            </w:r>
          </w:p>
        </w:tc>
        <w:tc>
          <w:tcPr>
            <w:tcW w:w="102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Bonus as a</w:t>
            </w:r>
          </w:p>
        </w:tc>
        <w:tc>
          <w:tcPr>
            <w:tcW w:w="0" w:type="dxa"/>
            <w:vAlign w:val="bottom"/>
          </w:tcPr>
          <w:p>
            <w:pPr>
              <w:spacing w:after="0"/>
              <w:rPr>
                <w:sz w:val="1"/>
                <w:szCs w:val="1"/>
                <w:color w:val="auto"/>
              </w:rPr>
            </w:pPr>
          </w:p>
        </w:tc>
      </w:tr>
      <w:tr>
        <w:trPr>
          <w:trHeight w:val="147"/>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3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1940" w:type="dxa"/>
            <w:vAlign w:val="bottom"/>
            <w:gridSpan w:val="2"/>
          </w:tcPr>
          <w:p>
            <w:pPr>
              <w:jc w:val="center"/>
              <w:ind w:right="1120"/>
              <w:spacing w:after="0" w:line="147"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02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2320" w:type="dxa"/>
            <w:vAlign w:val="bottom"/>
            <w:vMerge w:val="continue"/>
          </w:tcPr>
          <w:p>
            <w:pPr>
              <w:spacing w:after="0"/>
              <w:rPr>
                <w:sz w:val="13"/>
                <w:szCs w:val="13"/>
                <w:color w:val="auto"/>
              </w:rPr>
            </w:pPr>
          </w:p>
        </w:tc>
        <w:tc>
          <w:tcPr>
            <w:tcW w:w="2640" w:type="dxa"/>
            <w:vAlign w:val="bottom"/>
          </w:tcPr>
          <w:p>
            <w:pPr>
              <w:spacing w:after="0"/>
              <w:rPr>
                <w:sz w:val="13"/>
                <w:szCs w:val="13"/>
                <w:color w:val="auto"/>
              </w:rPr>
            </w:pPr>
          </w:p>
        </w:tc>
        <w:tc>
          <w:tcPr>
            <w:tcW w:w="1940" w:type="dxa"/>
            <w:vAlign w:val="bottom"/>
            <w:gridSpan w:val="2"/>
          </w:tcPr>
          <w:p>
            <w:pPr>
              <w:jc w:val="center"/>
              <w:ind w:right="1100"/>
              <w:spacing w:after="0" w:line="159" w:lineRule="exact"/>
              <w:rPr>
                <w:sz w:val="20"/>
                <w:szCs w:val="20"/>
                <w:color w:val="auto"/>
              </w:rPr>
            </w:pPr>
            <w:r>
              <w:rPr>
                <w:rFonts w:ascii="Times New Roman" w:cs="Times New Roman" w:eastAsia="Times New Roman" w:hAnsi="Times New Roman"/>
                <w:sz w:val="14"/>
                <w:szCs w:val="14"/>
                <w:b w:val="1"/>
                <w:bCs w:val="1"/>
                <w:color w:val="auto"/>
              </w:rPr>
              <w:t>Base Salary</w:t>
            </w:r>
          </w:p>
        </w:tc>
        <w:tc>
          <w:tcPr>
            <w:tcW w:w="1020" w:type="dxa"/>
            <w:vAlign w:val="bottom"/>
            <w:gridSpan w:val="2"/>
          </w:tcPr>
          <w:p>
            <w:pPr>
              <w:jc w:val="center"/>
              <w:ind w:right="180"/>
              <w:spacing w:after="0" w:line="159" w:lineRule="exact"/>
              <w:rPr>
                <w:sz w:val="20"/>
                <w:szCs w:val="20"/>
                <w:color w:val="auto"/>
              </w:rPr>
            </w:pPr>
            <w:r>
              <w:rPr>
                <w:rFonts w:ascii="Times New Roman" w:cs="Times New Roman" w:eastAsia="Times New Roman" w:hAnsi="Times New Roman"/>
                <w:sz w:val="14"/>
                <w:szCs w:val="14"/>
                <w:b w:val="1"/>
                <w:bCs w:val="1"/>
                <w:color w:val="auto"/>
              </w:rPr>
              <w:t>Base Salary</w:t>
            </w:r>
          </w:p>
        </w:tc>
        <w:tc>
          <w:tcPr>
            <w:tcW w:w="0" w:type="dxa"/>
            <w:vAlign w:val="bottom"/>
          </w:tcPr>
          <w:p>
            <w:pPr>
              <w:spacing w:after="0"/>
              <w:rPr>
                <w:sz w:val="1"/>
                <w:szCs w:val="1"/>
                <w:color w:val="auto"/>
              </w:rPr>
            </w:pPr>
          </w:p>
        </w:tc>
      </w:tr>
      <w:tr>
        <w:trPr>
          <w:trHeight w:val="20"/>
        </w:trPr>
        <w:tc>
          <w:tcPr>
            <w:tcW w:w="2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Boyle</w:t>
            </w:r>
          </w:p>
        </w:tc>
        <w:tc>
          <w:tcPr>
            <w:tcW w:w="264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680" w:type="dxa"/>
            <w:vAlign w:val="bottom"/>
            <w:gridSpan w:val="2"/>
            <w:vMerge w:val="continue"/>
            <w:shd w:val="clear" w:color="auto" w:fill="CCEEFF"/>
          </w:tcPr>
          <w:p>
            <w:pPr>
              <w:spacing w:after="0"/>
              <w:rPr>
                <w:sz w:val="17"/>
                <w:szCs w:val="17"/>
                <w:color w:val="auto"/>
              </w:rPr>
            </w:pPr>
          </w:p>
        </w:tc>
        <w:tc>
          <w:tcPr>
            <w:tcW w:w="2640" w:type="dxa"/>
            <w:vAlign w:val="bottom"/>
            <w:vMerge w:val="continue"/>
            <w:shd w:val="clear" w:color="auto" w:fill="CCEEFF"/>
          </w:tcPr>
          <w:p>
            <w:pPr>
              <w:spacing w:after="0"/>
              <w:rPr>
                <w:sz w:val="17"/>
                <w:szCs w:val="17"/>
                <w:color w:val="auto"/>
              </w:rPr>
            </w:pPr>
          </w:p>
        </w:tc>
        <w:tc>
          <w:tcPr>
            <w:tcW w:w="1940" w:type="dxa"/>
            <w:vAlign w:val="bottom"/>
            <w:gridSpan w:val="2"/>
            <w:shd w:val="clear" w:color="auto" w:fill="CCEEFF"/>
          </w:tcPr>
          <w:p>
            <w:pPr>
              <w:jc w:val="right"/>
              <w:ind w:right="960"/>
              <w:spacing w:after="0" w:line="201" w:lineRule="exact"/>
              <w:rPr>
                <w:sz w:val="20"/>
                <w:szCs w:val="20"/>
                <w:color w:val="auto"/>
              </w:rPr>
            </w:pPr>
            <w:r>
              <w:rPr>
                <w:rFonts w:ascii="Times New Roman" w:cs="Times New Roman" w:eastAsia="Times New Roman" w:hAnsi="Times New Roman"/>
                <w:sz w:val="18"/>
                <w:szCs w:val="18"/>
                <w:color w:val="auto"/>
              </w:rPr>
              <w:t>133%</w:t>
            </w:r>
          </w:p>
        </w:tc>
        <w:tc>
          <w:tcPr>
            <w:tcW w:w="1020" w:type="dxa"/>
            <w:vAlign w:val="bottom"/>
            <w:gridSpan w:val="2"/>
            <w:shd w:val="clear" w:color="auto" w:fill="CCEEFF"/>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4"/>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B. Drazin</w:t>
            </w:r>
          </w:p>
        </w:tc>
        <w:tc>
          <w:tcPr>
            <w:tcW w:w="4580" w:type="dxa"/>
            <w:vAlign w:val="bottom"/>
            <w:gridSpan w:val="3"/>
          </w:tcPr>
          <w:p>
            <w:pPr>
              <w:jc w:val="right"/>
              <w:ind w:right="96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4"/>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Pigott</w:t>
            </w:r>
          </w:p>
        </w:tc>
        <w:tc>
          <w:tcPr>
            <w:tcW w:w="4580" w:type="dxa"/>
            <w:vAlign w:val="bottom"/>
            <w:gridSpan w:val="3"/>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4"/>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P. Golwas</w:t>
            </w:r>
          </w:p>
        </w:tc>
        <w:tc>
          <w:tcPr>
            <w:tcW w:w="4580" w:type="dxa"/>
            <w:vAlign w:val="bottom"/>
            <w:gridSpan w:val="3"/>
          </w:tcPr>
          <w:p>
            <w:pPr>
              <w:jc w:val="right"/>
              <w:ind w:right="96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4"/>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L. Miller</w:t>
            </w:r>
          </w:p>
        </w:tc>
        <w:tc>
          <w:tcPr>
            <w:tcW w:w="4580" w:type="dxa"/>
            <w:vAlign w:val="bottom"/>
            <w:gridSpan w:val="3"/>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362"/>
        </w:trPr>
        <w:tc>
          <w:tcPr>
            <w:tcW w:w="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640" w:type="dxa"/>
            <w:vAlign w:val="bottom"/>
          </w:tcPr>
          <w:p>
            <w:pPr>
              <w:jc w:val="right"/>
              <w:ind w:right="951"/>
              <w:spacing w:after="0"/>
              <w:rPr>
                <w:sz w:val="20"/>
                <w:szCs w:val="20"/>
                <w:color w:val="auto"/>
              </w:rPr>
            </w:pPr>
            <w:r>
              <w:rPr>
                <w:rFonts w:ascii="Times New Roman" w:cs="Times New Roman" w:eastAsia="Times New Roman" w:hAnsi="Times New Roman"/>
                <w:sz w:val="18"/>
                <w:szCs w:val="18"/>
                <w:color w:val="auto"/>
              </w:rPr>
              <w:t>176</w:t>
            </w: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160" w:firstLine="436"/>
        <w:spacing w:after="0" w:line="278" w:lineRule="auto"/>
        <w:rPr>
          <w:sz w:val="20"/>
          <w:szCs w:val="20"/>
          <w:color w:val="auto"/>
        </w:rPr>
      </w:pPr>
      <w:r>
        <w:rPr>
          <w:rFonts w:ascii="Times New Roman" w:cs="Times New Roman" w:eastAsia="Times New Roman" w:hAnsi="Times New Roman"/>
          <w:sz w:val="18"/>
          <w:szCs w:val="18"/>
          <w:color w:val="auto"/>
        </w:rPr>
        <w:t>For each performance objective, there is a threshold achievement level at or below which the Named Executive Officer will receive no payout in respect of that performance objective.</w:t>
      </w:r>
    </w:p>
    <w:p>
      <w:pPr>
        <w:spacing w:after="0" w:line="162" w:lineRule="exact"/>
        <w:rPr>
          <w:sz w:val="20"/>
          <w:szCs w:val="20"/>
          <w:color w:val="auto"/>
        </w:rPr>
      </w:pPr>
    </w:p>
    <w:p>
      <w:pPr>
        <w:ind w:left="160" w:right="960" w:firstLine="436"/>
        <w:spacing w:after="0" w:line="278" w:lineRule="auto"/>
        <w:rPr>
          <w:sz w:val="20"/>
          <w:szCs w:val="20"/>
          <w:color w:val="auto"/>
        </w:rPr>
      </w:pPr>
      <w:r>
        <w:rPr>
          <w:rFonts w:ascii="Times New Roman" w:cs="Times New Roman" w:eastAsia="Times New Roman" w:hAnsi="Times New Roman"/>
          <w:sz w:val="18"/>
          <w:szCs w:val="18"/>
          <w:color w:val="auto"/>
        </w:rPr>
        <w:t>The actual 2025 AIP bonus amounts are calculated formulaically based on actual achievement against certain individual performance considerations and financial or operational performance goals, as follows: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 xml:space="preserve">First, </w:t>
      </w:r>
      <w:r>
        <w:rPr>
          <w:rFonts w:ascii="Times New Roman" w:cs="Times New Roman" w:eastAsia="Times New Roman" w:hAnsi="Times New Roman"/>
          <w:sz w:val="18"/>
          <w:szCs w:val="18"/>
          <w:color w:val="auto"/>
        </w:rPr>
        <w:t>the weight applied to each specific objective is multiplied by the Named Executive Officer’s AIP maximum annual bonus percentage.</w:t>
      </w:r>
    </w:p>
    <w:p>
      <w:pPr>
        <w:spacing w:after="0" w:line="221" w:lineRule="exact"/>
        <w:rPr>
          <w:sz w:val="20"/>
          <w:szCs w:val="20"/>
          <w:color w:val="auto"/>
        </w:rPr>
      </w:pPr>
    </w:p>
    <w:p>
      <w:pPr>
        <w:ind w:left="160" w:right="4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the resulting percentage from the first step is multiplied by the Named Executive Officer’s base salary to determine the maximum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in respect of each performance metric;</w:t>
      </w:r>
    </w:p>
    <w:p>
      <w:pPr>
        <w:spacing w:after="0" w:line="159" w:lineRule="exact"/>
        <w:rPr>
          <w:sz w:val="20"/>
          <w:szCs w:val="20"/>
          <w:color w:val="auto"/>
        </w:rPr>
      </w:pPr>
    </w:p>
    <w:p>
      <w:pPr>
        <w:ind w:left="160" w:right="42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the dollar amount from the second step is multiplied by the actual attainment percentage of each applicable performance objective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modifiers measured against a pre-established scale to determine the amount payable; and</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the sum of the amounts calculated in the third step for each performance objective is the Named Executive Officer’s AIP Bonus.</w:t>
      </w:r>
    </w:p>
    <w:p>
      <w:pPr>
        <w:spacing w:after="0" w:line="223" w:lineRule="exact"/>
        <w:rPr>
          <w:sz w:val="20"/>
          <w:szCs w:val="20"/>
          <w:color w:val="auto"/>
        </w:rPr>
      </w:pPr>
    </w:p>
    <w:p>
      <w:pPr>
        <w:ind w:left="160" w:right="80" w:firstLine="436"/>
        <w:spacing w:after="0" w:line="254" w:lineRule="auto"/>
        <w:rPr>
          <w:sz w:val="20"/>
          <w:szCs w:val="20"/>
          <w:color w:val="auto"/>
        </w:rPr>
      </w:pPr>
      <w:r>
        <w:rPr>
          <w:rFonts w:ascii="Times New Roman" w:cs="Times New Roman" w:eastAsia="Times New Roman" w:hAnsi="Times New Roman"/>
          <w:sz w:val="18"/>
          <w:szCs w:val="18"/>
          <w:color w:val="auto"/>
        </w:rPr>
        <w:t>For fiscal year 2025, the annual bonus payouts for each of our Named Executive Officers was tied to the achievement of various metrics, as reflected in the tables below. The following tables illustrate the calculation of the annual incentive compensation payable to each of our Named Executive Officers under our AIP for fiscal year 2025. In the event actual achievement of a performance objective is between levels, the achievement percentage is calculated using linear interpolation. The actual amount of each Named Executive Officer’s earned annual cash incentive awards pursuant to the AIP is not determinable as of the date of this prospectus. It is expected that this amount will be determinable by the date that Medline Inc. files its annual report on Form 10-K for the fiscal year ended December 31, 2025.</w:t>
      </w:r>
    </w:p>
    <w:p>
      <w:pPr>
        <w:spacing w:after="0" w:line="184" w:lineRule="exact"/>
        <w:rPr>
          <w:sz w:val="20"/>
          <w:szCs w:val="20"/>
          <w:color w:val="auto"/>
        </w:rPr>
      </w:pPr>
    </w:p>
    <w:p>
      <w:pPr>
        <w:ind w:left="160" w:right="200" w:firstLine="436"/>
        <w:spacing w:after="0" w:line="255" w:lineRule="auto"/>
        <w:rPr>
          <w:sz w:val="20"/>
          <w:szCs w:val="20"/>
          <w:color w:val="auto"/>
        </w:rPr>
      </w:pPr>
      <w:r>
        <w:rPr>
          <w:rFonts w:ascii="Times New Roman" w:cs="Times New Roman" w:eastAsia="Times New Roman" w:hAnsi="Times New Roman"/>
          <w:sz w:val="18"/>
          <w:szCs w:val="18"/>
          <w:color w:val="auto"/>
        </w:rPr>
        <w:t>For purposes of the AIP, 2025 Plan Adjusted EBITDA is generally calculated as set forth in the section titled “Management’s Discussion and Analysis of Financial Condition and Results of Operations—Non-GAAP Financial Information—Adjusted EBITDA and Adjusted EBITDA Margin,” less the impact of divestitures and acquisitions and gross tariff-related adjustments. However, for 2025 Plan Adjusted EBITDA, tariff-related adjustments cannot cause a Named Executive Officer’s actual bonus payout to increase above 100% of target and no tariff-related adjustment will be applied if the actual bonus payout is above 100% of target without the tariff-related adjustment.</w:t>
      </w:r>
    </w:p>
    <w:p>
      <w:pPr>
        <w:spacing w:after="0" w:line="1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Mr. Boyle</w:t>
      </w:r>
    </w:p>
    <w:p>
      <w:pPr>
        <w:spacing w:after="0" w:line="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520" w:type="dxa"/>
            <w:vAlign w:val="bottom"/>
            <w:gridSpan w:val="9"/>
          </w:tcPr>
          <w:p>
            <w:pPr>
              <w:jc w:val="right"/>
              <w:spacing w:after="0"/>
              <w:rPr>
                <w:sz w:val="20"/>
                <w:szCs w:val="20"/>
                <w:color w:val="auto"/>
              </w:rPr>
            </w:pPr>
            <w:r>
              <w:rPr>
                <w:rFonts w:ascii="Times New Roman" w:cs="Times New Roman" w:eastAsia="Times New Roman" w:hAnsi="Times New Roman"/>
                <w:sz w:val="14"/>
                <w:szCs w:val="14"/>
                <w:color w:val="auto"/>
              </w:rPr>
              <w:t xml:space="preserve">Performance Period: January 1, 2025 - December 31, 2025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7"/>
        </w:trPr>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7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Performance Goals</w:t>
            </w:r>
          </w:p>
        </w:tc>
        <w:tc>
          <w:tcPr>
            <w:tcW w:w="138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6"/>
              </w:rPr>
              <w:t>Weight</w:t>
            </w:r>
          </w:p>
        </w:tc>
        <w:tc>
          <w:tcPr>
            <w:tcW w:w="32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60" w:type="dxa"/>
            <w:vAlign w:val="bottom"/>
            <w:gridSpan w:val="4"/>
            <w:vMerge w:val="continue"/>
          </w:tcPr>
          <w:p>
            <w:pPr>
              <w:spacing w:after="0"/>
              <w:rPr>
                <w:sz w:val="12"/>
                <w:szCs w:val="12"/>
                <w:color w:val="auto"/>
              </w:rPr>
            </w:pPr>
          </w:p>
        </w:tc>
        <w:tc>
          <w:tcPr>
            <w:tcW w:w="700" w:type="dxa"/>
            <w:vAlign w:val="bottom"/>
            <w:gridSpan w:val="3"/>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Attainment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360" w:type="dxa"/>
            <w:vAlign w:val="bottom"/>
            <w:gridSpan w:val="3"/>
            <w:vMerge w:val="continue"/>
          </w:tcPr>
          <w:p>
            <w:pPr>
              <w:spacing w:after="0"/>
              <w:rPr>
                <w:sz w:val="13"/>
                <w:szCs w:val="13"/>
                <w:color w:val="auto"/>
              </w:rPr>
            </w:pPr>
          </w:p>
        </w:tc>
        <w:tc>
          <w:tcPr>
            <w:tcW w:w="138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1060" w:type="dxa"/>
            <w:vAlign w:val="bottom"/>
            <w:gridSpan w:val="4"/>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Attainment</w:t>
            </w:r>
          </w:p>
        </w:tc>
        <w:tc>
          <w:tcPr>
            <w:tcW w:w="700" w:type="dxa"/>
            <w:vAlign w:val="bottom"/>
            <w:gridSpan w:val="3"/>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shd w:val="clear" w:color="auto" w:fill="000000"/>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36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Attainment level percentage</w:t>
            </w:r>
          </w:p>
        </w:tc>
        <w:tc>
          <w:tcPr>
            <w:tcW w:w="1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1" w:lineRule="exact"/>
              <w:rPr>
                <w:sz w:val="20"/>
                <w:szCs w:val="20"/>
                <w:color w:val="auto"/>
              </w:rPr>
            </w:pPr>
            <w:r>
              <w:rPr>
                <w:rFonts w:ascii="Times New Roman" w:cs="Times New Roman" w:eastAsia="Times New Roman" w:hAnsi="Times New Roman"/>
                <w:sz w:val="18"/>
                <w:szCs w:val="18"/>
                <w:color w:val="auto"/>
              </w:rPr>
              <w:t>66.5%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133%</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line="201" w:lineRule="exact"/>
              <w:rPr>
                <w:sz w:val="20"/>
                <w:szCs w:val="20"/>
                <w:color w:val="auto"/>
              </w:rPr>
            </w:pPr>
            <w:r>
              <w:rPr>
                <w:rFonts w:ascii="Times New Roman" w:cs="Times New Roman" w:eastAsia="Times New Roman" w:hAnsi="Times New Roman"/>
                <w:sz w:val="18"/>
                <w:szCs w:val="18"/>
                <w:color w:val="auto"/>
              </w:rPr>
              <w:t>200%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2025</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Plan Adjusted EBITDA</w:t>
            </w: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3,428</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3,732</w:t>
            </w:r>
          </w:p>
        </w:tc>
        <w:tc>
          <w:tcPr>
            <w:tcW w:w="2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3,844</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4"/>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2025</w:t>
            </w: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Medline Net Sales</w:t>
            </w:r>
          </w:p>
        </w:tc>
        <w:tc>
          <w:tcPr>
            <w:tcW w:w="1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26,017</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2"/>
              </w:rPr>
              <w:t>28,442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28,726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3"/>
        </w:trPr>
        <w:tc>
          <w:tcPr>
            <w:tcW w:w="5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Actual Attainment Percentage Performance Period</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343"/>
        </w:trPr>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177</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Mr. Drazin</w:t>
      </w:r>
    </w:p>
    <w:p>
      <w:pPr>
        <w:spacing w:after="0" w:line="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u w:val="single" w:color="auto"/>
          <w:color w:val="auto"/>
        </w:rPr>
        <w:t>Performance Period: January 1, 2025 - December 31, 2025 ($ in millions)</w:t>
      </w:r>
    </w:p>
    <w:p>
      <w:pPr>
        <w:spacing w:after="0" w:line="19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460" w:type="dxa"/>
            <w:vAlign w:val="bottom"/>
          </w:tcPr>
          <w:p>
            <w:pPr>
              <w:spacing w:after="0"/>
              <w:rPr>
                <w:sz w:val="13"/>
                <w:szCs w:val="13"/>
                <w:color w:val="auto"/>
              </w:rPr>
            </w:pPr>
          </w:p>
        </w:tc>
        <w:tc>
          <w:tcPr>
            <w:tcW w:w="7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Performance Goals</w:t>
            </w:r>
          </w:p>
        </w:tc>
        <w:tc>
          <w:tcPr>
            <w:tcW w:w="9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6"/>
              </w:rPr>
              <w:t>Weight</w:t>
            </w:r>
          </w:p>
        </w:tc>
        <w:tc>
          <w:tcPr>
            <w:tcW w:w="1200" w:type="dxa"/>
            <w:vAlign w:val="bottom"/>
            <w:gridSpan w:val="2"/>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w w:val="98"/>
              </w:rPr>
              <w:t>Threshold</w:t>
            </w:r>
            <w:r>
              <w:rPr>
                <w:rFonts w:ascii="Times New Roman" w:cs="Times New Roman" w:eastAsia="Times New Roman" w:hAnsi="Times New Roman"/>
                <w:sz w:val="10"/>
                <w:szCs w:val="10"/>
                <w:b w:val="1"/>
                <w:bCs w:val="1"/>
                <w:color w:val="auto"/>
                <w:w w:val="98"/>
              </w:rPr>
              <w:t>(3)</w:t>
            </w:r>
          </w:p>
        </w:tc>
        <w:tc>
          <w:tcPr>
            <w:tcW w:w="9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0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6"/>
              </w:rPr>
              <w:t>Maximum</w:t>
            </w:r>
          </w:p>
        </w:tc>
        <w:tc>
          <w:tcPr>
            <w:tcW w:w="72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gridSpan w:val="3"/>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Attainment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720" w:type="dxa"/>
            <w:vAlign w:val="bottom"/>
            <w:gridSpan w:val="3"/>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Attainment</w:t>
            </w:r>
          </w:p>
        </w:tc>
        <w:tc>
          <w:tcPr>
            <w:tcW w:w="460" w:type="dxa"/>
            <w:vAlign w:val="bottom"/>
          </w:tcPr>
          <w:p>
            <w:pPr>
              <w:spacing w:after="0"/>
              <w:rPr>
                <w:sz w:val="13"/>
                <w:szCs w:val="13"/>
                <w:color w:val="auto"/>
              </w:rPr>
            </w:pPr>
          </w:p>
        </w:tc>
        <w:tc>
          <w:tcPr>
            <w:tcW w:w="700" w:type="dxa"/>
            <w:vAlign w:val="bottom"/>
            <w:gridSpan w:val="3"/>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7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Attainment level percentage</w:t>
            </w: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line="201" w:lineRule="exact"/>
              <w:rPr>
                <w:sz w:val="20"/>
                <w:szCs w:val="20"/>
                <w:color w:val="auto"/>
              </w:rPr>
            </w:pPr>
            <w:r>
              <w:rPr>
                <w:rFonts w:ascii="Times New Roman" w:cs="Times New Roman" w:eastAsia="Times New Roman" w:hAnsi="Times New Roman"/>
                <w:sz w:val="18"/>
                <w:szCs w:val="18"/>
                <w:color w:val="auto"/>
                <w:w w:val="88"/>
              </w:rPr>
              <w:t>— </w:t>
            </w:r>
          </w:p>
        </w:tc>
        <w:tc>
          <w:tcPr>
            <w:tcW w:w="460" w:type="dxa"/>
            <w:vAlign w:val="bottom"/>
            <w:shd w:val="clear" w:color="auto" w:fill="CCEEFF"/>
          </w:tcPr>
          <w:p>
            <w:pPr>
              <w:jc w:val="right"/>
              <w:ind w:right="211"/>
              <w:spacing w:after="0" w:line="201" w:lineRule="exact"/>
              <w:rPr>
                <w:sz w:val="20"/>
                <w:szCs w:val="20"/>
                <w:color w:val="auto"/>
              </w:rPr>
            </w:pPr>
            <w:r>
              <w:rPr>
                <w:rFonts w:ascii="Times New Roman" w:cs="Times New Roman" w:eastAsia="Times New Roman" w:hAnsi="Times New Roman"/>
                <w:sz w:val="18"/>
                <w:szCs w:val="18"/>
                <w:color w:val="auto"/>
                <w:w w:val="93"/>
              </w:rPr>
              <w:t>%</w:t>
            </w:r>
          </w:p>
        </w:tc>
        <w:tc>
          <w:tcPr>
            <w:tcW w:w="960" w:type="dxa"/>
            <w:vAlign w:val="bottom"/>
            <w:gridSpan w:val="2"/>
            <w:shd w:val="clear" w:color="auto" w:fill="CCEEFF"/>
          </w:tcPr>
          <w:p>
            <w:pPr>
              <w:jc w:val="right"/>
              <w:ind w:right="320"/>
              <w:spacing w:after="0" w:line="201" w:lineRule="exact"/>
              <w:rPr>
                <w:sz w:val="20"/>
                <w:szCs w:val="20"/>
                <w:color w:val="auto"/>
              </w:rPr>
            </w:pPr>
            <w:r>
              <w:rPr>
                <w:rFonts w:ascii="Times New Roman" w:cs="Times New Roman" w:eastAsia="Times New Roman" w:hAnsi="Times New Roman"/>
                <w:sz w:val="18"/>
                <w:szCs w:val="18"/>
                <w:color w:val="auto"/>
              </w:rPr>
              <w:t>100%</w:t>
            </w:r>
          </w:p>
        </w:tc>
        <w:tc>
          <w:tcPr>
            <w:tcW w:w="1080" w:type="dxa"/>
            <w:vAlign w:val="bottom"/>
            <w:gridSpan w:val="2"/>
            <w:shd w:val="clear" w:color="auto" w:fill="CCEEFF"/>
          </w:tcPr>
          <w:p>
            <w:pPr>
              <w:jc w:val="right"/>
              <w:ind w:right="300"/>
              <w:spacing w:after="0" w:line="201" w:lineRule="exact"/>
              <w:rPr>
                <w:sz w:val="20"/>
                <w:szCs w:val="20"/>
                <w:color w:val="auto"/>
              </w:rPr>
            </w:pPr>
            <w:r>
              <w:rPr>
                <w:rFonts w:ascii="Times New Roman" w:cs="Times New Roman" w:eastAsia="Times New Roman" w:hAnsi="Times New Roman"/>
                <w:sz w:val="18"/>
                <w:szCs w:val="18"/>
                <w:color w:val="auto"/>
              </w:rPr>
              <w:t>150%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 Plan Adjusted EBITDA</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70%</w:t>
            </w:r>
          </w:p>
        </w:tc>
        <w:tc>
          <w:tcPr>
            <w:tcW w:w="1200" w:type="dxa"/>
            <w:vAlign w:val="bottom"/>
            <w:gridSpan w:val="2"/>
          </w:tcPr>
          <w:p>
            <w:pPr>
              <w:jc w:val="right"/>
              <w:ind w:right="371"/>
              <w:spacing w:after="0"/>
              <w:rPr>
                <w:sz w:val="20"/>
                <w:szCs w:val="20"/>
                <w:color w:val="auto"/>
              </w:rPr>
            </w:pPr>
            <w:r>
              <w:rPr>
                <w:rFonts w:ascii="Times New Roman" w:cs="Times New Roman" w:eastAsia="Times New Roman" w:hAnsi="Times New Roman"/>
                <w:sz w:val="18"/>
                <w:szCs w:val="18"/>
                <w:color w:val="auto"/>
              </w:rPr>
              <w:t>$   3,428</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$3,732</w:t>
            </w:r>
          </w:p>
        </w:tc>
        <w:tc>
          <w:tcPr>
            <w:tcW w:w="4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3,844</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tcPr>
          <w:p>
            <w:pPr>
              <w:jc w:val="center"/>
              <w:ind w:right="18"/>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96"/>
        </w:trPr>
        <w:tc>
          <w:tcPr>
            <w:tcW w:w="47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Finance Expense as a Percentage of Sales (excl. Bad Debt &amp;</w:t>
            </w: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700" w:type="dxa"/>
            <w:vAlign w:val="bottom"/>
            <w:gridSpan w:val="2"/>
            <w:shd w:val="clear" w:color="auto" w:fill="CCEEFF"/>
          </w:tcPr>
          <w:p>
            <w:pPr>
              <w:ind w:left="180"/>
              <w:spacing w:after="0" w:line="232" w:lineRule="exact"/>
              <w:rPr>
                <w:sz w:val="20"/>
                <w:szCs w:val="20"/>
                <w:color w:val="auto"/>
              </w:rPr>
            </w:pPr>
            <w:r>
              <w:rPr>
                <w:rFonts w:ascii="Times New Roman" w:cs="Times New Roman" w:eastAsia="Times New Roman" w:hAnsi="Times New Roman"/>
                <w:sz w:val="18"/>
                <w:szCs w:val="18"/>
                <w:color w:val="auto"/>
              </w:rPr>
              <w:t>Interest)</w:t>
            </w:r>
            <w:r>
              <w:rPr>
                <w:rFonts w:ascii="Times New Roman" w:cs="Times New Roman" w:eastAsia="Times New Roman" w:hAnsi="Times New Roman"/>
                <w:sz w:val="26"/>
                <w:szCs w:val="26"/>
                <w:color w:val="auto"/>
                <w:vertAlign w:val="superscript"/>
              </w:rPr>
              <w:t>(1)</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w:t>
            </w:r>
          </w:p>
        </w:tc>
        <w:tc>
          <w:tcPr>
            <w:tcW w:w="120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0.42%</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0.39%</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0.36%</w:t>
            </w:r>
          </w:p>
        </w:tc>
        <w:tc>
          <w:tcPr>
            <w:tcW w:w="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shd w:val="clear" w:color="auto" w:fill="CCEEFF"/>
          </w:tcPr>
          <w:p>
            <w:pPr>
              <w:jc w:val="center"/>
              <w:ind w:left="18"/>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46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79"/>
              </w:rPr>
              <w:t>%</w:t>
            </w:r>
          </w:p>
        </w:tc>
        <w:tc>
          <w:tcPr>
            <w:tcW w:w="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4"/>
        </w:trPr>
        <w:tc>
          <w:tcPr>
            <w:tcW w:w="4700" w:type="dxa"/>
            <w:vAlign w:val="bottom"/>
            <w:gridSpan w:val="2"/>
          </w:tcPr>
          <w:p>
            <w:pPr>
              <w:spacing w:after="0" w:line="214" w:lineRule="exact"/>
              <w:rPr>
                <w:sz w:val="20"/>
                <w:szCs w:val="20"/>
                <w:color w:val="auto"/>
              </w:rPr>
            </w:pPr>
            <w:r>
              <w:rPr>
                <w:rFonts w:ascii="Times New Roman" w:cs="Times New Roman" w:eastAsia="Times New Roman" w:hAnsi="Times New Roman"/>
                <w:sz w:val="17"/>
                <w:szCs w:val="17"/>
                <w:color w:val="auto"/>
              </w:rPr>
              <w:t>Percentage of Accounts Receivable over 30 days past due</w:t>
            </w:r>
            <w:r>
              <w:rPr>
                <w:rFonts w:ascii="Times New Roman" w:cs="Times New Roman" w:eastAsia="Times New Roman" w:hAnsi="Times New Roman"/>
                <w:sz w:val="24"/>
                <w:szCs w:val="24"/>
                <w:color w:val="auto"/>
                <w:vertAlign w:val="superscript"/>
              </w:rPr>
              <w:t>(2)</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w:t>
            </w:r>
          </w:p>
        </w:tc>
        <w:tc>
          <w:tcPr>
            <w:tcW w:w="120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4.00%</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2.50%</w:t>
            </w:r>
          </w:p>
        </w:tc>
        <w:tc>
          <w:tcPr>
            <w:tcW w:w="28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jc w:val="center"/>
              <w:ind w:left="18"/>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4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79"/>
              </w:rPr>
              <w:t>%</w:t>
            </w:r>
          </w:p>
        </w:tc>
        <w:tc>
          <w:tcPr>
            <w:tcW w:w="2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Actual Attainment Percentage Performance Period</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5" w:lineRule="exact"/>
        <w:rPr>
          <w:sz w:val="20"/>
          <w:szCs w:val="20"/>
          <w:color w:val="auto"/>
        </w:rPr>
      </w:pPr>
    </w:p>
    <w:p>
      <w:pPr>
        <w:ind w:left="600" w:hanging="433"/>
        <w:spacing w:after="0"/>
        <w:tabs>
          <w:tab w:leader="none" w:pos="6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Drazin, Finance Expense as a Percent of Sales (excl. Bad Debt &amp; Interest) measures the performance of controllable U.S. finance expenses .</w:t>
      </w:r>
    </w:p>
    <w:p>
      <w:pPr>
        <w:spacing w:after="0" w:line="2" w:lineRule="exact"/>
        <w:rPr>
          <w:rFonts w:ascii="Times New Roman" w:cs="Times New Roman" w:eastAsia="Times New Roman" w:hAnsi="Times New Roman"/>
          <w:sz w:val="14"/>
          <w:szCs w:val="14"/>
          <w:color w:val="auto"/>
        </w:rPr>
      </w:pPr>
    </w:p>
    <w:p>
      <w:pPr>
        <w:ind w:left="600" w:hanging="433"/>
        <w:spacing w:after="0" w:line="219" w:lineRule="auto"/>
        <w:tabs>
          <w:tab w:leader="none" w:pos="6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Drazin, Percentage of Accounts Receivable over 30 days past due measures the amount of invoice dollars that are outstanding for more than 30 days from their due date.</w:t>
      </w:r>
    </w:p>
    <w:p>
      <w:pPr>
        <w:ind w:left="600" w:right="240" w:hanging="433"/>
        <w:spacing w:after="0" w:line="235" w:lineRule="auto"/>
        <w:tabs>
          <w:tab w:leader="none" w:pos="6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Drazin, threshold performance for 2025 Plan Adjusted EBITDA results in 50% payout for that metric, while threshold performance for Finance Expense as a Percentage of Sales (excl. Bad Debt &amp; Interest) and Percentage of Accounts Receivable over 30 days past due results in 0% payout for those metrics.</w:t>
      </w:r>
    </w:p>
    <w:p>
      <w:pPr>
        <w:spacing w:after="0" w:line="17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Mr. Pigott</w:t>
      </w:r>
    </w:p>
    <w:p>
      <w:pPr>
        <w:spacing w:after="0" w:line="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520" w:type="dxa"/>
            <w:vAlign w:val="bottom"/>
            <w:gridSpan w:val="9"/>
          </w:tcPr>
          <w:p>
            <w:pPr>
              <w:jc w:val="right"/>
              <w:spacing w:after="0"/>
              <w:rPr>
                <w:sz w:val="20"/>
                <w:szCs w:val="20"/>
                <w:color w:val="auto"/>
              </w:rPr>
            </w:pPr>
            <w:r>
              <w:rPr>
                <w:rFonts w:ascii="Times New Roman" w:cs="Times New Roman" w:eastAsia="Times New Roman" w:hAnsi="Times New Roman"/>
                <w:sz w:val="14"/>
                <w:szCs w:val="14"/>
                <w:color w:val="auto"/>
              </w:rPr>
              <w:t xml:space="preserve">Performance Period: January 1, 2025 - December 31, 2025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7"/>
        </w:trPr>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7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Performance Goals</w:t>
            </w:r>
          </w:p>
        </w:tc>
        <w:tc>
          <w:tcPr>
            <w:tcW w:w="1380" w:type="dxa"/>
            <w:vAlign w:val="bottom"/>
          </w:tcPr>
          <w:p>
            <w:pPr>
              <w:spacing w:after="0"/>
              <w:rPr>
                <w:sz w:val="12"/>
                <w:szCs w:val="12"/>
                <w:color w:val="auto"/>
              </w:rPr>
            </w:pPr>
          </w:p>
        </w:tc>
        <w:tc>
          <w:tcPr>
            <w:tcW w:w="7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6"/>
              </w:rPr>
              <w:t>Weight</w:t>
            </w:r>
          </w:p>
        </w:tc>
        <w:tc>
          <w:tcPr>
            <w:tcW w:w="16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60" w:type="dxa"/>
            <w:vAlign w:val="bottom"/>
            <w:gridSpan w:val="4"/>
            <w:vMerge w:val="continue"/>
          </w:tcPr>
          <w:p>
            <w:pPr>
              <w:spacing w:after="0"/>
              <w:rPr>
                <w:sz w:val="12"/>
                <w:szCs w:val="12"/>
                <w:color w:val="auto"/>
              </w:rPr>
            </w:pPr>
          </w:p>
        </w:tc>
        <w:tc>
          <w:tcPr>
            <w:tcW w:w="700" w:type="dxa"/>
            <w:vAlign w:val="bottom"/>
            <w:gridSpan w:val="3"/>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Attainment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360" w:type="dxa"/>
            <w:vAlign w:val="bottom"/>
            <w:gridSpan w:val="3"/>
            <w:vMerge w:val="continue"/>
          </w:tcPr>
          <w:p>
            <w:pPr>
              <w:spacing w:after="0"/>
              <w:rPr>
                <w:sz w:val="13"/>
                <w:szCs w:val="13"/>
                <w:color w:val="auto"/>
              </w:rPr>
            </w:pPr>
          </w:p>
        </w:tc>
        <w:tc>
          <w:tcPr>
            <w:tcW w:w="13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1060" w:type="dxa"/>
            <w:vAlign w:val="bottom"/>
            <w:gridSpan w:val="4"/>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Attainment</w:t>
            </w:r>
          </w:p>
        </w:tc>
        <w:tc>
          <w:tcPr>
            <w:tcW w:w="700" w:type="dxa"/>
            <w:vAlign w:val="bottom"/>
            <w:gridSpan w:val="3"/>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shd w:val="clear" w:color="auto" w:fill="000000"/>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36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Attainment level percentage</w:t>
            </w:r>
          </w:p>
        </w:tc>
        <w:tc>
          <w:tcPr>
            <w:tcW w:w="1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1" w:lineRule="exact"/>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100%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line="201" w:lineRule="exact"/>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2025</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Plan Adjusted EBITDA</w:t>
            </w:r>
          </w:p>
        </w:tc>
        <w:tc>
          <w:tcPr>
            <w:tcW w:w="2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3,428</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3,732</w:t>
            </w:r>
          </w:p>
        </w:tc>
        <w:tc>
          <w:tcPr>
            <w:tcW w:w="2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3,844</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4"/>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2025</w:t>
            </w: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Medline Net Sales</w:t>
            </w:r>
          </w:p>
        </w:tc>
        <w:tc>
          <w:tcPr>
            <w:tcW w:w="2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26,017</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2"/>
              </w:rPr>
              <w:t>28,442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28,726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3"/>
        </w:trPr>
        <w:tc>
          <w:tcPr>
            <w:tcW w:w="5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Actual Attainment Percentage Performance Period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Mr. Golwas</w:t>
      </w:r>
    </w:p>
    <w:p>
      <w:pPr>
        <w:spacing w:after="0" w:line="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u w:val="single" w:color="auto"/>
          <w:color w:val="auto"/>
        </w:rPr>
        <w:t>Performance Period: January 1, 2025 - December 31, 2025 ($ in millions)</w:t>
      </w:r>
    </w:p>
    <w:p>
      <w:pPr>
        <w:spacing w:after="0" w:line="19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gridSpan w:val="4"/>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7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Performance Goals</w:t>
            </w:r>
          </w:p>
        </w:tc>
        <w:tc>
          <w:tcPr>
            <w:tcW w:w="7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6"/>
              </w:rPr>
              <w:t>Weight</w:t>
            </w:r>
          </w:p>
        </w:tc>
        <w:tc>
          <w:tcPr>
            <w:tcW w:w="140" w:type="dxa"/>
            <w:vAlign w:val="bottom"/>
          </w:tcPr>
          <w:p>
            <w:pPr>
              <w:spacing w:after="0"/>
              <w:rPr>
                <w:sz w:val="12"/>
                <w:szCs w:val="12"/>
                <w:color w:val="auto"/>
              </w:rPr>
            </w:pPr>
          </w:p>
        </w:tc>
        <w:tc>
          <w:tcPr>
            <w:tcW w:w="1200" w:type="dxa"/>
            <w:vAlign w:val="bottom"/>
            <w:gridSpan w:val="2"/>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Threshold</w:t>
            </w:r>
            <w:r>
              <w:rPr>
                <w:rFonts w:ascii="Times New Roman" w:cs="Times New Roman" w:eastAsia="Times New Roman" w:hAnsi="Times New Roman"/>
                <w:sz w:val="10"/>
                <w:szCs w:val="10"/>
                <w:b w:val="1"/>
                <w:bCs w:val="1"/>
                <w:color w:val="auto"/>
              </w:rPr>
              <w:t>(2)</w:t>
            </w:r>
          </w:p>
        </w:tc>
        <w:tc>
          <w:tcPr>
            <w:tcW w:w="8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60" w:type="dxa"/>
            <w:vAlign w:val="bottom"/>
          </w:tcPr>
          <w:p>
            <w:pPr>
              <w:spacing w:after="0"/>
              <w:rPr>
                <w:sz w:val="12"/>
                <w:szCs w:val="12"/>
                <w:color w:val="auto"/>
              </w:rPr>
            </w:pPr>
          </w:p>
        </w:tc>
        <w:tc>
          <w:tcPr>
            <w:tcW w:w="11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140" w:type="dxa"/>
            <w:vAlign w:val="bottom"/>
            <w:gridSpan w:val="4"/>
            <w:vMerge w:val="continue"/>
          </w:tcPr>
          <w:p>
            <w:pPr>
              <w:spacing w:after="0"/>
              <w:rPr>
                <w:sz w:val="12"/>
                <w:szCs w:val="12"/>
                <w:color w:val="auto"/>
              </w:rPr>
            </w:pPr>
          </w:p>
        </w:tc>
        <w:tc>
          <w:tcPr>
            <w:tcW w:w="700" w:type="dxa"/>
            <w:vAlign w:val="bottom"/>
            <w:gridSpan w:val="3"/>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Attainment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2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140" w:type="dxa"/>
            <w:vAlign w:val="bottom"/>
            <w:gridSpan w:val="4"/>
          </w:tcPr>
          <w:p>
            <w:pPr>
              <w:jc w:val="center"/>
              <w:ind w:right="480"/>
              <w:spacing w:after="0" w:line="159" w:lineRule="exact"/>
              <w:rPr>
                <w:sz w:val="20"/>
                <w:szCs w:val="20"/>
                <w:color w:val="auto"/>
              </w:rPr>
            </w:pPr>
            <w:r>
              <w:rPr>
                <w:rFonts w:ascii="Times New Roman" w:cs="Times New Roman" w:eastAsia="Times New Roman" w:hAnsi="Times New Roman"/>
                <w:sz w:val="14"/>
                <w:szCs w:val="14"/>
                <w:b w:val="1"/>
                <w:bCs w:val="1"/>
                <w:color w:val="auto"/>
              </w:rPr>
              <w:t>attainment</w:t>
            </w:r>
          </w:p>
        </w:tc>
        <w:tc>
          <w:tcPr>
            <w:tcW w:w="700" w:type="dxa"/>
            <w:vAlign w:val="bottom"/>
            <w:gridSpan w:val="3"/>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7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Attainment level percentage</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ind w:right="211"/>
              <w:spacing w:after="0" w:line="201" w:lineRule="exact"/>
              <w:rPr>
                <w:sz w:val="20"/>
                <w:szCs w:val="20"/>
                <w:color w:val="auto"/>
              </w:rPr>
            </w:pPr>
            <w:r>
              <w:rPr>
                <w:rFonts w:ascii="Times New Roman" w:cs="Times New Roman" w:eastAsia="Times New Roman" w:hAnsi="Times New Roman"/>
                <w:sz w:val="18"/>
                <w:szCs w:val="18"/>
                <w:color w:val="auto"/>
                <w:w w:val="79"/>
              </w:rPr>
              <w:t>%</w:t>
            </w:r>
          </w:p>
        </w:tc>
        <w:tc>
          <w:tcPr>
            <w:tcW w:w="800" w:type="dxa"/>
            <w:vAlign w:val="bottom"/>
            <w:gridSpan w:val="2"/>
            <w:shd w:val="clear" w:color="auto" w:fill="CCEEFF"/>
          </w:tcPr>
          <w:p>
            <w:pPr>
              <w:jc w:val="right"/>
              <w:ind w:right="140"/>
              <w:spacing w:after="0" w:line="201" w:lineRule="exact"/>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line="201" w:lineRule="exact"/>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Adjusted Gross Margin less Expense Year over Year Growth</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720" w:type="dxa"/>
            <w:vAlign w:val="bottom"/>
            <w:gridSpan w:val="2"/>
          </w:tcPr>
          <w:p>
            <w:pPr>
              <w:ind w:left="180"/>
              <w:spacing w:after="0" w:line="232" w:lineRule="exact"/>
              <w:rPr>
                <w:sz w:val="20"/>
                <w:szCs w:val="20"/>
                <w:color w:val="auto"/>
              </w:rPr>
            </w:pPr>
            <w:r>
              <w:rPr>
                <w:rFonts w:ascii="Times New Roman" w:cs="Times New Roman" w:eastAsia="Times New Roman" w:hAnsi="Times New Roman"/>
                <w:sz w:val="18"/>
                <w:szCs w:val="18"/>
                <w:color w:val="auto"/>
              </w:rPr>
              <w:t>Commercial</w:t>
            </w:r>
            <w:r>
              <w:rPr>
                <w:rFonts w:ascii="Times New Roman" w:cs="Times New Roman" w:eastAsia="Times New Roman" w:hAnsi="Times New Roman"/>
                <w:sz w:val="26"/>
                <w:szCs w:val="26"/>
                <w:color w:val="auto"/>
                <w:vertAlign w:val="superscript"/>
              </w:rPr>
              <w:t>(1)</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1340" w:type="dxa"/>
            <w:vAlign w:val="bottom"/>
            <w:gridSpan w:val="3"/>
          </w:tcPr>
          <w:p>
            <w:pPr>
              <w:jc w:val="right"/>
              <w:ind w:right="211"/>
              <w:spacing w:after="0"/>
              <w:rPr>
                <w:sz w:val="20"/>
                <w:szCs w:val="20"/>
                <w:color w:val="auto"/>
              </w:rPr>
            </w:pPr>
            <w:r>
              <w:rPr>
                <w:rFonts w:ascii="Times New Roman" w:cs="Times New Roman" w:eastAsia="Times New Roman" w:hAnsi="Times New Roman"/>
                <w:sz w:val="18"/>
                <w:szCs w:val="18"/>
                <w:color w:val="auto"/>
              </w:rPr>
              <w:t>2.75%</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8.75%</w:t>
            </w: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15.75%</w:t>
            </w:r>
          </w:p>
        </w:tc>
        <w:tc>
          <w:tcPr>
            <w:tcW w:w="24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4"/>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Plan Adjusted EBITDA</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3,428</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$3,732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3,844</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7"/>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Actual Attainment Percentage Performance Period</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78740</wp:posOffset>
            </wp:positionV>
            <wp:extent cx="76454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22" w:lineRule="exact"/>
        <w:rPr>
          <w:sz w:val="20"/>
          <w:szCs w:val="20"/>
          <w:color w:val="auto"/>
        </w:rPr>
      </w:pPr>
    </w:p>
    <w:p>
      <w:pPr>
        <w:ind w:left="600" w:right="640" w:hanging="433"/>
        <w:spacing w:after="0" w:line="231" w:lineRule="auto"/>
        <w:tabs>
          <w:tab w:leader="none" w:pos="60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Golwas, Adjusted Gross Margin less Expense Year over Year Growth Commercial measures U.S. sales office contribution margin excluding retail growth measures, inventoriable costs and controllable expenses.</w:t>
      </w:r>
    </w:p>
    <w:p>
      <w:pPr>
        <w:ind w:left="600" w:right="20" w:hanging="433"/>
        <w:spacing w:after="0" w:line="235" w:lineRule="auto"/>
        <w:tabs>
          <w:tab w:leader="none" w:pos="60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Golwas, threshold performance for Adjusted Gross Margin less Expense Year over Year Growth Commercial results in 0% payout for that metric, while threshold performance for 2025 Plan Adjusted EBITDA results in 50% payout for that metric.</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080"/>
          </w:cols>
          <w:pgMar w:left="320" w:top="452" w:right="4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80" w:firstLine="436"/>
        <w:spacing w:after="0" w:line="254" w:lineRule="auto"/>
        <w:rPr>
          <w:sz w:val="20"/>
          <w:szCs w:val="20"/>
          <w:color w:val="auto"/>
        </w:rPr>
      </w:pPr>
      <w:r>
        <w:rPr>
          <w:rFonts w:ascii="Times New Roman" w:cs="Times New Roman" w:eastAsia="Times New Roman" w:hAnsi="Times New Roman"/>
          <w:sz w:val="18"/>
          <w:szCs w:val="18"/>
          <w:color w:val="auto"/>
        </w:rPr>
        <w:t>Mr. Golwas’s 2025 AIP opportunity included a “net bad debt” modifier, pursuant to which net bad debt in excess of 0.6% of sales for Acute Care and/or 0.8% for Post-Acute is charged to cost of goods sold for purposes of calculating the growth performance metric applicable to Mr. Golwas. In addition, Mr. Golwas’s AIP opportunity also included an “expense modifier,” which provided that Mr. Golwas’s AIP bonus payout would be lowered or raised $3,000 for each 10 basis point increase or decrease in total selling expense growth above or below 85% of Commercial Sales Expense Growth, respectively, subject to a cap of $25,000. However, the modifier cannot cause Mr. Golwas’s AIP bonus payout to exceed his maximum payout opportunity, which is set at 150% of his base salary.</w:t>
      </w:r>
    </w:p>
    <w:p>
      <w:pPr>
        <w:spacing w:after="0" w:line="3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Mr. Miller</w:t>
      </w:r>
    </w:p>
    <w:p>
      <w:pPr>
        <w:spacing w:after="0" w:line="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520" w:type="dxa"/>
            <w:vAlign w:val="bottom"/>
            <w:gridSpan w:val="9"/>
          </w:tcPr>
          <w:p>
            <w:pPr>
              <w:jc w:val="right"/>
              <w:spacing w:after="0"/>
              <w:rPr>
                <w:sz w:val="20"/>
                <w:szCs w:val="20"/>
                <w:color w:val="auto"/>
              </w:rPr>
            </w:pPr>
            <w:r>
              <w:rPr>
                <w:rFonts w:ascii="Times New Roman" w:cs="Times New Roman" w:eastAsia="Times New Roman" w:hAnsi="Times New Roman"/>
                <w:sz w:val="14"/>
                <w:szCs w:val="14"/>
                <w:color w:val="auto"/>
              </w:rPr>
              <w:t xml:space="preserve">Performance Period: January 1, 2025 - December 31, 2025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7"/>
        </w:trPr>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7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Performance Goals</w:t>
            </w:r>
          </w:p>
        </w:tc>
        <w:tc>
          <w:tcPr>
            <w:tcW w:w="1380" w:type="dxa"/>
            <w:vAlign w:val="bottom"/>
          </w:tcPr>
          <w:p>
            <w:pPr>
              <w:spacing w:after="0"/>
              <w:rPr>
                <w:sz w:val="12"/>
                <w:szCs w:val="12"/>
                <w:color w:val="auto"/>
              </w:rPr>
            </w:pPr>
          </w:p>
        </w:tc>
        <w:tc>
          <w:tcPr>
            <w:tcW w:w="7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6"/>
              </w:rPr>
              <w:t>Weight</w:t>
            </w:r>
          </w:p>
        </w:tc>
        <w:tc>
          <w:tcPr>
            <w:tcW w:w="16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60" w:type="dxa"/>
            <w:vAlign w:val="bottom"/>
            <w:gridSpan w:val="4"/>
            <w:vMerge w:val="continue"/>
          </w:tcPr>
          <w:p>
            <w:pPr>
              <w:spacing w:after="0"/>
              <w:rPr>
                <w:sz w:val="12"/>
                <w:szCs w:val="12"/>
                <w:color w:val="auto"/>
              </w:rPr>
            </w:pPr>
          </w:p>
        </w:tc>
        <w:tc>
          <w:tcPr>
            <w:tcW w:w="700" w:type="dxa"/>
            <w:vAlign w:val="bottom"/>
            <w:gridSpan w:val="3"/>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Attainment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360" w:type="dxa"/>
            <w:vAlign w:val="bottom"/>
            <w:gridSpan w:val="3"/>
            <w:vMerge w:val="continue"/>
          </w:tcPr>
          <w:p>
            <w:pPr>
              <w:spacing w:after="0"/>
              <w:rPr>
                <w:sz w:val="13"/>
                <w:szCs w:val="13"/>
                <w:color w:val="auto"/>
              </w:rPr>
            </w:pPr>
          </w:p>
        </w:tc>
        <w:tc>
          <w:tcPr>
            <w:tcW w:w="13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1060" w:type="dxa"/>
            <w:vAlign w:val="bottom"/>
            <w:gridSpan w:val="4"/>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Attainment</w:t>
            </w:r>
          </w:p>
        </w:tc>
        <w:tc>
          <w:tcPr>
            <w:tcW w:w="700" w:type="dxa"/>
            <w:vAlign w:val="bottom"/>
            <w:gridSpan w:val="3"/>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shd w:val="clear" w:color="auto" w:fill="000000"/>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36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Attainment level percentage</w:t>
            </w:r>
          </w:p>
        </w:tc>
        <w:tc>
          <w:tcPr>
            <w:tcW w:w="1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1" w:lineRule="exact"/>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100%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line="201" w:lineRule="exact"/>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2025</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Plan Adjusted EBITDA</w:t>
            </w:r>
          </w:p>
        </w:tc>
        <w:tc>
          <w:tcPr>
            <w:tcW w:w="2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3,428</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3,732</w:t>
            </w:r>
          </w:p>
        </w:tc>
        <w:tc>
          <w:tcPr>
            <w:tcW w:w="2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3,844</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4"/>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2025</w:t>
            </w: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Medline Net Sales</w:t>
            </w:r>
          </w:p>
        </w:tc>
        <w:tc>
          <w:tcPr>
            <w:tcW w:w="2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26,017</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2"/>
              </w:rPr>
              <w:t>28,442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28,726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7"/>
        </w:trPr>
        <w:tc>
          <w:tcPr>
            <w:tcW w:w="55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Actual Attainment Percentage Performance Period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Actual amounts paid under the AIP are calculated by multiplying each named executive officer’s base salary earned and paid in fiscal year 2025 by (i) his AIP target annual cash incentive opportunity (which is reflected as a percentage of eligible base salary), and (ii) the executive’s AIP attainment percentage. The following table illustrates the calculations of the AIP awards under the 2025 AIP based on 2025 performance.</w:t>
      </w:r>
    </w:p>
    <w:p>
      <w:pPr>
        <w:spacing w:after="0" w:line="18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9"/>
              </w:rPr>
              <w:t>Target AIP</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AIP</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Eligible Base</w:t>
            </w:r>
          </w:p>
        </w:tc>
        <w:tc>
          <w:tcPr>
            <w:tcW w:w="1180" w:type="dxa"/>
            <w:vAlign w:val="bottom"/>
            <w:gridSpan w:val="2"/>
          </w:tcPr>
          <w:p>
            <w:pPr>
              <w:jc w:val="center"/>
              <w:ind w:right="500"/>
              <w:spacing w:after="0" w:line="147" w:lineRule="exact"/>
              <w:rPr>
                <w:sz w:val="20"/>
                <w:szCs w:val="20"/>
                <w:color w:val="auto"/>
              </w:rPr>
            </w:pPr>
            <w:r>
              <w:rPr>
                <w:rFonts w:ascii="Times New Roman" w:cs="Times New Roman" w:eastAsia="Times New Roman" w:hAnsi="Times New Roman"/>
                <w:sz w:val="14"/>
                <w:szCs w:val="14"/>
                <w:b w:val="1"/>
                <w:bCs w:val="1"/>
                <w:color w:val="auto"/>
              </w:rPr>
              <w:t>Award (%</w:t>
            </w:r>
          </w:p>
        </w:tc>
        <w:tc>
          <w:tcPr>
            <w:tcW w:w="11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Target AIP</w:t>
            </w:r>
          </w:p>
        </w:tc>
        <w:tc>
          <w:tcPr>
            <w:tcW w:w="22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60" w:type="dxa"/>
            <w:vAlign w:val="bottom"/>
            <w:gridSpan w:val="3"/>
            <w:vMerge w:val="continue"/>
          </w:tcPr>
          <w:p>
            <w:pPr>
              <w:spacing w:after="0"/>
              <w:rPr>
                <w:sz w:val="12"/>
                <w:szCs w:val="12"/>
                <w:color w:val="auto"/>
              </w:rPr>
            </w:pPr>
          </w:p>
        </w:tc>
        <w:tc>
          <w:tcPr>
            <w:tcW w:w="1180" w:type="dxa"/>
            <w:vAlign w:val="bottom"/>
            <w:gridSpan w:val="2"/>
          </w:tcPr>
          <w:p>
            <w:pPr>
              <w:jc w:val="center"/>
              <w:ind w:right="500"/>
              <w:spacing w:after="0" w:line="147" w:lineRule="exact"/>
              <w:rPr>
                <w:sz w:val="20"/>
                <w:szCs w:val="20"/>
                <w:color w:val="auto"/>
              </w:rPr>
            </w:pPr>
            <w:r>
              <w:rPr>
                <w:rFonts w:ascii="Times New Roman" w:cs="Times New Roman" w:eastAsia="Times New Roman" w:hAnsi="Times New Roman"/>
                <w:sz w:val="14"/>
                <w:szCs w:val="14"/>
                <w:b w:val="1"/>
                <w:bCs w:val="1"/>
                <w:color w:val="auto"/>
              </w:rPr>
              <w:t>of Base</w:t>
            </w:r>
          </w:p>
        </w:tc>
        <w:tc>
          <w:tcPr>
            <w:tcW w:w="1160" w:type="dxa"/>
            <w:vAlign w:val="bottom"/>
            <w:gridSpan w:val="3"/>
            <w:vMerge w:val="continue"/>
          </w:tcPr>
          <w:p>
            <w:pPr>
              <w:spacing w:after="0"/>
              <w:rPr>
                <w:sz w:val="12"/>
                <w:szCs w:val="12"/>
                <w:color w:val="auto"/>
              </w:rPr>
            </w:pPr>
          </w:p>
        </w:tc>
        <w:tc>
          <w:tcPr>
            <w:tcW w:w="720" w:type="dxa"/>
            <w:vAlign w:val="bottom"/>
            <w:gridSpan w:val="3"/>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Attainment</w:t>
            </w:r>
          </w:p>
        </w:tc>
        <w:tc>
          <w:tcPr>
            <w:tcW w:w="480" w:type="dxa"/>
            <w:vAlign w:val="bottom"/>
          </w:tcPr>
          <w:p>
            <w:pPr>
              <w:spacing w:after="0"/>
              <w:rPr>
                <w:sz w:val="12"/>
                <w:szCs w:val="12"/>
                <w:color w:val="auto"/>
              </w:rPr>
            </w:pPr>
          </w:p>
        </w:tc>
        <w:tc>
          <w:tcPr>
            <w:tcW w:w="740" w:type="dxa"/>
            <w:vAlign w:val="bottom"/>
            <w:gridSpan w:val="4"/>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0" w:type="dxa"/>
            <w:vAlign w:val="bottom"/>
          </w:tcPr>
          <w:p>
            <w:pPr>
              <w:spacing w:after="0"/>
              <w:rPr>
                <w:sz w:val="1"/>
                <w:szCs w:val="1"/>
                <w:color w:val="auto"/>
              </w:rPr>
            </w:pPr>
          </w:p>
        </w:tc>
      </w:tr>
      <w:tr>
        <w:trPr>
          <w:trHeight w:val="158"/>
        </w:trPr>
        <w:tc>
          <w:tcPr>
            <w:tcW w:w="54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Salary ($)</w:t>
            </w:r>
          </w:p>
        </w:tc>
        <w:tc>
          <w:tcPr>
            <w:tcW w:w="1180" w:type="dxa"/>
            <w:vAlign w:val="bottom"/>
            <w:gridSpan w:val="2"/>
          </w:tcPr>
          <w:p>
            <w:pPr>
              <w:jc w:val="center"/>
              <w:ind w:right="500"/>
              <w:spacing w:after="0" w:line="159" w:lineRule="exact"/>
              <w:rPr>
                <w:sz w:val="20"/>
                <w:szCs w:val="20"/>
                <w:color w:val="auto"/>
              </w:rPr>
            </w:pPr>
            <w:r>
              <w:rPr>
                <w:rFonts w:ascii="Times New Roman" w:cs="Times New Roman" w:eastAsia="Times New Roman" w:hAnsi="Times New Roman"/>
                <w:sz w:val="14"/>
                <w:szCs w:val="14"/>
                <w:b w:val="1"/>
                <w:bCs w:val="1"/>
                <w:color w:val="auto"/>
              </w:rPr>
              <w:t>Salary)</w:t>
            </w:r>
          </w:p>
        </w:tc>
        <w:tc>
          <w:tcPr>
            <w:tcW w:w="1160" w:type="dxa"/>
            <w:vAlign w:val="bottom"/>
            <w:gridSpan w:val="3"/>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Opportunity</w:t>
            </w:r>
          </w:p>
        </w:tc>
        <w:tc>
          <w:tcPr>
            <w:tcW w:w="720" w:type="dxa"/>
            <w:vAlign w:val="bottom"/>
            <w:gridSpan w:val="3"/>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4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James M. Boyle</w:t>
            </w:r>
          </w:p>
        </w:tc>
        <w:tc>
          <w:tcPr>
            <w:tcW w:w="1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w w:val="97"/>
              </w:rPr>
              <w:t>1,250,000</w:t>
            </w: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line="201" w:lineRule="exact"/>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w w:val="97"/>
              </w:rPr>
              <w:t>1,662,500</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color w:val="auto"/>
                <w:w w:val="88"/>
              </w:rPr>
              <w:t> </w:t>
            </w:r>
          </w:p>
        </w:tc>
        <w:tc>
          <w:tcPr>
            <w:tcW w:w="480" w:type="dxa"/>
            <w:vAlign w:val="bottom"/>
            <w:shd w:val="clear" w:color="auto" w:fill="CCEEFF"/>
          </w:tcPr>
          <w:p>
            <w:pPr>
              <w:jc w:val="right"/>
              <w:ind w:right="251"/>
              <w:spacing w:after="0" w:line="201" w:lineRule="exact"/>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shd w:val="clear" w:color="auto" w:fill="CCEEFF"/>
          </w:tcPr>
          <w:p>
            <w:pPr>
              <w:ind w:left="80"/>
              <w:spacing w:after="0" w:line="201" w:lineRule="exact"/>
              <w:rPr>
                <w:sz w:val="20"/>
                <w:szCs w:val="20"/>
                <w:color w:val="auto"/>
              </w:rPr>
            </w:pPr>
            <w:r>
              <w:rPr>
                <w:rFonts w:ascii="Times New Roman" w:cs="Times New Roman" w:eastAsia="Times New Roman" w:hAnsi="Times New Roman"/>
                <w:sz w:val="18"/>
                <w:szCs w:val="18"/>
                <w:color w:val="auto"/>
                <w:w w:val="77"/>
              </w:rPr>
              <w:t> </w:t>
            </w:r>
          </w:p>
        </w:tc>
        <w:tc>
          <w:tcPr>
            <w:tcW w:w="24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B. Drazin</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810,000</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810,000</w:t>
            </w:r>
          </w:p>
        </w:tc>
        <w:tc>
          <w:tcPr>
            <w:tcW w:w="220" w:type="dxa"/>
            <w:vAlign w:val="bottom"/>
          </w:tcPr>
          <w:p>
            <w:pPr>
              <w:ind w:left="18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tcPr>
          <w:p>
            <w:pPr>
              <w:jc w:val="center"/>
              <w:ind w:left="1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4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Pigott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1,100,000</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1,100,000</w:t>
            </w:r>
          </w:p>
        </w:tc>
        <w:tc>
          <w:tcPr>
            <w:tcW w:w="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48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P. Golwas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800,000</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800,000</w:t>
            </w:r>
          </w:p>
        </w:tc>
        <w:tc>
          <w:tcPr>
            <w:tcW w:w="220" w:type="dxa"/>
            <w:vAlign w:val="bottom"/>
          </w:tcPr>
          <w:p>
            <w:pPr>
              <w:ind w:left="18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tcPr>
          <w:p>
            <w:pPr>
              <w:jc w:val="center"/>
              <w:ind w:left="1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4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L. Miller</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800,000</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800,000</w:t>
            </w:r>
          </w:p>
        </w:tc>
        <w:tc>
          <w:tcPr>
            <w:tcW w:w="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48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Long-Term Equity Incentive Compensation</w:t>
      </w:r>
    </w:p>
    <w:p>
      <w:pPr>
        <w:spacing w:after="0" w:line="118" w:lineRule="exact"/>
        <w:rPr>
          <w:sz w:val="20"/>
          <w:szCs w:val="20"/>
          <w:color w:val="auto"/>
        </w:rPr>
      </w:pPr>
    </w:p>
    <w:p>
      <w:pPr>
        <w:ind w:left="160" w:right="80" w:firstLine="436"/>
        <w:spacing w:after="0" w:line="252" w:lineRule="auto"/>
        <w:rPr>
          <w:sz w:val="20"/>
          <w:szCs w:val="20"/>
          <w:color w:val="auto"/>
        </w:rPr>
      </w:pPr>
      <w:r>
        <w:rPr>
          <w:rFonts w:ascii="Times New Roman" w:cs="Times New Roman" w:eastAsia="Times New Roman" w:hAnsi="Times New Roman"/>
          <w:sz w:val="18"/>
          <w:szCs w:val="18"/>
          <w:color w:val="auto"/>
        </w:rPr>
        <w:t>In 2021, following our acquisition by Blackstone, Carlyle, and H&amp;F (our “Sponsors”), certain key executives, including the Named Executive Officers, were granted long-term equity incentive awards designed to promote our interests and incentivize them to remain in our service. These long-term equity incentive awards were initially granted in the form of Class B Units in Medline Management Aggregator LLC (the “Aggregator”) under the Medline Management Aggregator LLC Equity Incentive Plan, which we refer to as the “MIP.” In connection with Medline’s initial public offering, the Class B Units in the Aggregator were reclassified into a new class of units called “Incentive Units.” The Incentive Units are “profits interests” under U.S. federal income tax law having economic characteristics similar to stock appreciation rights (i.e., representing the right to share in any increase in the equity value of the Aggregator that exceeds a specified threshold). Unvested Incentive Units are not entitled to distributions from the Aggregator other than tax distributions.</w:t>
      </w:r>
    </w:p>
    <w:p>
      <w:pPr>
        <w:spacing w:after="0" w:line="187" w:lineRule="exact"/>
        <w:rPr>
          <w:sz w:val="20"/>
          <w:szCs w:val="20"/>
          <w:color w:val="auto"/>
        </w:rPr>
      </w:pPr>
    </w:p>
    <w:p>
      <w:pPr>
        <w:ind w:left="160" w:right="300" w:firstLine="436"/>
        <w:spacing w:after="0" w:line="263" w:lineRule="auto"/>
        <w:rPr>
          <w:sz w:val="20"/>
          <w:szCs w:val="20"/>
          <w:color w:val="auto"/>
        </w:rPr>
      </w:pPr>
      <w:r>
        <w:rPr>
          <w:rFonts w:ascii="Times New Roman" w:cs="Times New Roman" w:eastAsia="Times New Roman" w:hAnsi="Times New Roman"/>
          <w:sz w:val="18"/>
          <w:szCs w:val="18"/>
          <w:color w:val="auto"/>
        </w:rPr>
        <w:t>The specific sizes of awards under our MIP and Incentive Unit grants made thereunder to our Named Executive Officers are determined in consideration of our Sponsors’ practices with respect to management equity programs at other companies in their respective portfolios, the executive officer’s position and level of responsibilities with us, and market data.</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080"/>
          </w:cols>
          <w:pgMar w:left="320" w:top="452" w:right="49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2025 MIP Awards</w:t>
      </w:r>
    </w:p>
    <w:p>
      <w:pPr>
        <w:spacing w:after="0" w:line="116"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Under our MIP, each of our Named Executive Officers (other than Mr. Pigott, who was not eligible for an award under our MIP in 2025 due to his planned retirement) was eligible to earn an equity-based award based on fiscal year 2025 performance (the “2025 Awards”). The 2025 Awards were initially expressed as “dollars at work” as of the award date (or “service inception date”). The actual dollar value of equity-based awards to be granted to our participating Named Executive Officers in respect of the 2025 Awards depends on Company performance relative to the 2025 performance measures reflected in the tables below. Following completion of fiscal year 2025, the earned “dollars at work” will be converted into a number of time-vesting restricted stock units (“RSUs”) under the Medline Inc. 2025 Omnibus Incentive Plan (the “Omnibus Plan”) based on the grant date fair market value of the award, which is expected to occur in the first quarter of 2026. In the event actual achievement of a performance objective is between levels, the earned “dollars at work” is calculated using linear interpolation. The number of RSUs to be delivered in 2026 will be determined by dividing the earned “dollars at work” (based on applicable fair market value) by the initial public offering price of Medline Inc. common stock, which was $29.00. Such RSUs will vest 25% on the initial grant date of the RSU and 25% on each of the first three anniversaries of such grant date, subject to the Named Executive Officer’s continued employment with us through each applicable vesting date.</w:t>
      </w:r>
    </w:p>
    <w:p>
      <w:pPr>
        <w:spacing w:after="0" w:line="187" w:lineRule="exact"/>
        <w:rPr>
          <w:sz w:val="20"/>
          <w:szCs w:val="20"/>
          <w:color w:val="auto"/>
        </w:rPr>
      </w:pPr>
    </w:p>
    <w:p>
      <w:pPr>
        <w:ind w:left="160" w:right="180" w:firstLine="436"/>
        <w:spacing w:after="0" w:line="258" w:lineRule="auto"/>
        <w:rPr>
          <w:sz w:val="20"/>
          <w:szCs w:val="20"/>
          <w:color w:val="auto"/>
        </w:rPr>
      </w:pPr>
      <w:r>
        <w:rPr>
          <w:rFonts w:ascii="Times New Roman" w:cs="Times New Roman" w:eastAsia="Times New Roman" w:hAnsi="Times New Roman"/>
          <w:sz w:val="18"/>
          <w:szCs w:val="18"/>
          <w:color w:val="auto"/>
        </w:rPr>
        <w:t>The 2025 performance measures and the corresponding threshold, target and maximum “dollars at work” opportunities under the MIP for our Named Executive Officers are summarized in the tables below. For each Named Executive Officer, no 2025 Award is earned, and no RSUs will be delivered, unless threshold performance is achieved for the applicable performance objective. In no event may the earned “dollars at work” exceed the maximum amounts shown in the tables below, even if results are achieved above maximum performance.</w:t>
      </w:r>
    </w:p>
    <w:p>
      <w:pPr>
        <w:spacing w:after="0" w:line="180" w:lineRule="exact"/>
        <w:rPr>
          <w:sz w:val="20"/>
          <w:szCs w:val="20"/>
          <w:color w:val="auto"/>
        </w:rPr>
      </w:pPr>
    </w:p>
    <w:p>
      <w:pPr>
        <w:ind w:left="160" w:right="360" w:firstLine="436"/>
        <w:spacing w:after="0" w:line="278" w:lineRule="auto"/>
        <w:rPr>
          <w:sz w:val="20"/>
          <w:szCs w:val="20"/>
          <w:color w:val="auto"/>
        </w:rPr>
      </w:pPr>
      <w:r>
        <w:rPr>
          <w:rFonts w:ascii="Times New Roman" w:cs="Times New Roman" w:eastAsia="Times New Roman" w:hAnsi="Times New Roman"/>
          <w:sz w:val="18"/>
          <w:szCs w:val="18"/>
          <w:color w:val="auto"/>
        </w:rPr>
        <w:t>The performance measures for the 2025 Awards for each participating Named Executive Officer were 2025 Plan Adjusted EBITDA and 2025 Total Medline Net Sales Year-Over-Year Growth and Sales Year-Over-Year growth.</w:t>
      </w:r>
    </w:p>
    <w:p>
      <w:pPr>
        <w:spacing w:after="0" w:line="162" w:lineRule="exact"/>
        <w:rPr>
          <w:sz w:val="20"/>
          <w:szCs w:val="20"/>
          <w:color w:val="auto"/>
        </w:rPr>
      </w:pPr>
    </w:p>
    <w:p>
      <w:pPr>
        <w:ind w:left="160" w:right="420" w:firstLine="436"/>
        <w:spacing w:after="0" w:line="278" w:lineRule="auto"/>
        <w:rPr>
          <w:sz w:val="20"/>
          <w:szCs w:val="20"/>
          <w:color w:val="auto"/>
        </w:rPr>
      </w:pPr>
      <w:r>
        <w:rPr>
          <w:rFonts w:ascii="Times New Roman" w:cs="Times New Roman" w:eastAsia="Times New Roman" w:hAnsi="Times New Roman"/>
          <w:sz w:val="18"/>
          <w:szCs w:val="18"/>
          <w:color w:val="auto"/>
        </w:rPr>
        <w:t>The 2025 target “dollars at work” for each participating Named Executive Officer were $4,000,000 for Mr. Boyle and $3,250,000 for each of Messrs. Drazin, Golwas and Miller.</w:t>
      </w:r>
    </w:p>
    <w:p>
      <w:pPr>
        <w:spacing w:after="0" w:line="162" w:lineRule="exact"/>
        <w:rPr>
          <w:sz w:val="20"/>
          <w:szCs w:val="20"/>
          <w:color w:val="auto"/>
        </w:rPr>
      </w:pPr>
    </w:p>
    <w:p>
      <w:pPr>
        <w:ind w:left="160" w:right="800" w:firstLine="436"/>
        <w:spacing w:after="0" w:line="278" w:lineRule="auto"/>
        <w:rPr>
          <w:sz w:val="20"/>
          <w:szCs w:val="20"/>
          <w:color w:val="auto"/>
        </w:rPr>
      </w:pPr>
      <w:r>
        <w:rPr>
          <w:rFonts w:ascii="Times New Roman" w:cs="Times New Roman" w:eastAsia="Times New Roman" w:hAnsi="Times New Roman"/>
          <w:sz w:val="18"/>
          <w:szCs w:val="18"/>
          <w:color w:val="auto"/>
        </w:rPr>
        <w:t>The threshold, target and maximum “dollars at work” amounts upon which the number of RSUs actually to be delivered in 2026 will be determined, and the corresponding earned amount of “dollars at work” at each performance level, are shown in the tables below.</w:t>
      </w:r>
    </w:p>
    <w:p>
      <w:pPr>
        <w:spacing w:after="0" w:line="37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u w:val="single" w:color="auto"/>
          <w:color w:val="auto"/>
        </w:rPr>
        <w:t>Adjusted EBITDA – 70% of Target Dollars at Work</w:t>
      </w:r>
    </w:p>
    <w:p>
      <w:pPr>
        <w:spacing w:after="0" w:line="245"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Achievement Level</w:t>
            </w:r>
          </w:p>
        </w:tc>
        <w:tc>
          <w:tcPr>
            <w:tcW w:w="3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Maximum</w:t>
            </w:r>
          </w:p>
        </w:tc>
      </w:tr>
      <w:tr>
        <w:trPr>
          <w:trHeight w:val="201"/>
        </w:trPr>
        <w:tc>
          <w:tcPr>
            <w:tcW w:w="20" w:type="dxa"/>
            <w:vAlign w:val="bottom"/>
          </w:tcPr>
          <w:p>
            <w:pPr>
              <w:spacing w:after="0"/>
              <w:rPr>
                <w:sz w:val="17"/>
                <w:szCs w:val="17"/>
                <w:color w:val="auto"/>
              </w:rPr>
            </w:pPr>
          </w:p>
        </w:tc>
        <w:tc>
          <w:tcPr>
            <w:tcW w:w="116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Goal</w:t>
            </w:r>
          </w:p>
        </w:tc>
        <w:tc>
          <w:tcPr>
            <w:tcW w:w="3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3,428,000,00</w:t>
            </w: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3,732,000,000</w:t>
            </w:r>
          </w:p>
        </w:tc>
        <w:tc>
          <w:tcPr>
            <w:tcW w:w="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3,844,000,000</w:t>
            </w:r>
          </w:p>
        </w:tc>
        <w:tc>
          <w:tcPr>
            <w:tcW w:w="80" w:type="dxa"/>
            <w:vAlign w:val="bottom"/>
            <w:tcBorders>
              <w:top w:val="single" w:sz="8" w:color="CCEEFF"/>
            </w:tcBorders>
            <w:shd w:val="clear" w:color="auto" w:fill="CCEEFF"/>
          </w:tcPr>
          <w:p>
            <w:pPr>
              <w:spacing w:after="0"/>
              <w:rPr>
                <w:sz w:val="17"/>
                <w:szCs w:val="17"/>
                <w:color w:val="auto"/>
              </w:rPr>
            </w:pPr>
          </w:p>
        </w:tc>
      </w:tr>
      <w:tr>
        <w:trPr>
          <w:trHeight w:val="32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20" w:type="dxa"/>
            <w:vAlign w:val="bottom"/>
            <w:gridSpan w:val="3"/>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Earned Dollars at Work</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4"/>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Boyle</w:t>
            </w:r>
          </w:p>
        </w:tc>
        <w:tc>
          <w:tcPr>
            <w:tcW w:w="3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6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2,800,000</w:t>
            </w:r>
          </w:p>
        </w:tc>
        <w:tc>
          <w:tcPr>
            <w:tcW w:w="6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4,200,000</w:t>
            </w:r>
          </w:p>
        </w:tc>
        <w:tc>
          <w:tcPr>
            <w:tcW w:w="8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Mr. Drazin</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1,137,500</w:t>
            </w:r>
          </w:p>
        </w:tc>
        <w:tc>
          <w:tcPr>
            <w:tcW w:w="6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2,275,000</w:t>
            </w:r>
          </w:p>
        </w:tc>
        <w:tc>
          <w:tcPr>
            <w:tcW w:w="6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3,412,500</w:t>
            </w: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Golwas</w:t>
            </w:r>
          </w:p>
        </w:tc>
        <w:tc>
          <w:tcPr>
            <w:tcW w:w="3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1,137,500</w:t>
            </w:r>
          </w:p>
        </w:tc>
        <w:tc>
          <w:tcPr>
            <w:tcW w:w="6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2,275,000</w:t>
            </w:r>
          </w:p>
        </w:tc>
        <w:tc>
          <w:tcPr>
            <w:tcW w:w="6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3,412,500</w:t>
            </w:r>
          </w:p>
        </w:tc>
        <w:tc>
          <w:tcPr>
            <w:tcW w:w="80" w:type="dxa"/>
            <w:vAlign w:val="bottom"/>
            <w:shd w:val="clear" w:color="auto" w:fill="CCEEFF"/>
          </w:tcPr>
          <w:p>
            <w:pPr>
              <w:spacing w:after="0"/>
              <w:rPr>
                <w:sz w:val="18"/>
                <w:szCs w:val="18"/>
                <w:color w:val="auto"/>
              </w:rPr>
            </w:pPr>
          </w:p>
        </w:tc>
      </w:tr>
      <w:tr>
        <w:trPr>
          <w:trHeight w:val="233"/>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Mr. Miller</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1,137,500</w:t>
            </w:r>
          </w:p>
        </w:tc>
        <w:tc>
          <w:tcPr>
            <w:tcW w:w="6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2,275,000</w:t>
            </w:r>
          </w:p>
        </w:tc>
        <w:tc>
          <w:tcPr>
            <w:tcW w:w="6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3,412,500</w:t>
            </w:r>
          </w:p>
        </w:tc>
        <w:tc>
          <w:tcPr>
            <w:tcW w:w="80" w:type="dxa"/>
            <w:vAlign w:val="bottom"/>
          </w:tcPr>
          <w:p>
            <w:pPr>
              <w:spacing w:after="0"/>
              <w:rPr>
                <w:sz w:val="20"/>
                <w:szCs w:val="20"/>
                <w:color w:val="auto"/>
              </w:rPr>
            </w:pPr>
          </w:p>
        </w:tc>
      </w:tr>
      <w:tr>
        <w:trPr>
          <w:trHeight w:val="343"/>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20" w:type="dxa"/>
            <w:vAlign w:val="bottom"/>
            <w:gridSpan w:val="3"/>
          </w:tcPr>
          <w:p>
            <w:pPr>
              <w:jc w:val="right"/>
              <w:ind w:right="794"/>
              <w:spacing w:after="0"/>
              <w:rPr>
                <w:sz w:val="20"/>
                <w:szCs w:val="20"/>
                <w:color w:val="auto"/>
              </w:rPr>
            </w:pPr>
            <w:r>
              <w:rPr>
                <w:rFonts w:ascii="Times New Roman" w:cs="Times New Roman" w:eastAsia="Times New Roman" w:hAnsi="Times New Roman"/>
                <w:sz w:val="18"/>
                <w:szCs w:val="18"/>
                <w:color w:val="auto"/>
              </w:rPr>
              <w:t>180</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080"/>
          </w:cols>
          <w:pgMar w:left="320" w:top="451" w:right="49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u w:val="single" w:color="auto"/>
          <w:color w:val="auto"/>
        </w:rPr>
        <w:t>Net Sales – 30% of Target Dollars at Work</w:t>
      </w:r>
    </w:p>
    <w:p>
      <w:pPr>
        <w:spacing w:after="0" w:line="245"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Achievement Level</w:t>
            </w:r>
          </w:p>
        </w:tc>
        <w:tc>
          <w:tcPr>
            <w:tcW w:w="2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Maximum</w:t>
            </w:r>
          </w:p>
        </w:tc>
      </w:tr>
      <w:tr>
        <w:trPr>
          <w:trHeight w:val="22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Goal</w:t>
            </w:r>
          </w:p>
        </w:tc>
        <w:tc>
          <w:tcPr>
            <w:tcW w:w="2620" w:type="dxa"/>
            <w:vAlign w:val="bottom"/>
          </w:tcPr>
          <w:p>
            <w:pPr>
              <w:spacing w:after="0"/>
              <w:rPr>
                <w:sz w:val="19"/>
                <w:szCs w:val="19"/>
                <w:color w:val="auto"/>
              </w:rPr>
            </w:pPr>
          </w:p>
        </w:tc>
        <w:tc>
          <w:tcPr>
            <w:tcW w:w="1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$26,017,000,000</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$28,442,000,000</w:t>
            </w:r>
          </w:p>
        </w:tc>
        <w:tc>
          <w:tcPr>
            <w:tcW w:w="860" w:type="dxa"/>
            <w:vAlign w:val="bottom"/>
          </w:tcPr>
          <w:p>
            <w:pPr>
              <w:spacing w:after="0"/>
              <w:rPr>
                <w:sz w:val="19"/>
                <w:szCs w:val="19"/>
                <w:color w:val="auto"/>
              </w:rPr>
            </w:pPr>
          </w:p>
        </w:tc>
        <w:tc>
          <w:tcPr>
            <w:tcW w:w="1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$28,726,000,000</w:t>
            </w:r>
          </w:p>
        </w:tc>
        <w:tc>
          <w:tcPr>
            <w:tcW w:w="60" w:type="dxa"/>
            <w:vAlign w:val="bottom"/>
          </w:tcPr>
          <w:p>
            <w:pPr>
              <w:spacing w:after="0"/>
              <w:rPr>
                <w:sz w:val="19"/>
                <w:szCs w:val="19"/>
                <w:color w:val="auto"/>
              </w:rPr>
            </w:pPr>
          </w:p>
        </w:tc>
      </w:tr>
      <w:tr>
        <w:trPr>
          <w:trHeight w:val="298"/>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80" w:type="dxa"/>
            <w:vAlign w:val="bottom"/>
            <w:gridSpan w:val="4"/>
          </w:tcPr>
          <w:p>
            <w:pPr>
              <w:ind w:left="2460"/>
              <w:spacing w:after="0"/>
              <w:rPr>
                <w:sz w:val="20"/>
                <w:szCs w:val="20"/>
                <w:color w:val="auto"/>
              </w:rPr>
            </w:pPr>
            <w:r>
              <w:rPr>
                <w:rFonts w:ascii="Times New Roman" w:cs="Times New Roman" w:eastAsia="Times New Roman" w:hAnsi="Times New Roman"/>
                <w:sz w:val="18"/>
                <w:szCs w:val="18"/>
                <w:b w:val="1"/>
                <w:bCs w:val="1"/>
                <w:color w:val="auto"/>
              </w:rPr>
              <w:t>Earned Dollars at Work</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4"/>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Boyle</w:t>
            </w:r>
          </w:p>
        </w:tc>
        <w:tc>
          <w:tcPr>
            <w:tcW w:w="280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6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104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Mr. Drazin</w:t>
            </w:r>
          </w:p>
        </w:tc>
        <w:tc>
          <w:tcPr>
            <w:tcW w:w="280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487,500</w:t>
            </w:r>
          </w:p>
        </w:tc>
        <w:tc>
          <w:tcPr>
            <w:tcW w:w="660" w:type="dxa"/>
            <w:vAlign w:val="bottom"/>
          </w:tcPr>
          <w:p>
            <w:pPr>
              <w:spacing w:after="0"/>
              <w:rPr>
                <w:sz w:val="18"/>
                <w:szCs w:val="18"/>
                <w:color w:val="auto"/>
              </w:rPr>
            </w:pPr>
          </w:p>
        </w:tc>
        <w:tc>
          <w:tcPr>
            <w:tcW w:w="44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975,000</w:t>
            </w:r>
          </w:p>
        </w:tc>
        <w:tc>
          <w:tcPr>
            <w:tcW w:w="104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1,462,500</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Golwas</w:t>
            </w:r>
          </w:p>
        </w:tc>
        <w:tc>
          <w:tcPr>
            <w:tcW w:w="280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487,500</w:t>
            </w:r>
          </w:p>
        </w:tc>
        <w:tc>
          <w:tcPr>
            <w:tcW w:w="6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975,000</w:t>
            </w:r>
          </w:p>
        </w:tc>
        <w:tc>
          <w:tcPr>
            <w:tcW w:w="104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1,462,500</w:t>
            </w:r>
          </w:p>
        </w:tc>
        <w:tc>
          <w:tcPr>
            <w:tcW w:w="60" w:type="dxa"/>
            <w:vAlign w:val="bottom"/>
            <w:shd w:val="clear" w:color="auto" w:fill="CCEEFF"/>
          </w:tcPr>
          <w:p>
            <w:pPr>
              <w:spacing w:after="0"/>
              <w:rPr>
                <w:sz w:val="18"/>
                <w:szCs w:val="18"/>
                <w:color w:val="auto"/>
              </w:rPr>
            </w:pPr>
          </w:p>
        </w:tc>
      </w:tr>
      <w:tr>
        <w:trPr>
          <w:trHeight w:val="233"/>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Mr. Miller</w:t>
            </w:r>
          </w:p>
        </w:tc>
        <w:tc>
          <w:tcPr>
            <w:tcW w:w="280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487,500</w:t>
            </w:r>
          </w:p>
        </w:tc>
        <w:tc>
          <w:tcPr>
            <w:tcW w:w="660" w:type="dxa"/>
            <w:vAlign w:val="bottom"/>
          </w:tcPr>
          <w:p>
            <w:pPr>
              <w:spacing w:after="0"/>
              <w:rPr>
                <w:sz w:val="20"/>
                <w:szCs w:val="20"/>
                <w:color w:val="auto"/>
              </w:rPr>
            </w:pPr>
          </w:p>
        </w:tc>
        <w:tc>
          <w:tcPr>
            <w:tcW w:w="44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975,000</w:t>
            </w:r>
          </w:p>
        </w:tc>
        <w:tc>
          <w:tcPr>
            <w:tcW w:w="104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1,462,500</w:t>
            </w:r>
          </w:p>
        </w:tc>
        <w:tc>
          <w:tcPr>
            <w:tcW w:w="60" w:type="dxa"/>
            <w:vAlign w:val="bottom"/>
          </w:tcPr>
          <w:p>
            <w:pPr>
              <w:spacing w:after="0"/>
              <w:rPr>
                <w:sz w:val="20"/>
                <w:szCs w:val="20"/>
                <w:color w:val="auto"/>
              </w:rPr>
            </w:pPr>
          </w:p>
        </w:tc>
      </w:tr>
    </w:tbl>
    <w:p>
      <w:pPr>
        <w:spacing w:after="0" w:line="2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Other Compensation</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Sign-on, Retention and Discretionary Bonuses</w:t>
      </w:r>
    </w:p>
    <w:p>
      <w:pPr>
        <w:spacing w:after="0" w:line="118" w:lineRule="exact"/>
        <w:rPr>
          <w:sz w:val="20"/>
          <w:szCs w:val="20"/>
          <w:color w:val="auto"/>
        </w:rPr>
      </w:pPr>
    </w:p>
    <w:p>
      <w:pPr>
        <w:jc w:val="both"/>
        <w:ind w:left="160" w:right="60" w:firstLine="436"/>
        <w:spacing w:after="0" w:line="263" w:lineRule="auto"/>
        <w:rPr>
          <w:sz w:val="20"/>
          <w:szCs w:val="20"/>
          <w:color w:val="auto"/>
        </w:rPr>
      </w:pPr>
      <w:r>
        <w:rPr>
          <w:rFonts w:ascii="Times New Roman" w:cs="Times New Roman" w:eastAsia="Times New Roman" w:hAnsi="Times New Roman"/>
          <w:sz w:val="18"/>
          <w:szCs w:val="18"/>
          <w:color w:val="auto"/>
        </w:rPr>
        <w:t>From time to time, we may award sign-on, retention and discretionary bonuses to attract or retain executive talent. Generally, sign-on bonuses are used to incentivize candidates to leave their current employers or may be used to offset the loss of unvested compensation they may forfeit as a result of leaving their current employers.</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None of our Named Executive Officers received any sign-on, retention or discretionary bonuses during fiscal year 2025.</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Benefits</w:t>
      </w:r>
    </w:p>
    <w:p>
      <w:pPr>
        <w:spacing w:after="0" w:line="118"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color w:val="auto"/>
        </w:rPr>
        <w:t>We provide various employee benefit programs to our Named Executive Officers, including medical, vision, dental, life insurance, accidental death and dismemberment, long-term disability, short-term disability, health savings accounts, and wellness programs. These benefit programs are available to all of our salaried U.S.-based employees. In addition, pursuant to our executive security program, we may provide personal security services to certain executive officers. These protections are provided due to the range of security issues and threats encountered by our senior executives. We view the security services provided to our executive officers as an integral part of our risk management program and as necessary and appropriate business expenses. However, because such services may be viewed as conveying a personal benefit to our executive officers, we have reported the aggregate incremental costs of such services in the “All Other Compensation” column of the Summary Compensation Table as required by Item 402 of Regulation S-K.</w:t>
      </w:r>
    </w:p>
    <w:p>
      <w:pPr>
        <w:spacing w:after="0" w:line="187" w:lineRule="exact"/>
        <w:rPr>
          <w:sz w:val="20"/>
          <w:szCs w:val="20"/>
          <w:color w:val="auto"/>
        </w:rPr>
      </w:pPr>
    </w:p>
    <w:p>
      <w:pPr>
        <w:ind w:left="160" w:right="440" w:firstLine="436"/>
        <w:spacing w:after="0" w:line="278" w:lineRule="auto"/>
        <w:rPr>
          <w:sz w:val="20"/>
          <w:szCs w:val="20"/>
          <w:color w:val="auto"/>
        </w:rPr>
      </w:pPr>
      <w:r>
        <w:rPr>
          <w:rFonts w:ascii="Times New Roman" w:cs="Times New Roman" w:eastAsia="Times New Roman" w:hAnsi="Times New Roman"/>
          <w:sz w:val="18"/>
          <w:szCs w:val="18"/>
          <w:color w:val="auto"/>
        </w:rPr>
        <w:t>These benefits are provided to the Named Executive Officers to eliminate potential distractions from performing their regular job duties. We believe the cost of these programs is counterbalanced by an increase in productivity by the executives receiving access to them.</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Retirement Benefits</w:t>
      </w:r>
    </w:p>
    <w:p>
      <w:pPr>
        <w:spacing w:after="0" w:line="118" w:lineRule="exact"/>
        <w:rPr>
          <w:sz w:val="20"/>
          <w:szCs w:val="20"/>
          <w:color w:val="auto"/>
        </w:rPr>
      </w:pPr>
    </w:p>
    <w:p>
      <w:pPr>
        <w:ind w:left="160" w:right="60" w:firstLine="436"/>
        <w:spacing w:after="0" w:line="255" w:lineRule="auto"/>
        <w:rPr>
          <w:sz w:val="20"/>
          <w:szCs w:val="20"/>
          <w:color w:val="auto"/>
        </w:rPr>
      </w:pPr>
      <w:r>
        <w:rPr>
          <w:rFonts w:ascii="Times New Roman" w:cs="Times New Roman" w:eastAsia="Times New Roman" w:hAnsi="Times New Roman"/>
          <w:sz w:val="18"/>
          <w:szCs w:val="18"/>
          <w:color w:val="auto"/>
        </w:rPr>
        <w:t>We maintain a defined contribution plan that is tax-qualified under Section 401(k) of the U.S. Internal Revenue Code of 1986, as amended (the “Code”) and that we refer to as the “Medline Industries, LP Retirement Plan” or the “401(k) Plan.” The 401(k) Plan is offered on a nondiscriminatory basis to our full-time regular employees, including our Named Executive Officers, and our eligible part-time employees. Subject to certain limitations imposed by the Code, the 401(k) Plan permits eligible employees to defer receipt of up to 75% of their eligible compensation on a pre-tax basis (or on a post-tax basis, with respect to elective Roth deferrals).</w:t>
      </w:r>
    </w:p>
    <w:p>
      <w:pPr>
        <w:spacing w:after="0" w:line="184" w:lineRule="exact"/>
        <w:rPr>
          <w:sz w:val="20"/>
          <w:szCs w:val="20"/>
          <w:color w:val="auto"/>
        </w:rPr>
      </w:pPr>
    </w:p>
    <w:p>
      <w:pPr>
        <w:ind w:left="160" w:right="380" w:firstLine="436"/>
        <w:spacing w:after="0" w:line="278" w:lineRule="auto"/>
        <w:rPr>
          <w:sz w:val="20"/>
          <w:szCs w:val="20"/>
          <w:color w:val="auto"/>
        </w:rPr>
      </w:pPr>
      <w:r>
        <w:rPr>
          <w:rFonts w:ascii="Times New Roman" w:cs="Times New Roman" w:eastAsia="Times New Roman" w:hAnsi="Times New Roman"/>
          <w:sz w:val="18"/>
          <w:szCs w:val="18"/>
          <w:color w:val="auto"/>
        </w:rPr>
        <w:t>We provide matching contributions to the 401(k) Plan in an amount equal to 50% of each participant’s first 8% of deferrals, subject to certain other limits. Participants are 100% vested in both their individual contributions and the matching contributions.</w:t>
      </w:r>
    </w:p>
    <w:p>
      <w:pPr>
        <w:spacing w:after="0" w:line="162" w:lineRule="exact"/>
        <w:rPr>
          <w:sz w:val="20"/>
          <w:szCs w:val="20"/>
          <w:color w:val="auto"/>
        </w:rPr>
      </w:pPr>
    </w:p>
    <w:p>
      <w:pPr>
        <w:ind w:left="160" w:right="520" w:firstLine="436"/>
        <w:spacing w:after="0" w:line="308" w:lineRule="auto"/>
        <w:rPr>
          <w:sz w:val="20"/>
          <w:szCs w:val="20"/>
          <w:color w:val="auto"/>
        </w:rPr>
      </w:pPr>
      <w:r>
        <w:rPr>
          <w:rFonts w:ascii="Times New Roman" w:cs="Times New Roman" w:eastAsia="Times New Roman" w:hAnsi="Times New Roman"/>
          <w:sz w:val="17"/>
          <w:szCs w:val="17"/>
          <w:color w:val="auto"/>
        </w:rPr>
        <w:t>We believe that matching contributions assist us in attracting and retaining talented employees and executives. The 401(k) Plan provides an opportunity for participants to save money for retirement on a tax-deferred basis and to achieve financial security, thereby promoting retention.</w:t>
      </w:r>
    </w:p>
    <w:p>
      <w:pPr>
        <w:spacing w:after="0" w:line="7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060"/>
          </w:cols>
          <w:pgMar w:left="320" w:top="451" w:right="51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Severance Arrangements</w:t>
      </w:r>
    </w:p>
    <w:p>
      <w:pPr>
        <w:spacing w:after="0" w:line="118" w:lineRule="exact"/>
        <w:rPr>
          <w:sz w:val="20"/>
          <w:szCs w:val="20"/>
          <w:color w:val="auto"/>
        </w:rPr>
      </w:pPr>
    </w:p>
    <w:p>
      <w:pPr>
        <w:ind w:left="160" w:right="80" w:firstLine="436"/>
        <w:spacing w:after="0" w:line="255" w:lineRule="auto"/>
        <w:rPr>
          <w:sz w:val="20"/>
          <w:szCs w:val="20"/>
          <w:color w:val="auto"/>
        </w:rPr>
      </w:pPr>
      <w:r>
        <w:rPr>
          <w:rFonts w:ascii="Times New Roman" w:cs="Times New Roman" w:eastAsia="Times New Roman" w:hAnsi="Times New Roman"/>
          <w:sz w:val="18"/>
          <w:szCs w:val="18"/>
          <w:color w:val="auto"/>
        </w:rPr>
        <w:t>We believe that reasonable and appropriate severance benefits are necessary in order to be competitive in Medline’s executive attraction and retention efforts. As discussed below, our Named Executive Officers, other than Mr. Pigott, were eligible to participate in our Amended and Restated Executive Severance Plan, which provides for certain payments, rights, and benefits upon certain qualifying terminations from Medline. Mr. Pigott was entitled to certain payments, rights, and benefits in connection with his transition pursuant to the Pigott Transition Agreement. See “—Potential Payments Upon Termination or Change in Control” below for a description of these benefits.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118" w:lineRule="exact"/>
        <w:rPr>
          <w:sz w:val="20"/>
          <w:szCs w:val="20"/>
          <w:color w:val="auto"/>
        </w:rPr>
      </w:pPr>
    </w:p>
    <w:p>
      <w:pPr>
        <w:ind w:left="160" w:right="20" w:firstLine="436"/>
        <w:spacing w:after="0" w:line="253" w:lineRule="auto"/>
        <w:rPr>
          <w:sz w:val="20"/>
          <w:szCs w:val="20"/>
          <w:color w:val="auto"/>
        </w:rPr>
      </w:pPr>
      <w:r>
        <w:rPr>
          <w:rFonts w:ascii="Times New Roman" w:cs="Times New Roman" w:eastAsia="Times New Roman" w:hAnsi="Times New Roman"/>
          <w:sz w:val="18"/>
          <w:szCs w:val="18"/>
          <w:color w:val="auto"/>
        </w:rPr>
        <w:t>We have adopted a compensation recovery policy as required by Rule 10D-1 under the Exchange Act and the corresponding listing standard adopted by Nasdaq (the “Incentive Compensation Clawback Policy”). The policy generally provides that if we are required to prepare an accounting restatement (including a restatement to correct an error that would result in a material misstatement if the error were corrected in the current period or left uncorrected in the current period), we must recover from our current and former Section 16 officers any incentive-based compensation that was erroneously received on or after the effective date of the policy and during the three years preceding the date we are required to prepare such accounting restatement. The amount required to be recovered will be the excess of the amount of incentive-based compensation received over the amount that otherwise would have been received based on the restated financial measure.</w:t>
      </w:r>
    </w:p>
    <w:p>
      <w:pPr>
        <w:spacing w:after="0" w:line="184" w:lineRule="exact"/>
        <w:rPr>
          <w:sz w:val="20"/>
          <w:szCs w:val="20"/>
          <w:color w:val="auto"/>
        </w:rPr>
      </w:pPr>
    </w:p>
    <w:p>
      <w:pPr>
        <w:ind w:left="160" w:right="80" w:firstLine="436"/>
        <w:spacing w:after="0" w:line="267" w:lineRule="auto"/>
        <w:rPr>
          <w:sz w:val="20"/>
          <w:szCs w:val="20"/>
          <w:color w:val="auto"/>
        </w:rPr>
      </w:pPr>
      <w:r>
        <w:rPr>
          <w:rFonts w:ascii="Times New Roman" w:cs="Times New Roman" w:eastAsia="Times New Roman" w:hAnsi="Times New Roman"/>
          <w:sz w:val="17"/>
          <w:szCs w:val="17"/>
          <w:color w:val="auto"/>
        </w:rPr>
        <w:t>In addition, all Incentive Units under the MIP obligate the recipient to repay any after-tax proceeds received in respect of Incentive Units if the recipient is terminated for cause (or we discover within one year following termination that grounds to terminate the recipient’s employment for cause existed at the time of termination) or violates restrictive covenants. Awards under the Omnibus Plan also require repayment of after-tax proceeds received in respect of awards if the participant engages in detrimental activity, which generally includes (i) unauthorized disclosure or use of any confidential or proprietary information of Medline; (ii) any activity that would be grounds to terminate the recipient’s employment or service for cause;</w:t>
      </w:r>
    </w:p>
    <w:p>
      <w:pPr>
        <w:spacing w:after="0" w:line="1" w:lineRule="exact"/>
        <w:rPr>
          <w:sz w:val="20"/>
          <w:szCs w:val="20"/>
          <w:color w:val="auto"/>
        </w:rPr>
      </w:pPr>
    </w:p>
    <w:p>
      <w:pPr>
        <w:ind w:left="160" w:firstLine="7"/>
        <w:spacing w:after="0" w:line="252" w:lineRule="auto"/>
        <w:tabs>
          <w:tab w:leader="none" w:pos="47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by the recipient of any restrictive covenant by which such recipient is bound, including, without limitation, any covenant not to compete or not to solicit, in any agreement with Medline, or (iv) fraud or conduct contributing to any financial restatements or irregularities, in each case, as determined by the Compensation Committee in its sole discretion.</w:t>
      </w:r>
    </w:p>
    <w:p>
      <w:pPr>
        <w:spacing w:after="0" w:line="2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Tax and Accounting Implications</w:t>
      </w:r>
    </w:p>
    <w:p>
      <w:pPr>
        <w:spacing w:after="0" w:line="118" w:lineRule="exact"/>
        <w:rPr>
          <w:sz w:val="20"/>
          <w:szCs w:val="20"/>
          <w:color w:val="auto"/>
        </w:rPr>
      </w:pPr>
    </w:p>
    <w:p>
      <w:pPr>
        <w:ind w:left="160" w:right="60" w:firstLine="436"/>
        <w:spacing w:after="0" w:line="263" w:lineRule="auto"/>
        <w:rPr>
          <w:sz w:val="20"/>
          <w:szCs w:val="20"/>
          <w:color w:val="auto"/>
        </w:rPr>
      </w:pPr>
      <w:r>
        <w:rPr>
          <w:rFonts w:ascii="Times New Roman" w:cs="Times New Roman" w:eastAsia="Times New Roman" w:hAnsi="Times New Roman"/>
          <w:sz w:val="18"/>
          <w:szCs w:val="18"/>
          <w:color w:val="auto"/>
        </w:rPr>
        <w:t>The Compensation Committee intends to operate its compensation programs with the good faith intention of complying with Section 409A of the Code. We intend to account for equity-based payments with respect to our long-term equity incentive award programs in accordance with the requirements of FASB Accounting Standards Codification Topic 718, Compensation—Stock Compensation (“ASC Topic 718”).</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Agreements with Named Executive Officers</w:t>
      </w:r>
    </w:p>
    <w:p>
      <w:pPr>
        <w:spacing w:after="0" w:line="118" w:lineRule="exact"/>
        <w:rPr>
          <w:sz w:val="20"/>
          <w:szCs w:val="20"/>
          <w:color w:val="auto"/>
        </w:rPr>
      </w:pPr>
    </w:p>
    <w:p>
      <w:pPr>
        <w:ind w:left="160" w:right="20" w:firstLine="436"/>
        <w:spacing w:after="0" w:line="252" w:lineRule="auto"/>
        <w:rPr>
          <w:sz w:val="20"/>
          <w:szCs w:val="20"/>
          <w:color w:val="auto"/>
        </w:rPr>
      </w:pPr>
      <w:r>
        <w:rPr>
          <w:rFonts w:ascii="Times New Roman" w:cs="Times New Roman" w:eastAsia="Times New Roman" w:hAnsi="Times New Roman"/>
          <w:sz w:val="18"/>
          <w:szCs w:val="18"/>
          <w:color w:val="auto"/>
        </w:rPr>
        <w:t>In October 2023, we entered into employment agreements with Messrs. Boyle and Pigott in connection with their promotion to the roles of Chief Executive Officer and President and Chief Operating Officer, respectively. These agreements provide for certain payments, rights and benefits upon certain qualifying terminations from Medline. However, in May 2025, we adopted our Executive Severance Plan, pursuant to which our Named Executive Officers, other than Mr. Pigott, are eligible to receive certain payments, rights and benefits upon certain qualifying terminations from Medline. In connection with becoming a participant in our Executive Severance Plan, Mr. Boyle waived the severance payments and benefits provided under his employment agreement in connection with a termination without cause or resignation for good reason. In October 2024, we entered into a transition and separation agreement with Mr. Pigott that sets forth the payments and benefits Mr. Pigott will receive in connection with his retirement on December 31, 2025. The material terms of</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040"/>
          </w:cols>
          <w:pgMar w:left="320" w:top="452" w:right="5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120"/>
        <w:spacing w:after="0" w:line="278" w:lineRule="auto"/>
        <w:rPr>
          <w:sz w:val="20"/>
          <w:szCs w:val="20"/>
          <w:color w:val="auto"/>
        </w:rPr>
      </w:pPr>
      <w:r>
        <w:rPr>
          <w:rFonts w:ascii="Times New Roman" w:cs="Times New Roman" w:eastAsia="Times New Roman" w:hAnsi="Times New Roman"/>
          <w:sz w:val="18"/>
          <w:szCs w:val="18"/>
          <w:color w:val="auto"/>
        </w:rPr>
        <w:t>Mr. Boyle’s employment agreement and Mr. Pigott’s transition and separation agreement are described below under the headings “Narrative Disclosure to Summary Compensation Table and Grants of Plan-Based Awards Table—Agreements with Named Executive Officers.”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18" w:lineRule="exact"/>
        <w:rPr>
          <w:sz w:val="20"/>
          <w:szCs w:val="20"/>
          <w:color w:val="auto"/>
        </w:rPr>
      </w:pPr>
    </w:p>
    <w:p>
      <w:pPr>
        <w:ind w:left="160" w:right="180" w:firstLine="436"/>
        <w:spacing w:after="0" w:line="278" w:lineRule="auto"/>
        <w:rPr>
          <w:sz w:val="20"/>
          <w:szCs w:val="20"/>
          <w:color w:val="auto"/>
        </w:rPr>
      </w:pPr>
      <w:r>
        <w:rPr>
          <w:rFonts w:ascii="Times New Roman" w:cs="Times New Roman" w:eastAsia="Times New Roman" w:hAnsi="Times New Roman"/>
          <w:sz w:val="18"/>
          <w:szCs w:val="18"/>
          <w:color w:val="auto"/>
        </w:rPr>
        <w:t>The following table provides summary information concerning compensation earned by our Named Executive Officers for services rendered for the fiscal year ended December 31, 2025.</w:t>
      </w:r>
    </w:p>
    <w:p>
      <w:pPr>
        <w:spacing w:after="0" w:line="16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7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Pension Value</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7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12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7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20" w:type="dxa"/>
            <w:vAlign w:val="bottom"/>
            <w:gridSpan w:val="2"/>
            <w:vMerge w:val="continue"/>
          </w:tcPr>
          <w:p>
            <w:pPr>
              <w:spacing w:after="0"/>
              <w:rPr>
                <w:sz w:val="12"/>
                <w:szCs w:val="12"/>
                <w:color w:val="auto"/>
              </w:rPr>
            </w:pPr>
          </w:p>
        </w:tc>
        <w:tc>
          <w:tcPr>
            <w:tcW w:w="112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Non-Qualified</w:t>
            </w: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7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6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6"/>
              </w:rPr>
              <w:t>Bonus</w:t>
            </w:r>
          </w:p>
        </w:tc>
        <w:tc>
          <w:tcPr>
            <w:tcW w:w="1020" w:type="dxa"/>
            <w:vAlign w:val="bottom"/>
            <w:gridSpan w:val="2"/>
            <w:vMerge w:val="continue"/>
          </w:tcPr>
          <w:p>
            <w:pPr>
              <w:spacing w:after="0"/>
              <w:rPr>
                <w:sz w:val="12"/>
                <w:szCs w:val="12"/>
                <w:color w:val="auto"/>
              </w:rPr>
            </w:pPr>
          </w:p>
        </w:tc>
        <w:tc>
          <w:tcPr>
            <w:tcW w:w="112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12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14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46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2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2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12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2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4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780" w:type="dxa"/>
            <w:vAlign w:val="bottom"/>
          </w:tcPr>
          <w:p>
            <w:pPr>
              <w:jc w:val="right"/>
              <w:ind w:right="154"/>
              <w:spacing w:after="0" w:line="15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240" w:type="dxa"/>
            <w:vAlign w:val="bottom"/>
          </w:tcPr>
          <w:p>
            <w:pPr>
              <w:spacing w:after="0"/>
              <w:rPr>
                <w:sz w:val="15"/>
                <w:szCs w:val="15"/>
                <w:color w:val="auto"/>
              </w:rPr>
            </w:pPr>
          </w:p>
        </w:tc>
        <w:tc>
          <w:tcPr>
            <w:tcW w:w="380" w:type="dxa"/>
            <w:vAlign w:val="bottom"/>
          </w:tcPr>
          <w:p>
            <w:pPr>
              <w:jc w:val="right"/>
              <w:ind w:right="14"/>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7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240" w:type="dxa"/>
            <w:vAlign w:val="bottom"/>
          </w:tcPr>
          <w:p>
            <w:pPr>
              <w:spacing w:after="0"/>
              <w:rPr>
                <w:sz w:val="15"/>
                <w:szCs w:val="15"/>
                <w:color w:val="auto"/>
              </w:rPr>
            </w:pPr>
          </w:p>
        </w:tc>
        <w:tc>
          <w:tcPr>
            <w:tcW w:w="8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(3)</w:t>
            </w:r>
          </w:p>
        </w:tc>
        <w:tc>
          <w:tcPr>
            <w:tcW w:w="240" w:type="dxa"/>
            <w:vAlign w:val="bottom"/>
          </w:tcPr>
          <w:p>
            <w:pPr>
              <w:spacing w:after="0"/>
              <w:rPr>
                <w:sz w:val="15"/>
                <w:szCs w:val="15"/>
                <w:color w:val="auto"/>
              </w:rPr>
            </w:pPr>
          </w:p>
        </w:tc>
        <w:tc>
          <w:tcPr>
            <w:tcW w:w="112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Earnings ($)</w:t>
            </w:r>
          </w:p>
        </w:tc>
        <w:tc>
          <w:tcPr>
            <w:tcW w:w="9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(4)</w:t>
            </w:r>
          </w:p>
        </w:tc>
        <w:tc>
          <w:tcPr>
            <w:tcW w:w="2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22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James M. Boyle</w:t>
            </w:r>
          </w:p>
        </w:tc>
        <w:tc>
          <w:tcPr>
            <w:tcW w:w="1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1" w:lineRule="exact"/>
              <w:rPr>
                <w:sz w:val="20"/>
                <w:szCs w:val="20"/>
                <w:color w:val="auto"/>
              </w:rPr>
            </w:pPr>
            <w:r>
              <w:rPr>
                <w:rFonts w:ascii="Times New Roman" w:cs="Times New Roman" w:eastAsia="Times New Roman" w:hAnsi="Times New Roman"/>
                <w:sz w:val="18"/>
                <w:szCs w:val="18"/>
                <w:color w:val="auto"/>
                <w:w w:val="94"/>
              </w:rPr>
              <w:t>2025</w:t>
            </w: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1,250,000</w:t>
            </w:r>
          </w:p>
        </w:tc>
        <w:tc>
          <w:tcPr>
            <w:tcW w:w="2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0</w:t>
            </w: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1,177,665</w:t>
            </w:r>
          </w:p>
        </w:tc>
        <w:tc>
          <w:tcPr>
            <w:tcW w:w="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w w:val="70"/>
              </w:rPr>
              <w:t>0</w:t>
            </w:r>
          </w:p>
        </w:tc>
        <w:tc>
          <w:tcPr>
            <w:tcW w:w="2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23,347</w:t>
            </w:r>
          </w:p>
        </w:tc>
        <w:tc>
          <w:tcPr>
            <w:tcW w:w="2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2,451,012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4"/>
              </w:rPr>
              <w:t>2024</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1,201,111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1,847,186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4,305,297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2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Michael B. Drazin</w:t>
            </w:r>
          </w:p>
        </w:tc>
        <w:tc>
          <w:tcPr>
            <w:tcW w:w="600" w:type="dxa"/>
            <w:vAlign w:val="bottom"/>
            <w:gridSpan w:val="2"/>
          </w:tcPr>
          <w:p>
            <w:pPr>
              <w:ind w:left="240"/>
              <w:spacing w:after="0" w:line="194" w:lineRule="exact"/>
              <w:rPr>
                <w:sz w:val="20"/>
                <w:szCs w:val="20"/>
                <w:color w:val="auto"/>
              </w:rPr>
            </w:pPr>
            <w:r>
              <w:rPr>
                <w:rFonts w:ascii="Times New Roman" w:cs="Times New Roman" w:eastAsia="Times New Roman" w:hAnsi="Times New Roman"/>
                <w:sz w:val="18"/>
                <w:szCs w:val="18"/>
                <w:color w:val="auto"/>
                <w:w w:val="94"/>
              </w:rPr>
              <w:t>2025</w:t>
            </w:r>
          </w:p>
        </w:tc>
        <w:tc>
          <w:tcPr>
            <w:tcW w:w="24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810,000</w:t>
            </w:r>
          </w:p>
        </w:tc>
        <w:tc>
          <w:tcPr>
            <w:tcW w:w="240" w:type="dxa"/>
            <w:vAlign w:val="bottom"/>
          </w:tcPr>
          <w:p>
            <w:pPr>
              <w:spacing w:after="0"/>
              <w:rPr>
                <w:sz w:val="16"/>
                <w:szCs w:val="16"/>
                <w:color w:val="auto"/>
              </w:rPr>
            </w:pPr>
          </w:p>
        </w:tc>
        <w:tc>
          <w:tcPr>
            <w:tcW w:w="620" w:type="dxa"/>
            <w:vAlign w:val="bottom"/>
            <w:gridSpan w:val="2"/>
          </w:tcPr>
          <w:p>
            <w:pPr>
              <w:jc w:val="right"/>
              <w:ind w:right="240"/>
              <w:spacing w:after="0" w:line="194" w:lineRule="exact"/>
              <w:rPr>
                <w:sz w:val="20"/>
                <w:szCs w:val="20"/>
                <w:color w:val="auto"/>
              </w:rPr>
            </w:pPr>
            <w:r>
              <w:rPr>
                <w:rFonts w:ascii="Times New Roman" w:cs="Times New Roman" w:eastAsia="Times New Roman" w:hAnsi="Times New Roman"/>
                <w:sz w:val="18"/>
                <w:szCs w:val="18"/>
                <w:color w:val="auto"/>
              </w:rPr>
              <w:t>0</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956,853</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ind w:left="800"/>
              <w:spacing w:after="0" w:line="194" w:lineRule="exact"/>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tcPr>
          <w:p>
            <w:pPr>
              <w:jc w:val="right"/>
              <w:ind w:right="240"/>
              <w:spacing w:after="0" w:line="194" w:lineRule="exact"/>
              <w:rPr>
                <w:sz w:val="20"/>
                <w:szCs w:val="20"/>
                <w:color w:val="auto"/>
              </w:rPr>
            </w:pPr>
            <w:r>
              <w:rPr>
                <w:rFonts w:ascii="Times New Roman" w:cs="Times New Roman" w:eastAsia="Times New Roman" w:hAnsi="Times New Roman"/>
                <w:sz w:val="18"/>
                <w:szCs w:val="18"/>
                <w:color w:val="auto"/>
              </w:rPr>
              <w:t>27,289</w:t>
            </w:r>
          </w:p>
        </w:tc>
        <w:tc>
          <w:tcPr>
            <w:tcW w:w="7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1,794,142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4"/>
              </w:rPr>
              <w:t>2024</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810,000</w:t>
            </w:r>
          </w:p>
        </w:tc>
        <w:tc>
          <w:tcPr>
            <w:tcW w:w="24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1,009,630</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933,014</w:t>
            </w:r>
          </w:p>
        </w:tc>
        <w:tc>
          <w:tcPr>
            <w:tcW w:w="240" w:type="dxa"/>
            <w:vAlign w:val="bottom"/>
          </w:tcPr>
          <w:p>
            <w:pPr>
              <w:spacing w:after="0"/>
              <w:rPr>
                <w:sz w:val="20"/>
                <w:szCs w:val="20"/>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2,759,644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Pigott</w:t>
            </w:r>
          </w:p>
        </w:tc>
        <w:tc>
          <w:tcPr>
            <w:tcW w:w="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4"/>
              </w:rPr>
              <w:t>2025</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8,876,504</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9,976,504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President</w:t>
            </w:r>
          </w:p>
        </w:tc>
        <w:tc>
          <w:tcPr>
            <w:tcW w:w="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4"/>
              </w:rPr>
              <w:t>2024</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1,201,111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1,625,523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30,644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2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Douglas P. Golwas</w:t>
            </w:r>
          </w:p>
        </w:tc>
        <w:tc>
          <w:tcPr>
            <w:tcW w:w="600" w:type="dxa"/>
            <w:vAlign w:val="bottom"/>
            <w:gridSpan w:val="2"/>
          </w:tcPr>
          <w:p>
            <w:pPr>
              <w:ind w:left="240"/>
              <w:spacing w:after="0" w:line="194" w:lineRule="exact"/>
              <w:rPr>
                <w:sz w:val="20"/>
                <w:szCs w:val="20"/>
                <w:color w:val="auto"/>
              </w:rPr>
            </w:pPr>
            <w:r>
              <w:rPr>
                <w:rFonts w:ascii="Times New Roman" w:cs="Times New Roman" w:eastAsia="Times New Roman" w:hAnsi="Times New Roman"/>
                <w:sz w:val="18"/>
                <w:szCs w:val="18"/>
                <w:color w:val="auto"/>
                <w:w w:val="94"/>
              </w:rPr>
              <w:t>2025</w:t>
            </w:r>
          </w:p>
        </w:tc>
        <w:tc>
          <w:tcPr>
            <w:tcW w:w="24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800,000</w:t>
            </w:r>
          </w:p>
        </w:tc>
        <w:tc>
          <w:tcPr>
            <w:tcW w:w="240" w:type="dxa"/>
            <w:vAlign w:val="bottom"/>
          </w:tcPr>
          <w:p>
            <w:pPr>
              <w:spacing w:after="0"/>
              <w:rPr>
                <w:sz w:val="16"/>
                <w:szCs w:val="16"/>
                <w:color w:val="auto"/>
              </w:rPr>
            </w:pPr>
          </w:p>
        </w:tc>
        <w:tc>
          <w:tcPr>
            <w:tcW w:w="620" w:type="dxa"/>
            <w:vAlign w:val="bottom"/>
            <w:gridSpan w:val="2"/>
          </w:tcPr>
          <w:p>
            <w:pPr>
              <w:jc w:val="right"/>
              <w:ind w:right="240"/>
              <w:spacing w:after="0" w:line="194" w:lineRule="exact"/>
              <w:rPr>
                <w:sz w:val="20"/>
                <w:szCs w:val="20"/>
                <w:color w:val="auto"/>
              </w:rPr>
            </w:pPr>
            <w:r>
              <w:rPr>
                <w:rFonts w:ascii="Times New Roman" w:cs="Times New Roman" w:eastAsia="Times New Roman" w:hAnsi="Times New Roman"/>
                <w:sz w:val="18"/>
                <w:szCs w:val="18"/>
                <w:color w:val="auto"/>
              </w:rPr>
              <w:t>0</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956,853</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ind w:left="800"/>
              <w:spacing w:after="0" w:line="194" w:lineRule="exact"/>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tcPr>
          <w:p>
            <w:pPr>
              <w:jc w:val="right"/>
              <w:ind w:right="240"/>
              <w:spacing w:after="0" w:line="194" w:lineRule="exact"/>
              <w:rPr>
                <w:sz w:val="20"/>
                <w:szCs w:val="20"/>
                <w:color w:val="auto"/>
              </w:rPr>
            </w:pPr>
            <w:r>
              <w:rPr>
                <w:rFonts w:ascii="Times New Roman" w:cs="Times New Roman" w:eastAsia="Times New Roman" w:hAnsi="Times New Roman"/>
                <w:sz w:val="18"/>
                <w:szCs w:val="18"/>
                <w:color w:val="auto"/>
              </w:rPr>
              <w:t>25,030</w:t>
            </w:r>
          </w:p>
        </w:tc>
        <w:tc>
          <w:tcPr>
            <w:tcW w:w="7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1,781,883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Commercial Officer</w:t>
            </w: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4"/>
              </w:rPr>
              <w:t>2024</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24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957,407</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1,093,750</w:t>
            </w:r>
          </w:p>
        </w:tc>
        <w:tc>
          <w:tcPr>
            <w:tcW w:w="240" w:type="dxa"/>
            <w:vAlign w:val="bottom"/>
          </w:tcPr>
          <w:p>
            <w:pPr>
              <w:spacing w:after="0"/>
              <w:rPr>
                <w:sz w:val="20"/>
                <w:szCs w:val="20"/>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2,758,157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L. Miller</w:t>
            </w:r>
          </w:p>
        </w:tc>
        <w:tc>
          <w:tcPr>
            <w:tcW w:w="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4"/>
              </w:rPr>
              <w:t>2025</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956,853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1,765,993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4"/>
              </w:rPr>
              <w:t>2024</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724,000</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2,680,741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903,404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4,315,145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5" w:lineRule="exact"/>
        <w:rPr>
          <w:sz w:val="20"/>
          <w:szCs w:val="20"/>
          <w:color w:val="auto"/>
        </w:rPr>
      </w:pPr>
    </w:p>
    <w:p>
      <w:pPr>
        <w:ind w:left="600" w:hanging="433"/>
        <w:spacing w:after="0"/>
        <w:tabs>
          <w:tab w:leader="none" w:pos="60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in this column represent the Named Executive Officer’s base salary earned during the 2025 fiscal year.</w:t>
      </w:r>
    </w:p>
    <w:p>
      <w:pPr>
        <w:spacing w:after="0" w:line="2" w:lineRule="exact"/>
        <w:rPr>
          <w:rFonts w:ascii="Times New Roman" w:cs="Times New Roman" w:eastAsia="Times New Roman" w:hAnsi="Times New Roman"/>
          <w:sz w:val="14"/>
          <w:szCs w:val="14"/>
          <w:color w:val="auto"/>
        </w:rPr>
      </w:pPr>
    </w:p>
    <w:p>
      <w:pPr>
        <w:ind w:left="600" w:hanging="433"/>
        <w:spacing w:after="0" w:line="223" w:lineRule="auto"/>
        <w:tabs>
          <w:tab w:leader="none" w:pos="60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in this column reflect the fair value of each participating Named Executive Officer’s 2025 Award under the MIP at the service inception date for the award computed in accordance with ASC Topic 718. The 2025 Awards are initially expressed as “dollars at work,” which are earned based on Company and individual performance against the performance goals specified for 2025 Awards. At the time the MIP for 2025 was established, it was expected that the earned dollars at work would be converted into Incentive Units if Medline Inc.’s initial public offering did not occur by the date that the 2025 Awards were expected to be granted. However, given the completion of Medline Inc.’s initial public offering in December, the Compensation Committee expects to grant time-based RSUs to each Named Executive Officer (other than Mr. Pigott) in respect of the Named Executive Officer’s earned dollars at work. The earned dollars at work will be converted into a number of RSUs in the first quarter of 2026 by dividing the earned dollars at work (based on fair market value) by the initial public offering price of Medline Inc. common stock, which was $29.00.</w:t>
      </w:r>
    </w:p>
    <w:p>
      <w:pPr>
        <w:spacing w:after="0" w:line="87" w:lineRule="exact"/>
        <w:rPr>
          <w:sz w:val="20"/>
          <w:szCs w:val="20"/>
          <w:color w:val="auto"/>
        </w:rPr>
      </w:pPr>
    </w:p>
    <w:p>
      <w:pPr>
        <w:ind w:left="600" w:right="40" w:hanging="433"/>
        <w:spacing w:after="0" w:line="224" w:lineRule="auto"/>
        <w:tabs>
          <w:tab w:leader="none" w:pos="60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substantial uncertainty surrounding the number of time-based RSUs that would be granted and the fact that a mutual understanding of the key terms of the awards will not be established until the earned “dollars at work” is settled, a grant date for accounting purposes has not occurred as of the date of this prospectus. It is expected that the grant date for accounting purposes will occur during the first quarter of 2026 once the fair market value of the earned dollars at work on such date is determined. Since the service inception date precedes the grant date, the Company recognizes the expense associated with these awards from the service inception date through the accounting grant date, remeasuring the fair value of the awards at each reporting period end until the accounting grant date, at which point the fair value of the awards will be fixed with the previously-recognized compensation cost adjusted to the grant date fair value. For purposes of calculating the value of the 2025 Awards reflected in the table, amounts were computed based on the probable outcome of the performance conditions applicable to each award on the service inception date. Assuming maximum achievement of the applicable performance conditions, the fair values of the 2025 Awards granted to eligible Named Executive Officers in fiscal year 2025 were as follows: Mr. Boyle: $1,766,497; Mr. Drazin: $1,435,279; Mr. Golwas: $1,435,279; and Mr. Miller $1,435,279. For information regarding the assumptions used in determining the fair value of these awards, please refer to “Note 15—Stock-Based Compensation” of our audited consolidated financial statements included elsewhere in this prospectus.</w:t>
      </w:r>
    </w:p>
    <w:p>
      <w:pPr>
        <w:spacing w:after="0" w:line="89" w:lineRule="exact"/>
        <w:rPr>
          <w:sz w:val="20"/>
          <w:szCs w:val="20"/>
          <w:color w:val="auto"/>
        </w:rPr>
      </w:pPr>
    </w:p>
    <w:p>
      <w:pPr>
        <w:ind w:left="600" w:right="200" w:hanging="433"/>
        <w:spacing w:after="0" w:line="231" w:lineRule="auto"/>
        <w:tabs>
          <w:tab w:leader="none" w:pos="60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each Named Executive Officer’s earned annual cash incentive awards pursuant to the AIP is not determinable as of the date of this prospectus. It is expected that this amount will be determinable by the date that Medline Inc. files its annual report on Form 10-K for the fiscal year ended December 31, 2025.</w:t>
      </w:r>
    </w:p>
    <w:p>
      <w:pPr>
        <w:jc w:val="both"/>
        <w:ind w:left="600" w:right="20" w:hanging="433"/>
        <w:spacing w:after="0" w:line="230" w:lineRule="auto"/>
        <w:tabs>
          <w:tab w:leader="none" w:pos="60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in this column for Messrs. Boyle, Drazin, Pigott, Golwas, and Miller include employer contributions to our 401(k) plan in the fiscal year ended December 31, 2025. Amounts for Messrs. Boyle, Drazin, Golwas and Miller also include costs related to personal security services. Amount for Mr. Pigott also includes the value of the accelerated vesting of his time-vesting Incentive Units in</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080"/>
          </w:cols>
          <w:pgMar w:left="320" w:top="452" w:right="4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600" w:right="100"/>
        <w:spacing w:after="0" w:line="238" w:lineRule="auto"/>
        <w:rPr>
          <w:sz w:val="20"/>
          <w:szCs w:val="20"/>
          <w:color w:val="auto"/>
        </w:rPr>
      </w:pPr>
      <w:r>
        <w:rPr>
          <w:rFonts w:ascii="Times New Roman" w:cs="Times New Roman" w:eastAsia="Times New Roman" w:hAnsi="Times New Roman"/>
          <w:sz w:val="14"/>
          <w:szCs w:val="14"/>
          <w:color w:val="auto"/>
        </w:rPr>
        <w:t>the amount of $8,868,337 in accordance with the Pigott Transition Agreement, which is described below under “Narrative Disclosure to Summary Compensation Table and Grants of Plan-Based Awards Table—Agreements with Named Executive Officers—Employment Agreement and Transition and Separation Agreement with Mr. Pigott.” The actual amounts these compensations are listed in the chart below.</w:t>
      </w:r>
    </w:p>
    <w:p>
      <w:pPr>
        <w:spacing w:after="0" w:line="187"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401(k)</w:t>
            </w: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Personal</w:t>
            </w: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Accelerated</w:t>
            </w: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220" w:type="dxa"/>
            <w:vAlign w:val="bottom"/>
            <w:gridSpan w:val="2"/>
          </w:tcPr>
          <w:p>
            <w:pPr>
              <w:jc w:val="right"/>
              <w:ind w:right="480"/>
              <w:spacing w:after="0" w:line="147" w:lineRule="exact"/>
              <w:rPr>
                <w:sz w:val="20"/>
                <w:szCs w:val="20"/>
                <w:color w:val="auto"/>
              </w:rPr>
            </w:pPr>
            <w:r>
              <w:rPr>
                <w:rFonts w:ascii="Times New Roman" w:cs="Times New Roman" w:eastAsia="Times New Roman" w:hAnsi="Times New Roman"/>
                <w:sz w:val="14"/>
                <w:szCs w:val="14"/>
                <w:b w:val="1"/>
                <w:bCs w:val="1"/>
                <w:color w:val="auto"/>
              </w:rPr>
              <w:t>Employer</w:t>
            </w:r>
          </w:p>
        </w:tc>
        <w:tc>
          <w:tcPr>
            <w:tcW w:w="940" w:type="dxa"/>
            <w:vAlign w:val="bottom"/>
            <w:gridSpan w:val="2"/>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rPr>
              <w:t>Security</w:t>
            </w:r>
          </w:p>
        </w:tc>
        <w:tc>
          <w:tcPr>
            <w:tcW w:w="120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9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7"/>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20" w:type="dxa"/>
            <w:vAlign w:val="bottom"/>
            <w:gridSpan w:val="2"/>
          </w:tcPr>
          <w:p>
            <w:pPr>
              <w:jc w:val="right"/>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Contribution</w:t>
            </w:r>
          </w:p>
        </w:tc>
        <w:tc>
          <w:tcPr>
            <w:tcW w:w="94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200" w:type="dxa"/>
            <w:vAlign w:val="bottom"/>
            <w:gridSpan w:val="2"/>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w w:val="99"/>
              </w:rPr>
              <w:t>Units Value</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720" w:type="dxa"/>
            <w:vAlign w:val="bottom"/>
            <w:gridSpan w:val="2"/>
            <w:vMerge w:val="continue"/>
          </w:tcPr>
          <w:p>
            <w:pPr>
              <w:spacing w:after="0"/>
              <w:rPr>
                <w:sz w:val="13"/>
                <w:szCs w:val="13"/>
                <w:color w:val="auto"/>
              </w:rPr>
            </w:pPr>
          </w:p>
        </w:tc>
        <w:tc>
          <w:tcPr>
            <w:tcW w:w="860" w:type="dxa"/>
            <w:vAlign w:val="bottom"/>
          </w:tcPr>
          <w:p>
            <w:pPr>
              <w:jc w:val="right"/>
              <w:ind w:right="259"/>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3"/>
                <w:szCs w:val="13"/>
                <w:color w:val="auto"/>
              </w:rPr>
            </w:pPr>
          </w:p>
        </w:tc>
        <w:tc>
          <w:tcPr>
            <w:tcW w:w="6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Pr>
          <w:p>
            <w:pPr>
              <w:spacing w:after="0"/>
              <w:rPr>
                <w:sz w:val="13"/>
                <w:szCs w:val="13"/>
                <w:color w:val="auto"/>
              </w:rPr>
            </w:pPr>
          </w:p>
        </w:tc>
        <w:tc>
          <w:tcPr>
            <w:tcW w:w="8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Pr>
          <w:p>
            <w:pPr>
              <w:spacing w:after="0"/>
              <w:rPr>
                <w:sz w:val="13"/>
                <w:szCs w:val="13"/>
                <w:color w:val="auto"/>
              </w:rPr>
            </w:pPr>
          </w:p>
        </w:tc>
        <w:tc>
          <w:tcPr>
            <w:tcW w:w="900" w:type="dxa"/>
            <w:vAlign w:val="bottom"/>
          </w:tcPr>
          <w:p>
            <w:pPr>
              <w:jc w:val="right"/>
              <w:ind w:right="276"/>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7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James M. Boyle</w:t>
            </w:r>
          </w:p>
        </w:tc>
        <w:tc>
          <w:tcPr>
            <w:tcW w:w="8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6,646</w:t>
            </w: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16,701</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0</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23,347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B. Drazin</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14,000</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13,289</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27,289</w:t>
            </w:r>
          </w:p>
        </w:tc>
        <w:tc>
          <w:tcPr>
            <w:tcW w:w="0" w:type="dxa"/>
            <w:vAlign w:val="bottom"/>
          </w:tcPr>
          <w:p>
            <w:pPr>
              <w:spacing w:after="0"/>
              <w:rPr>
                <w:sz w:val="1"/>
                <w:szCs w:val="1"/>
                <w:color w:val="auto"/>
              </w:rPr>
            </w:pPr>
          </w:p>
        </w:tc>
      </w:tr>
      <w:tr>
        <w:trPr>
          <w:trHeight w:val="214"/>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Pigott</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8,167</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8,868,337</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8,876,504</w:t>
            </w:r>
          </w:p>
        </w:tc>
        <w:tc>
          <w:tcPr>
            <w:tcW w:w="0" w:type="dxa"/>
            <w:vAlign w:val="bottom"/>
          </w:tcPr>
          <w:p>
            <w:pPr>
              <w:spacing w:after="0"/>
              <w:rPr>
                <w:sz w:val="1"/>
                <w:szCs w:val="1"/>
                <w:color w:val="auto"/>
              </w:rPr>
            </w:pPr>
          </w:p>
        </w:tc>
      </w:tr>
      <w:tr>
        <w:trPr>
          <w:trHeight w:val="21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P. Golwas</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12,589</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12,441</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25,030</w:t>
            </w:r>
          </w:p>
        </w:tc>
        <w:tc>
          <w:tcPr>
            <w:tcW w:w="0" w:type="dxa"/>
            <w:vAlign w:val="bottom"/>
          </w:tcPr>
          <w:p>
            <w:pPr>
              <w:spacing w:after="0"/>
              <w:rPr>
                <w:sz w:val="1"/>
                <w:szCs w:val="1"/>
                <w:color w:val="auto"/>
              </w:rPr>
            </w:pPr>
          </w:p>
        </w:tc>
      </w:tr>
      <w:tr>
        <w:trPr>
          <w:trHeight w:val="214"/>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L. Miller</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7,667</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1,473</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9,140</w:t>
            </w: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Grants of Plan-Based Awards in 2025</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grants of plan-based awards to our Named Executive Officers during the 2025 fiscal</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year.</w:t>
      </w:r>
    </w:p>
    <w:p>
      <w:pPr>
        <w:sectPr>
          <w:pgSz w:w="11900" w:h="16838" w:orient="portrait"/>
          <w:cols w:equalWidth="0" w:num="1">
            <w:col w:w="11060"/>
          </w:cols>
          <w:pgMar w:left="320" w:top="452" w:right="519" w:bottom="1440" w:gutter="0" w:footer="0" w:header="0"/>
        </w:sectPr>
      </w:pPr>
    </w:p>
    <w:p>
      <w:pPr>
        <w:spacing w:after="0" w:line="200" w:lineRule="exact"/>
        <w:rPr>
          <w:sz w:val="20"/>
          <w:szCs w:val="20"/>
          <w:color w:val="auto"/>
        </w:rPr>
      </w:pPr>
    </w:p>
    <w:p>
      <w:pPr>
        <w:spacing w:after="0" w:line="29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0" w:type="dxa"/>
            <w:vAlign w:val="bottom"/>
            <w:gridSpan w:val="6"/>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Estimated Future</w:t>
            </w:r>
          </w:p>
        </w:tc>
        <w:tc>
          <w:tcPr>
            <w:tcW w:w="208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Estimated Future</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0" w:type="dxa"/>
            <w:vAlign w:val="bottom"/>
            <w:gridSpan w:val="6"/>
            <w:vMerge w:val="continue"/>
          </w:tcPr>
          <w:p>
            <w:pPr>
              <w:spacing w:after="0"/>
              <w:rPr>
                <w:sz w:val="12"/>
                <w:szCs w:val="12"/>
                <w:color w:val="auto"/>
              </w:rPr>
            </w:pPr>
          </w:p>
        </w:tc>
        <w:tc>
          <w:tcPr>
            <w:tcW w:w="2080" w:type="dxa"/>
            <w:vAlign w:val="bottom"/>
            <w:gridSpan w:val="6"/>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Payouts Under Equity</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0" w:type="dxa"/>
            <w:vAlign w:val="bottom"/>
            <w:gridSpan w:val="6"/>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Payouts Under Non-Equity</w:t>
            </w:r>
          </w:p>
        </w:tc>
        <w:tc>
          <w:tcPr>
            <w:tcW w:w="640" w:type="dxa"/>
            <w:vAlign w:val="bottom"/>
          </w:tcPr>
          <w:p>
            <w:pPr>
              <w:spacing w:after="0"/>
              <w:rPr>
                <w:sz w:val="12"/>
                <w:szCs w:val="12"/>
                <w:color w:val="auto"/>
              </w:rPr>
            </w:pPr>
          </w:p>
        </w:tc>
        <w:tc>
          <w:tcPr>
            <w:tcW w:w="780" w:type="dxa"/>
            <w:vAlign w:val="bottom"/>
            <w:gridSpan w:val="3"/>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 Plan Awards</w:t>
            </w:r>
            <w:r>
              <w:rPr>
                <w:rFonts w:ascii="Times New Roman" w:cs="Times New Roman" w:eastAsia="Times New Roman" w:hAnsi="Times New Roman"/>
                <w:sz w:val="10"/>
                <w:szCs w:val="10"/>
                <w:b w:val="1"/>
                <w:bCs w:val="1"/>
                <w:color w:val="auto"/>
              </w:rPr>
              <w:t>(2)</w:t>
            </w:r>
          </w:p>
        </w:tc>
        <w:tc>
          <w:tcPr>
            <w:tcW w:w="1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Plan Awards</w:t>
            </w: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60" w:type="dxa"/>
            <w:vAlign w:val="bottom"/>
          </w:tcPr>
          <w:p>
            <w:pPr>
              <w:spacing w:after="0"/>
              <w:rPr>
                <w:sz w:val="22"/>
                <w:szCs w:val="22"/>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0" w:type="dxa"/>
            <w:vAlign w:val="bottom"/>
          </w:tcPr>
          <w:p>
            <w:pPr>
              <w:spacing w:after="0"/>
              <w:rPr>
                <w:sz w:val="1"/>
                <w:szCs w:val="1"/>
                <w:color w:val="auto"/>
              </w:rPr>
            </w:pPr>
          </w:p>
        </w:tc>
      </w:tr>
      <w:tr>
        <w:trPr>
          <w:trHeight w:val="178"/>
        </w:trPr>
        <w:tc>
          <w:tcPr>
            <w:tcW w:w="2360" w:type="dxa"/>
            <w:vAlign w:val="bottom"/>
            <w:gridSpan w:val="2"/>
            <w:vMerge w:val="continue"/>
          </w:tcPr>
          <w:p>
            <w:pPr>
              <w:spacing w:after="0"/>
              <w:rPr>
                <w:sz w:val="15"/>
                <w:szCs w:val="15"/>
                <w:color w:val="auto"/>
              </w:rPr>
            </w:pPr>
          </w:p>
        </w:tc>
        <w:tc>
          <w:tcPr>
            <w:tcW w:w="940" w:type="dxa"/>
            <w:vAlign w:val="bottom"/>
            <w:gridSpan w:val="2"/>
          </w:tcPr>
          <w:p>
            <w:pPr>
              <w:ind w:left="100"/>
              <w:spacing w:after="0" w:line="159" w:lineRule="exact"/>
              <w:rPr>
                <w:sz w:val="20"/>
                <w:szCs w:val="20"/>
                <w:color w:val="auto"/>
              </w:rPr>
            </w:pPr>
            <w:r>
              <w:rPr>
                <w:rFonts w:ascii="Times New Roman" w:cs="Times New Roman" w:eastAsia="Times New Roman" w:hAnsi="Times New Roman"/>
                <w:sz w:val="14"/>
                <w:szCs w:val="14"/>
                <w:b w:val="1"/>
                <w:bCs w:val="1"/>
                <w:color w:val="auto"/>
              </w:rPr>
              <w:t>Date</w:t>
            </w:r>
            <w:r>
              <w:rPr>
                <w:rFonts w:ascii="Times New Roman" w:cs="Times New Roman" w:eastAsia="Times New Roman" w:hAnsi="Times New Roman"/>
                <w:sz w:val="10"/>
                <w:szCs w:val="10"/>
                <w:b w:val="1"/>
                <w:bCs w:val="1"/>
                <w:color w:val="auto"/>
              </w:rPr>
              <w:t>(1)</w:t>
            </w:r>
          </w:p>
        </w:tc>
        <w:tc>
          <w:tcPr>
            <w:tcW w:w="620" w:type="dxa"/>
            <w:vAlign w:val="bottom"/>
          </w:tcPr>
          <w:p>
            <w:pPr>
              <w:jc w:val="right"/>
              <w:ind w:right="150"/>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6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660" w:type="dxa"/>
            <w:vAlign w:val="bottom"/>
          </w:tcPr>
          <w:p>
            <w:pPr>
              <w:jc w:val="right"/>
              <w:ind w:right="170"/>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64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jc w:val="center"/>
              <w:ind w:left="109"/>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640" w:type="dxa"/>
            <w:vAlign w:val="bottom"/>
          </w:tcPr>
          <w:p>
            <w:pPr>
              <w:jc w:val="right"/>
              <w:ind w:right="170"/>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360" w:type="dxa"/>
            <w:vAlign w:val="bottom"/>
            <w:tcBorders>
              <w:top w:val="single" w:sz="8" w:color="auto"/>
            </w:tcBorders>
          </w:tcPr>
          <w:p>
            <w:pPr>
              <w:spacing w:after="0" w:line="111" w:lineRule="exact"/>
              <w:rPr>
                <w:sz w:val="20"/>
                <w:szCs w:val="20"/>
                <w:color w:val="auto"/>
              </w:rPr>
            </w:pPr>
            <w:r>
              <w:rPr>
                <w:rFonts w:ascii="Times New Roman" w:cs="Times New Roman" w:eastAsia="Times New Roman" w:hAnsi="Times New Roman"/>
                <w:sz w:val="12"/>
                <w:szCs w:val="12"/>
                <w:color w:val="auto"/>
              </w:rPr>
              <w:t>James</w:t>
            </w:r>
          </w:p>
        </w:tc>
        <w:tc>
          <w:tcPr>
            <w:tcW w:w="2000" w:type="dxa"/>
            <w:vAlign w:val="bottom"/>
          </w:tcPr>
          <w:p>
            <w:pPr>
              <w:ind w:left="40"/>
              <w:spacing w:after="0" w:line="111" w:lineRule="exact"/>
              <w:rPr>
                <w:sz w:val="20"/>
                <w:szCs w:val="20"/>
                <w:color w:val="auto"/>
              </w:rPr>
            </w:pPr>
            <w:r>
              <w:rPr>
                <w:rFonts w:ascii="Times New Roman" w:cs="Times New Roman" w:eastAsia="Times New Roman" w:hAnsi="Times New Roman"/>
                <w:sz w:val="12"/>
                <w:szCs w:val="12"/>
                <w:color w:val="auto"/>
              </w:rPr>
              <w:t>M. Boyle</w:t>
            </w:r>
          </w:p>
        </w:tc>
        <w:tc>
          <w:tcPr>
            <w:tcW w:w="620" w:type="dxa"/>
            <w:vAlign w:val="bottom"/>
            <w:tcBorders>
              <w:top w:val="single" w:sz="8" w:color="auto"/>
            </w:tcBorders>
          </w:tcPr>
          <w:p>
            <w:pPr>
              <w:ind w:left="40"/>
              <w:spacing w:after="0" w:line="111" w:lineRule="exact"/>
              <w:rPr>
                <w:sz w:val="20"/>
                <w:szCs w:val="20"/>
                <w:color w:val="auto"/>
              </w:rPr>
            </w:pPr>
            <w:r>
              <w:rPr>
                <w:rFonts w:ascii="Times New Roman" w:cs="Times New Roman" w:eastAsia="Times New Roman" w:hAnsi="Times New Roman"/>
                <w:sz w:val="12"/>
                <w:szCs w:val="12"/>
                <w:color w:val="auto"/>
              </w:rPr>
              <w:t>4/11/2025</w:t>
            </w:r>
          </w:p>
        </w:tc>
        <w:tc>
          <w:tcPr>
            <w:tcW w:w="320" w:type="dxa"/>
            <w:vAlign w:val="bottom"/>
          </w:tcPr>
          <w:p>
            <w:pPr>
              <w:jc w:val="right"/>
              <w:ind w:right="147"/>
              <w:spacing w:after="0" w:line="111" w:lineRule="exact"/>
              <w:rPr>
                <w:sz w:val="20"/>
                <w:szCs w:val="20"/>
                <w:color w:val="auto"/>
              </w:rPr>
            </w:pPr>
            <w:r>
              <w:rPr>
                <w:rFonts w:ascii="Times New Roman" w:cs="Times New Roman" w:eastAsia="Times New Roman" w:hAnsi="Times New Roman"/>
                <w:sz w:val="11"/>
                <w:szCs w:val="11"/>
                <w:color w:val="auto"/>
                <w:w w:val="77"/>
              </w:rPr>
              <w:t>(3)</w:t>
            </w:r>
          </w:p>
        </w:tc>
        <w:tc>
          <w:tcPr>
            <w:tcW w:w="62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0</w:t>
            </w:r>
          </w:p>
        </w:tc>
        <w:tc>
          <w:tcPr>
            <w:tcW w:w="180" w:type="dxa"/>
            <w:vAlign w:val="bottom"/>
          </w:tcPr>
          <w:p>
            <w:pPr>
              <w:spacing w:after="0"/>
              <w:rPr>
                <w:sz w:val="9"/>
                <w:szCs w:val="9"/>
                <w:color w:val="auto"/>
              </w:rPr>
            </w:pPr>
          </w:p>
        </w:tc>
        <w:tc>
          <w:tcPr>
            <w:tcW w:w="62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1,662,500</w:t>
            </w:r>
          </w:p>
        </w:tc>
        <w:tc>
          <w:tcPr>
            <w:tcW w:w="160" w:type="dxa"/>
            <w:vAlign w:val="bottom"/>
          </w:tcPr>
          <w:p>
            <w:pPr>
              <w:spacing w:after="0"/>
              <w:rPr>
                <w:sz w:val="9"/>
                <w:szCs w:val="9"/>
                <w:color w:val="auto"/>
              </w:rPr>
            </w:pPr>
          </w:p>
        </w:tc>
        <w:tc>
          <w:tcPr>
            <w:tcW w:w="66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2,500,000</w:t>
            </w:r>
          </w:p>
        </w:tc>
        <w:tc>
          <w:tcPr>
            <w:tcW w:w="160" w:type="dxa"/>
            <w:vAlign w:val="bottom"/>
          </w:tcPr>
          <w:p>
            <w:pPr>
              <w:spacing w:after="0"/>
              <w:rPr>
                <w:sz w:val="9"/>
                <w:szCs w:val="9"/>
                <w:color w:val="auto"/>
              </w:rPr>
            </w:pPr>
          </w:p>
        </w:tc>
        <w:tc>
          <w:tcPr>
            <w:tcW w:w="640" w:type="dxa"/>
            <w:vAlign w:val="bottom"/>
            <w:tcBorders>
              <w:top w:val="single" w:sz="8" w:color="auto"/>
            </w:tcBorders>
          </w:tcPr>
          <w:p>
            <w:pPr>
              <w:ind w:left="240"/>
              <w:spacing w:after="0" w:line="111" w:lineRule="exact"/>
              <w:rPr>
                <w:sz w:val="20"/>
                <w:szCs w:val="20"/>
                <w:color w:val="auto"/>
              </w:rPr>
            </w:pPr>
            <w:r>
              <w:rPr>
                <w:rFonts w:ascii="Times New Roman" w:cs="Times New Roman" w:eastAsia="Times New Roman" w:hAnsi="Times New Roman"/>
                <w:sz w:val="12"/>
                <w:szCs w:val="12"/>
                <w:color w:val="auto"/>
              </w:rPr>
              <w:t>20,305</w:t>
            </w:r>
          </w:p>
        </w:tc>
        <w:tc>
          <w:tcPr>
            <w:tcW w:w="160" w:type="dxa"/>
            <w:vAlign w:val="bottom"/>
          </w:tcPr>
          <w:p>
            <w:pPr>
              <w:spacing w:after="0"/>
              <w:rPr>
                <w:sz w:val="9"/>
                <w:szCs w:val="9"/>
                <w:color w:val="auto"/>
              </w:rPr>
            </w:pPr>
          </w:p>
        </w:tc>
        <w:tc>
          <w:tcPr>
            <w:tcW w:w="440" w:type="dxa"/>
            <w:vAlign w:val="bottom"/>
            <w:tcBorders>
              <w:top w:val="single" w:sz="8" w:color="auto"/>
            </w:tcBorders>
          </w:tcPr>
          <w:p>
            <w:pPr>
              <w:ind w:left="60"/>
              <w:spacing w:after="0" w:line="111" w:lineRule="exact"/>
              <w:rPr>
                <w:sz w:val="20"/>
                <w:szCs w:val="20"/>
                <w:color w:val="auto"/>
              </w:rPr>
            </w:pPr>
            <w:r>
              <w:rPr>
                <w:rFonts w:ascii="Times New Roman" w:cs="Times New Roman" w:eastAsia="Times New Roman" w:hAnsi="Times New Roman"/>
                <w:sz w:val="12"/>
                <w:szCs w:val="12"/>
                <w:color w:val="auto"/>
              </w:rPr>
              <w:t>40,609</w:t>
            </w:r>
          </w:p>
        </w:tc>
        <w:tc>
          <w:tcPr>
            <w:tcW w:w="180" w:type="dxa"/>
            <w:vAlign w:val="bottom"/>
          </w:tcPr>
          <w:p>
            <w:pPr>
              <w:spacing w:after="0"/>
              <w:rPr>
                <w:sz w:val="9"/>
                <w:szCs w:val="9"/>
                <w:color w:val="auto"/>
              </w:rPr>
            </w:pPr>
          </w:p>
        </w:tc>
        <w:tc>
          <w:tcPr>
            <w:tcW w:w="64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60,914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36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Michael B. Drazin</w:t>
            </w:r>
          </w:p>
        </w:tc>
        <w:tc>
          <w:tcPr>
            <w:tcW w:w="940" w:type="dxa"/>
            <w:vAlign w:val="bottom"/>
            <w:gridSpan w:val="2"/>
          </w:tcPr>
          <w:p>
            <w:pPr>
              <w:ind w:left="40"/>
              <w:spacing w:after="0" w:line="147" w:lineRule="exact"/>
              <w:rPr>
                <w:sz w:val="20"/>
                <w:szCs w:val="20"/>
                <w:color w:val="auto"/>
              </w:rPr>
            </w:pPr>
            <w:r>
              <w:rPr>
                <w:rFonts w:ascii="Times New Roman" w:cs="Times New Roman" w:eastAsia="Times New Roman" w:hAnsi="Times New Roman"/>
                <w:sz w:val="14"/>
                <w:szCs w:val="14"/>
                <w:color w:val="auto"/>
              </w:rPr>
              <w:t xml:space="preserve">4/11/2025 </w:t>
            </w:r>
            <w:r>
              <w:rPr>
                <w:rFonts w:ascii="Times New Roman" w:cs="Times New Roman" w:eastAsia="Times New Roman" w:hAnsi="Times New Roman"/>
                <w:sz w:val="10"/>
                <w:szCs w:val="10"/>
                <w:color w:val="auto"/>
              </w:rPr>
              <w:t>(3)</w:t>
            </w: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0</w:t>
            </w:r>
          </w:p>
        </w:tc>
        <w:tc>
          <w:tcPr>
            <w:tcW w:w="180" w:type="dxa"/>
            <w:vAlign w:val="bottom"/>
          </w:tcPr>
          <w:p>
            <w:pPr>
              <w:spacing w:after="0"/>
              <w:rPr>
                <w:sz w:val="12"/>
                <w:szCs w:val="12"/>
                <w:color w:val="auto"/>
              </w:rPr>
            </w:pPr>
          </w:p>
        </w:tc>
        <w:tc>
          <w:tcPr>
            <w:tcW w:w="78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810,000</w:t>
            </w:r>
          </w:p>
        </w:tc>
        <w:tc>
          <w:tcPr>
            <w:tcW w:w="6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1,215,000</w:t>
            </w:r>
          </w:p>
        </w:tc>
        <w:tc>
          <w:tcPr>
            <w:tcW w:w="160" w:type="dxa"/>
            <w:vAlign w:val="bottom"/>
          </w:tcPr>
          <w:p>
            <w:pPr>
              <w:spacing w:after="0"/>
              <w:rPr>
                <w:sz w:val="12"/>
                <w:szCs w:val="12"/>
                <w:color w:val="auto"/>
              </w:rPr>
            </w:pPr>
          </w:p>
        </w:tc>
        <w:tc>
          <w:tcPr>
            <w:tcW w:w="640" w:type="dxa"/>
            <w:vAlign w:val="bottom"/>
          </w:tcPr>
          <w:p>
            <w:pPr>
              <w:ind w:left="240"/>
              <w:spacing w:after="0" w:line="147" w:lineRule="exact"/>
              <w:rPr>
                <w:sz w:val="20"/>
                <w:szCs w:val="20"/>
                <w:color w:val="auto"/>
              </w:rPr>
            </w:pPr>
            <w:r>
              <w:rPr>
                <w:rFonts w:ascii="Times New Roman" w:cs="Times New Roman" w:eastAsia="Times New Roman" w:hAnsi="Times New Roman"/>
                <w:sz w:val="14"/>
                <w:szCs w:val="14"/>
                <w:color w:val="auto"/>
                <w:w w:val="98"/>
              </w:rPr>
              <w:t>16,497</w:t>
            </w:r>
          </w:p>
        </w:tc>
        <w:tc>
          <w:tcPr>
            <w:tcW w:w="780" w:type="dxa"/>
            <w:vAlign w:val="bottom"/>
            <w:gridSpan w:val="3"/>
          </w:tcPr>
          <w:p>
            <w:pPr>
              <w:ind w:left="220"/>
              <w:spacing w:after="0" w:line="147" w:lineRule="exact"/>
              <w:rPr>
                <w:sz w:val="20"/>
                <w:szCs w:val="20"/>
                <w:color w:val="auto"/>
              </w:rPr>
            </w:pPr>
            <w:r>
              <w:rPr>
                <w:rFonts w:ascii="Times New Roman" w:cs="Times New Roman" w:eastAsia="Times New Roman" w:hAnsi="Times New Roman"/>
                <w:sz w:val="14"/>
                <w:szCs w:val="14"/>
                <w:color w:val="auto"/>
              </w:rPr>
              <w:t>32,995</w:t>
            </w:r>
          </w:p>
        </w:tc>
        <w:tc>
          <w:tcPr>
            <w:tcW w:w="6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49,492</w:t>
            </w:r>
          </w:p>
        </w:tc>
        <w:tc>
          <w:tcPr>
            <w:tcW w:w="0" w:type="dxa"/>
            <w:vAlign w:val="bottom"/>
          </w:tcPr>
          <w:p>
            <w:pPr>
              <w:spacing w:after="0"/>
              <w:rPr>
                <w:sz w:val="1"/>
                <w:szCs w:val="1"/>
                <w:color w:val="auto"/>
              </w:rPr>
            </w:pPr>
          </w:p>
        </w:tc>
      </w:tr>
      <w:tr>
        <w:trPr>
          <w:trHeight w:val="147"/>
        </w:trPr>
        <w:tc>
          <w:tcPr>
            <w:tcW w:w="236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James M. Pigott</w:t>
            </w: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4/11/2025</w:t>
            </w:r>
            <w:r>
              <w:rPr>
                <w:rFonts w:ascii="Times New Roman" w:cs="Times New Roman" w:eastAsia="Times New Roman" w:hAnsi="Times New Roman"/>
                <w:sz w:val="10"/>
                <w:szCs w:val="10"/>
                <w:color w:val="auto"/>
              </w:rPr>
              <w:t>(3)</w:t>
            </w: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0</w:t>
            </w:r>
          </w:p>
        </w:tc>
        <w:tc>
          <w:tcPr>
            <w:tcW w:w="180" w:type="dxa"/>
            <w:vAlign w:val="bottom"/>
          </w:tcPr>
          <w:p>
            <w:pPr>
              <w:spacing w:after="0"/>
              <w:rPr>
                <w:sz w:val="12"/>
                <w:szCs w:val="12"/>
                <w:color w:val="auto"/>
              </w:rPr>
            </w:pP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1,100,000</w:t>
            </w:r>
          </w:p>
        </w:tc>
        <w:tc>
          <w:tcPr>
            <w:tcW w:w="16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1,650,000</w:t>
            </w:r>
          </w:p>
        </w:tc>
        <w:tc>
          <w:tcPr>
            <w:tcW w:w="160" w:type="dxa"/>
            <w:vAlign w:val="bottom"/>
          </w:tcPr>
          <w:p>
            <w:pPr>
              <w:spacing w:after="0"/>
              <w:rPr>
                <w:sz w:val="12"/>
                <w:szCs w:val="12"/>
                <w:color w:val="auto"/>
              </w:rPr>
            </w:pP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98"/>
              </w:rPr>
              <w:t>16,497</w:t>
            </w:r>
          </w:p>
        </w:tc>
        <w:tc>
          <w:tcPr>
            <w:tcW w:w="78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color w:val="auto"/>
              </w:rPr>
              <w:t>32,995</w:t>
            </w:r>
          </w:p>
        </w:tc>
        <w:tc>
          <w:tcPr>
            <w:tcW w:w="6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49,492</w:t>
            </w:r>
          </w:p>
        </w:tc>
        <w:tc>
          <w:tcPr>
            <w:tcW w:w="0" w:type="dxa"/>
            <w:vAlign w:val="bottom"/>
          </w:tcPr>
          <w:p>
            <w:pPr>
              <w:spacing w:after="0"/>
              <w:rPr>
                <w:sz w:val="1"/>
                <w:szCs w:val="1"/>
                <w:color w:val="auto"/>
              </w:rPr>
            </w:pPr>
          </w:p>
        </w:tc>
      </w:tr>
      <w:tr>
        <w:trPr>
          <w:trHeight w:val="147"/>
        </w:trPr>
        <w:tc>
          <w:tcPr>
            <w:tcW w:w="236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Douglas P. Golwas</w:t>
            </w:r>
          </w:p>
        </w:tc>
        <w:tc>
          <w:tcPr>
            <w:tcW w:w="940" w:type="dxa"/>
            <w:vAlign w:val="bottom"/>
            <w:gridSpan w:val="2"/>
            <w:vMerge w:val="continue"/>
          </w:tcPr>
          <w:p>
            <w:pPr>
              <w:spacing w:after="0"/>
              <w:rPr>
                <w:sz w:val="12"/>
                <w:szCs w:val="12"/>
                <w:color w:val="auto"/>
              </w:rPr>
            </w:pP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0</w:t>
            </w:r>
          </w:p>
        </w:tc>
        <w:tc>
          <w:tcPr>
            <w:tcW w:w="180" w:type="dxa"/>
            <w:vAlign w:val="bottom"/>
          </w:tcPr>
          <w:p>
            <w:pPr>
              <w:spacing w:after="0"/>
              <w:rPr>
                <w:sz w:val="12"/>
                <w:szCs w:val="12"/>
                <w:color w:val="auto"/>
              </w:rPr>
            </w:pPr>
          </w:p>
        </w:tc>
        <w:tc>
          <w:tcPr>
            <w:tcW w:w="78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800,000</w:t>
            </w:r>
          </w:p>
        </w:tc>
        <w:tc>
          <w:tcPr>
            <w:tcW w:w="6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1,200,000</w:t>
            </w: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Stephen L. Miller</w:t>
            </w: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4/11/2025 </w:t>
            </w:r>
            <w:r>
              <w:rPr>
                <w:rFonts w:ascii="Times New Roman" w:cs="Times New Roman" w:eastAsia="Times New Roman" w:hAnsi="Times New Roman"/>
                <w:sz w:val="10"/>
                <w:szCs w:val="10"/>
                <w:color w:val="auto"/>
              </w:rPr>
              <w:t>(3)</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800,000</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1,200,000</w:t>
            </w:r>
          </w:p>
        </w:tc>
        <w:tc>
          <w:tcPr>
            <w:tcW w:w="160" w:type="dxa"/>
            <w:vAlign w:val="bottom"/>
          </w:tcPr>
          <w:p>
            <w:pPr>
              <w:spacing w:after="0"/>
              <w:rPr>
                <w:sz w:val="16"/>
                <w:szCs w:val="16"/>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4"/>
                <w:szCs w:val="14"/>
                <w:color w:val="auto"/>
                <w:w w:val="98"/>
              </w:rPr>
              <w:t>16,497</w:t>
            </w:r>
          </w:p>
        </w:tc>
        <w:tc>
          <w:tcPr>
            <w:tcW w:w="7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32,995</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49,492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-484505</wp:posOffset>
            </wp:positionV>
            <wp:extent cx="6929755" cy="1016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29755" cy="10160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-289560</wp:posOffset>
            </wp:positionV>
            <wp:extent cx="6929755" cy="933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29755" cy="9334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-102235</wp:posOffset>
            </wp:positionV>
            <wp:extent cx="6929755" cy="933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29755" cy="9334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74930</wp:posOffset>
            </wp:positionV>
            <wp:extent cx="76454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7"/>
        </w:trPr>
        <w:tc>
          <w:tcPr>
            <w:tcW w:w="760" w:type="dxa"/>
            <w:vAlign w:val="bottom"/>
            <w:gridSpan w:val="2"/>
            <w:vMerge w:val="continue"/>
          </w:tcPr>
          <w:p>
            <w:pPr>
              <w:spacing w:after="0"/>
              <w:rPr>
                <w:sz w:val="12"/>
                <w:szCs w:val="12"/>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47"/>
        </w:trPr>
        <w:tc>
          <w:tcPr>
            <w:tcW w:w="76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Stock</w:t>
            </w:r>
          </w:p>
        </w:tc>
        <w:tc>
          <w:tcPr>
            <w:tcW w:w="860" w:type="dxa"/>
            <w:vAlign w:val="bottom"/>
            <w:gridSpan w:val="2"/>
            <w:vMerge w:val="continue"/>
          </w:tcPr>
          <w:p>
            <w:pPr>
              <w:spacing w:after="0"/>
              <w:rPr>
                <w:sz w:val="12"/>
                <w:szCs w:val="12"/>
                <w:color w:val="auto"/>
              </w:rPr>
            </w:pPr>
          </w:p>
        </w:tc>
        <w:tc>
          <w:tcPr>
            <w:tcW w:w="7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6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7"/>
        </w:trPr>
        <w:tc>
          <w:tcPr>
            <w:tcW w:w="76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86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700" w:type="dxa"/>
            <w:vAlign w:val="bottom"/>
            <w:gridSpan w:val="2"/>
            <w:vMerge w:val="continue"/>
          </w:tcPr>
          <w:p>
            <w:pPr>
              <w:spacing w:after="0"/>
              <w:rPr>
                <w:sz w:val="12"/>
                <w:szCs w:val="12"/>
                <w:color w:val="auto"/>
              </w:rPr>
            </w:pPr>
          </w:p>
        </w:tc>
        <w:tc>
          <w:tcPr>
            <w:tcW w:w="6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7"/>
        </w:trPr>
        <w:tc>
          <w:tcPr>
            <w:tcW w:w="76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Number</w:t>
            </w:r>
          </w:p>
        </w:tc>
        <w:tc>
          <w:tcPr>
            <w:tcW w:w="86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70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or Base</w:t>
            </w:r>
          </w:p>
        </w:tc>
        <w:tc>
          <w:tcPr>
            <w:tcW w:w="6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7"/>
        </w:trPr>
        <w:tc>
          <w:tcPr>
            <w:tcW w:w="76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86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0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Price of</w:t>
            </w:r>
          </w:p>
        </w:tc>
        <w:tc>
          <w:tcPr>
            <w:tcW w:w="6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0" w:type="dxa"/>
            <w:vAlign w:val="bottom"/>
          </w:tcPr>
          <w:p>
            <w:pPr>
              <w:spacing w:after="0"/>
              <w:rPr>
                <w:sz w:val="1"/>
                <w:szCs w:val="1"/>
                <w:color w:val="auto"/>
              </w:rPr>
            </w:pPr>
          </w:p>
        </w:tc>
      </w:tr>
      <w:tr>
        <w:trPr>
          <w:trHeight w:val="147"/>
        </w:trPr>
        <w:tc>
          <w:tcPr>
            <w:tcW w:w="76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86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70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6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7"/>
        </w:trPr>
        <w:tc>
          <w:tcPr>
            <w:tcW w:w="76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86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0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6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172"/>
        </w:trPr>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18"/>
        </w:trPr>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1,177,665</w:t>
            </w: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956,853</w:t>
            </w: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956,853</w:t>
            </w: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956,853</w:t>
            </w:r>
          </w:p>
        </w:tc>
        <w:tc>
          <w:tcPr>
            <w:tcW w:w="0" w:type="dxa"/>
            <w:vAlign w:val="bottom"/>
          </w:tcPr>
          <w:p>
            <w:pPr>
              <w:spacing w:after="0"/>
              <w:rPr>
                <w:sz w:val="1"/>
                <w:szCs w:val="1"/>
                <w:color w:val="auto"/>
              </w:rPr>
            </w:pPr>
          </w:p>
        </w:tc>
      </w:tr>
    </w:tbl>
    <w:p>
      <w:pPr>
        <w:spacing w:after="0" w:line="149" w:lineRule="exact"/>
        <w:rPr>
          <w:sz w:val="20"/>
          <w:szCs w:val="20"/>
          <w:color w:val="auto"/>
        </w:rPr>
      </w:pPr>
    </w:p>
    <w:p>
      <w:pPr>
        <w:sectPr>
          <w:pgSz w:w="11900" w:h="16838" w:orient="portrait"/>
          <w:cols w:equalWidth="0" w:num="2">
            <w:col w:w="7920" w:space="180"/>
            <w:col w:w="2960"/>
          </w:cols>
          <w:pgMar w:left="320" w:top="452" w:right="519" w:bottom="1440" w:gutter="0" w:footer="0" w:header="0"/>
          <w:type w:val="continuous"/>
        </w:sectPr>
      </w:pPr>
    </w:p>
    <w:p>
      <w:pPr>
        <w:ind w:left="600" w:hanging="433"/>
        <w:spacing w:after="0"/>
        <w:tabs>
          <w:tab w:leader="none" w:pos="60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column, the grant date for the awards is the service inception date determined under ASC Topic 718.</w:t>
      </w:r>
    </w:p>
    <w:p>
      <w:pPr>
        <w:spacing w:after="0" w:line="2" w:lineRule="exact"/>
        <w:rPr>
          <w:rFonts w:ascii="Times New Roman" w:cs="Times New Roman" w:eastAsia="Times New Roman" w:hAnsi="Times New Roman"/>
          <w:sz w:val="14"/>
          <w:szCs w:val="14"/>
          <w:color w:val="auto"/>
        </w:rPr>
      </w:pPr>
    </w:p>
    <w:p>
      <w:pPr>
        <w:ind w:left="600" w:hanging="433"/>
        <w:spacing w:after="0" w:line="219" w:lineRule="auto"/>
        <w:tabs>
          <w:tab w:leader="none" w:pos="60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reflect the cash incentive award opportunity range under our AIP, the terms of which are summarized under “—Compensation Elements—Annual Incentive Compensation” above.</w:t>
      </w:r>
    </w:p>
    <w:p>
      <w:pPr>
        <w:ind w:left="600" w:right="40" w:hanging="433"/>
        <w:spacing w:after="0" w:line="224" w:lineRule="auto"/>
        <w:tabs>
          <w:tab w:leader="none" w:pos="60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2025 MIP Awards were initially expressed as “dollars at work” prior to the completion of our initial public offering. The 2025 MIP Awards will be delivered as RSUs in the first quarter of 2026 based upon Company performance relative to the 2025 MIP performance goals, as summarized under “ —Compensation Elements—Long-Term Equity Incentive Compensation—2025 Management Incentive Plan” and in footnote 3 to the Summary Compensation Table. Grant date fair value amounts for each Named Executive Officer represent achievement of the 2025 MIP performance goals at target, and the number of RSUs reflect the conversion of the dollars at work at target into a number of RSUs based on the IPO price. The actual grant date fair values and number of RSUs to be issued to each Named Executive Officer in the first quarter of 2026 are not determinable as of the date of this prospectus. It is expected that these amounts will be determinable by the date that Medline Inc. files its annual report on Form 10-K for the fiscal year ended December 31, 2025.</w:t>
      </w:r>
    </w:p>
    <w:p>
      <w:pPr>
        <w:spacing w:after="0" w:line="286" w:lineRule="exact"/>
        <w:rPr>
          <w:sz w:val="20"/>
          <w:szCs w:val="20"/>
          <w:color w:val="auto"/>
        </w:rPr>
      </w:pPr>
    </w:p>
    <w:p>
      <w:pPr>
        <w:ind w:left="160" w:right="3620"/>
        <w:spacing w:after="0" w:line="374" w:lineRule="auto"/>
        <w:rPr>
          <w:sz w:val="20"/>
          <w:szCs w:val="20"/>
          <w:color w:val="auto"/>
        </w:rPr>
      </w:pPr>
      <w:r>
        <w:rPr>
          <w:rFonts w:ascii="Times New Roman" w:cs="Times New Roman" w:eastAsia="Times New Roman" w:hAnsi="Times New Roman"/>
          <w:sz w:val="18"/>
          <w:szCs w:val="18"/>
          <w:b w:val="1"/>
          <w:bCs w:val="1"/>
          <w:color w:val="auto"/>
        </w:rPr>
        <w:t xml:space="preserve">Narrative Disclosure to Summary Compensation Table and Grants of Plan-Based Awards Table </w:t>
      </w:r>
      <w:r>
        <w:rPr>
          <w:rFonts w:ascii="Times New Roman" w:cs="Times New Roman" w:eastAsia="Times New Roman" w:hAnsi="Times New Roman"/>
          <w:sz w:val="18"/>
          <w:szCs w:val="18"/>
          <w:b w:val="1"/>
          <w:bCs w:val="1"/>
          <w:i w:val="1"/>
          <w:iCs w:val="1"/>
          <w:color w:val="auto"/>
        </w:rPr>
        <w:t>Agreements with Named Executive Officers</w:t>
      </w:r>
    </w:p>
    <w:p>
      <w:pPr>
        <w:spacing w:after="0" w:line="1" w:lineRule="exact"/>
        <w:rPr>
          <w:sz w:val="20"/>
          <w:szCs w:val="20"/>
          <w:color w:val="auto"/>
        </w:rPr>
      </w:pPr>
    </w:p>
    <w:p>
      <w:pPr>
        <w:ind w:left="160" w:right="400" w:firstLine="436"/>
        <w:spacing w:after="0" w:line="278" w:lineRule="auto"/>
        <w:rPr>
          <w:sz w:val="20"/>
          <w:szCs w:val="20"/>
          <w:color w:val="auto"/>
        </w:rPr>
      </w:pPr>
      <w:r>
        <w:rPr>
          <w:rFonts w:ascii="Times New Roman" w:cs="Times New Roman" w:eastAsia="Times New Roman" w:hAnsi="Times New Roman"/>
          <w:sz w:val="18"/>
          <w:szCs w:val="18"/>
          <w:color w:val="auto"/>
        </w:rPr>
        <w:t>The following descriptions of the employment agreements and other agreements with certain Named Executive Officers are qualified in their entirety by the full terms and conditions thereof.</w:t>
      </w:r>
    </w:p>
    <w:p>
      <w:pPr>
        <w:spacing w:after="0" w:line="2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Employment Agreement with Mr. Boyle</w:t>
      </w:r>
    </w:p>
    <w:p>
      <w:pPr>
        <w:spacing w:after="0" w:line="116" w:lineRule="exact"/>
        <w:rPr>
          <w:sz w:val="20"/>
          <w:szCs w:val="20"/>
          <w:color w:val="auto"/>
        </w:rPr>
      </w:pPr>
    </w:p>
    <w:p>
      <w:pPr>
        <w:ind w:left="160" w:right="40" w:firstLine="436"/>
        <w:spacing w:after="0" w:line="285" w:lineRule="auto"/>
        <w:rPr>
          <w:sz w:val="20"/>
          <w:szCs w:val="20"/>
          <w:color w:val="auto"/>
        </w:rPr>
      </w:pPr>
      <w:r>
        <w:rPr>
          <w:rFonts w:ascii="Times New Roman" w:cs="Times New Roman" w:eastAsia="Times New Roman" w:hAnsi="Times New Roman"/>
          <w:sz w:val="17"/>
          <w:szCs w:val="17"/>
          <w:color w:val="auto"/>
        </w:rPr>
        <w:t>We entered into an employment agreement with James M. Boyle, effective as of October 1, 2023, which we refer to as the “Boyle Employment Agreement.” The Boyle Employment Agreement provides that Mr. Boyle will serve as our Chief Executive Officer. The Boyle Employment Agreement provides at-will employment and can be terminated by Mr. Boyle or us at any time. The Boyle Employment Agreement also provided for (i) an initial</w:t>
      </w:r>
    </w:p>
    <w:p>
      <w:pPr>
        <w:spacing w:after="0" w:line="9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060"/>
          </w:cols>
          <w:pgMar w:left="320" w:top="452" w:right="519" w:bottom="1440" w:gutter="0" w:footer="0" w:header="0"/>
          <w:type w:val="continuous"/>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60"/>
        <w:spacing w:after="0" w:line="258" w:lineRule="auto"/>
        <w:rPr>
          <w:sz w:val="20"/>
          <w:szCs w:val="20"/>
          <w:color w:val="auto"/>
        </w:rPr>
      </w:pPr>
      <w:r>
        <w:rPr>
          <w:rFonts w:ascii="Times New Roman" w:cs="Times New Roman" w:eastAsia="Times New Roman" w:hAnsi="Times New Roman"/>
          <w:sz w:val="18"/>
          <w:szCs w:val="18"/>
          <w:color w:val="auto"/>
        </w:rPr>
        <w:t>salary of $1,250,000, subject to periodic review for increase, (ii) eligibility to receive an annual bonus, with a target bonus equal to 100% of base salary, and (iii) for each service year during the employment term, eligibility to receive annual equity award grant (initially consisting of Incentive Units of the Aggregator) having a target value of approximately $3,450,000. Mr. Boyle is also entitled to participate in our employee benefit arrangements and to receive reimbursement for business expense in accordance with our business expense policy.</w:t>
      </w:r>
    </w:p>
    <w:p>
      <w:pPr>
        <w:spacing w:after="0" w:line="180" w:lineRule="exact"/>
        <w:rPr>
          <w:sz w:val="20"/>
          <w:szCs w:val="20"/>
          <w:color w:val="auto"/>
        </w:rPr>
      </w:pPr>
    </w:p>
    <w:p>
      <w:pPr>
        <w:ind w:left="160" w:right="500" w:firstLine="436"/>
        <w:spacing w:after="0" w:line="278" w:lineRule="auto"/>
        <w:rPr>
          <w:sz w:val="20"/>
          <w:szCs w:val="20"/>
          <w:color w:val="auto"/>
        </w:rPr>
      </w:pPr>
      <w:r>
        <w:rPr>
          <w:rFonts w:ascii="Times New Roman" w:cs="Times New Roman" w:eastAsia="Times New Roman" w:hAnsi="Times New Roman"/>
          <w:sz w:val="18"/>
          <w:szCs w:val="18"/>
          <w:color w:val="auto"/>
        </w:rPr>
        <w:t>Mr. Boyle has waived the severance payments and benefits set forth in the Boyle Employment Agreement and will instead be entitled to the severance payments and benefits set forth in the Executive Severance Plan described below.</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Upon a termination of Mr. Boyle’s employment due to his death or as a result of his disability, Mr. Boyle will be entitled to any prior year bonus.</w:t>
      </w: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Boyle Employment Agreement contains restrictive covenants, including confidentiality of information, assignment of intellectual</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property, non-competition, employee no-hire, employee non-solicitation, client and customer non-solicitation, and mutual non-disparagement covenants.</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The confidentiality covenant and the mutual non-disparagement provision have indefinite terms. The non-competition and non-solicitation covenants are</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effective both during Mr. Boyle’s employment with us and until the 18-month anniversary of termination of employment for any reason.</w:t>
      </w:r>
    </w:p>
    <w:p>
      <w:pPr>
        <w:spacing w:after="0" w:line="3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Employment Agreement and Transition and Separation Agreement with Mr. Pigott</w:t>
      </w:r>
    </w:p>
    <w:p>
      <w:pPr>
        <w:spacing w:after="0" w:line="116" w:lineRule="exact"/>
        <w:rPr>
          <w:sz w:val="20"/>
          <w:szCs w:val="20"/>
          <w:color w:val="auto"/>
        </w:rPr>
      </w:pPr>
    </w:p>
    <w:p>
      <w:pPr>
        <w:ind w:left="160" w:right="120" w:firstLine="436"/>
        <w:spacing w:after="0" w:line="254" w:lineRule="auto"/>
        <w:rPr>
          <w:sz w:val="20"/>
          <w:szCs w:val="20"/>
          <w:color w:val="auto"/>
        </w:rPr>
      </w:pPr>
      <w:r>
        <w:rPr>
          <w:rFonts w:ascii="Times New Roman" w:cs="Times New Roman" w:eastAsia="Times New Roman" w:hAnsi="Times New Roman"/>
          <w:sz w:val="18"/>
          <w:szCs w:val="18"/>
          <w:color w:val="auto"/>
        </w:rPr>
        <w:t>Effective October 1, 2023, we entered into an employment agreement with James M. Pigott, which we refer to as the “Pigott Employment Agreement,” relating to Mr. Pigott’s employment as our President and Chief Operating Officer. The terms of the Pigott Employment Agreement are the same as the terms of the Boyle Employment Agreement, except that Mr. Pigott received an initial salary of $1,100,000. On October 14, 2024, we entered into a transition and separation agreement with Mr. Pigott, which we refer to as the “Pigott Transition Agreement,” relating to Mr. Pigott’s departure from Medline. Mr. Pigott’s retired as President of Medline effective December 31, 2025, and such departure is not the result of any disagreement with management or our board of directors on any matter relating to our operations, policies, or practices.</w:t>
      </w:r>
    </w:p>
    <w:p>
      <w:pPr>
        <w:spacing w:after="0" w:line="184" w:lineRule="exact"/>
        <w:rPr>
          <w:sz w:val="20"/>
          <w:szCs w:val="20"/>
          <w:color w:val="auto"/>
        </w:rPr>
      </w:pPr>
    </w:p>
    <w:p>
      <w:pPr>
        <w:ind w:left="160" w:right="680" w:firstLine="436"/>
        <w:spacing w:after="0" w:line="278" w:lineRule="auto"/>
        <w:rPr>
          <w:sz w:val="20"/>
          <w:szCs w:val="20"/>
          <w:color w:val="auto"/>
        </w:rPr>
      </w:pPr>
      <w:r>
        <w:rPr>
          <w:rFonts w:ascii="Times New Roman" w:cs="Times New Roman" w:eastAsia="Times New Roman" w:hAnsi="Times New Roman"/>
          <w:sz w:val="18"/>
          <w:szCs w:val="18"/>
          <w:color w:val="auto"/>
        </w:rPr>
        <w:t>Pursuant to the terms of the Pigott Transition Agreement, in connection with Mr. Pigott’s departure, he is entitled to receive the following severance payments and benefits, in addition to certain accrued obligations:</w:t>
      </w:r>
    </w:p>
    <w:p>
      <w:pPr>
        <w:spacing w:after="0" w:line="69" w:lineRule="exact"/>
        <w:rPr>
          <w:sz w:val="20"/>
          <w:szCs w:val="20"/>
          <w:color w:val="auto"/>
        </w:rPr>
      </w:pPr>
    </w:p>
    <w:p>
      <w:pPr>
        <w:ind w:left="1140" w:right="80" w:hanging="438"/>
        <w:spacing w:after="0" w:line="263" w:lineRule="auto"/>
        <w:tabs>
          <w:tab w:leader="none" w:pos="11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$4,125,000, representing 1.5 times the sum of Mr. Pigott’s base salary ($1,100,000) and estimated target annual bonus for 2025 ($1,650,000, at the time the Pigott Transition Agreement was entered into), payable in monthly installments in accordance with our standard payroll practices over a period of 18 months;</w:t>
      </w:r>
    </w:p>
    <w:p>
      <w:pPr>
        <w:spacing w:after="0" w:line="81"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earned annual bonus for calendar year 2025, payable at the same time we generally pay annual bonuses to active employees;</w:t>
      </w:r>
    </w:p>
    <w:p>
      <w:pPr>
        <w:spacing w:after="0" w:line="127" w:lineRule="exact"/>
        <w:rPr>
          <w:rFonts w:ascii="Times New Roman" w:cs="Times New Roman" w:eastAsia="Times New Roman" w:hAnsi="Times New Roman"/>
          <w:sz w:val="18"/>
          <w:szCs w:val="18"/>
          <w:color w:val="auto"/>
        </w:rPr>
      </w:pPr>
    </w:p>
    <w:p>
      <w:pPr>
        <w:ind w:left="1140" w:right="40" w:hanging="438"/>
        <w:spacing w:after="0" w:line="263" w:lineRule="auto"/>
        <w:tabs>
          <w:tab w:leader="none" w:pos="11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timely enrollment in continuation coverage, continued participation in our medical and dental benefit plans at the premium contribution rate for active employees, for 18 months following termination of employment or, if earlier, until the date on which Mr. Pigott becomes eligible for medical and dental benefits from a subsequent employer; and</w:t>
      </w:r>
    </w:p>
    <w:p>
      <w:pPr>
        <w:spacing w:after="0" w:line="81" w:lineRule="exact"/>
        <w:rPr>
          <w:rFonts w:ascii="Times New Roman" w:cs="Times New Roman" w:eastAsia="Times New Roman" w:hAnsi="Times New Roman"/>
          <w:sz w:val="18"/>
          <w:szCs w:val="18"/>
          <w:color w:val="auto"/>
        </w:rPr>
      </w:pPr>
    </w:p>
    <w:p>
      <w:pPr>
        <w:ind w:left="1140" w:right="140" w:hanging="438"/>
        <w:spacing w:after="0" w:line="258" w:lineRule="auto"/>
        <w:tabs>
          <w:tab w:leader="none" w:pos="11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on the termination date with respect to the following time-vested Incentive Units held by Mr. Pigott: (i) 10% of the Incentive Units granted on October 21, 2021 (i.e., 225,889 Incentive Units), (ii) 15% of the Incentive Units granted on April 1, 2023 (i.e., 51,061 Incentive Units), (iii) 5% of the Incentive Units granted on October 1, 2023 (i.e., 24,565 Incentive Units), and (iv) 15% of the Incentive Units granted on March 29, 2024 (i.e., 37,872 Incentive Units).</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080"/>
          </w:cols>
          <w:pgMar w:left="320" w:top="451" w:right="4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240" w:firstLine="436"/>
        <w:spacing w:after="0" w:line="278" w:lineRule="auto"/>
        <w:rPr>
          <w:sz w:val="20"/>
          <w:szCs w:val="20"/>
          <w:color w:val="auto"/>
        </w:rPr>
      </w:pPr>
      <w:r>
        <w:rPr>
          <w:rFonts w:ascii="Times New Roman" w:cs="Times New Roman" w:eastAsia="Times New Roman" w:hAnsi="Times New Roman"/>
          <w:sz w:val="18"/>
          <w:szCs w:val="18"/>
          <w:color w:val="auto"/>
        </w:rPr>
        <w:t>Our obligation to provide the severance benefits described above are contingent upon Mr. Pigott’s execution and non-revocation of a release of claims in favor of us and our affiliates and continued compliance with restrictive covenants.</w:t>
      </w:r>
    </w:p>
    <w:p>
      <w:pPr>
        <w:spacing w:after="0" w:line="162"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The Pigott Transition Agreement reaffirms Mr. Pigott’s obligation to comply with the restrictive covenants set forth in his employment agreement, including confidentiality of information, assignment of intellectual property, non-competition, employee no-hire, employee non-solicitation, client and customer non-solicitation, and mutual non-disparagement covenants. The confidentiality covenant and the mutual non-disparagement provision have indefinite terms. The non-competition and non-solicitation covenants are effective both during Mr. Pigott’s employment with us and until the 18-month anniversary of his termination.</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Executive Severance Plan</w:t>
      </w:r>
    </w:p>
    <w:p>
      <w:pPr>
        <w:spacing w:after="0" w:line="118" w:lineRule="exact"/>
        <w:rPr>
          <w:sz w:val="20"/>
          <w:szCs w:val="20"/>
          <w:color w:val="auto"/>
        </w:rPr>
      </w:pPr>
    </w:p>
    <w:p>
      <w:pPr>
        <w:ind w:left="160" w:right="80" w:firstLine="436"/>
        <w:spacing w:after="0" w:line="254" w:lineRule="auto"/>
        <w:rPr>
          <w:sz w:val="20"/>
          <w:szCs w:val="20"/>
          <w:color w:val="auto"/>
        </w:rPr>
      </w:pPr>
      <w:r>
        <w:rPr>
          <w:rFonts w:ascii="Times New Roman" w:cs="Times New Roman" w:eastAsia="Times New Roman" w:hAnsi="Times New Roman"/>
          <w:sz w:val="18"/>
          <w:szCs w:val="18"/>
          <w:color w:val="auto"/>
        </w:rPr>
        <w:t>In May 2025, we adopted the Medline Industries L.P. Executive Severance Plan (the “Severance Plan”). The purpose of the Severance Plan is to provide severance benefits to certain eligible employees of Medline and its affiliates who experience a termination of employment under the conditions described in the Severance Plan. Each of our Named Executive Officers other than Mr. Pigott participates in the Severance Plan. Participants in the Severance Plan are not entitled to severance benefits under any other agreement, plan, program, or policy of Medline, including for Mr. Boyle, the severance payments and benefits set forth in the Boyle Employment Agreement. We amended and restated the Executive Severance Plan in connection with Medline Inc.’s initial public offering.</w:t>
      </w:r>
    </w:p>
    <w:p>
      <w:pPr>
        <w:spacing w:after="0" w:line="184"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Under the Severance Plan, participants will be eligible to receive severance payments and benefits in connection with a termination without Cause or resignation for Good Reason, each as defined in the Severance Plan (a “Qualifying Separation”).</w:t>
      </w:r>
    </w:p>
    <w:p>
      <w:pPr>
        <w:spacing w:after="0" w:line="162" w:lineRule="exact"/>
        <w:rPr>
          <w:sz w:val="20"/>
          <w:szCs w:val="20"/>
          <w:color w:val="auto"/>
        </w:rPr>
      </w:pPr>
    </w:p>
    <w:p>
      <w:pPr>
        <w:ind w:left="160" w:right="120" w:firstLine="436"/>
        <w:spacing w:after="0" w:line="278" w:lineRule="auto"/>
        <w:rPr>
          <w:sz w:val="20"/>
          <w:szCs w:val="20"/>
          <w:color w:val="auto"/>
        </w:rPr>
      </w:pPr>
      <w:r>
        <w:rPr>
          <w:rFonts w:ascii="Times New Roman" w:cs="Times New Roman" w:eastAsia="Times New Roman" w:hAnsi="Times New Roman"/>
          <w:sz w:val="18"/>
          <w:szCs w:val="18"/>
          <w:color w:val="auto"/>
        </w:rPr>
        <w:t>In connection with a Qualifying Separation prior to a Change in Control (as defined in the Severance Plan), the severance payments and benefits consist of the following:</w:t>
      </w:r>
    </w:p>
    <w:p>
      <w:pPr>
        <w:spacing w:after="0" w:line="69" w:lineRule="exact"/>
        <w:rPr>
          <w:sz w:val="20"/>
          <w:szCs w:val="20"/>
          <w:color w:val="auto"/>
        </w:rPr>
      </w:pPr>
    </w:p>
    <w:p>
      <w:pPr>
        <w:ind w:left="1140" w:hanging="438"/>
        <w:spacing w:after="0"/>
        <w:tabs>
          <w:tab w:leader="none" w:pos="11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Boyle: (i) a lump sum cash payment equal to two (2) times the sum of his then-current base salary plus target annual bonus;</w:t>
      </w:r>
    </w:p>
    <w:p>
      <w:pPr>
        <w:spacing w:after="0" w:line="25" w:lineRule="exact"/>
        <w:rPr>
          <w:rFonts w:ascii="Times New Roman" w:cs="Times New Roman" w:eastAsia="Times New Roman" w:hAnsi="Times New Roman"/>
          <w:sz w:val="18"/>
          <w:szCs w:val="18"/>
          <w:color w:val="auto"/>
        </w:rPr>
      </w:pPr>
    </w:p>
    <w:p>
      <w:pPr>
        <w:ind w:left="1140" w:right="40"/>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any earned but unpaid prior year bonus, paid when bonuses are paid to executives (a “Prior Year Bonus”); (iii) a pro-rata annual bonus for the year in which the Qualifying Separation occurs, based on actual achievement of applicable performance goals and pro-rated for the period of service during the year in which the Qualifying Separation occurs, paid in a lump sum (a “Pro-Rata Bonus”); (iv) a lump sum cash payment equal to the product of 21 times the monthly employer contribution towards the cost of participation in the Company’s employer-subsidized health plans in which he participates in as of the date of the Qualifying Separation; and (v) outplacement services for up to 12 months (the “Outplacement Benefit”).</w:t>
      </w:r>
    </w:p>
    <w:p>
      <w:pPr>
        <w:spacing w:after="0" w:line="96" w:lineRule="exact"/>
        <w:rPr>
          <w:rFonts w:ascii="Times New Roman" w:cs="Times New Roman" w:eastAsia="Times New Roman" w:hAnsi="Times New Roman"/>
          <w:sz w:val="18"/>
          <w:szCs w:val="18"/>
          <w:color w:val="auto"/>
        </w:rPr>
      </w:pPr>
    </w:p>
    <w:p>
      <w:pPr>
        <w:ind w:left="1140" w:right="20" w:hanging="438"/>
        <w:spacing w:after="0" w:line="258" w:lineRule="auto"/>
        <w:tabs>
          <w:tab w:leader="none" w:pos="11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of Messrs. Drazin, Golwas, and Miller: (i) a lump sum cash payment equal to one and one-half (1.5) times the sum of his then-current base salary plus target annual bonus; (ii) the Prior Year Bonus; (iii) the Pro-Rata Bonus; (iv) a lump sum cash payment equal to the product of 18 times the monthly employer contribution towards the cost of participation in the Company’s employer-subsidized health plans in which he participates in as of the date of the Qualifying Separation; and (v) the Outplacement Benefit.</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 connection with a Qualifying Separation occurring upon or within 24 months (for Mr. Boyle) or 18 months (for Messrs. Drazin, Golwas, and</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Miller) following a Change in Control, the severance benefits and payments consist of the following:</w:t>
      </w:r>
    </w:p>
    <w:p>
      <w:pPr>
        <w:spacing w:after="0" w:line="109" w:lineRule="exact"/>
        <w:rPr>
          <w:sz w:val="20"/>
          <w:szCs w:val="20"/>
          <w:color w:val="auto"/>
        </w:rPr>
      </w:pPr>
    </w:p>
    <w:p>
      <w:pPr>
        <w:ind w:left="1140" w:right="60" w:hanging="438"/>
        <w:spacing w:after="0" w:line="258" w:lineRule="auto"/>
        <w:tabs>
          <w:tab w:leader="none" w:pos="11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Boyle: (i) a lump sum cash payment equal to three (3) times the sum of his then-current base salary plus target annual bonus; (ii) the Prior Year Bonus; (iii) the Pro-Rata Bonus; (iv) a lump sum cash payment equal to the product of 24 times the monthly employer contribution towards the cost of participation in the Company’s employer-subsidized health plans in which he participates in as of the date of the Qualifying Separation (the “CIC COBRA Benefit”); and (v) the Outplacement Benefit.</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040"/>
          </w:cols>
          <w:pgMar w:left="320" w:top="452" w:right="5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140" w:hanging="438"/>
        <w:spacing w:after="0" w:line="263" w:lineRule="auto"/>
        <w:tabs>
          <w:tab w:leader="none" w:pos="11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of Messrs. Drazin, Golwas, and Miller: (i) a lump sum cash payment equal to two (2) times the sum of his then-current base salary plus target annual bonus; (ii) the Prior Year Bonus; (iii) the Pro-Rata Bonus; (iv) the CIC COBRA Benefit; and (v) the Outplacement Benefit.</w:t>
      </w:r>
    </w:p>
    <w:p>
      <w:pPr>
        <w:spacing w:after="0" w:line="175" w:lineRule="exact"/>
        <w:rPr>
          <w:sz w:val="20"/>
          <w:szCs w:val="20"/>
          <w:color w:val="auto"/>
        </w:rPr>
      </w:pPr>
    </w:p>
    <w:p>
      <w:pPr>
        <w:ind w:left="160" w:right="40" w:firstLine="436"/>
        <w:spacing w:after="0" w:line="255" w:lineRule="auto"/>
        <w:rPr>
          <w:sz w:val="20"/>
          <w:szCs w:val="20"/>
          <w:color w:val="auto"/>
        </w:rPr>
      </w:pPr>
      <w:r>
        <w:rPr>
          <w:rFonts w:ascii="Times New Roman" w:cs="Times New Roman" w:eastAsia="Times New Roman" w:hAnsi="Times New Roman"/>
          <w:sz w:val="18"/>
          <w:szCs w:val="18"/>
          <w:color w:val="auto"/>
        </w:rPr>
        <w:t>As a condition to receiving severance benefits under the Severance Plan (other than any accrued obligations), the participant must execute, deliver and not revoke a separation agreement and release of claims in favor of Medline and continue to comply with any applicable restrictive covenant obligations. Payments under the Severance Plan (other than any accrued obligations) are subject to recoupment in accordance with any clawback policy in effect from time to time (including pursuant to the Incentive Compensation Clawback Policy or otherwise) if a participant breaches any restrictive covenant obligations or otherwise fails to comply with the terms of the Severance Plan.</w:t>
      </w:r>
    </w:p>
    <w:p>
      <w:pPr>
        <w:spacing w:after="0" w:line="184" w:lineRule="exact"/>
        <w:rPr>
          <w:sz w:val="20"/>
          <w:szCs w:val="20"/>
          <w:color w:val="auto"/>
        </w:rPr>
      </w:pPr>
    </w:p>
    <w:p>
      <w:pPr>
        <w:ind w:left="160" w:right="140" w:firstLine="436"/>
        <w:spacing w:after="0" w:line="258" w:lineRule="auto"/>
        <w:rPr>
          <w:sz w:val="20"/>
          <w:szCs w:val="20"/>
          <w:color w:val="auto"/>
        </w:rPr>
      </w:pPr>
      <w:r>
        <w:rPr>
          <w:rFonts w:ascii="Times New Roman" w:cs="Times New Roman" w:eastAsia="Times New Roman" w:hAnsi="Times New Roman"/>
          <w:sz w:val="18"/>
          <w:szCs w:val="18"/>
          <w:color w:val="auto"/>
        </w:rPr>
        <w:t>If any payments or benefits under the Severance Plan would be considered “parachute payments” under Section 280G of the Code, and would be subject to the excise tax imposed by Section 4999 of the Code, then such payments will either be (i) reduced so that no portion of the payments are subject to the excise tax or (ii) delivered in full, whichever of the foregoing results in the participant receiving a greater amount on a net after-tax basis, taking into account all federal, state and local taxes and the excise tax imposed by Section 4999 of the Code.</w:t>
      </w:r>
    </w:p>
    <w:p>
      <w:pPr>
        <w:spacing w:after="0" w:line="180" w:lineRule="exact"/>
        <w:rPr>
          <w:sz w:val="20"/>
          <w:szCs w:val="20"/>
          <w:color w:val="auto"/>
        </w:rPr>
      </w:pPr>
    </w:p>
    <w:p>
      <w:pPr>
        <w:ind w:left="160" w:right="200" w:firstLine="436"/>
        <w:spacing w:after="0" w:line="255" w:lineRule="auto"/>
        <w:rPr>
          <w:sz w:val="20"/>
          <w:szCs w:val="20"/>
          <w:color w:val="auto"/>
        </w:rPr>
      </w:pPr>
      <w:r>
        <w:rPr>
          <w:rFonts w:ascii="Times New Roman" w:cs="Times New Roman" w:eastAsia="Times New Roman" w:hAnsi="Times New Roman"/>
          <w:sz w:val="18"/>
          <w:szCs w:val="18"/>
          <w:color w:val="auto"/>
        </w:rPr>
        <w:t>The Severance Plan may be amended, terminated, or discontinued in whole or in part, at any time and from time to time, except that no amendment, termination, or discontinuance (i) may be made without the consent of a participant who has undergone a Qualifying Separation prior thereto, (ii) that has the effect of reducing or diminishing potential benefits available under the Severance Plan that is not consented to by the affecting participant will be effective with respect to such affected participant until the six-month anniversary of the amendment, discontinuance or termination, and (iii) may be made prior to the latest change in control protection period without the consent of adversely affected participants.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118" w:lineRule="exact"/>
        <w:rPr>
          <w:sz w:val="20"/>
          <w:szCs w:val="20"/>
          <w:color w:val="auto"/>
        </w:rPr>
      </w:pPr>
    </w:p>
    <w:p>
      <w:pPr>
        <w:ind w:left="160" w:right="40" w:firstLine="436"/>
        <w:spacing w:after="0" w:line="255" w:lineRule="auto"/>
        <w:rPr>
          <w:sz w:val="20"/>
          <w:szCs w:val="20"/>
          <w:color w:val="auto"/>
        </w:rPr>
      </w:pPr>
      <w:r>
        <w:rPr>
          <w:rFonts w:ascii="Times New Roman" w:cs="Times New Roman" w:eastAsia="Times New Roman" w:hAnsi="Times New Roman"/>
          <w:sz w:val="18"/>
          <w:szCs w:val="18"/>
          <w:color w:val="auto"/>
        </w:rPr>
        <w:t>In 2021, in connection with our acquisition by our Sponsors, we adopted the MIP, pursuant to which the Named Executive Officers and other employees received grants of Incentive Units. In 2025, the awards granted to our Named Executive Officers under the MIP consisted of time-vested Incentive Units. For each Incentive Unit of the Aggregator issued, Medline Holdings issued an Incentive Unit in Medline Holdings to the Aggregator on a one-for-one basis. The time-vested Incentive Units granted in 2025 vest 20% per year on each of the first five anniversaries of the vesting commencement date, subject to the Named Executive Officer’s continued employment with us through each applicable vesting date.</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Acceleration; Forfeiture</w:t>
      </w:r>
    </w:p>
    <w:p>
      <w:pPr>
        <w:spacing w:after="0" w:line="116"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Except for accelerated vesting that may occur in connection with certain termination events for Mr. Boyle and the accelerated vesting of Incentive Units for Mr. Pigott in connection with his retirement, all unvested Incentive Units are forfeited upon a termination of employment. Upon the occurrence of a sale transaction (defined as described below), certain time-vested Incentive Units held by certain of our Named Executive Officer will become fully vested. For a description of the terms of potential acceleration of Class B Units for certain of our Named Executive Officers, see “—Potential Payments Upon Termination or Change in Control” below.</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080"/>
          </w:cols>
          <w:pgMar w:left="320" w:top="451" w:right="4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118" w:lineRule="exact"/>
        <w:rPr>
          <w:sz w:val="20"/>
          <w:szCs w:val="20"/>
          <w:color w:val="auto"/>
        </w:rPr>
      </w:pPr>
    </w:p>
    <w:p>
      <w:pPr>
        <w:ind w:left="160" w:right="820" w:firstLine="436"/>
        <w:spacing w:after="0" w:line="278" w:lineRule="auto"/>
        <w:rPr>
          <w:sz w:val="20"/>
          <w:szCs w:val="20"/>
          <w:color w:val="auto"/>
        </w:rPr>
      </w:pPr>
      <w:r>
        <w:rPr>
          <w:rFonts w:ascii="Times New Roman" w:cs="Times New Roman" w:eastAsia="Times New Roman" w:hAnsi="Times New Roman"/>
          <w:sz w:val="18"/>
          <w:szCs w:val="18"/>
          <w:color w:val="auto"/>
        </w:rPr>
        <w:t>The following table includes certain information with respect to outstanding equity awards held by our Named Executive Officers as of December 31, 2025.</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3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320"/>
              <w:spacing w:after="0" w:line="116" w:lineRule="exact"/>
              <w:rPr>
                <w:sz w:val="20"/>
                <w:szCs w:val="20"/>
                <w:color w:val="auto"/>
              </w:rPr>
            </w:pPr>
            <w:r>
              <w:rPr>
                <w:rFonts w:ascii="Times New Roman" w:cs="Times New Roman" w:eastAsia="Times New Roman" w:hAnsi="Times New Roman"/>
                <w:sz w:val="13"/>
                <w:szCs w:val="13"/>
                <w:b w:val="1"/>
                <w:bCs w:val="1"/>
                <w:color w:val="auto"/>
              </w:rPr>
              <w:t>Equity</w:t>
            </w:r>
          </w:p>
        </w:tc>
        <w:tc>
          <w:tcPr>
            <w:tcW w:w="62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Equity</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66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4"/>
                <w:szCs w:val="14"/>
                <w:b w:val="1"/>
                <w:bCs w:val="1"/>
                <w:color w:val="auto"/>
              </w:rPr>
              <w:t>Plan</w:t>
            </w:r>
          </w:p>
        </w:tc>
        <w:tc>
          <w:tcPr>
            <w:tcW w:w="66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jc w:val="center"/>
              <w:ind w:right="247"/>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4"/>
                <w:szCs w:val="14"/>
                <w:b w:val="1"/>
                <w:bCs w:val="1"/>
                <w:color w:val="auto"/>
              </w:rPr>
              <w:t>Awards:</w:t>
            </w:r>
          </w:p>
        </w:tc>
        <w:tc>
          <w:tcPr>
            <w:tcW w:w="66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Number</w:t>
            </w:r>
          </w:p>
        </w:tc>
        <w:tc>
          <w:tcPr>
            <w:tcW w:w="66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47"/>
              <w:spacing w:after="0" w:line="147" w:lineRule="exact"/>
              <w:rPr>
                <w:sz w:val="20"/>
                <w:szCs w:val="20"/>
                <w:color w:val="auto"/>
              </w:rPr>
            </w:pPr>
            <w:r>
              <w:rPr>
                <w:rFonts w:ascii="Times New Roman" w:cs="Times New Roman" w:eastAsia="Times New Roman" w:hAnsi="Times New Roman"/>
                <w:sz w:val="14"/>
                <w:szCs w:val="14"/>
                <w:b w:val="1"/>
                <w:bCs w:val="1"/>
                <w:color w:val="auto"/>
              </w:rPr>
              <w:t>of</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4"/>
                <w:szCs w:val="14"/>
                <w:b w:val="1"/>
                <w:bCs w:val="1"/>
                <w:color w:val="auto"/>
              </w:rPr>
              <w:t>of</w:t>
            </w:r>
          </w:p>
        </w:tc>
        <w:tc>
          <w:tcPr>
            <w:tcW w:w="66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or Payout</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47"/>
              <w:spacing w:after="0" w:line="147"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020" w:type="dxa"/>
            <w:vAlign w:val="bottom"/>
            <w:gridSpan w:val="3"/>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66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Plan</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47"/>
              <w:spacing w:after="0" w:line="147" w:lineRule="exact"/>
              <w:rPr>
                <w:sz w:val="20"/>
                <w:szCs w:val="20"/>
                <w:color w:val="auto"/>
              </w:rPr>
            </w:pPr>
            <w:r>
              <w:rPr>
                <w:rFonts w:ascii="Times New Roman" w:cs="Times New Roman" w:eastAsia="Times New Roman" w:hAnsi="Times New Roman"/>
                <w:sz w:val="14"/>
                <w:szCs w:val="14"/>
                <w:b w:val="1"/>
                <w:bCs w:val="1"/>
                <w:color w:val="auto"/>
                <w:w w:val="90"/>
              </w:rPr>
              <w:t>or</w:t>
            </w: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4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Awards:</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47"/>
              <w:spacing w:after="0" w:line="147" w:lineRule="exact"/>
              <w:rPr>
                <w:sz w:val="20"/>
                <w:szCs w:val="20"/>
                <w:color w:val="auto"/>
              </w:rPr>
            </w:pPr>
            <w:r>
              <w:rPr>
                <w:rFonts w:ascii="Times New Roman" w:cs="Times New Roman" w:eastAsia="Times New Roman" w:hAnsi="Times New Roman"/>
                <w:sz w:val="14"/>
                <w:szCs w:val="14"/>
                <w:b w:val="1"/>
                <w:bCs w:val="1"/>
                <w:color w:val="auto"/>
              </w:rPr>
              <w:t>Units</w:t>
            </w:r>
          </w:p>
        </w:tc>
        <w:tc>
          <w:tcPr>
            <w:tcW w:w="78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100" w:type="dxa"/>
            <w:vAlign w:val="bottom"/>
          </w:tcPr>
          <w:p>
            <w:pPr>
              <w:spacing w:after="0"/>
              <w:rPr>
                <w:sz w:val="12"/>
                <w:szCs w:val="12"/>
                <w:color w:val="auto"/>
              </w:rPr>
            </w:pPr>
          </w:p>
        </w:tc>
        <w:tc>
          <w:tcPr>
            <w:tcW w:w="92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66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4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47"/>
              <w:spacing w:after="0" w:line="147" w:lineRule="exact"/>
              <w:rPr>
                <w:sz w:val="20"/>
                <w:szCs w:val="20"/>
                <w:color w:val="auto"/>
              </w:rPr>
            </w:pPr>
            <w:r>
              <w:rPr>
                <w:rFonts w:ascii="Times New Roman" w:cs="Times New Roman" w:eastAsia="Times New Roman" w:hAnsi="Times New Roman"/>
                <w:sz w:val="14"/>
                <w:szCs w:val="14"/>
                <w:b w:val="1"/>
                <w:bCs w:val="1"/>
                <w:color w:val="auto"/>
              </w:rPr>
              <w:t>of</w:t>
            </w:r>
          </w:p>
        </w:tc>
        <w:tc>
          <w:tcPr>
            <w:tcW w:w="78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00" w:type="dxa"/>
            <w:vAlign w:val="bottom"/>
          </w:tcPr>
          <w:p>
            <w:pPr>
              <w:spacing w:after="0"/>
              <w:rPr>
                <w:sz w:val="12"/>
                <w:szCs w:val="12"/>
                <w:color w:val="auto"/>
              </w:rPr>
            </w:pPr>
          </w:p>
        </w:tc>
        <w:tc>
          <w:tcPr>
            <w:tcW w:w="92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4"/>
                <w:szCs w:val="14"/>
                <w:b w:val="1"/>
                <w:bCs w:val="1"/>
                <w:color w:val="auto"/>
              </w:rPr>
              <w:t>Other</w:t>
            </w:r>
          </w:p>
        </w:tc>
        <w:tc>
          <w:tcPr>
            <w:tcW w:w="66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94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67"/>
              <w:spacing w:after="0" w:line="147" w:lineRule="exact"/>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100" w:type="dxa"/>
            <w:vAlign w:val="bottom"/>
          </w:tcPr>
          <w:p>
            <w:pPr>
              <w:spacing w:after="0"/>
              <w:rPr>
                <w:sz w:val="12"/>
                <w:szCs w:val="12"/>
                <w:color w:val="auto"/>
              </w:rPr>
            </w:pPr>
          </w:p>
        </w:tc>
        <w:tc>
          <w:tcPr>
            <w:tcW w:w="92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4"/>
                <w:szCs w:val="14"/>
                <w:b w:val="1"/>
                <w:bCs w:val="1"/>
                <w:color w:val="auto"/>
              </w:rPr>
              <w:t>Rights</w:t>
            </w:r>
          </w:p>
        </w:tc>
        <w:tc>
          <w:tcPr>
            <w:tcW w:w="66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4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47"/>
              <w:spacing w:after="0" w:line="147" w:lineRule="exact"/>
              <w:rPr>
                <w:sz w:val="20"/>
                <w:szCs w:val="20"/>
                <w:color w:val="auto"/>
              </w:rPr>
            </w:pPr>
            <w:r>
              <w:rPr>
                <w:rFonts w:ascii="Times New Roman" w:cs="Times New Roman" w:eastAsia="Times New Roman" w:hAnsi="Times New Roman"/>
                <w:sz w:val="14"/>
                <w:szCs w:val="14"/>
                <w:b w:val="1"/>
                <w:bCs w:val="1"/>
                <w:color w:val="auto"/>
                <w:w w:val="97"/>
              </w:rPr>
              <w:t>That</w:t>
            </w:r>
          </w:p>
        </w:tc>
        <w:tc>
          <w:tcPr>
            <w:tcW w:w="78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92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4"/>
                <w:szCs w:val="14"/>
                <w:b w:val="1"/>
                <w:bCs w:val="1"/>
                <w:color w:val="auto"/>
                <w:w w:val="97"/>
              </w:rPr>
              <w:t>That</w:t>
            </w:r>
          </w:p>
        </w:tc>
        <w:tc>
          <w:tcPr>
            <w:tcW w:w="66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Rights</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4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700" w:type="dxa"/>
            <w:vAlign w:val="bottom"/>
            <w:gridSpan w:val="2"/>
            <w:vMerge w:val="continue"/>
          </w:tcPr>
          <w:p>
            <w:pPr>
              <w:spacing w:after="0"/>
              <w:rPr>
                <w:sz w:val="12"/>
                <w:szCs w:val="12"/>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20" w:type="dxa"/>
            <w:vAlign w:val="bottom"/>
            <w:gridSpan w:val="2"/>
          </w:tcPr>
          <w:p>
            <w:pPr>
              <w:jc w:val="center"/>
              <w:ind w:right="247"/>
              <w:spacing w:after="0" w:line="147" w:lineRule="exact"/>
              <w:rPr>
                <w:sz w:val="20"/>
                <w:szCs w:val="20"/>
                <w:color w:val="auto"/>
              </w:rPr>
            </w:pPr>
            <w:r>
              <w:rPr>
                <w:rFonts w:ascii="Times New Roman" w:cs="Times New Roman" w:eastAsia="Times New Roman" w:hAnsi="Times New Roman"/>
                <w:sz w:val="14"/>
                <w:szCs w:val="14"/>
                <w:b w:val="1"/>
                <w:bCs w:val="1"/>
                <w:color w:val="auto"/>
              </w:rPr>
              <w:t>Have</w:t>
            </w:r>
          </w:p>
        </w:tc>
        <w:tc>
          <w:tcPr>
            <w:tcW w:w="78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w w:val="97"/>
              </w:rPr>
              <w:t>That</w:t>
            </w:r>
          </w:p>
        </w:tc>
        <w:tc>
          <w:tcPr>
            <w:tcW w:w="100" w:type="dxa"/>
            <w:vAlign w:val="bottom"/>
          </w:tcPr>
          <w:p>
            <w:pPr>
              <w:spacing w:after="0"/>
              <w:rPr>
                <w:sz w:val="12"/>
                <w:szCs w:val="12"/>
                <w:color w:val="auto"/>
              </w:rPr>
            </w:pPr>
          </w:p>
        </w:tc>
        <w:tc>
          <w:tcPr>
            <w:tcW w:w="92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4"/>
                <w:szCs w:val="14"/>
                <w:b w:val="1"/>
                <w:bCs w:val="1"/>
                <w:color w:val="auto"/>
              </w:rPr>
              <w:t>Have</w:t>
            </w:r>
          </w:p>
        </w:tc>
        <w:tc>
          <w:tcPr>
            <w:tcW w:w="66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rPr>
              <w:t>That</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04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4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70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60" w:type="dxa"/>
            <w:vAlign w:val="bottom"/>
            <w:gridSpan w:val="2"/>
            <w:vMerge w:val="continue"/>
          </w:tcPr>
          <w:p>
            <w:pPr>
              <w:spacing w:after="0"/>
              <w:rPr>
                <w:sz w:val="12"/>
                <w:szCs w:val="12"/>
                <w:color w:val="auto"/>
              </w:rPr>
            </w:pPr>
          </w:p>
        </w:tc>
        <w:tc>
          <w:tcPr>
            <w:tcW w:w="820" w:type="dxa"/>
            <w:vAlign w:val="bottom"/>
            <w:gridSpan w:val="2"/>
          </w:tcPr>
          <w:p>
            <w:pPr>
              <w:jc w:val="center"/>
              <w:ind w:right="267"/>
              <w:spacing w:after="0" w:line="147" w:lineRule="exact"/>
              <w:rPr>
                <w:sz w:val="20"/>
                <w:szCs w:val="20"/>
                <w:color w:val="auto"/>
              </w:rPr>
            </w:pPr>
            <w:r>
              <w:rPr>
                <w:rFonts w:ascii="Times New Roman" w:cs="Times New Roman" w:eastAsia="Times New Roman" w:hAnsi="Times New Roman"/>
                <w:sz w:val="14"/>
                <w:szCs w:val="14"/>
                <w:b w:val="1"/>
                <w:bCs w:val="1"/>
                <w:color w:val="auto"/>
              </w:rPr>
              <w:t>Not</w:t>
            </w:r>
          </w:p>
        </w:tc>
        <w:tc>
          <w:tcPr>
            <w:tcW w:w="78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w w:val="99"/>
              </w:rPr>
              <w:t>Have Not</w:t>
            </w:r>
          </w:p>
        </w:tc>
        <w:tc>
          <w:tcPr>
            <w:tcW w:w="100" w:type="dxa"/>
            <w:vAlign w:val="bottom"/>
          </w:tcPr>
          <w:p>
            <w:pPr>
              <w:spacing w:after="0"/>
              <w:rPr>
                <w:sz w:val="12"/>
                <w:szCs w:val="12"/>
                <w:color w:val="auto"/>
              </w:rPr>
            </w:pPr>
          </w:p>
        </w:tc>
        <w:tc>
          <w:tcPr>
            <w:tcW w:w="92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Not</w:t>
            </w:r>
          </w:p>
        </w:tc>
        <w:tc>
          <w:tcPr>
            <w:tcW w:w="66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7"/>
        </w:trPr>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0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Inception</w:t>
            </w:r>
          </w:p>
        </w:tc>
        <w:tc>
          <w:tcPr>
            <w:tcW w:w="940" w:type="dxa"/>
            <w:vAlign w:val="bottom"/>
            <w:gridSpan w:val="2"/>
            <w:vMerge w:val="continue"/>
          </w:tcPr>
          <w:p>
            <w:pPr>
              <w:spacing w:after="0"/>
              <w:rPr>
                <w:sz w:val="12"/>
                <w:szCs w:val="12"/>
                <w:color w:val="auto"/>
              </w:rPr>
            </w:pPr>
          </w:p>
        </w:tc>
        <w:tc>
          <w:tcPr>
            <w:tcW w:w="8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94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Options</w:t>
            </w:r>
          </w:p>
        </w:tc>
        <w:tc>
          <w:tcPr>
            <w:tcW w:w="70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Price</w:t>
            </w:r>
          </w:p>
        </w:tc>
        <w:tc>
          <w:tcPr>
            <w:tcW w:w="86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820" w:type="dxa"/>
            <w:vAlign w:val="bottom"/>
            <w:gridSpan w:val="2"/>
          </w:tcPr>
          <w:p>
            <w:pPr>
              <w:jc w:val="center"/>
              <w:ind w:right="247"/>
              <w:spacing w:after="0" w:line="147"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78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00" w:type="dxa"/>
            <w:vAlign w:val="bottom"/>
          </w:tcPr>
          <w:p>
            <w:pPr>
              <w:spacing w:after="0"/>
              <w:rPr>
                <w:sz w:val="12"/>
                <w:szCs w:val="12"/>
                <w:color w:val="auto"/>
              </w:rPr>
            </w:pPr>
          </w:p>
        </w:tc>
        <w:tc>
          <w:tcPr>
            <w:tcW w:w="92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66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58"/>
        </w:trPr>
        <w:tc>
          <w:tcPr>
            <w:tcW w:w="2260" w:type="dxa"/>
            <w:vAlign w:val="bottom"/>
            <w:gridSpan w:val="2"/>
            <w:vMerge w:val="continue"/>
          </w:tcPr>
          <w:p>
            <w:pPr>
              <w:spacing w:after="0"/>
              <w:rPr>
                <w:sz w:val="13"/>
                <w:szCs w:val="13"/>
                <w:color w:val="auto"/>
              </w:rPr>
            </w:pPr>
          </w:p>
        </w:tc>
        <w:tc>
          <w:tcPr>
            <w:tcW w:w="900" w:type="dxa"/>
            <w:vAlign w:val="bottom"/>
            <w:gridSpan w:val="2"/>
          </w:tcPr>
          <w:p>
            <w:pPr>
              <w:jc w:val="center"/>
              <w:ind w:right="180"/>
              <w:spacing w:after="0" w:line="15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940" w:type="dxa"/>
            <w:vAlign w:val="bottom"/>
            <w:gridSpan w:val="2"/>
          </w:tcPr>
          <w:p>
            <w:pPr>
              <w:jc w:val="right"/>
              <w:ind w:right="460"/>
              <w:spacing w:after="0" w:line="159" w:lineRule="exact"/>
              <w:rPr>
                <w:sz w:val="20"/>
                <w:szCs w:val="20"/>
                <w:color w:val="auto"/>
              </w:rPr>
            </w:pPr>
            <w:r>
              <w:rPr>
                <w:rFonts w:ascii="Times New Roman" w:cs="Times New Roman" w:eastAsia="Times New Roman" w:hAnsi="Times New Roman"/>
                <w:sz w:val="14"/>
                <w:szCs w:val="14"/>
                <w:b w:val="1"/>
                <w:bCs w:val="1"/>
                <w:color w:val="auto"/>
              </w:rPr>
              <w:t>Date</w:t>
            </w:r>
          </w:p>
        </w:tc>
        <w:tc>
          <w:tcPr>
            <w:tcW w:w="1040" w:type="dxa"/>
            <w:vAlign w:val="bottom"/>
            <w:gridSpan w:val="2"/>
          </w:tcPr>
          <w:p>
            <w:pPr>
              <w:jc w:val="center"/>
              <w:ind w:right="180"/>
              <w:spacing w:after="0" w:line="15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7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3"/>
                <w:szCs w:val="13"/>
                <w:color w:val="auto"/>
              </w:rPr>
            </w:pPr>
          </w:p>
        </w:tc>
        <w:tc>
          <w:tcPr>
            <w:tcW w:w="5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3"/>
                <w:szCs w:val="13"/>
                <w:color w:val="auto"/>
              </w:rPr>
            </w:pPr>
          </w:p>
        </w:tc>
        <w:tc>
          <w:tcPr>
            <w:tcW w:w="860" w:type="dxa"/>
            <w:vAlign w:val="bottom"/>
            <w:gridSpan w:val="2"/>
          </w:tcPr>
          <w:p>
            <w:pPr>
              <w:jc w:val="center"/>
              <w:ind w:right="180"/>
              <w:spacing w:after="0" w:line="15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5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00" w:type="dxa"/>
            <w:vAlign w:val="bottom"/>
          </w:tcPr>
          <w:p>
            <w:pPr>
              <w:spacing w:after="0"/>
              <w:rPr>
                <w:sz w:val="13"/>
                <w:szCs w:val="13"/>
                <w:color w:val="auto"/>
              </w:rPr>
            </w:pPr>
          </w:p>
        </w:tc>
        <w:tc>
          <w:tcPr>
            <w:tcW w:w="6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3"/>
                <w:szCs w:val="13"/>
                <w:color w:val="auto"/>
              </w:rPr>
            </w:pPr>
          </w:p>
        </w:tc>
        <w:tc>
          <w:tcPr>
            <w:tcW w:w="700" w:type="dxa"/>
            <w:vAlign w:val="bottom"/>
            <w:gridSpan w:val="2"/>
          </w:tcPr>
          <w:p>
            <w:pPr>
              <w:jc w:val="center"/>
              <w:ind w:left="29"/>
              <w:spacing w:after="0" w:line="15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20" w:type="dxa"/>
            <w:vAlign w:val="bottom"/>
          </w:tcPr>
          <w:p>
            <w:pPr>
              <w:spacing w:after="0"/>
              <w:rPr>
                <w:sz w:val="13"/>
                <w:szCs w:val="13"/>
                <w:color w:val="auto"/>
              </w:rPr>
            </w:pPr>
          </w:p>
        </w:tc>
        <w:tc>
          <w:tcPr>
            <w:tcW w:w="6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260" w:type="dxa"/>
            <w:vAlign w:val="bottom"/>
            <w:gridSpan w:val="2"/>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James M. Boyle</w:t>
            </w:r>
          </w:p>
        </w:tc>
        <w:tc>
          <w:tcPr>
            <w:tcW w:w="7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10/21/2021</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10/21/2021</w:t>
            </w: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451,779</w:t>
            </w:r>
          </w:p>
        </w:tc>
        <w:tc>
          <w:tcPr>
            <w:tcW w:w="300" w:type="dxa"/>
            <w:vAlign w:val="bottom"/>
            <w:shd w:val="clear" w:color="auto" w:fill="CCEEFF"/>
          </w:tcPr>
          <w:p>
            <w:pPr>
              <w:jc w:val="right"/>
              <w:ind w:right="127"/>
              <w:spacing w:after="0" w:line="120" w:lineRule="exact"/>
              <w:rPr>
                <w:sz w:val="20"/>
                <w:szCs w:val="20"/>
                <w:color w:val="auto"/>
              </w:rPr>
            </w:pPr>
            <w:r>
              <w:rPr>
                <w:rFonts w:ascii="Times New Roman" w:cs="Times New Roman" w:eastAsia="Times New Roman" w:hAnsi="Times New Roman"/>
                <w:sz w:val="11"/>
                <w:szCs w:val="11"/>
                <w:color w:val="auto"/>
                <w:w w:val="77"/>
              </w:rPr>
              <w:t>(1)</w:t>
            </w:r>
          </w:p>
        </w:tc>
        <w:tc>
          <w:tcPr>
            <w:tcW w:w="6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12,008,015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0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4/1/2022</w:t>
            </w:r>
          </w:p>
        </w:tc>
        <w:tc>
          <w:tcPr>
            <w:tcW w:w="94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4/1/2023</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27"/>
              <w:spacing w:after="0" w:line="147" w:lineRule="exact"/>
              <w:rPr>
                <w:sz w:val="20"/>
                <w:szCs w:val="20"/>
                <w:color w:val="auto"/>
              </w:rPr>
            </w:pPr>
            <w:r>
              <w:rPr>
                <w:rFonts w:ascii="Times New Roman" w:cs="Times New Roman" w:eastAsia="Times New Roman" w:hAnsi="Times New Roman"/>
                <w:sz w:val="14"/>
                <w:szCs w:val="14"/>
                <w:color w:val="auto"/>
              </w:rPr>
              <w:t>204,244</w:t>
            </w:r>
            <w:r>
              <w:rPr>
                <w:rFonts w:ascii="Times New Roman" w:cs="Times New Roman" w:eastAsia="Times New Roman" w:hAnsi="Times New Roman"/>
                <w:sz w:val="10"/>
                <w:szCs w:val="10"/>
                <w:color w:val="auto"/>
              </w:rPr>
              <w:t>(1)</w:t>
            </w:r>
          </w:p>
        </w:tc>
        <w:tc>
          <w:tcPr>
            <w:tcW w:w="6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5,467,857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10/1/2023</w:t>
            </w:r>
          </w:p>
        </w:tc>
        <w:tc>
          <w:tcPr>
            <w:tcW w:w="94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10/1/2023</w:t>
            </w: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7"/>
              <w:spacing w:after="0" w:line="147" w:lineRule="exact"/>
              <w:rPr>
                <w:sz w:val="20"/>
                <w:szCs w:val="20"/>
                <w:color w:val="auto"/>
              </w:rPr>
            </w:pPr>
            <w:r>
              <w:rPr>
                <w:rFonts w:ascii="Times New Roman" w:cs="Times New Roman" w:eastAsia="Times New Roman" w:hAnsi="Times New Roman"/>
                <w:sz w:val="14"/>
                <w:szCs w:val="14"/>
                <w:color w:val="auto"/>
              </w:rPr>
              <w:t>687,827</w:t>
            </w:r>
            <w:r>
              <w:rPr>
                <w:rFonts w:ascii="Times New Roman" w:cs="Times New Roman" w:eastAsia="Times New Roman" w:hAnsi="Times New Roman"/>
                <w:sz w:val="10"/>
                <w:szCs w:val="10"/>
                <w:color w:val="auto"/>
              </w:rPr>
              <w:t>(1)</w:t>
            </w: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17,548,737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0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10/1/2023</w:t>
            </w:r>
          </w:p>
        </w:tc>
        <w:tc>
          <w:tcPr>
            <w:tcW w:w="94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10/1/2023</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382,126</w:t>
            </w:r>
            <w:r>
              <w:rPr>
                <w:rFonts w:ascii="Times New Roman" w:cs="Times New Roman" w:eastAsia="Times New Roman" w:hAnsi="Times New Roman"/>
                <w:sz w:val="10"/>
                <w:szCs w:val="10"/>
                <w:color w:val="auto"/>
              </w:rPr>
              <w:t>(3)</w:t>
            </w: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9,749,301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10/1/2023</w:t>
            </w:r>
          </w:p>
        </w:tc>
        <w:tc>
          <w:tcPr>
            <w:tcW w:w="94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10/1/2023</w:t>
            </w: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382,126</w:t>
            </w:r>
            <w:r>
              <w:rPr>
                <w:rFonts w:ascii="Times New Roman" w:cs="Times New Roman" w:eastAsia="Times New Roman" w:hAnsi="Times New Roman"/>
                <w:sz w:val="10"/>
                <w:szCs w:val="10"/>
                <w:color w:val="auto"/>
              </w:rPr>
              <w:t>(4)</w:t>
            </w: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9,749,301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0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10/1/2023</w:t>
            </w:r>
          </w:p>
        </w:tc>
        <w:tc>
          <w:tcPr>
            <w:tcW w:w="94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10/1/2023</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382,126</w:t>
            </w:r>
            <w:r>
              <w:rPr>
                <w:rFonts w:ascii="Times New Roman" w:cs="Times New Roman" w:eastAsia="Times New Roman" w:hAnsi="Times New Roman"/>
                <w:sz w:val="10"/>
                <w:szCs w:val="10"/>
                <w:color w:val="auto"/>
              </w:rPr>
              <w:t>(5)</w:t>
            </w: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9,479,301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3/29/2023</w:t>
            </w:r>
          </w:p>
        </w:tc>
        <w:tc>
          <w:tcPr>
            <w:tcW w:w="94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3/29/2024</w:t>
            </w: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7"/>
              <w:spacing w:after="0" w:line="147" w:lineRule="exact"/>
              <w:rPr>
                <w:sz w:val="20"/>
                <w:szCs w:val="20"/>
                <w:color w:val="auto"/>
              </w:rPr>
            </w:pPr>
            <w:r>
              <w:rPr>
                <w:rFonts w:ascii="Times New Roman" w:cs="Times New Roman" w:eastAsia="Times New Roman" w:hAnsi="Times New Roman"/>
                <w:sz w:val="14"/>
                <w:szCs w:val="14"/>
                <w:color w:val="auto"/>
              </w:rPr>
              <w:t>201,985</w:t>
            </w:r>
            <w:r>
              <w:rPr>
                <w:rFonts w:ascii="Times New Roman" w:cs="Times New Roman" w:eastAsia="Times New Roman" w:hAnsi="Times New Roman"/>
                <w:sz w:val="10"/>
                <w:szCs w:val="10"/>
                <w:color w:val="auto"/>
              </w:rPr>
              <w:t>(1)</w:t>
            </w: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4,643,352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0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2/13/2024</w:t>
            </w:r>
          </w:p>
        </w:tc>
        <w:tc>
          <w:tcPr>
            <w:tcW w:w="94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3/28/2025</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27"/>
              <w:spacing w:after="0" w:line="147" w:lineRule="exact"/>
              <w:rPr>
                <w:sz w:val="20"/>
                <w:szCs w:val="20"/>
                <w:color w:val="auto"/>
              </w:rPr>
            </w:pPr>
            <w:r>
              <w:rPr>
                <w:rFonts w:ascii="Times New Roman" w:cs="Times New Roman" w:eastAsia="Times New Roman" w:hAnsi="Times New Roman"/>
                <w:sz w:val="14"/>
                <w:szCs w:val="14"/>
                <w:color w:val="auto"/>
              </w:rPr>
              <w:t>183,699</w:t>
            </w:r>
            <w:r>
              <w:rPr>
                <w:rFonts w:ascii="Times New Roman" w:cs="Times New Roman" w:eastAsia="Times New Roman" w:hAnsi="Times New Roman"/>
                <w:sz w:val="10"/>
                <w:szCs w:val="10"/>
                <w:color w:val="auto"/>
              </w:rPr>
              <w:t>(1)</w:t>
            </w:r>
          </w:p>
        </w:tc>
        <w:tc>
          <w:tcPr>
            <w:tcW w:w="6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2,629,908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4/11/2025</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(2 )</w:t>
            </w: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7"/>
              <w:spacing w:after="0" w:line="147" w:lineRule="exact"/>
              <w:rPr>
                <w:sz w:val="20"/>
                <w:szCs w:val="20"/>
                <w:color w:val="auto"/>
              </w:rPr>
            </w:pPr>
            <w:r>
              <w:rPr>
                <w:rFonts w:ascii="Times New Roman" w:cs="Times New Roman" w:eastAsia="Times New Roman" w:hAnsi="Times New Roman"/>
                <w:sz w:val="14"/>
                <w:szCs w:val="14"/>
                <w:color w:val="auto"/>
              </w:rPr>
              <w:t>40,609</w:t>
            </w: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1,705,584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6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Michael B. Drazin</w:t>
            </w:r>
          </w:p>
        </w:tc>
        <w:tc>
          <w:tcPr>
            <w:tcW w:w="90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10/21/2021</w:t>
            </w:r>
          </w:p>
        </w:tc>
        <w:tc>
          <w:tcPr>
            <w:tcW w:w="94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10/21/2021</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27"/>
              <w:spacing w:after="0" w:line="147" w:lineRule="exact"/>
              <w:rPr>
                <w:sz w:val="20"/>
                <w:szCs w:val="20"/>
                <w:color w:val="auto"/>
              </w:rPr>
            </w:pPr>
            <w:r>
              <w:rPr>
                <w:rFonts w:ascii="Times New Roman" w:cs="Times New Roman" w:eastAsia="Times New Roman" w:hAnsi="Times New Roman"/>
                <w:sz w:val="14"/>
                <w:szCs w:val="14"/>
                <w:color w:val="auto"/>
              </w:rPr>
              <w:t>406,601</w:t>
            </w:r>
            <w:r>
              <w:rPr>
                <w:rFonts w:ascii="Times New Roman" w:cs="Times New Roman" w:eastAsia="Times New Roman" w:hAnsi="Times New Roman"/>
                <w:sz w:val="10"/>
                <w:szCs w:val="10"/>
                <w:color w:val="auto"/>
              </w:rPr>
              <w:t>(1)</w:t>
            </w:r>
          </w:p>
        </w:tc>
        <w:tc>
          <w:tcPr>
            <w:tcW w:w="78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10,807,211</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4/1/2022</w:t>
            </w:r>
          </w:p>
        </w:tc>
        <w:tc>
          <w:tcPr>
            <w:tcW w:w="94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4/1/2023</w:t>
            </w: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7"/>
              <w:spacing w:after="0" w:line="147" w:lineRule="exact"/>
              <w:rPr>
                <w:sz w:val="20"/>
                <w:szCs w:val="20"/>
                <w:color w:val="auto"/>
              </w:rPr>
            </w:pPr>
            <w:r>
              <w:rPr>
                <w:rFonts w:ascii="Times New Roman" w:cs="Times New Roman" w:eastAsia="Times New Roman" w:hAnsi="Times New Roman"/>
                <w:sz w:val="14"/>
                <w:szCs w:val="14"/>
                <w:color w:val="auto"/>
              </w:rPr>
              <w:t>164,269</w:t>
            </w:r>
            <w:r>
              <w:rPr>
                <w:rFonts w:ascii="Times New Roman" w:cs="Times New Roman" w:eastAsia="Times New Roman" w:hAnsi="Times New Roman"/>
                <w:sz w:val="10"/>
                <w:szCs w:val="10"/>
                <w:color w:val="auto"/>
              </w:rPr>
              <w:t>(1)</w:t>
            </w: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4,397,678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0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3/29/2023</w:t>
            </w:r>
          </w:p>
        </w:tc>
        <w:tc>
          <w:tcPr>
            <w:tcW w:w="94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3/29/2024</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27"/>
              <w:spacing w:after="0" w:line="147" w:lineRule="exact"/>
              <w:rPr>
                <w:sz w:val="20"/>
                <w:szCs w:val="20"/>
                <w:color w:val="auto"/>
              </w:rPr>
            </w:pPr>
            <w:r>
              <w:rPr>
                <w:rFonts w:ascii="Times New Roman" w:cs="Times New Roman" w:eastAsia="Times New Roman" w:hAnsi="Times New Roman"/>
                <w:sz w:val="14"/>
                <w:szCs w:val="14"/>
                <w:color w:val="auto"/>
              </w:rPr>
              <w:t>182,222</w:t>
            </w:r>
            <w:r>
              <w:rPr>
                <w:rFonts w:ascii="Times New Roman" w:cs="Times New Roman" w:eastAsia="Times New Roman" w:hAnsi="Times New Roman"/>
                <w:sz w:val="10"/>
                <w:szCs w:val="10"/>
                <w:color w:val="auto"/>
              </w:rPr>
              <w:t>(1)</w:t>
            </w:r>
          </w:p>
        </w:tc>
        <w:tc>
          <w:tcPr>
            <w:tcW w:w="6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4,189,029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2/13/2024</w:t>
            </w:r>
          </w:p>
        </w:tc>
        <w:tc>
          <w:tcPr>
            <w:tcW w:w="94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3/28/2025</w:t>
            </w: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7"/>
              <w:spacing w:after="0" w:line="147" w:lineRule="exact"/>
              <w:rPr>
                <w:sz w:val="20"/>
                <w:szCs w:val="20"/>
                <w:color w:val="auto"/>
              </w:rPr>
            </w:pPr>
            <w:r>
              <w:rPr>
                <w:rFonts w:ascii="Times New Roman" w:cs="Times New Roman" w:eastAsia="Times New Roman" w:hAnsi="Times New Roman"/>
                <w:sz w:val="14"/>
                <w:szCs w:val="14"/>
                <w:color w:val="auto"/>
              </w:rPr>
              <w:t>157,133</w:t>
            </w:r>
            <w:r>
              <w:rPr>
                <w:rFonts w:ascii="Times New Roman" w:cs="Times New Roman" w:eastAsia="Times New Roman" w:hAnsi="Times New Roman"/>
                <w:sz w:val="10"/>
                <w:szCs w:val="10"/>
                <w:color w:val="auto"/>
              </w:rPr>
              <w:t>(1)</w:t>
            </w: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2,249,579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0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4/11/2025</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(2 )</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47"/>
              <w:spacing w:after="0" w:line="147" w:lineRule="exact"/>
              <w:rPr>
                <w:sz w:val="20"/>
                <w:szCs w:val="20"/>
                <w:color w:val="auto"/>
              </w:rPr>
            </w:pPr>
            <w:r>
              <w:rPr>
                <w:rFonts w:ascii="Times New Roman" w:cs="Times New Roman" w:eastAsia="Times New Roman" w:hAnsi="Times New Roman"/>
                <w:sz w:val="14"/>
                <w:szCs w:val="14"/>
                <w:color w:val="auto"/>
              </w:rPr>
              <w:t>32,995</w:t>
            </w:r>
          </w:p>
        </w:tc>
        <w:tc>
          <w:tcPr>
            <w:tcW w:w="6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1,385,787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6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Douglas P. Golwas</w:t>
            </w:r>
          </w:p>
        </w:tc>
        <w:tc>
          <w:tcPr>
            <w:tcW w:w="90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10/21/2021</w:t>
            </w:r>
          </w:p>
        </w:tc>
        <w:tc>
          <w:tcPr>
            <w:tcW w:w="94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10/21/2021</w:t>
            </w: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7"/>
              <w:spacing w:after="0" w:line="147" w:lineRule="exact"/>
              <w:rPr>
                <w:sz w:val="20"/>
                <w:szCs w:val="20"/>
                <w:color w:val="auto"/>
              </w:rPr>
            </w:pPr>
            <w:r>
              <w:rPr>
                <w:rFonts w:ascii="Times New Roman" w:cs="Times New Roman" w:eastAsia="Times New Roman" w:hAnsi="Times New Roman"/>
                <w:sz w:val="14"/>
                <w:szCs w:val="14"/>
                <w:color w:val="auto"/>
              </w:rPr>
              <w:t>282,362</w:t>
            </w:r>
            <w:r>
              <w:rPr>
                <w:rFonts w:ascii="Times New Roman" w:cs="Times New Roman" w:eastAsia="Times New Roman" w:hAnsi="Times New Roman"/>
                <w:sz w:val="10"/>
                <w:szCs w:val="10"/>
                <w:color w:val="auto"/>
              </w:rPr>
              <w:t>(1)</w:t>
            </w: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7,505,013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0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4/1/2022</w:t>
            </w:r>
          </w:p>
        </w:tc>
        <w:tc>
          <w:tcPr>
            <w:tcW w:w="94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4/1/2023</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27"/>
              <w:spacing w:after="0" w:line="147" w:lineRule="exact"/>
              <w:rPr>
                <w:sz w:val="20"/>
                <w:szCs w:val="20"/>
                <w:color w:val="auto"/>
              </w:rPr>
            </w:pPr>
            <w:r>
              <w:rPr>
                <w:rFonts w:ascii="Times New Roman" w:cs="Times New Roman" w:eastAsia="Times New Roman" w:hAnsi="Times New Roman"/>
                <w:sz w:val="14"/>
                <w:szCs w:val="14"/>
                <w:color w:val="auto"/>
              </w:rPr>
              <w:t>127,653</w:t>
            </w:r>
            <w:r>
              <w:rPr>
                <w:rFonts w:ascii="Times New Roman" w:cs="Times New Roman" w:eastAsia="Times New Roman" w:hAnsi="Times New Roman"/>
                <w:sz w:val="10"/>
                <w:szCs w:val="10"/>
                <w:color w:val="auto"/>
              </w:rPr>
              <w:t>(1)</w:t>
            </w:r>
          </w:p>
        </w:tc>
        <w:tc>
          <w:tcPr>
            <w:tcW w:w="6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3,417,424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3/29/2023</w:t>
            </w:r>
          </w:p>
        </w:tc>
        <w:tc>
          <w:tcPr>
            <w:tcW w:w="94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3/29/2024</w:t>
            </w: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7"/>
              <w:spacing w:after="0" w:line="147" w:lineRule="exact"/>
              <w:rPr>
                <w:sz w:val="20"/>
                <w:szCs w:val="20"/>
                <w:color w:val="auto"/>
              </w:rPr>
            </w:pPr>
            <w:r>
              <w:rPr>
                <w:rFonts w:ascii="Times New Roman" w:cs="Times New Roman" w:eastAsia="Times New Roman" w:hAnsi="Times New Roman"/>
                <w:sz w:val="14"/>
                <w:szCs w:val="14"/>
                <w:color w:val="auto"/>
              </w:rPr>
              <w:t>126,240</w:t>
            </w:r>
            <w:r>
              <w:rPr>
                <w:rFonts w:ascii="Times New Roman" w:cs="Times New Roman" w:eastAsia="Times New Roman" w:hAnsi="Times New Roman"/>
                <w:sz w:val="10"/>
                <w:szCs w:val="10"/>
                <w:color w:val="auto"/>
              </w:rPr>
              <w:t>(1)</w:t>
            </w: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2,902,081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0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2/13/2024</w:t>
            </w:r>
          </w:p>
        </w:tc>
        <w:tc>
          <w:tcPr>
            <w:tcW w:w="94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3/28/2025</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27"/>
              <w:spacing w:after="0" w:line="147" w:lineRule="exact"/>
              <w:rPr>
                <w:sz w:val="20"/>
                <w:szCs w:val="20"/>
                <w:color w:val="auto"/>
              </w:rPr>
            </w:pPr>
            <w:r>
              <w:rPr>
                <w:rFonts w:ascii="Times New Roman" w:cs="Times New Roman" w:eastAsia="Times New Roman" w:hAnsi="Times New Roman"/>
                <w:sz w:val="14"/>
                <w:szCs w:val="14"/>
                <w:color w:val="auto"/>
              </w:rPr>
              <w:t>149,005</w:t>
            </w:r>
            <w:r>
              <w:rPr>
                <w:rFonts w:ascii="Times New Roman" w:cs="Times New Roman" w:eastAsia="Times New Roman" w:hAnsi="Times New Roman"/>
                <w:sz w:val="10"/>
                <w:szCs w:val="10"/>
                <w:color w:val="auto"/>
              </w:rPr>
              <w:t>(1)</w:t>
            </w:r>
          </w:p>
        </w:tc>
        <w:tc>
          <w:tcPr>
            <w:tcW w:w="6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2,133,215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4/11/2025</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(2 )</w:t>
            </w: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7"/>
              <w:spacing w:after="0" w:line="147" w:lineRule="exact"/>
              <w:rPr>
                <w:sz w:val="20"/>
                <w:szCs w:val="20"/>
                <w:color w:val="auto"/>
              </w:rPr>
            </w:pPr>
            <w:r>
              <w:rPr>
                <w:rFonts w:ascii="Times New Roman" w:cs="Times New Roman" w:eastAsia="Times New Roman" w:hAnsi="Times New Roman"/>
                <w:sz w:val="14"/>
                <w:szCs w:val="14"/>
                <w:color w:val="auto"/>
              </w:rPr>
              <w:t>32,995</w:t>
            </w: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1,385,787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6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Stephen L. Miller</w:t>
            </w:r>
          </w:p>
        </w:tc>
        <w:tc>
          <w:tcPr>
            <w:tcW w:w="90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7/1/2022</w:t>
            </w:r>
          </w:p>
        </w:tc>
        <w:tc>
          <w:tcPr>
            <w:tcW w:w="94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7/1/2022</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27"/>
              <w:spacing w:after="0" w:line="147" w:lineRule="exact"/>
              <w:rPr>
                <w:sz w:val="20"/>
                <w:szCs w:val="20"/>
                <w:color w:val="auto"/>
              </w:rPr>
            </w:pPr>
            <w:r>
              <w:rPr>
                <w:rFonts w:ascii="Times New Roman" w:cs="Times New Roman" w:eastAsia="Times New Roman" w:hAnsi="Times New Roman"/>
                <w:sz w:val="14"/>
                <w:szCs w:val="14"/>
                <w:color w:val="auto"/>
              </w:rPr>
              <w:t>277,106</w:t>
            </w:r>
            <w:r>
              <w:rPr>
                <w:rFonts w:ascii="Times New Roman" w:cs="Times New Roman" w:eastAsia="Times New Roman" w:hAnsi="Times New Roman"/>
                <w:sz w:val="10"/>
                <w:szCs w:val="10"/>
                <w:color w:val="auto"/>
              </w:rPr>
              <w:t>(1)</w:t>
            </w:r>
          </w:p>
        </w:tc>
        <w:tc>
          <w:tcPr>
            <w:tcW w:w="6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7,598,440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4/1/2022</w:t>
            </w:r>
          </w:p>
        </w:tc>
        <w:tc>
          <w:tcPr>
            <w:tcW w:w="94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4/1/2023</w:t>
            </w: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7"/>
              <w:spacing w:after="0" w:line="147" w:lineRule="exact"/>
              <w:rPr>
                <w:sz w:val="20"/>
                <w:szCs w:val="20"/>
                <w:color w:val="auto"/>
              </w:rPr>
            </w:pPr>
            <w:r>
              <w:rPr>
                <w:rFonts w:ascii="Times New Roman" w:cs="Times New Roman" w:eastAsia="Times New Roman" w:hAnsi="Times New Roman"/>
                <w:sz w:val="14"/>
                <w:szCs w:val="14"/>
                <w:color w:val="auto"/>
              </w:rPr>
              <w:t>63,826</w:t>
            </w:r>
            <w:r>
              <w:rPr>
                <w:rFonts w:ascii="Times New Roman" w:cs="Times New Roman" w:eastAsia="Times New Roman" w:hAnsi="Times New Roman"/>
                <w:sz w:val="10"/>
                <w:szCs w:val="10"/>
                <w:color w:val="auto"/>
              </w:rPr>
              <w:t>(1)</w:t>
            </w: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1,708,699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0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3/29/2023</w:t>
            </w:r>
          </w:p>
        </w:tc>
        <w:tc>
          <w:tcPr>
            <w:tcW w:w="94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3/29/2024</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27"/>
              <w:spacing w:after="0" w:line="147" w:lineRule="exact"/>
              <w:rPr>
                <w:sz w:val="20"/>
                <w:szCs w:val="20"/>
                <w:color w:val="auto"/>
              </w:rPr>
            </w:pPr>
            <w:r>
              <w:rPr>
                <w:rFonts w:ascii="Times New Roman" w:cs="Times New Roman" w:eastAsia="Times New Roman" w:hAnsi="Times New Roman"/>
                <w:sz w:val="14"/>
                <w:szCs w:val="14"/>
                <w:color w:val="auto"/>
              </w:rPr>
              <w:t>170,424</w:t>
            </w:r>
            <w:r>
              <w:rPr>
                <w:rFonts w:ascii="Times New Roman" w:cs="Times New Roman" w:eastAsia="Times New Roman" w:hAnsi="Times New Roman"/>
                <w:sz w:val="10"/>
                <w:szCs w:val="10"/>
                <w:color w:val="auto"/>
              </w:rPr>
              <w:t>(1)</w:t>
            </w:r>
          </w:p>
        </w:tc>
        <w:tc>
          <w:tcPr>
            <w:tcW w:w="6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3,917,809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3/29/2024</w:t>
            </w:r>
          </w:p>
        </w:tc>
        <w:tc>
          <w:tcPr>
            <w:tcW w:w="94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3/29/2024</w:t>
            </w: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7"/>
              <w:spacing w:after="0" w:line="147" w:lineRule="exact"/>
              <w:rPr>
                <w:sz w:val="20"/>
                <w:szCs w:val="20"/>
                <w:color w:val="auto"/>
              </w:rPr>
            </w:pPr>
            <w:r>
              <w:rPr>
                <w:rFonts w:ascii="Times New Roman" w:cs="Times New Roman" w:eastAsia="Times New Roman" w:hAnsi="Times New Roman"/>
                <w:sz w:val="14"/>
                <w:szCs w:val="14"/>
                <w:color w:val="auto"/>
              </w:rPr>
              <w:t>210,401</w:t>
            </w:r>
            <w:r>
              <w:rPr>
                <w:rFonts w:ascii="Times New Roman" w:cs="Times New Roman" w:eastAsia="Times New Roman" w:hAnsi="Times New Roman"/>
                <w:sz w:val="10"/>
                <w:szCs w:val="10"/>
                <w:color w:val="auto"/>
              </w:rPr>
              <w:t>(1)</w:t>
            </w: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4,836,824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0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3/29/2024</w:t>
            </w:r>
          </w:p>
        </w:tc>
        <w:tc>
          <w:tcPr>
            <w:tcW w:w="94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3/29/2024</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43,833</w:t>
            </w:r>
            <w:r>
              <w:rPr>
                <w:rFonts w:ascii="Times New Roman" w:cs="Times New Roman" w:eastAsia="Times New Roman" w:hAnsi="Times New Roman"/>
                <w:sz w:val="10"/>
                <w:szCs w:val="10"/>
                <w:color w:val="auto"/>
              </w:rPr>
              <w:t>(3)</w:t>
            </w: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1,007,670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3/29/2024</w:t>
            </w:r>
          </w:p>
        </w:tc>
        <w:tc>
          <w:tcPr>
            <w:tcW w:w="94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3/29/2024</w:t>
            </w: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43,833</w:t>
            </w:r>
            <w:r>
              <w:rPr>
                <w:rFonts w:ascii="Times New Roman" w:cs="Times New Roman" w:eastAsia="Times New Roman" w:hAnsi="Times New Roman"/>
                <w:sz w:val="10"/>
                <w:szCs w:val="10"/>
                <w:color w:val="auto"/>
              </w:rPr>
              <w:t>(4)</w:t>
            </w: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1,007,670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0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3/29/2024</w:t>
            </w:r>
          </w:p>
        </w:tc>
        <w:tc>
          <w:tcPr>
            <w:tcW w:w="94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3/29/2024</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43,833</w:t>
            </w:r>
            <w:r>
              <w:rPr>
                <w:rFonts w:ascii="Times New Roman" w:cs="Times New Roman" w:eastAsia="Times New Roman" w:hAnsi="Times New Roman"/>
                <w:sz w:val="10"/>
                <w:szCs w:val="10"/>
                <w:color w:val="auto"/>
              </w:rPr>
              <w:t>(5)</w:t>
            </w: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1,007,670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2/13/2024</w:t>
            </w:r>
          </w:p>
        </w:tc>
        <w:tc>
          <w:tcPr>
            <w:tcW w:w="94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4"/>
                <w:szCs w:val="14"/>
                <w:color w:val="auto"/>
              </w:rPr>
              <w:t>3/28/2025</w:t>
            </w: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7"/>
              <w:spacing w:after="0" w:line="147" w:lineRule="exact"/>
              <w:rPr>
                <w:sz w:val="20"/>
                <w:szCs w:val="20"/>
                <w:color w:val="auto"/>
              </w:rPr>
            </w:pPr>
            <w:r>
              <w:rPr>
                <w:rFonts w:ascii="Times New Roman" w:cs="Times New Roman" w:eastAsia="Times New Roman" w:hAnsi="Times New Roman"/>
                <w:sz w:val="14"/>
                <w:szCs w:val="14"/>
                <w:color w:val="auto"/>
              </w:rPr>
              <w:t>272,725</w:t>
            </w:r>
            <w:r>
              <w:rPr>
                <w:rFonts w:ascii="Times New Roman" w:cs="Times New Roman" w:eastAsia="Times New Roman" w:hAnsi="Times New Roman"/>
                <w:sz w:val="10"/>
                <w:szCs w:val="10"/>
                <w:color w:val="auto"/>
              </w:rPr>
              <w:t>(1)</w:t>
            </w: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3,904,440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4/11/2025</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(2 )</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247"/>
              <w:spacing w:after="0"/>
              <w:rPr>
                <w:sz w:val="20"/>
                <w:szCs w:val="20"/>
                <w:color w:val="auto"/>
              </w:rPr>
            </w:pPr>
            <w:r>
              <w:rPr>
                <w:rFonts w:ascii="Times New Roman" w:cs="Times New Roman" w:eastAsia="Times New Roman" w:hAnsi="Times New Roman"/>
                <w:sz w:val="14"/>
                <w:szCs w:val="14"/>
                <w:color w:val="auto"/>
              </w:rPr>
              <w:t>32,995</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1,385,787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60960</wp:posOffset>
            </wp:positionV>
            <wp:extent cx="76454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07" w:lineRule="exact"/>
        <w:rPr>
          <w:sz w:val="20"/>
          <w:szCs w:val="20"/>
          <w:color w:val="auto"/>
        </w:rPr>
      </w:pPr>
    </w:p>
    <w:p>
      <w:pPr>
        <w:ind w:left="600" w:right="40" w:hanging="433"/>
        <w:spacing w:after="0" w:line="226" w:lineRule="auto"/>
        <w:tabs>
          <w:tab w:leader="none" w:pos="60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time-vested Incentive Units that vest over 5 years, with 20% vesting on the 12-month anniversary of the vesting commencement date, which is the same as the grant date, and an additional 20% vesting every year thereafter. For Messrs. Boyle and Pigott, a portion of Time-Vested Units will accelerate upon a termination by us without Cause, by the executive for Good Reason, or due to disability. If such termination occurs prior to the first anniversary of the vesting commencement date, 20% of the time-vested Incentive Units will become vested. If such termination occurs after the first anniversary of the vesting commencement date, the number of time-vested Incentive Units that will become vested will be calculated by multiplying (x) 20% of the time-vested Incentive Units by (y) a fraction, the numerator of which is the number of full and partial three-calendar month periods elapsed from the immediately preceding vesting commencement date and the denominator of which is 4. Awards with a service inception date that precede the grant date represent that were initially expressed as “dollars at work” and then converted into a number of time-vested Incentive Units, or for the award with a service inception date of April 11, 2025, time-based RSUs, in the fiscal year following the service inception date based on Company and</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080"/>
          </w:cols>
          <w:pgMar w:left="320" w:top="451" w:right="4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600"/>
        <w:spacing w:after="0" w:line="231" w:lineRule="auto"/>
        <w:rPr>
          <w:sz w:val="20"/>
          <w:szCs w:val="20"/>
          <w:color w:val="auto"/>
        </w:rPr>
      </w:pPr>
      <w:r>
        <w:rPr>
          <w:rFonts w:ascii="Times New Roman" w:cs="Times New Roman" w:eastAsia="Times New Roman" w:hAnsi="Times New Roman"/>
          <w:sz w:val="14"/>
          <w:szCs w:val="14"/>
          <w:color w:val="auto"/>
        </w:rPr>
        <w:t>individual performance against the performance goals specified in the MIP. For additional details, see “—Compensation Elements—Long-Term Equity Incentive Compensation—2025 Management Incentive Plan” and footnote 3 to the Summary Compensation Table above.</w:t>
      </w:r>
    </w:p>
    <w:p>
      <w:pPr>
        <w:ind w:left="600" w:right="180" w:hanging="433"/>
        <w:spacing w:after="0" w:line="219" w:lineRule="auto"/>
        <w:tabs>
          <w:tab w:leader="none" w:pos="60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2025 MIP Awards based on actual performance through December 31, 2025. Values are based on $42.00, the closing price of Medline Inc. common stock on December 31, 2025. The earned “dollars at work” for the 2025 MIP will be converted into a number of RSUs in the first quarter of 2026 determined by dividing the “dollars at work” earned under the 2025 MIP Award (based on the fair market value) by the initial public offering price of Medline Inc. common stock, which was $29.00. For additional details, see “— Compensation Elements—Long-Term Equity Incentive Compensation—2025 Management Incentive Plan” and footnote 3 to the Summary Compensation Table above.</w:t>
      </w:r>
    </w:p>
    <w:p>
      <w:pPr>
        <w:jc w:val="both"/>
        <w:ind w:left="600" w:right="160" w:hanging="433"/>
        <w:spacing w:after="0" w:line="219" w:lineRule="auto"/>
        <w:tabs>
          <w:tab w:leader="none" w:pos="60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Performance-Vested Units that vest based on achievement of performance metrics tied to multiples of our Sponsors’ invested capital in Holdings (2.25x MOIC). Value with respect to these Performance-Vested Units was determined based on the closing price of Medline Inc. common stock on December 31, 2025, which was $42.00, and the participation threshold of the Performance-Vested Unit.</w:t>
      </w:r>
    </w:p>
    <w:p>
      <w:pPr>
        <w:jc w:val="both"/>
        <w:ind w:left="600" w:right="160" w:hanging="433"/>
        <w:spacing w:after="0" w:line="219" w:lineRule="auto"/>
        <w:tabs>
          <w:tab w:leader="none" w:pos="60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Performance-Vested Units that vest based on achievement of performance metrics tied to multiples of our Sponsors’ invested capital in Holdings (2.50x MOIC). Value with respect to these Performance-Vested Units was determined based on the closing price of Medline Inc. common stock on December 31, 2025, which was $42.00, and the participation threshold of the Performance-Vested Unit.</w:t>
      </w:r>
    </w:p>
    <w:p>
      <w:pPr>
        <w:jc w:val="both"/>
        <w:ind w:left="600" w:right="160" w:hanging="433"/>
        <w:spacing w:after="0" w:line="219" w:lineRule="auto"/>
        <w:tabs>
          <w:tab w:leader="none" w:pos="60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Performance-Vested Units that vest based on achievement of performance metrics tied to multiples of our Sponsors’ invested capital in Holdings (2.75x MOIC). Value with respect to these Performance-Vested Units was determined based on the closing price of Medline Inc. common stock on December 31, 2025, which was $42.00, and the participation threshold of the Performance-Vested Unit.</w:t>
      </w:r>
    </w:p>
    <w:p>
      <w:pPr>
        <w:ind w:left="600" w:right="280" w:hanging="433"/>
        <w:spacing w:after="0" w:line="235" w:lineRule="auto"/>
        <w:tabs>
          <w:tab w:leader="none" w:pos="60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time-vested Incentive Units that vest over 5 years, with 20% vesting on the 12-month anniversary of the vesting commencement date and an additional 20% vesting every year thereafter.</w:t>
      </w:r>
    </w:p>
    <w:p>
      <w:pPr>
        <w:spacing w:after="0" w:line="181" w:lineRule="exact"/>
        <w:rPr>
          <w:sz w:val="20"/>
          <w:szCs w:val="20"/>
          <w:color w:val="auto"/>
        </w:rPr>
      </w:pPr>
    </w:p>
    <w:p>
      <w:pPr>
        <w:ind w:left="160" w:right="60"/>
        <w:spacing w:after="0" w:line="254" w:lineRule="auto"/>
        <w:rPr>
          <w:sz w:val="20"/>
          <w:szCs w:val="20"/>
          <w:color w:val="auto"/>
        </w:rPr>
      </w:pPr>
      <w:r>
        <w:rPr>
          <w:rFonts w:ascii="Times New Roman" w:cs="Times New Roman" w:eastAsia="Times New Roman" w:hAnsi="Times New Roman"/>
          <w:sz w:val="18"/>
          <w:szCs w:val="18"/>
          <w:color w:val="auto"/>
        </w:rPr>
        <w:t>In accordance with the Pigott Transition Agreement, Mr. Pigott was entitled to accelerated vesting of certain time-vesting Incentive Units upon his retirement on December 31, 2025. All of Mr. Pigott’s remaining unvested time-vested and performance-vested Incentive Units were cancelled and forfeited for no consideration on Mr. Pigott’s termination date. As such, Mr. Pigott held no outstanding equity awards on December 31, 2025. See “Narrative Disclosure to Summary Compensation Table and Grants of Plan-Based Awards Table—Agreements with Named Executive Officers— Employment Agreement and Transition and Separation Agreement with Mr. Pigott” and “Potential Payments Upon Termination or Change in Control— Accelerated Vesting of Equity Awards” for additional information.</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Option Exercises and Stock Vested During the Fiscal Year 2025</w:t>
      </w:r>
    </w:p>
    <w:p>
      <w:pPr>
        <w:spacing w:after="0" w:line="118" w:lineRule="exact"/>
        <w:rPr>
          <w:sz w:val="20"/>
          <w:szCs w:val="20"/>
          <w:color w:val="auto"/>
        </w:rPr>
      </w:pPr>
    </w:p>
    <w:p>
      <w:pPr>
        <w:ind w:left="160" w:right="260" w:firstLine="436"/>
        <w:spacing w:after="0" w:line="278" w:lineRule="auto"/>
        <w:rPr>
          <w:sz w:val="20"/>
          <w:szCs w:val="20"/>
          <w:color w:val="auto"/>
        </w:rPr>
      </w:pPr>
      <w:r>
        <w:rPr>
          <w:rFonts w:ascii="Times New Roman" w:cs="Times New Roman" w:eastAsia="Times New Roman" w:hAnsi="Times New Roman"/>
          <w:sz w:val="18"/>
          <w:szCs w:val="18"/>
          <w:color w:val="auto"/>
        </w:rPr>
        <w:t>The following table provides information regarding the amounts received by our Named Executive Officers upon exercise of options or similar instruments or the vesting of stock or similar instruments during the fiscal year ended December 31, 2025.</w:t>
      </w:r>
    </w:p>
    <w:p>
      <w:pPr>
        <w:spacing w:after="0" w:line="183"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3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20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720" w:type="dxa"/>
            <w:vAlign w:val="bottom"/>
          </w:tcPr>
          <w:p>
            <w:pPr>
              <w:spacing w:after="0"/>
              <w:rPr>
                <w:sz w:val="14"/>
                <w:szCs w:val="14"/>
                <w:color w:val="auto"/>
              </w:rPr>
            </w:pPr>
          </w:p>
        </w:tc>
        <w:tc>
          <w:tcPr>
            <w:tcW w:w="2360" w:type="dxa"/>
            <w:vAlign w:val="bottom"/>
            <w:tcBorders>
              <w:bottom w:val="single" w:sz="8" w:color="auto"/>
            </w:tcBorders>
            <w:gridSpan w:val="3"/>
          </w:tcPr>
          <w:p>
            <w:pPr>
              <w:jc w:val="right"/>
              <w:ind w:right="682"/>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6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480" w:type="dxa"/>
            <w:vAlign w:val="bottom"/>
            <w:gridSpan w:val="2"/>
          </w:tcPr>
          <w:p>
            <w:pPr>
              <w:jc w:val="center"/>
              <w:ind w:right="700"/>
              <w:spacing w:after="0" w:line="11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440" w:type="dxa"/>
            <w:vAlign w:val="bottom"/>
            <w:gridSpan w:val="2"/>
            <w:vMerge w:val="restart"/>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500" w:type="dxa"/>
            <w:vAlign w:val="bottom"/>
            <w:gridSpan w:val="2"/>
          </w:tcPr>
          <w:p>
            <w:pPr>
              <w:jc w:val="center"/>
              <w:ind w:right="720"/>
              <w:spacing w:after="0" w:line="11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9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480" w:type="dxa"/>
            <w:vAlign w:val="bottom"/>
            <w:gridSpan w:val="2"/>
          </w:tcPr>
          <w:p>
            <w:pPr>
              <w:jc w:val="center"/>
              <w:ind w:right="720"/>
              <w:spacing w:after="0" w:line="147"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440" w:type="dxa"/>
            <w:vAlign w:val="bottom"/>
            <w:gridSpan w:val="2"/>
            <w:vMerge w:val="continue"/>
          </w:tcPr>
          <w:p>
            <w:pPr>
              <w:spacing w:after="0"/>
              <w:rPr>
                <w:sz w:val="12"/>
                <w:szCs w:val="12"/>
                <w:color w:val="auto"/>
              </w:rPr>
            </w:pPr>
          </w:p>
        </w:tc>
        <w:tc>
          <w:tcPr>
            <w:tcW w:w="1500" w:type="dxa"/>
            <w:vAlign w:val="bottom"/>
            <w:gridSpan w:val="2"/>
          </w:tcPr>
          <w:p>
            <w:pPr>
              <w:jc w:val="center"/>
              <w:ind w:right="720"/>
              <w:spacing w:after="0" w:line="147" w:lineRule="exact"/>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480" w:type="dxa"/>
            <w:vAlign w:val="bottom"/>
            <w:gridSpan w:val="2"/>
          </w:tcPr>
          <w:p>
            <w:pPr>
              <w:jc w:val="center"/>
              <w:ind w:right="720"/>
              <w:spacing w:after="0" w:line="147"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1440" w:type="dxa"/>
            <w:vAlign w:val="bottom"/>
            <w:gridSpan w:val="2"/>
          </w:tcPr>
          <w:p>
            <w:pPr>
              <w:jc w:val="center"/>
              <w:ind w:right="720"/>
              <w:spacing w:after="0" w:line="147"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1500" w:type="dxa"/>
            <w:vAlign w:val="bottom"/>
            <w:gridSpan w:val="2"/>
          </w:tcPr>
          <w:p>
            <w:pPr>
              <w:jc w:val="center"/>
              <w:ind w:right="740"/>
              <w:spacing w:after="0" w:line="147"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92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rPr>
              <w:t>Realized on</w:t>
            </w:r>
          </w:p>
        </w:tc>
        <w:tc>
          <w:tcPr>
            <w:tcW w:w="0" w:type="dxa"/>
            <w:vAlign w:val="bottom"/>
          </w:tcPr>
          <w:p>
            <w:pPr>
              <w:spacing w:after="0"/>
              <w:rPr>
                <w:sz w:val="1"/>
                <w:szCs w:val="1"/>
                <w:color w:val="auto"/>
              </w:rPr>
            </w:pPr>
          </w:p>
        </w:tc>
      </w:tr>
      <w:tr>
        <w:trPr>
          <w:trHeight w:val="147"/>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80" w:type="dxa"/>
            <w:vAlign w:val="bottom"/>
            <w:gridSpan w:val="2"/>
          </w:tcPr>
          <w:p>
            <w:pPr>
              <w:jc w:val="center"/>
              <w:ind w:right="720"/>
              <w:spacing w:after="0" w:line="14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40" w:type="dxa"/>
            <w:vAlign w:val="bottom"/>
            <w:gridSpan w:val="2"/>
          </w:tcPr>
          <w:p>
            <w:pPr>
              <w:jc w:val="center"/>
              <w:ind w:right="700"/>
              <w:spacing w:after="0" w:line="147" w:lineRule="exact"/>
              <w:rPr>
                <w:sz w:val="20"/>
                <w:szCs w:val="20"/>
                <w:color w:val="auto"/>
              </w:rPr>
            </w:pPr>
            <w:r>
              <w:rPr>
                <w:rFonts w:ascii="Times New Roman" w:cs="Times New Roman" w:eastAsia="Times New Roman" w:hAnsi="Times New Roman"/>
                <w:sz w:val="14"/>
                <w:szCs w:val="14"/>
                <w:b w:val="1"/>
                <w:bCs w:val="1"/>
                <w:color w:val="auto"/>
              </w:rPr>
              <w:t>on Exercise</w:t>
            </w:r>
          </w:p>
        </w:tc>
        <w:tc>
          <w:tcPr>
            <w:tcW w:w="1500" w:type="dxa"/>
            <w:vAlign w:val="bottom"/>
            <w:gridSpan w:val="2"/>
          </w:tcPr>
          <w:p>
            <w:pPr>
              <w:jc w:val="center"/>
              <w:ind w:right="740"/>
              <w:spacing w:after="0" w:line="147"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92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0" w:type="dxa"/>
            <w:vAlign w:val="bottom"/>
          </w:tcPr>
          <w:p>
            <w:pPr>
              <w:spacing w:after="0"/>
              <w:rPr>
                <w:sz w:val="1"/>
                <w:szCs w:val="1"/>
                <w:color w:val="auto"/>
              </w:rPr>
            </w:pPr>
          </w:p>
        </w:tc>
      </w:tr>
      <w:tr>
        <w:trPr>
          <w:trHeight w:val="158"/>
        </w:trPr>
        <w:tc>
          <w:tcPr>
            <w:tcW w:w="4700" w:type="dxa"/>
            <w:vAlign w:val="bottom"/>
            <w:gridSpan w:val="2"/>
            <w:vMerge w:val="continue"/>
          </w:tcPr>
          <w:p>
            <w:pPr>
              <w:spacing w:after="0"/>
              <w:rPr>
                <w:sz w:val="13"/>
                <w:szCs w:val="13"/>
                <w:color w:val="auto"/>
              </w:rPr>
            </w:pPr>
          </w:p>
        </w:tc>
        <w:tc>
          <w:tcPr>
            <w:tcW w:w="7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720" w:type="dxa"/>
            <w:vAlign w:val="bottom"/>
          </w:tcPr>
          <w:p>
            <w:pPr>
              <w:spacing w:after="0"/>
              <w:rPr>
                <w:sz w:val="13"/>
                <w:szCs w:val="13"/>
                <w:color w:val="auto"/>
              </w:rPr>
            </w:pPr>
          </w:p>
        </w:tc>
        <w:tc>
          <w:tcPr>
            <w:tcW w:w="7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720" w:type="dxa"/>
            <w:vAlign w:val="bottom"/>
          </w:tcPr>
          <w:p>
            <w:pPr>
              <w:spacing w:after="0"/>
              <w:rPr>
                <w:sz w:val="13"/>
                <w:szCs w:val="13"/>
                <w:color w:val="auto"/>
              </w:rPr>
            </w:pPr>
          </w:p>
        </w:tc>
        <w:tc>
          <w:tcPr>
            <w:tcW w:w="780" w:type="dxa"/>
            <w:vAlign w:val="bottom"/>
          </w:tcPr>
          <w:p>
            <w:pPr>
              <w:jc w:val="center"/>
              <w:spacing w:after="0" w:line="158"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(1)</w:t>
            </w:r>
          </w:p>
        </w:tc>
        <w:tc>
          <w:tcPr>
            <w:tcW w:w="72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7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James M. Boyle</w:t>
            </w:r>
          </w:p>
        </w:tc>
        <w:tc>
          <w:tcPr>
            <w:tcW w:w="7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799,632</w:t>
            </w:r>
          </w:p>
        </w:tc>
        <w:tc>
          <w:tcPr>
            <w:tcW w:w="7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11,777,744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B. Drazin</w:t>
            </w: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506,913</w:t>
            </w:r>
          </w:p>
        </w:tc>
        <w:tc>
          <w:tcPr>
            <w:tcW w:w="7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7,848,576</w:t>
            </w: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Pigott</w:t>
            </w: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1,008,005</w:t>
            </w:r>
          </w:p>
        </w:tc>
        <w:tc>
          <w:tcPr>
            <w:tcW w:w="7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18,947,619</w:t>
            </w:r>
          </w:p>
        </w:tc>
        <w:tc>
          <w:tcPr>
            <w:tcW w:w="0" w:type="dxa"/>
            <w:vAlign w:val="bottom"/>
          </w:tcPr>
          <w:p>
            <w:pPr>
              <w:spacing w:after="0"/>
              <w:rPr>
                <w:sz w:val="1"/>
                <w:szCs w:val="1"/>
                <w:color w:val="auto"/>
              </w:rPr>
            </w:pPr>
          </w:p>
        </w:tc>
      </w:tr>
      <w:tr>
        <w:trPr>
          <w:trHeight w:val="214"/>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P. Golwas</w:t>
            </w: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356,473</w:t>
            </w:r>
          </w:p>
        </w:tc>
        <w:tc>
          <w:tcPr>
            <w:tcW w:w="7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5,503,398</w:t>
            </w: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L. Miller</w:t>
            </w: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255,035</w:t>
            </w:r>
          </w:p>
        </w:tc>
        <w:tc>
          <w:tcPr>
            <w:tcW w:w="7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2,876,222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5" w:lineRule="exact"/>
        <w:rPr>
          <w:sz w:val="20"/>
          <w:szCs w:val="20"/>
          <w:color w:val="auto"/>
        </w:rPr>
      </w:pPr>
    </w:p>
    <w:p>
      <w:pPr>
        <w:ind w:left="600" w:hanging="433"/>
        <w:spacing w:after="0"/>
        <w:tabs>
          <w:tab w:leader="none" w:pos="60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time-vested Incentive Units that vested during fiscal year 2025.</w:t>
      </w:r>
    </w:p>
    <w:p>
      <w:pPr>
        <w:spacing w:after="0" w:line="2" w:lineRule="exact"/>
        <w:rPr>
          <w:rFonts w:ascii="Times New Roman" w:cs="Times New Roman" w:eastAsia="Times New Roman" w:hAnsi="Times New Roman"/>
          <w:sz w:val="14"/>
          <w:szCs w:val="14"/>
          <w:color w:val="auto"/>
        </w:rPr>
      </w:pPr>
    </w:p>
    <w:p>
      <w:pPr>
        <w:ind w:left="600" w:right="160" w:hanging="433"/>
        <w:spacing w:after="0" w:line="235" w:lineRule="auto"/>
        <w:tabs>
          <w:tab w:leader="none" w:pos="60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are based upon the appreciation in the value of our business from and after the date of grant through the applicable vesting date based on the most recent valuation prior to the applicable vesting date.</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080"/>
          </w:cols>
          <w:pgMar w:left="320" w:top="452" w:right="4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Severance Benefits Upon Termination</w:t>
      </w:r>
    </w:p>
    <w:p>
      <w:pPr>
        <w:spacing w:after="0" w:line="118"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Each of our Named Executive Officers other than Mr. Pigott is entitled to severance payments and benefits as set forth in the Severance Plan. The severance payments and benefits payable to Mr. Pigott in connection with his departure are set forth in his transition agreement. These severance payments and benefits are summarized above under the headings “—Narrative Disclosure to Summary Compensation Table and Grants of Plan-Based Awards Table—Agreements with Named Executive Officers—Employment Agreement and Transition and Separation Agreement with Mr. Pigott” and “—Narrative Disclosure to Summary Compensation Table and Grants of Plan-Based Awards Table—Executive Severance Plan.”</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Accelerated Vesting of Equity Awards</w:t>
      </w:r>
    </w:p>
    <w:p>
      <w:pPr>
        <w:spacing w:after="0" w:line="118" w:lineRule="exact"/>
        <w:rPr>
          <w:sz w:val="20"/>
          <w:szCs w:val="20"/>
          <w:color w:val="auto"/>
        </w:rPr>
      </w:pPr>
    </w:p>
    <w:p>
      <w:pPr>
        <w:ind w:left="160" w:right="20" w:firstLine="436"/>
        <w:spacing w:after="0" w:line="269" w:lineRule="auto"/>
        <w:rPr>
          <w:sz w:val="20"/>
          <w:szCs w:val="20"/>
          <w:color w:val="auto"/>
        </w:rPr>
      </w:pPr>
      <w:r>
        <w:rPr>
          <w:rFonts w:ascii="Times New Roman" w:cs="Times New Roman" w:eastAsia="Times New Roman" w:hAnsi="Times New Roman"/>
          <w:sz w:val="17"/>
          <w:szCs w:val="17"/>
          <w:color w:val="auto"/>
        </w:rPr>
        <w:t>In connection with Mr. Boyle’s termination by us without “Cause,” by him for “Good Reason” or due to Disability after October 1, 2023 (as such terms are defined in the Boyle Employment Agreement, and each a “Qualifying Termination” under such agreement), provided that Mr. Boyle executes and does not revoke a release of claims, a pro-rata portion of each award of time-vested Incentive Units granted to him that would vest on the next anniversary of the applicable vesting commencement date occurring after the Qualifying Termination will become vested upon such Qualifying Termination, with the number of time-vested Incentive Units that vest calculated by multiplying (x) 20% of the time-vested Incentive Units by (y) a fraction, the numerator of which is the number of full and partial three-calendar month periods elapsed from the immediately preceding anniversary of the applicable vesting commencement date through to the date of the Qualifying Termination, and the denominator of which is 4. Upon any other termination, all of Mr. Boyle’s unvested time-based and performance-based Incentive Units will be cancelled and forfeited for no consideration.</w:t>
      </w:r>
    </w:p>
    <w:p>
      <w:pPr>
        <w:spacing w:after="0" w:line="173" w:lineRule="exact"/>
        <w:rPr>
          <w:sz w:val="20"/>
          <w:szCs w:val="20"/>
          <w:color w:val="auto"/>
        </w:rPr>
      </w:pPr>
    </w:p>
    <w:p>
      <w:pPr>
        <w:ind w:left="160" w:right="60" w:firstLine="436"/>
        <w:spacing w:after="0" w:line="252" w:lineRule="auto"/>
        <w:rPr>
          <w:sz w:val="20"/>
          <w:szCs w:val="20"/>
          <w:color w:val="auto"/>
        </w:rPr>
      </w:pPr>
      <w:r>
        <w:rPr>
          <w:rFonts w:ascii="Times New Roman" w:cs="Times New Roman" w:eastAsia="Times New Roman" w:hAnsi="Times New Roman"/>
          <w:sz w:val="18"/>
          <w:szCs w:val="18"/>
          <w:color w:val="auto"/>
        </w:rPr>
        <w:t>In connection with Mr. Pigott’s retirement on December 31, 2025, a pro-rata portion of each award of time-vested Incentive Units granted to him that would vest on the next anniversary of the applicable vesting commencement date occurring after the termination date became vested. The number of time-vested Incentive Units that vested was calculated by multiplying (x) 20% of the time-vested Incentive Units by (y) a fraction, the numerator of which is the number of full and partial three-calendar month periods elapsed from the immediately preceding anniversary of the applicable vesting commencement date through to the date of Mr. Pigott’s retirement, and the denominator of which is 4. For the time-vested Incentive Units granted to Mr. Pigott in October 2021, in addition to the pro-rata portion of the Time-Based Units that vest, another 5% of the time-vested Incentive Units vested upon his retirement. All of Mr. Pigott’s remaining unvested time-vested and performance-vested Incentive Units were cancelled and forfeited for no consideration on Mr. Pigott’s termination date.</w:t>
      </w:r>
    </w:p>
    <w:p>
      <w:pPr>
        <w:spacing w:after="0" w:line="187" w:lineRule="exact"/>
        <w:rPr>
          <w:sz w:val="20"/>
          <w:szCs w:val="20"/>
          <w:color w:val="auto"/>
        </w:rPr>
      </w:pPr>
    </w:p>
    <w:p>
      <w:pPr>
        <w:ind w:left="160" w:right="480" w:firstLine="436"/>
        <w:spacing w:after="0" w:line="278" w:lineRule="auto"/>
        <w:rPr>
          <w:sz w:val="20"/>
          <w:szCs w:val="20"/>
          <w:color w:val="auto"/>
        </w:rPr>
      </w:pPr>
      <w:r>
        <w:rPr>
          <w:rFonts w:ascii="Times New Roman" w:cs="Times New Roman" w:eastAsia="Times New Roman" w:hAnsi="Times New Roman"/>
          <w:sz w:val="18"/>
          <w:szCs w:val="18"/>
          <w:color w:val="auto"/>
        </w:rPr>
        <w:t>Upon any termination with respect to Messrs. Drazin, Golwas, and Miller, all unvested time-vested Incentive Units (and, for Mr. Miller, all unvested Performance-Vested Units) will terminate and be forfeited immediately for no consideration.</w:t>
      </w:r>
    </w:p>
    <w:p>
      <w:pPr>
        <w:spacing w:after="0" w:line="162"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In the event of a sale transaction (as defined below), certain outstanding time-vested Incentive Units held by certain of our Named Executive Officers will become fully vested. Specifically, all time-vested Incentive Units granted to Messrs. Boyle, Drazin, and Golwas in October 2021 will become fully vested upon a sale transaction occurring while the Named Executive Officer is employed. In addition, the time-vested Incentive Units granted to Mr. Boyle in October 2023 and to Mr. Miller in connection with his Key Talent Award will become fully vested upon a sale transaction occurring while the Named Executive Officer is employed. For purposes of accelerated vesting of certain time-vested Incentive Units, a sale transaction generally means the occurrence of (i) the sale or disposition of all or substantially all of the assets of Medline Holdings, other than to certain investors and their affiliates, or (ii) any person or group, other than certain investors and their affiliates, being or becoming the beneficial owner, directly or indirectly, of more than 50% of the total voting power of Medline Holdings, whether by merger, consolidation, or otherwise, and certain investors or their affiliates no longer control the general partner of Medline Holdings.</w:t>
      </w:r>
    </w:p>
    <w:p>
      <w:pPr>
        <w:spacing w:after="0" w:line="1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000"/>
          </w:cols>
          <w:pgMar w:left="320" w:top="452" w:right="57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Assuming a termination of employment effective as of December 31, 2025 (i) by us without cause, (ii) by the executive for good reason or</w:t>
      </w:r>
    </w:p>
    <w:p>
      <w:pPr>
        <w:spacing w:after="0" w:line="26" w:lineRule="exact"/>
        <w:rPr>
          <w:sz w:val="20"/>
          <w:szCs w:val="20"/>
          <w:color w:val="auto"/>
        </w:rPr>
      </w:pPr>
    </w:p>
    <w:p>
      <w:pPr>
        <w:ind w:left="160" w:right="60" w:firstLine="7"/>
        <w:spacing w:after="0" w:line="274" w:lineRule="auto"/>
        <w:tabs>
          <w:tab w:leader="none" w:pos="472"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due to the executive’s death or disability, each of the specified Named Executive Officers would have received the severance payments and benefits set forth in the table below. In addition, assuming the occurrence of a sale transaction effective on December 31, 2025, each of the specified Named Executive Officers would have realized the value in respect of accelerated vesting of certain time-vested Incentive Units set forth in the table below.</w:t>
      </w:r>
    </w:p>
    <w:p>
      <w:pPr>
        <w:spacing w:after="0" w:line="174"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center"/>
              <w:ind w:right="373"/>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380" w:type="dxa"/>
            <w:vAlign w:val="bottom"/>
            <w:gridSpan w:val="2"/>
            <w:vMerge w:val="restart"/>
          </w:tcPr>
          <w:p>
            <w:pPr>
              <w:jc w:val="center"/>
              <w:ind w:right="373"/>
              <w:spacing w:after="0"/>
              <w:rPr>
                <w:sz w:val="20"/>
                <w:szCs w:val="20"/>
                <w:color w:val="auto"/>
              </w:rPr>
            </w:pPr>
            <w:r>
              <w:rPr>
                <w:rFonts w:ascii="Times New Roman" w:cs="Times New Roman" w:eastAsia="Times New Roman" w:hAnsi="Times New Roman"/>
                <w:sz w:val="14"/>
                <w:szCs w:val="14"/>
                <w:b w:val="1"/>
                <w:bCs w:val="1"/>
                <w:color w:val="auto"/>
                <w:w w:val="98"/>
              </w:rPr>
              <w:t>Termination</w:t>
            </w:r>
          </w:p>
        </w:tc>
        <w:tc>
          <w:tcPr>
            <w:tcW w:w="12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353"/>
              <w:spacing w:after="0" w:line="147"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138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373"/>
              <w:spacing w:after="0" w:line="147" w:lineRule="exact"/>
              <w:rPr>
                <w:sz w:val="20"/>
                <w:szCs w:val="20"/>
                <w:color w:val="auto"/>
              </w:rPr>
            </w:pPr>
            <w:r>
              <w:rPr>
                <w:rFonts w:ascii="Times New Roman" w:cs="Times New Roman" w:eastAsia="Times New Roman" w:hAnsi="Times New Roman"/>
                <w:sz w:val="14"/>
                <w:szCs w:val="14"/>
                <w:b w:val="1"/>
                <w:bCs w:val="1"/>
                <w:color w:val="auto"/>
              </w:rPr>
              <w:t>or for Good</w:t>
            </w:r>
          </w:p>
        </w:tc>
        <w:tc>
          <w:tcPr>
            <w:tcW w:w="1380" w:type="dxa"/>
            <w:vAlign w:val="bottom"/>
            <w:gridSpan w:val="2"/>
          </w:tcPr>
          <w:p>
            <w:pPr>
              <w:jc w:val="center"/>
              <w:ind w:right="373"/>
              <w:spacing w:after="0" w:line="147"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1220" w:type="dxa"/>
            <w:vAlign w:val="bottom"/>
            <w:gridSpan w:val="2"/>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Due to</w:t>
            </w: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Sale</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373"/>
              <w:spacing w:after="0" w:line="147" w:lineRule="exact"/>
              <w:rPr>
                <w:sz w:val="20"/>
                <w:szCs w:val="20"/>
                <w:color w:val="auto"/>
              </w:rPr>
            </w:pPr>
            <w:r>
              <w:rPr>
                <w:rFonts w:ascii="Times New Roman" w:cs="Times New Roman" w:eastAsia="Times New Roman" w:hAnsi="Times New Roman"/>
                <w:sz w:val="14"/>
                <w:szCs w:val="14"/>
                <w:b w:val="1"/>
                <w:bCs w:val="1"/>
                <w:color w:val="auto"/>
              </w:rPr>
              <w:t>Reason</w:t>
            </w:r>
          </w:p>
        </w:tc>
        <w:tc>
          <w:tcPr>
            <w:tcW w:w="1380" w:type="dxa"/>
            <w:vAlign w:val="bottom"/>
            <w:gridSpan w:val="2"/>
          </w:tcPr>
          <w:p>
            <w:pPr>
              <w:jc w:val="center"/>
              <w:ind w:right="353"/>
              <w:spacing w:after="0" w:line="147" w:lineRule="exact"/>
              <w:rPr>
                <w:sz w:val="20"/>
                <w:szCs w:val="20"/>
                <w:color w:val="auto"/>
              </w:rPr>
            </w:pPr>
            <w:r>
              <w:rPr>
                <w:rFonts w:ascii="Times New Roman" w:cs="Times New Roman" w:eastAsia="Times New Roman" w:hAnsi="Times New Roman"/>
                <w:sz w:val="14"/>
                <w:szCs w:val="14"/>
                <w:b w:val="1"/>
                <w:bCs w:val="1"/>
                <w:color w:val="auto"/>
              </w:rPr>
              <w:t>or for Good</w:t>
            </w:r>
          </w:p>
        </w:tc>
        <w:tc>
          <w:tcPr>
            <w:tcW w:w="1220" w:type="dxa"/>
            <w:vAlign w:val="bottom"/>
            <w:gridSpan w:val="2"/>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Death or</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8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Payment Type</w:t>
            </w:r>
          </w:p>
        </w:tc>
        <w:tc>
          <w:tcPr>
            <w:tcW w:w="1360" w:type="dxa"/>
            <w:vAlign w:val="bottom"/>
            <w:gridSpan w:val="2"/>
          </w:tcPr>
          <w:p>
            <w:pPr>
              <w:jc w:val="center"/>
              <w:ind w:right="353"/>
              <w:spacing w:after="0" w:line="147" w:lineRule="exact"/>
              <w:rPr>
                <w:sz w:val="20"/>
                <w:szCs w:val="20"/>
                <w:color w:val="auto"/>
              </w:rPr>
            </w:pPr>
            <w:r>
              <w:rPr>
                <w:rFonts w:ascii="Times New Roman" w:cs="Times New Roman" w:eastAsia="Times New Roman" w:hAnsi="Times New Roman"/>
                <w:sz w:val="14"/>
                <w:szCs w:val="14"/>
                <w:b w:val="1"/>
                <w:bCs w:val="1"/>
                <w:color w:val="auto"/>
                <w:w w:val="99"/>
              </w:rPr>
              <w:t>–Non-CIC</w:t>
            </w:r>
          </w:p>
        </w:tc>
        <w:tc>
          <w:tcPr>
            <w:tcW w:w="1380" w:type="dxa"/>
            <w:vAlign w:val="bottom"/>
            <w:gridSpan w:val="2"/>
          </w:tcPr>
          <w:p>
            <w:pPr>
              <w:jc w:val="center"/>
              <w:ind w:right="373"/>
              <w:spacing w:after="0" w:line="147" w:lineRule="exact"/>
              <w:rPr>
                <w:sz w:val="20"/>
                <w:szCs w:val="20"/>
                <w:color w:val="auto"/>
              </w:rPr>
            </w:pPr>
            <w:r>
              <w:rPr>
                <w:rFonts w:ascii="Times New Roman" w:cs="Times New Roman" w:eastAsia="Times New Roman" w:hAnsi="Times New Roman"/>
                <w:sz w:val="14"/>
                <w:szCs w:val="14"/>
                <w:b w:val="1"/>
                <w:bCs w:val="1"/>
                <w:color w:val="auto"/>
              </w:rPr>
              <w:t>Reason – CIC</w:t>
            </w:r>
          </w:p>
        </w:tc>
        <w:tc>
          <w:tcPr>
            <w:tcW w:w="1220" w:type="dxa"/>
            <w:vAlign w:val="bottom"/>
            <w:gridSpan w:val="2"/>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Disability</w:t>
            </w:r>
          </w:p>
        </w:tc>
        <w:tc>
          <w:tcPr>
            <w:tcW w:w="106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w w:val="99"/>
              </w:rPr>
              <w:t>Transaction</w:t>
            </w:r>
          </w:p>
        </w:tc>
        <w:tc>
          <w:tcPr>
            <w:tcW w:w="0" w:type="dxa"/>
            <w:vAlign w:val="bottom"/>
          </w:tcPr>
          <w:p>
            <w:pPr>
              <w:spacing w:after="0"/>
              <w:rPr>
                <w:sz w:val="1"/>
                <w:szCs w:val="1"/>
                <w:color w:val="auto"/>
              </w:rPr>
            </w:pPr>
          </w:p>
        </w:tc>
      </w:tr>
      <w:tr>
        <w:trPr>
          <w:trHeight w:val="158"/>
        </w:trPr>
        <w:tc>
          <w:tcPr>
            <w:tcW w:w="3220" w:type="dxa"/>
            <w:vAlign w:val="bottom"/>
            <w:gridSpan w:val="2"/>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9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40" w:type="dxa"/>
            <w:vAlign w:val="bottom"/>
          </w:tcPr>
          <w:p>
            <w:pPr>
              <w:spacing w:after="0"/>
              <w:rPr>
                <w:sz w:val="13"/>
                <w:szCs w:val="13"/>
                <w:color w:val="auto"/>
              </w:rPr>
            </w:pPr>
          </w:p>
        </w:tc>
        <w:tc>
          <w:tcPr>
            <w:tcW w:w="9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3"/>
                <w:szCs w:val="13"/>
                <w:color w:val="auto"/>
              </w:rPr>
            </w:pPr>
          </w:p>
        </w:tc>
        <w:tc>
          <w:tcPr>
            <w:tcW w:w="7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3"/>
                <w:szCs w:val="13"/>
                <w:color w:val="auto"/>
              </w:rPr>
            </w:pPr>
          </w:p>
        </w:tc>
        <w:tc>
          <w:tcPr>
            <w:tcW w:w="8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2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James M. Boyle</w:t>
            </w:r>
          </w:p>
        </w:tc>
        <w:tc>
          <w:tcPr>
            <w:tcW w:w="24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Cash severance</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7,487,500</w:t>
            </w:r>
          </w:p>
        </w:tc>
        <w:tc>
          <w:tcPr>
            <w:tcW w:w="44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2"/>
              </w:rPr>
              <w:t>(1)</w:t>
            </w:r>
          </w:p>
        </w:tc>
        <w:tc>
          <w:tcPr>
            <w:tcW w:w="9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10,400,000</w:t>
            </w:r>
          </w:p>
        </w:tc>
        <w:tc>
          <w:tcPr>
            <w:tcW w:w="44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3"/>
                <w:szCs w:val="13"/>
                <w:color w:val="auto"/>
                <w:w w:val="78"/>
              </w:rPr>
              <w:t>(8)</w:t>
            </w: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Prior Year Bonus</w:t>
            </w:r>
          </w:p>
        </w:tc>
        <w:tc>
          <w:tcPr>
            <w:tcW w:w="1360" w:type="dxa"/>
            <w:vAlign w:val="bottom"/>
            <w:gridSpan w:val="2"/>
          </w:tcPr>
          <w:p>
            <w:pPr>
              <w:jc w:val="right"/>
              <w:ind w:right="213"/>
              <w:spacing w:after="0" w:line="214" w:lineRule="exact"/>
              <w:rPr>
                <w:sz w:val="20"/>
                <w:szCs w:val="20"/>
                <w:color w:val="auto"/>
              </w:rPr>
            </w:pPr>
            <w:r>
              <w:rPr>
                <w:rFonts w:ascii="Times New Roman" w:cs="Times New Roman" w:eastAsia="Times New Roman" w:hAnsi="Times New Roman"/>
                <w:sz w:val="24"/>
                <w:szCs w:val="24"/>
                <w:color w:val="auto"/>
                <w:vertAlign w:val="subscript"/>
              </w:rPr>
              <w:t>0</w:t>
            </w:r>
            <w:r>
              <w:rPr>
                <w:rFonts w:ascii="Times New Roman" w:cs="Times New Roman" w:eastAsia="Times New Roman" w:hAnsi="Times New Roman"/>
                <w:sz w:val="11"/>
                <w:szCs w:val="11"/>
                <w:color w:val="auto"/>
              </w:rPr>
              <w:t>(2)</w:t>
            </w:r>
          </w:p>
        </w:tc>
        <w:tc>
          <w:tcPr>
            <w:tcW w:w="1380" w:type="dxa"/>
            <w:vAlign w:val="bottom"/>
            <w:gridSpan w:val="2"/>
          </w:tcPr>
          <w:p>
            <w:pPr>
              <w:jc w:val="right"/>
              <w:ind w:right="233"/>
              <w:spacing w:after="0" w:line="214" w:lineRule="exact"/>
              <w:rPr>
                <w:sz w:val="20"/>
                <w:szCs w:val="20"/>
                <w:color w:val="auto"/>
              </w:rPr>
            </w:pPr>
            <w:r>
              <w:rPr>
                <w:rFonts w:ascii="Times New Roman" w:cs="Times New Roman" w:eastAsia="Times New Roman" w:hAnsi="Times New Roman"/>
                <w:sz w:val="24"/>
                <w:szCs w:val="24"/>
                <w:color w:val="auto"/>
                <w:vertAlign w:val="subscript"/>
              </w:rPr>
              <w:t>0</w:t>
            </w:r>
            <w:r>
              <w:rPr>
                <w:rFonts w:ascii="Times New Roman" w:cs="Times New Roman" w:eastAsia="Times New Roman" w:hAnsi="Times New Roman"/>
                <w:sz w:val="11"/>
                <w:szCs w:val="11"/>
                <w:color w:val="auto"/>
              </w:rPr>
              <w:t>(2)</w:t>
            </w:r>
          </w:p>
        </w:tc>
        <w:tc>
          <w:tcPr>
            <w:tcW w:w="1220" w:type="dxa"/>
            <w:vAlign w:val="bottom"/>
            <w:gridSpan w:val="2"/>
          </w:tcPr>
          <w:p>
            <w:pPr>
              <w:jc w:val="right"/>
              <w:ind w:right="300"/>
              <w:spacing w:after="0" w:line="214" w:lineRule="exact"/>
              <w:rPr>
                <w:sz w:val="20"/>
                <w:szCs w:val="20"/>
                <w:color w:val="auto"/>
              </w:rPr>
            </w:pPr>
            <w:r>
              <w:rPr>
                <w:rFonts w:ascii="Times New Roman" w:cs="Times New Roman" w:eastAsia="Times New Roman" w:hAnsi="Times New Roman"/>
                <w:sz w:val="24"/>
                <w:szCs w:val="24"/>
                <w:color w:val="auto"/>
                <w:vertAlign w:val="subscript"/>
              </w:rPr>
              <w:t>0</w:t>
            </w:r>
            <w:r>
              <w:rPr>
                <w:rFonts w:ascii="Times New Roman" w:cs="Times New Roman" w:eastAsia="Times New Roman" w:hAnsi="Times New Roman"/>
                <w:sz w:val="11"/>
                <w:szCs w:val="11"/>
                <w:color w:val="auto"/>
              </w:rPr>
              <w:t>(2)</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 benefits</w:t>
            </w:r>
          </w:p>
        </w:tc>
        <w:tc>
          <w:tcPr>
            <w:tcW w:w="1360" w:type="dxa"/>
            <w:vAlign w:val="bottom"/>
            <w:gridSpan w:val="2"/>
            <w:shd w:val="clear" w:color="auto" w:fill="CCEEFF"/>
          </w:tcPr>
          <w:p>
            <w:pPr>
              <w:jc w:val="right"/>
              <w:ind w:right="213"/>
              <w:spacing w:after="0" w:line="214" w:lineRule="exact"/>
              <w:rPr>
                <w:sz w:val="20"/>
                <w:szCs w:val="20"/>
                <w:color w:val="auto"/>
              </w:rPr>
            </w:pPr>
            <w:r>
              <w:rPr>
                <w:rFonts w:ascii="Times New Roman" w:cs="Times New Roman" w:eastAsia="Times New Roman" w:hAnsi="Times New Roman"/>
                <w:sz w:val="17"/>
                <w:szCs w:val="17"/>
                <w:color w:val="auto"/>
              </w:rPr>
              <w:t>52,732</w:t>
            </w:r>
            <w:r>
              <w:rPr>
                <w:rFonts w:ascii="Times New Roman" w:cs="Times New Roman" w:eastAsia="Times New Roman" w:hAnsi="Times New Roman"/>
                <w:sz w:val="24"/>
                <w:szCs w:val="24"/>
                <w:color w:val="auto"/>
                <w:vertAlign w:val="superscript"/>
              </w:rPr>
              <w:t>(3)</w:t>
            </w:r>
          </w:p>
        </w:tc>
        <w:tc>
          <w:tcPr>
            <w:tcW w:w="1380" w:type="dxa"/>
            <w:vAlign w:val="bottom"/>
            <w:gridSpan w:val="2"/>
            <w:shd w:val="clear" w:color="auto" w:fill="CCEEFF"/>
          </w:tcPr>
          <w:p>
            <w:pPr>
              <w:jc w:val="right"/>
              <w:ind w:right="233"/>
              <w:spacing w:after="0" w:line="214" w:lineRule="exact"/>
              <w:rPr>
                <w:sz w:val="20"/>
                <w:szCs w:val="20"/>
                <w:color w:val="auto"/>
              </w:rPr>
            </w:pPr>
            <w:r>
              <w:rPr>
                <w:rFonts w:ascii="Times New Roman" w:cs="Times New Roman" w:eastAsia="Times New Roman" w:hAnsi="Times New Roman"/>
                <w:sz w:val="17"/>
                <w:szCs w:val="17"/>
                <w:color w:val="auto"/>
              </w:rPr>
              <w:t>60,266</w:t>
            </w:r>
            <w:r>
              <w:rPr>
                <w:rFonts w:ascii="Times New Roman" w:cs="Times New Roman" w:eastAsia="Times New Roman" w:hAnsi="Times New Roman"/>
                <w:sz w:val="24"/>
                <w:szCs w:val="24"/>
                <w:color w:val="auto"/>
                <w:vertAlign w:val="superscript"/>
              </w:rPr>
              <w:t>(9)</w:t>
            </w: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Outplacement benefits</w:t>
            </w:r>
          </w:p>
        </w:tc>
        <w:tc>
          <w:tcPr>
            <w:tcW w:w="1360" w:type="dxa"/>
            <w:vAlign w:val="bottom"/>
            <w:gridSpan w:val="2"/>
          </w:tcPr>
          <w:p>
            <w:pPr>
              <w:jc w:val="right"/>
              <w:ind w:right="213"/>
              <w:spacing w:after="0" w:line="214" w:lineRule="exact"/>
              <w:rPr>
                <w:sz w:val="20"/>
                <w:szCs w:val="20"/>
                <w:color w:val="auto"/>
              </w:rPr>
            </w:pPr>
            <w:r>
              <w:rPr>
                <w:rFonts w:ascii="Times New Roman" w:cs="Times New Roman" w:eastAsia="Times New Roman" w:hAnsi="Times New Roman"/>
                <w:sz w:val="17"/>
                <w:szCs w:val="17"/>
                <w:color w:val="auto"/>
              </w:rPr>
              <w:t>8,000</w:t>
            </w:r>
            <w:r>
              <w:rPr>
                <w:rFonts w:ascii="Times New Roman" w:cs="Times New Roman" w:eastAsia="Times New Roman" w:hAnsi="Times New Roman"/>
                <w:sz w:val="24"/>
                <w:szCs w:val="24"/>
                <w:color w:val="auto"/>
                <w:vertAlign w:val="superscript"/>
              </w:rPr>
              <w:t>(4)</w:t>
            </w:r>
          </w:p>
        </w:tc>
        <w:tc>
          <w:tcPr>
            <w:tcW w:w="1380" w:type="dxa"/>
            <w:vAlign w:val="bottom"/>
            <w:gridSpan w:val="2"/>
          </w:tcPr>
          <w:p>
            <w:pPr>
              <w:jc w:val="right"/>
              <w:ind w:right="233"/>
              <w:spacing w:after="0" w:line="214" w:lineRule="exact"/>
              <w:rPr>
                <w:sz w:val="20"/>
                <w:szCs w:val="20"/>
                <w:color w:val="auto"/>
              </w:rPr>
            </w:pPr>
            <w:r>
              <w:rPr>
                <w:rFonts w:ascii="Times New Roman" w:cs="Times New Roman" w:eastAsia="Times New Roman" w:hAnsi="Times New Roman"/>
                <w:sz w:val="17"/>
                <w:szCs w:val="17"/>
                <w:color w:val="auto"/>
              </w:rPr>
              <w:t>8,000</w:t>
            </w:r>
            <w:r>
              <w:rPr>
                <w:rFonts w:ascii="Times New Roman" w:cs="Times New Roman" w:eastAsia="Times New Roman" w:hAnsi="Times New Roman"/>
                <w:sz w:val="24"/>
                <w:szCs w:val="24"/>
                <w:color w:val="auto"/>
                <w:vertAlign w:val="superscript"/>
              </w:rPr>
              <w:t>(4)</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Unit Vesting</w:t>
            </w:r>
          </w:p>
        </w:tc>
        <w:tc>
          <w:tcPr>
            <w:tcW w:w="1360" w:type="dxa"/>
            <w:vAlign w:val="bottom"/>
            <w:gridSpan w:val="2"/>
            <w:shd w:val="clear" w:color="auto" w:fill="CCEEFF"/>
          </w:tcPr>
          <w:p>
            <w:pPr>
              <w:jc w:val="right"/>
              <w:ind w:right="213"/>
              <w:spacing w:after="0" w:line="214" w:lineRule="exact"/>
              <w:rPr>
                <w:sz w:val="20"/>
                <w:szCs w:val="20"/>
                <w:color w:val="auto"/>
              </w:rPr>
            </w:pPr>
            <w:r>
              <w:rPr>
                <w:rFonts w:ascii="Times New Roman" w:cs="Times New Roman" w:eastAsia="Times New Roman" w:hAnsi="Times New Roman"/>
                <w:sz w:val="17"/>
                <w:szCs w:val="17"/>
                <w:color w:val="auto"/>
              </w:rPr>
              <w:t>7,518,183</w:t>
            </w:r>
            <w:r>
              <w:rPr>
                <w:rFonts w:ascii="Times New Roman" w:cs="Times New Roman" w:eastAsia="Times New Roman" w:hAnsi="Times New Roman"/>
                <w:sz w:val="24"/>
                <w:szCs w:val="24"/>
                <w:color w:val="auto"/>
                <w:vertAlign w:val="superscript"/>
              </w:rPr>
              <w:t>(5)</w:t>
            </w:r>
          </w:p>
        </w:tc>
        <w:tc>
          <w:tcPr>
            <w:tcW w:w="1380" w:type="dxa"/>
            <w:vAlign w:val="bottom"/>
            <w:gridSpan w:val="2"/>
            <w:shd w:val="clear" w:color="auto" w:fill="CCEEFF"/>
          </w:tcPr>
          <w:p>
            <w:pPr>
              <w:jc w:val="right"/>
              <w:ind w:right="233"/>
              <w:spacing w:after="0" w:line="214" w:lineRule="exact"/>
              <w:rPr>
                <w:sz w:val="20"/>
                <w:szCs w:val="20"/>
                <w:color w:val="auto"/>
              </w:rPr>
            </w:pPr>
            <w:r>
              <w:rPr>
                <w:rFonts w:ascii="Times New Roman" w:cs="Times New Roman" w:eastAsia="Times New Roman" w:hAnsi="Times New Roman"/>
                <w:sz w:val="17"/>
                <w:szCs w:val="17"/>
                <w:color w:val="auto"/>
              </w:rPr>
              <w:t>7,518,183</w:t>
            </w:r>
            <w:r>
              <w:rPr>
                <w:rFonts w:ascii="Times New Roman" w:cs="Times New Roman" w:eastAsia="Times New Roman" w:hAnsi="Times New Roman"/>
                <w:sz w:val="24"/>
                <w:szCs w:val="24"/>
                <w:color w:val="auto"/>
                <w:vertAlign w:val="superscript"/>
              </w:rPr>
              <w:t>(5)</w:t>
            </w:r>
          </w:p>
        </w:tc>
        <w:tc>
          <w:tcPr>
            <w:tcW w:w="1220" w:type="dxa"/>
            <w:vAlign w:val="bottom"/>
            <w:gridSpan w:val="2"/>
            <w:shd w:val="clear" w:color="auto" w:fill="CCEEFF"/>
          </w:tcPr>
          <w:p>
            <w:pPr>
              <w:jc w:val="right"/>
              <w:ind w:right="300"/>
              <w:spacing w:after="0" w:line="214" w:lineRule="exact"/>
              <w:rPr>
                <w:sz w:val="20"/>
                <w:szCs w:val="20"/>
                <w:color w:val="auto"/>
              </w:rPr>
            </w:pPr>
            <w:r>
              <w:rPr>
                <w:rFonts w:ascii="Times New Roman" w:cs="Times New Roman" w:eastAsia="Times New Roman" w:hAnsi="Times New Roman"/>
                <w:sz w:val="17"/>
                <w:szCs w:val="17"/>
                <w:color w:val="auto"/>
              </w:rPr>
              <w:t>7,518,183</w:t>
            </w:r>
            <w:r>
              <w:rPr>
                <w:rFonts w:ascii="Times New Roman" w:cs="Times New Roman" w:eastAsia="Times New Roman" w:hAnsi="Times New Roman"/>
                <w:sz w:val="24"/>
                <w:szCs w:val="24"/>
                <w:color w:val="auto"/>
                <w:vertAlign w:val="superscript"/>
              </w:rPr>
              <w:t>(5)</w:t>
            </w:r>
          </w:p>
        </w:tc>
        <w:tc>
          <w:tcPr>
            <w:tcW w:w="1060" w:type="dxa"/>
            <w:vAlign w:val="bottom"/>
            <w:gridSpan w:val="2"/>
            <w:shd w:val="clear" w:color="auto" w:fill="CCEEFF"/>
          </w:tcPr>
          <w:p>
            <w:pPr>
              <w:jc w:val="right"/>
              <w:ind w:right="60"/>
              <w:spacing w:after="0" w:line="214" w:lineRule="exact"/>
              <w:rPr>
                <w:sz w:val="20"/>
                <w:szCs w:val="20"/>
                <w:color w:val="auto"/>
              </w:rPr>
            </w:pPr>
            <w:r>
              <w:rPr>
                <w:rFonts w:ascii="Times New Roman" w:cs="Times New Roman" w:eastAsia="Times New Roman" w:hAnsi="Times New Roman"/>
                <w:sz w:val="17"/>
                <w:szCs w:val="17"/>
                <w:color w:val="auto"/>
              </w:rPr>
              <w:t>29,556,751</w:t>
            </w:r>
            <w:r>
              <w:rPr>
                <w:rFonts w:ascii="Times New Roman" w:cs="Times New Roman" w:eastAsia="Times New Roman" w:hAnsi="Times New Roman"/>
                <w:sz w:val="24"/>
                <w:szCs w:val="24"/>
                <w:color w:val="auto"/>
                <w:vertAlign w:val="superscript"/>
              </w:rPr>
              <w:t>(6)</w:t>
            </w: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gridSpan w:val="2"/>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15,066,415</w:t>
            </w:r>
          </w:p>
        </w:tc>
        <w:tc>
          <w:tcPr>
            <w:tcW w:w="1380" w:type="dxa"/>
            <w:vAlign w:val="bottom"/>
            <w:gridSpan w:val="2"/>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17,986,449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7,518,183</w:t>
            </w:r>
          </w:p>
        </w:tc>
        <w:tc>
          <w:tcPr>
            <w:tcW w:w="4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29,556,751</w:t>
            </w:r>
          </w:p>
        </w:tc>
        <w:tc>
          <w:tcPr>
            <w:tcW w:w="0" w:type="dxa"/>
            <w:vAlign w:val="bottom"/>
          </w:tcPr>
          <w:p>
            <w:pPr>
              <w:spacing w:after="0"/>
              <w:rPr>
                <w:sz w:val="1"/>
                <w:szCs w:val="1"/>
                <w:color w:val="auto"/>
              </w:rPr>
            </w:pPr>
          </w:p>
        </w:tc>
      </w:tr>
      <w:tr>
        <w:trPr>
          <w:trHeight w:val="214"/>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B. Drazin</w:t>
            </w: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severance</w:t>
            </w:r>
          </w:p>
        </w:tc>
        <w:tc>
          <w:tcPr>
            <w:tcW w:w="1360" w:type="dxa"/>
            <w:vAlign w:val="bottom"/>
            <w:gridSpan w:val="2"/>
            <w:shd w:val="clear" w:color="auto" w:fill="CCEEFF"/>
          </w:tcPr>
          <w:p>
            <w:pPr>
              <w:jc w:val="right"/>
              <w:ind w:right="213"/>
              <w:spacing w:after="0" w:line="214" w:lineRule="exact"/>
              <w:rPr>
                <w:sz w:val="20"/>
                <w:szCs w:val="20"/>
                <w:color w:val="auto"/>
              </w:rPr>
            </w:pPr>
            <w:r>
              <w:rPr>
                <w:rFonts w:ascii="Times New Roman" w:cs="Times New Roman" w:eastAsia="Times New Roman" w:hAnsi="Times New Roman"/>
                <w:sz w:val="17"/>
                <w:szCs w:val="17"/>
                <w:color w:val="auto"/>
              </w:rPr>
              <w:t>3,240,000</w:t>
            </w:r>
            <w:r>
              <w:rPr>
                <w:rFonts w:ascii="Times New Roman" w:cs="Times New Roman" w:eastAsia="Times New Roman" w:hAnsi="Times New Roman"/>
                <w:sz w:val="24"/>
                <w:szCs w:val="24"/>
                <w:color w:val="auto"/>
                <w:vertAlign w:val="superscript"/>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4,050,000</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Prior Year Bonus</w:t>
            </w:r>
          </w:p>
        </w:tc>
        <w:tc>
          <w:tcPr>
            <w:tcW w:w="1360" w:type="dxa"/>
            <w:vAlign w:val="bottom"/>
            <w:gridSpan w:val="2"/>
          </w:tcPr>
          <w:p>
            <w:pPr>
              <w:jc w:val="right"/>
              <w:ind w:right="213"/>
              <w:spacing w:after="0" w:line="214" w:lineRule="exact"/>
              <w:rPr>
                <w:sz w:val="20"/>
                <w:szCs w:val="20"/>
                <w:color w:val="auto"/>
              </w:rPr>
            </w:pPr>
            <w:r>
              <w:rPr>
                <w:rFonts w:ascii="Times New Roman" w:cs="Times New Roman" w:eastAsia="Times New Roman" w:hAnsi="Times New Roman"/>
                <w:sz w:val="24"/>
                <w:szCs w:val="24"/>
                <w:color w:val="auto"/>
                <w:vertAlign w:val="subscript"/>
              </w:rPr>
              <w:t>0</w:t>
            </w:r>
            <w:r>
              <w:rPr>
                <w:rFonts w:ascii="Times New Roman" w:cs="Times New Roman" w:eastAsia="Times New Roman" w:hAnsi="Times New Roman"/>
                <w:sz w:val="11"/>
                <w:szCs w:val="11"/>
                <w:color w:val="auto"/>
              </w:rPr>
              <w:t>(2)</w:t>
            </w:r>
          </w:p>
        </w:tc>
        <w:tc>
          <w:tcPr>
            <w:tcW w:w="1380" w:type="dxa"/>
            <w:vAlign w:val="bottom"/>
            <w:gridSpan w:val="2"/>
          </w:tcPr>
          <w:p>
            <w:pPr>
              <w:jc w:val="right"/>
              <w:ind w:right="233"/>
              <w:spacing w:after="0" w:line="214" w:lineRule="exact"/>
              <w:rPr>
                <w:sz w:val="20"/>
                <w:szCs w:val="20"/>
                <w:color w:val="auto"/>
              </w:rPr>
            </w:pPr>
            <w:r>
              <w:rPr>
                <w:rFonts w:ascii="Times New Roman" w:cs="Times New Roman" w:eastAsia="Times New Roman" w:hAnsi="Times New Roman"/>
                <w:sz w:val="24"/>
                <w:szCs w:val="24"/>
                <w:color w:val="auto"/>
                <w:vertAlign w:val="subscript"/>
              </w:rPr>
              <w:t>0</w:t>
            </w:r>
            <w:r>
              <w:rPr>
                <w:rFonts w:ascii="Times New Roman" w:cs="Times New Roman" w:eastAsia="Times New Roman" w:hAnsi="Times New Roman"/>
                <w:sz w:val="11"/>
                <w:szCs w:val="11"/>
                <w:color w:val="auto"/>
              </w:rPr>
              <w:t>(2)</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 benefits</w:t>
            </w:r>
          </w:p>
        </w:tc>
        <w:tc>
          <w:tcPr>
            <w:tcW w:w="1360" w:type="dxa"/>
            <w:vAlign w:val="bottom"/>
            <w:gridSpan w:val="2"/>
            <w:shd w:val="clear" w:color="auto" w:fill="CCEEFF"/>
          </w:tcPr>
          <w:p>
            <w:pPr>
              <w:jc w:val="right"/>
              <w:ind w:right="213"/>
              <w:spacing w:after="0" w:line="214" w:lineRule="exact"/>
              <w:rPr>
                <w:sz w:val="20"/>
                <w:szCs w:val="20"/>
                <w:color w:val="auto"/>
              </w:rPr>
            </w:pPr>
            <w:r>
              <w:rPr>
                <w:rFonts w:ascii="Times New Roman" w:cs="Times New Roman" w:eastAsia="Times New Roman" w:hAnsi="Times New Roman"/>
                <w:sz w:val="17"/>
                <w:szCs w:val="17"/>
                <w:color w:val="auto"/>
              </w:rPr>
              <w:t>45,199</w:t>
            </w:r>
            <w:r>
              <w:rPr>
                <w:rFonts w:ascii="Times New Roman" w:cs="Times New Roman" w:eastAsia="Times New Roman" w:hAnsi="Times New Roman"/>
                <w:sz w:val="24"/>
                <w:szCs w:val="24"/>
                <w:color w:val="auto"/>
                <w:vertAlign w:val="superscript"/>
              </w:rPr>
              <w:t>(3)</w:t>
            </w:r>
          </w:p>
        </w:tc>
        <w:tc>
          <w:tcPr>
            <w:tcW w:w="1380" w:type="dxa"/>
            <w:vAlign w:val="bottom"/>
            <w:gridSpan w:val="2"/>
            <w:shd w:val="clear" w:color="auto" w:fill="CCEEFF"/>
          </w:tcPr>
          <w:p>
            <w:pPr>
              <w:jc w:val="right"/>
              <w:ind w:right="233"/>
              <w:spacing w:after="0" w:line="214" w:lineRule="exact"/>
              <w:rPr>
                <w:sz w:val="20"/>
                <w:szCs w:val="20"/>
                <w:color w:val="auto"/>
              </w:rPr>
            </w:pPr>
            <w:r>
              <w:rPr>
                <w:rFonts w:ascii="Times New Roman" w:cs="Times New Roman" w:eastAsia="Times New Roman" w:hAnsi="Times New Roman"/>
                <w:sz w:val="17"/>
                <w:szCs w:val="17"/>
                <w:color w:val="auto"/>
              </w:rPr>
              <w:t>60,266</w:t>
            </w:r>
            <w:r>
              <w:rPr>
                <w:rFonts w:ascii="Times New Roman" w:cs="Times New Roman" w:eastAsia="Times New Roman" w:hAnsi="Times New Roman"/>
                <w:sz w:val="24"/>
                <w:szCs w:val="24"/>
                <w:color w:val="auto"/>
                <w:vertAlign w:val="superscript"/>
              </w:rPr>
              <w:t>(9)</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Outplacement benefits</w:t>
            </w:r>
          </w:p>
        </w:tc>
        <w:tc>
          <w:tcPr>
            <w:tcW w:w="1360" w:type="dxa"/>
            <w:vAlign w:val="bottom"/>
            <w:gridSpan w:val="2"/>
          </w:tcPr>
          <w:p>
            <w:pPr>
              <w:jc w:val="right"/>
              <w:ind w:right="213"/>
              <w:spacing w:after="0" w:line="214" w:lineRule="exact"/>
              <w:rPr>
                <w:sz w:val="20"/>
                <w:szCs w:val="20"/>
                <w:color w:val="auto"/>
              </w:rPr>
            </w:pPr>
            <w:r>
              <w:rPr>
                <w:rFonts w:ascii="Times New Roman" w:cs="Times New Roman" w:eastAsia="Times New Roman" w:hAnsi="Times New Roman"/>
                <w:sz w:val="17"/>
                <w:szCs w:val="17"/>
                <w:color w:val="auto"/>
              </w:rPr>
              <w:t>8,000</w:t>
            </w:r>
            <w:r>
              <w:rPr>
                <w:rFonts w:ascii="Times New Roman" w:cs="Times New Roman" w:eastAsia="Times New Roman" w:hAnsi="Times New Roman"/>
                <w:sz w:val="24"/>
                <w:szCs w:val="24"/>
                <w:color w:val="auto"/>
                <w:vertAlign w:val="superscript"/>
              </w:rPr>
              <w:t>(4)</w:t>
            </w:r>
          </w:p>
        </w:tc>
        <w:tc>
          <w:tcPr>
            <w:tcW w:w="1380" w:type="dxa"/>
            <w:vAlign w:val="bottom"/>
            <w:gridSpan w:val="2"/>
          </w:tcPr>
          <w:p>
            <w:pPr>
              <w:jc w:val="right"/>
              <w:ind w:right="233"/>
              <w:spacing w:after="0" w:line="214" w:lineRule="exact"/>
              <w:rPr>
                <w:sz w:val="20"/>
                <w:szCs w:val="20"/>
                <w:color w:val="auto"/>
              </w:rPr>
            </w:pPr>
            <w:r>
              <w:rPr>
                <w:rFonts w:ascii="Times New Roman" w:cs="Times New Roman" w:eastAsia="Times New Roman" w:hAnsi="Times New Roman"/>
                <w:sz w:val="17"/>
                <w:szCs w:val="17"/>
                <w:color w:val="auto"/>
              </w:rPr>
              <w:t>8,000</w:t>
            </w:r>
            <w:r>
              <w:rPr>
                <w:rFonts w:ascii="Times New Roman" w:cs="Times New Roman" w:eastAsia="Times New Roman" w:hAnsi="Times New Roman"/>
                <w:sz w:val="24"/>
                <w:szCs w:val="24"/>
                <w:color w:val="auto"/>
                <w:vertAlign w:val="superscript"/>
              </w:rPr>
              <w:t>(4)</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Unit Vesting</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line="214" w:lineRule="exact"/>
              <w:rPr>
                <w:sz w:val="20"/>
                <w:szCs w:val="20"/>
                <w:color w:val="auto"/>
              </w:rPr>
            </w:pPr>
            <w:r>
              <w:rPr>
                <w:rFonts w:ascii="Times New Roman" w:cs="Times New Roman" w:eastAsia="Times New Roman" w:hAnsi="Times New Roman"/>
                <w:sz w:val="17"/>
                <w:szCs w:val="17"/>
                <w:color w:val="auto"/>
              </w:rPr>
              <w:t>10,807,211</w:t>
            </w:r>
            <w:r>
              <w:rPr>
                <w:rFonts w:ascii="Times New Roman" w:cs="Times New Roman" w:eastAsia="Times New Roman" w:hAnsi="Times New Roman"/>
                <w:sz w:val="24"/>
                <w:szCs w:val="24"/>
                <w:color w:val="auto"/>
                <w:vertAlign w:val="superscript"/>
              </w:rPr>
              <w:t>(6)</w:t>
            </w: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gridSpan w:val="2"/>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3,293,199</w:t>
            </w:r>
          </w:p>
        </w:tc>
        <w:tc>
          <w:tcPr>
            <w:tcW w:w="1380" w:type="dxa"/>
            <w:vAlign w:val="bottom"/>
            <w:gridSpan w:val="2"/>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4,118,266</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10,807,211</w:t>
            </w:r>
          </w:p>
        </w:tc>
        <w:tc>
          <w:tcPr>
            <w:tcW w:w="0" w:type="dxa"/>
            <w:vAlign w:val="bottom"/>
          </w:tcPr>
          <w:p>
            <w:pPr>
              <w:spacing w:after="0"/>
              <w:rPr>
                <w:sz w:val="1"/>
                <w:szCs w:val="1"/>
                <w:color w:val="auto"/>
              </w:rPr>
            </w:pPr>
          </w:p>
        </w:tc>
      </w:tr>
      <w:tr>
        <w:trPr>
          <w:trHeight w:val="214"/>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Pigott</w:t>
            </w:r>
          </w:p>
        </w:tc>
        <w:tc>
          <w:tcPr>
            <w:tcW w:w="268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Cash severance</w:t>
            </w:r>
            <w:r>
              <w:rPr>
                <w:rFonts w:ascii="Times New Roman" w:cs="Times New Roman" w:eastAsia="Times New Roman" w:hAnsi="Times New Roman"/>
                <w:sz w:val="24"/>
                <w:szCs w:val="24"/>
                <w:color w:val="auto"/>
                <w:vertAlign w:val="superscript"/>
              </w:rPr>
              <w:t>(7)</w:t>
            </w:r>
          </w:p>
        </w:tc>
        <w:tc>
          <w:tcPr>
            <w:tcW w:w="1360" w:type="dxa"/>
            <w:vAlign w:val="bottom"/>
            <w:gridSpan w:val="2"/>
            <w:shd w:val="clear" w:color="auto" w:fill="CCEEFF"/>
          </w:tcPr>
          <w:p>
            <w:pPr>
              <w:jc w:val="right"/>
              <w:ind w:right="213"/>
              <w:spacing w:after="0" w:line="214" w:lineRule="exact"/>
              <w:rPr>
                <w:sz w:val="20"/>
                <w:szCs w:val="20"/>
                <w:color w:val="auto"/>
              </w:rPr>
            </w:pPr>
            <w:r>
              <w:rPr>
                <w:rFonts w:ascii="Times New Roman" w:cs="Times New Roman" w:eastAsia="Times New Roman" w:hAnsi="Times New Roman"/>
                <w:sz w:val="17"/>
                <w:szCs w:val="17"/>
                <w:color w:val="auto"/>
              </w:rPr>
              <w:t>5,225,000</w:t>
            </w:r>
            <w:r>
              <w:rPr>
                <w:rFonts w:ascii="Times New Roman" w:cs="Times New Roman" w:eastAsia="Times New Roman" w:hAnsi="Times New Roman"/>
                <w:sz w:val="24"/>
                <w:szCs w:val="24"/>
                <w:color w:val="auto"/>
                <w:vertAlign w:val="superscript"/>
              </w:rPr>
              <w:t>(7)</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Prior Year Bonus</w:t>
            </w:r>
          </w:p>
        </w:tc>
        <w:tc>
          <w:tcPr>
            <w:tcW w:w="1360" w:type="dxa"/>
            <w:vAlign w:val="bottom"/>
            <w:gridSpan w:val="2"/>
          </w:tcPr>
          <w:p>
            <w:pPr>
              <w:jc w:val="right"/>
              <w:ind w:right="213"/>
              <w:spacing w:after="0" w:line="214" w:lineRule="exact"/>
              <w:rPr>
                <w:sz w:val="20"/>
                <w:szCs w:val="20"/>
                <w:color w:val="auto"/>
              </w:rPr>
            </w:pPr>
            <w:r>
              <w:rPr>
                <w:rFonts w:ascii="Times New Roman" w:cs="Times New Roman" w:eastAsia="Times New Roman" w:hAnsi="Times New Roman"/>
                <w:sz w:val="24"/>
                <w:szCs w:val="24"/>
                <w:color w:val="auto"/>
                <w:vertAlign w:val="subscript"/>
              </w:rPr>
              <w:t>0</w:t>
            </w:r>
            <w:r>
              <w:rPr>
                <w:rFonts w:ascii="Times New Roman" w:cs="Times New Roman" w:eastAsia="Times New Roman" w:hAnsi="Times New Roman"/>
                <w:sz w:val="11"/>
                <w:szCs w:val="11"/>
                <w:color w:val="auto"/>
              </w:rPr>
              <w:t>(2)</w:t>
            </w: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 benefits</w:t>
            </w:r>
          </w:p>
        </w:tc>
        <w:tc>
          <w:tcPr>
            <w:tcW w:w="1360" w:type="dxa"/>
            <w:vAlign w:val="bottom"/>
            <w:gridSpan w:val="2"/>
            <w:shd w:val="clear" w:color="auto" w:fill="CCEEFF"/>
          </w:tcPr>
          <w:p>
            <w:pPr>
              <w:jc w:val="right"/>
              <w:ind w:right="213"/>
              <w:spacing w:after="0" w:line="214" w:lineRule="exact"/>
              <w:rPr>
                <w:sz w:val="20"/>
                <w:szCs w:val="20"/>
                <w:color w:val="auto"/>
              </w:rPr>
            </w:pPr>
            <w:r>
              <w:rPr>
                <w:rFonts w:ascii="Times New Roman" w:cs="Times New Roman" w:eastAsia="Times New Roman" w:hAnsi="Times New Roman"/>
                <w:sz w:val="17"/>
                <w:szCs w:val="17"/>
                <w:color w:val="auto"/>
              </w:rPr>
              <w:t>45,199</w:t>
            </w:r>
            <w:r>
              <w:rPr>
                <w:rFonts w:ascii="Times New Roman" w:cs="Times New Roman" w:eastAsia="Times New Roman" w:hAnsi="Times New Roman"/>
                <w:sz w:val="24"/>
                <w:szCs w:val="24"/>
                <w:color w:val="auto"/>
                <w:vertAlign w:val="superscript"/>
              </w:rPr>
              <w:t>(3)</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B Unit Vesting</w:t>
            </w:r>
          </w:p>
        </w:tc>
        <w:tc>
          <w:tcPr>
            <w:tcW w:w="1360" w:type="dxa"/>
            <w:vAlign w:val="bottom"/>
            <w:gridSpan w:val="2"/>
          </w:tcPr>
          <w:p>
            <w:pPr>
              <w:jc w:val="right"/>
              <w:ind w:right="213"/>
              <w:spacing w:after="0" w:line="214" w:lineRule="exact"/>
              <w:rPr>
                <w:sz w:val="20"/>
                <w:szCs w:val="20"/>
                <w:color w:val="auto"/>
              </w:rPr>
            </w:pPr>
            <w:r>
              <w:rPr>
                <w:rFonts w:ascii="Times New Roman" w:cs="Times New Roman" w:eastAsia="Times New Roman" w:hAnsi="Times New Roman"/>
                <w:sz w:val="17"/>
                <w:szCs w:val="17"/>
                <w:color w:val="auto"/>
              </w:rPr>
              <w:t>8,868,337</w:t>
            </w:r>
            <w:r>
              <w:rPr>
                <w:rFonts w:ascii="Times New Roman" w:cs="Times New Roman" w:eastAsia="Times New Roman" w:hAnsi="Times New Roman"/>
                <w:sz w:val="24"/>
                <w:szCs w:val="24"/>
                <w:color w:val="auto"/>
                <w:vertAlign w:val="superscript"/>
              </w:rPr>
              <w:t>(5)</w:t>
            </w: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gridSpan w:val="2"/>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14,138,536</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P. Golwas</w:t>
            </w: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severance</w:t>
            </w:r>
          </w:p>
        </w:tc>
        <w:tc>
          <w:tcPr>
            <w:tcW w:w="1360" w:type="dxa"/>
            <w:vAlign w:val="bottom"/>
            <w:gridSpan w:val="2"/>
          </w:tcPr>
          <w:p>
            <w:pPr>
              <w:jc w:val="right"/>
              <w:ind w:right="213"/>
              <w:spacing w:after="0" w:line="214" w:lineRule="exact"/>
              <w:rPr>
                <w:sz w:val="20"/>
                <w:szCs w:val="20"/>
                <w:color w:val="auto"/>
              </w:rPr>
            </w:pPr>
            <w:r>
              <w:rPr>
                <w:rFonts w:ascii="Times New Roman" w:cs="Times New Roman" w:eastAsia="Times New Roman" w:hAnsi="Times New Roman"/>
                <w:sz w:val="17"/>
                <w:szCs w:val="17"/>
                <w:color w:val="auto"/>
              </w:rPr>
              <w:t>3,200,000</w:t>
            </w:r>
            <w:r>
              <w:rPr>
                <w:rFonts w:ascii="Times New Roman" w:cs="Times New Roman" w:eastAsia="Times New Roman" w:hAnsi="Times New Roman"/>
                <w:sz w:val="24"/>
                <w:szCs w:val="24"/>
                <w:color w:val="auto"/>
                <w:vertAlign w:val="superscript"/>
              </w:rPr>
              <w:t>(1)</w:t>
            </w:r>
          </w:p>
        </w:tc>
        <w:tc>
          <w:tcPr>
            <w:tcW w:w="1380" w:type="dxa"/>
            <w:vAlign w:val="bottom"/>
            <w:gridSpan w:val="2"/>
          </w:tcPr>
          <w:p>
            <w:pPr>
              <w:jc w:val="right"/>
              <w:ind w:right="233"/>
              <w:spacing w:after="0" w:line="214" w:lineRule="exact"/>
              <w:rPr>
                <w:sz w:val="20"/>
                <w:szCs w:val="20"/>
                <w:color w:val="auto"/>
              </w:rPr>
            </w:pPr>
            <w:r>
              <w:rPr>
                <w:rFonts w:ascii="Times New Roman" w:cs="Times New Roman" w:eastAsia="Times New Roman" w:hAnsi="Times New Roman"/>
                <w:sz w:val="17"/>
                <w:szCs w:val="17"/>
                <w:color w:val="auto"/>
              </w:rPr>
              <w:t>4,000,000</w:t>
            </w:r>
            <w:r>
              <w:rPr>
                <w:rFonts w:ascii="Times New Roman" w:cs="Times New Roman" w:eastAsia="Times New Roman" w:hAnsi="Times New Roman"/>
                <w:sz w:val="24"/>
                <w:szCs w:val="24"/>
                <w:color w:val="auto"/>
                <w:vertAlign w:val="superscript"/>
              </w:rPr>
              <w:t>(8)</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Year Bonus</w:t>
            </w:r>
          </w:p>
        </w:tc>
        <w:tc>
          <w:tcPr>
            <w:tcW w:w="1360" w:type="dxa"/>
            <w:vAlign w:val="bottom"/>
            <w:gridSpan w:val="2"/>
            <w:shd w:val="clear" w:color="auto" w:fill="CCEEFF"/>
          </w:tcPr>
          <w:p>
            <w:pPr>
              <w:jc w:val="right"/>
              <w:ind w:right="213"/>
              <w:spacing w:after="0" w:line="214" w:lineRule="exact"/>
              <w:rPr>
                <w:sz w:val="20"/>
                <w:szCs w:val="20"/>
                <w:color w:val="auto"/>
              </w:rPr>
            </w:pPr>
            <w:r>
              <w:rPr>
                <w:rFonts w:ascii="Times New Roman" w:cs="Times New Roman" w:eastAsia="Times New Roman" w:hAnsi="Times New Roman"/>
                <w:sz w:val="24"/>
                <w:szCs w:val="24"/>
                <w:color w:val="auto"/>
                <w:vertAlign w:val="subscript"/>
              </w:rPr>
              <w:t>0</w:t>
            </w:r>
            <w:r>
              <w:rPr>
                <w:rFonts w:ascii="Times New Roman" w:cs="Times New Roman" w:eastAsia="Times New Roman" w:hAnsi="Times New Roman"/>
                <w:sz w:val="11"/>
                <w:szCs w:val="11"/>
                <w:color w:val="auto"/>
              </w:rPr>
              <w:t>(2)</w:t>
            </w:r>
          </w:p>
        </w:tc>
        <w:tc>
          <w:tcPr>
            <w:tcW w:w="1380" w:type="dxa"/>
            <w:vAlign w:val="bottom"/>
            <w:gridSpan w:val="2"/>
            <w:shd w:val="clear" w:color="auto" w:fill="CCEEFF"/>
          </w:tcPr>
          <w:p>
            <w:pPr>
              <w:jc w:val="right"/>
              <w:ind w:right="233"/>
              <w:spacing w:after="0" w:line="214" w:lineRule="exact"/>
              <w:rPr>
                <w:sz w:val="20"/>
                <w:szCs w:val="20"/>
                <w:color w:val="auto"/>
              </w:rPr>
            </w:pPr>
            <w:r>
              <w:rPr>
                <w:rFonts w:ascii="Times New Roman" w:cs="Times New Roman" w:eastAsia="Times New Roman" w:hAnsi="Times New Roman"/>
                <w:sz w:val="24"/>
                <w:szCs w:val="24"/>
                <w:color w:val="auto"/>
                <w:vertAlign w:val="subscript"/>
              </w:rPr>
              <w:t>0</w:t>
            </w:r>
            <w:r>
              <w:rPr>
                <w:rFonts w:ascii="Times New Roman" w:cs="Times New Roman" w:eastAsia="Times New Roman" w:hAnsi="Times New Roman"/>
                <w:sz w:val="11"/>
                <w:szCs w:val="11"/>
                <w:color w:val="auto"/>
              </w:rPr>
              <w:t>(2)</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 benefits</w:t>
            </w:r>
          </w:p>
        </w:tc>
        <w:tc>
          <w:tcPr>
            <w:tcW w:w="1360" w:type="dxa"/>
            <w:vAlign w:val="bottom"/>
            <w:gridSpan w:val="2"/>
          </w:tcPr>
          <w:p>
            <w:pPr>
              <w:jc w:val="right"/>
              <w:ind w:right="213"/>
              <w:spacing w:after="0" w:line="214" w:lineRule="exact"/>
              <w:rPr>
                <w:sz w:val="20"/>
                <w:szCs w:val="20"/>
                <w:color w:val="auto"/>
              </w:rPr>
            </w:pPr>
            <w:r>
              <w:rPr>
                <w:rFonts w:ascii="Times New Roman" w:cs="Times New Roman" w:eastAsia="Times New Roman" w:hAnsi="Times New Roman"/>
                <w:sz w:val="17"/>
                <w:szCs w:val="17"/>
                <w:color w:val="auto"/>
              </w:rPr>
              <w:t>45,199</w:t>
            </w:r>
            <w:r>
              <w:rPr>
                <w:rFonts w:ascii="Times New Roman" w:cs="Times New Roman" w:eastAsia="Times New Roman" w:hAnsi="Times New Roman"/>
                <w:sz w:val="24"/>
                <w:szCs w:val="24"/>
                <w:color w:val="auto"/>
                <w:vertAlign w:val="superscript"/>
              </w:rPr>
              <w:t>(3)</w:t>
            </w:r>
          </w:p>
        </w:tc>
        <w:tc>
          <w:tcPr>
            <w:tcW w:w="1380" w:type="dxa"/>
            <w:vAlign w:val="bottom"/>
            <w:gridSpan w:val="2"/>
          </w:tcPr>
          <w:p>
            <w:pPr>
              <w:jc w:val="right"/>
              <w:ind w:right="233"/>
              <w:spacing w:after="0" w:line="214" w:lineRule="exact"/>
              <w:rPr>
                <w:sz w:val="20"/>
                <w:szCs w:val="20"/>
                <w:color w:val="auto"/>
              </w:rPr>
            </w:pPr>
            <w:r>
              <w:rPr>
                <w:rFonts w:ascii="Times New Roman" w:cs="Times New Roman" w:eastAsia="Times New Roman" w:hAnsi="Times New Roman"/>
                <w:sz w:val="17"/>
                <w:szCs w:val="17"/>
                <w:color w:val="auto"/>
              </w:rPr>
              <w:t>60,266</w:t>
            </w:r>
            <w:r>
              <w:rPr>
                <w:rFonts w:ascii="Times New Roman" w:cs="Times New Roman" w:eastAsia="Times New Roman" w:hAnsi="Times New Roman"/>
                <w:sz w:val="24"/>
                <w:szCs w:val="24"/>
                <w:color w:val="auto"/>
                <w:vertAlign w:val="superscript"/>
              </w:rPr>
              <w:t>(9)</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Outplacement benefits</w:t>
            </w:r>
          </w:p>
        </w:tc>
        <w:tc>
          <w:tcPr>
            <w:tcW w:w="1360" w:type="dxa"/>
            <w:vAlign w:val="bottom"/>
            <w:gridSpan w:val="2"/>
            <w:shd w:val="clear" w:color="auto" w:fill="CCEEFF"/>
          </w:tcPr>
          <w:p>
            <w:pPr>
              <w:jc w:val="right"/>
              <w:ind w:right="213"/>
              <w:spacing w:after="0" w:line="214" w:lineRule="exact"/>
              <w:rPr>
                <w:sz w:val="20"/>
                <w:szCs w:val="20"/>
                <w:color w:val="auto"/>
              </w:rPr>
            </w:pPr>
            <w:r>
              <w:rPr>
                <w:rFonts w:ascii="Times New Roman" w:cs="Times New Roman" w:eastAsia="Times New Roman" w:hAnsi="Times New Roman"/>
                <w:sz w:val="17"/>
                <w:szCs w:val="17"/>
                <w:color w:val="auto"/>
              </w:rPr>
              <w:t>8,000</w:t>
            </w:r>
            <w:r>
              <w:rPr>
                <w:rFonts w:ascii="Times New Roman" w:cs="Times New Roman" w:eastAsia="Times New Roman" w:hAnsi="Times New Roman"/>
                <w:sz w:val="24"/>
                <w:szCs w:val="24"/>
                <w:color w:val="auto"/>
                <w:vertAlign w:val="superscript"/>
              </w:rPr>
              <w:t>(4)</w:t>
            </w:r>
          </w:p>
        </w:tc>
        <w:tc>
          <w:tcPr>
            <w:tcW w:w="1380" w:type="dxa"/>
            <w:vAlign w:val="bottom"/>
            <w:gridSpan w:val="2"/>
            <w:shd w:val="clear" w:color="auto" w:fill="CCEEFF"/>
          </w:tcPr>
          <w:p>
            <w:pPr>
              <w:jc w:val="right"/>
              <w:ind w:right="233"/>
              <w:spacing w:after="0" w:line="214" w:lineRule="exact"/>
              <w:rPr>
                <w:sz w:val="20"/>
                <w:szCs w:val="20"/>
                <w:color w:val="auto"/>
              </w:rPr>
            </w:pPr>
            <w:r>
              <w:rPr>
                <w:rFonts w:ascii="Times New Roman" w:cs="Times New Roman" w:eastAsia="Times New Roman" w:hAnsi="Times New Roman"/>
                <w:sz w:val="17"/>
                <w:szCs w:val="17"/>
                <w:color w:val="auto"/>
              </w:rPr>
              <w:t>8,000</w:t>
            </w:r>
            <w:r>
              <w:rPr>
                <w:rFonts w:ascii="Times New Roman" w:cs="Times New Roman" w:eastAsia="Times New Roman" w:hAnsi="Times New Roman"/>
                <w:sz w:val="24"/>
                <w:szCs w:val="24"/>
                <w:color w:val="auto"/>
                <w:vertAlign w:val="superscript"/>
              </w:rPr>
              <w:t>(4)</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B Unit Vesting</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60"/>
              <w:spacing w:after="0" w:line="214" w:lineRule="exact"/>
              <w:rPr>
                <w:sz w:val="20"/>
                <w:szCs w:val="20"/>
                <w:color w:val="auto"/>
              </w:rPr>
            </w:pPr>
            <w:r>
              <w:rPr>
                <w:rFonts w:ascii="Times New Roman" w:cs="Times New Roman" w:eastAsia="Times New Roman" w:hAnsi="Times New Roman"/>
                <w:sz w:val="17"/>
                <w:szCs w:val="17"/>
                <w:color w:val="auto"/>
              </w:rPr>
              <w:t>7,505,013</w:t>
            </w:r>
            <w:r>
              <w:rPr>
                <w:rFonts w:ascii="Times New Roman" w:cs="Times New Roman" w:eastAsia="Times New Roman" w:hAnsi="Times New Roman"/>
                <w:sz w:val="24"/>
                <w:szCs w:val="24"/>
                <w:color w:val="auto"/>
                <w:vertAlign w:val="superscript"/>
              </w:rPr>
              <w:t>(6)</w:t>
            </w:r>
          </w:p>
        </w:tc>
        <w:tc>
          <w:tcPr>
            <w:tcW w:w="0" w:type="dxa"/>
            <w:vAlign w:val="bottom"/>
          </w:tcPr>
          <w:p>
            <w:pPr>
              <w:spacing w:after="0"/>
              <w:rPr>
                <w:sz w:val="1"/>
                <w:szCs w:val="1"/>
                <w:color w:val="auto"/>
              </w:rPr>
            </w:pPr>
          </w:p>
        </w:tc>
      </w:tr>
      <w:tr>
        <w:trPr>
          <w:trHeight w:val="214"/>
        </w:trPr>
        <w:tc>
          <w:tcPr>
            <w:tcW w:w="3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gridSpan w:val="2"/>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3,253,199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4,068,266</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7,505,013</w:t>
            </w:r>
          </w:p>
        </w:tc>
        <w:tc>
          <w:tcPr>
            <w:tcW w:w="0" w:type="dxa"/>
            <w:vAlign w:val="bottom"/>
          </w:tcPr>
          <w:p>
            <w:pPr>
              <w:spacing w:after="0"/>
              <w:rPr>
                <w:sz w:val="1"/>
                <w:szCs w:val="1"/>
                <w:color w:val="auto"/>
              </w:rPr>
            </w:pPr>
          </w:p>
        </w:tc>
      </w:tr>
      <w:tr>
        <w:trPr>
          <w:trHeight w:val="214"/>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L. Miller</w:t>
            </w: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severance</w:t>
            </w:r>
          </w:p>
        </w:tc>
        <w:tc>
          <w:tcPr>
            <w:tcW w:w="1360" w:type="dxa"/>
            <w:vAlign w:val="bottom"/>
            <w:gridSpan w:val="2"/>
          </w:tcPr>
          <w:p>
            <w:pPr>
              <w:jc w:val="right"/>
              <w:ind w:right="213"/>
              <w:spacing w:after="0" w:line="214" w:lineRule="exact"/>
              <w:rPr>
                <w:sz w:val="20"/>
                <w:szCs w:val="20"/>
                <w:color w:val="auto"/>
              </w:rPr>
            </w:pPr>
            <w:r>
              <w:rPr>
                <w:rFonts w:ascii="Times New Roman" w:cs="Times New Roman" w:eastAsia="Times New Roman" w:hAnsi="Times New Roman"/>
                <w:sz w:val="17"/>
                <w:szCs w:val="17"/>
                <w:color w:val="auto"/>
              </w:rPr>
              <w:t>3,200,000</w:t>
            </w:r>
            <w:r>
              <w:rPr>
                <w:rFonts w:ascii="Times New Roman" w:cs="Times New Roman" w:eastAsia="Times New Roman" w:hAnsi="Times New Roman"/>
                <w:sz w:val="24"/>
                <w:szCs w:val="24"/>
                <w:color w:val="auto"/>
                <w:vertAlign w:val="superscript"/>
              </w:rPr>
              <w:t>(1)</w:t>
            </w:r>
          </w:p>
        </w:tc>
        <w:tc>
          <w:tcPr>
            <w:tcW w:w="1380" w:type="dxa"/>
            <w:vAlign w:val="bottom"/>
            <w:gridSpan w:val="2"/>
          </w:tcPr>
          <w:p>
            <w:pPr>
              <w:jc w:val="right"/>
              <w:ind w:right="233"/>
              <w:spacing w:after="0" w:line="214" w:lineRule="exact"/>
              <w:rPr>
                <w:sz w:val="20"/>
                <w:szCs w:val="20"/>
                <w:color w:val="auto"/>
              </w:rPr>
            </w:pPr>
            <w:r>
              <w:rPr>
                <w:rFonts w:ascii="Times New Roman" w:cs="Times New Roman" w:eastAsia="Times New Roman" w:hAnsi="Times New Roman"/>
                <w:sz w:val="17"/>
                <w:szCs w:val="17"/>
                <w:color w:val="auto"/>
              </w:rPr>
              <w:t>4,000,000</w:t>
            </w:r>
            <w:r>
              <w:rPr>
                <w:rFonts w:ascii="Times New Roman" w:cs="Times New Roman" w:eastAsia="Times New Roman" w:hAnsi="Times New Roman"/>
                <w:sz w:val="24"/>
                <w:szCs w:val="24"/>
                <w:color w:val="auto"/>
                <w:vertAlign w:val="superscript"/>
              </w:rPr>
              <w:t>(8)</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Year Bonus</w:t>
            </w:r>
          </w:p>
        </w:tc>
        <w:tc>
          <w:tcPr>
            <w:tcW w:w="1360" w:type="dxa"/>
            <w:vAlign w:val="bottom"/>
            <w:gridSpan w:val="2"/>
            <w:shd w:val="clear" w:color="auto" w:fill="CCEEFF"/>
          </w:tcPr>
          <w:p>
            <w:pPr>
              <w:jc w:val="right"/>
              <w:ind w:right="213"/>
              <w:spacing w:after="0" w:line="214" w:lineRule="exact"/>
              <w:rPr>
                <w:sz w:val="20"/>
                <w:szCs w:val="20"/>
                <w:color w:val="auto"/>
              </w:rPr>
            </w:pPr>
            <w:r>
              <w:rPr>
                <w:rFonts w:ascii="Times New Roman" w:cs="Times New Roman" w:eastAsia="Times New Roman" w:hAnsi="Times New Roman"/>
                <w:sz w:val="24"/>
                <w:szCs w:val="24"/>
                <w:color w:val="auto"/>
                <w:vertAlign w:val="subscript"/>
              </w:rPr>
              <w:t>0</w:t>
            </w:r>
            <w:r>
              <w:rPr>
                <w:rFonts w:ascii="Times New Roman" w:cs="Times New Roman" w:eastAsia="Times New Roman" w:hAnsi="Times New Roman"/>
                <w:sz w:val="11"/>
                <w:szCs w:val="11"/>
                <w:color w:val="auto"/>
              </w:rPr>
              <w:t>(2)</w:t>
            </w:r>
          </w:p>
        </w:tc>
        <w:tc>
          <w:tcPr>
            <w:tcW w:w="1380" w:type="dxa"/>
            <w:vAlign w:val="bottom"/>
            <w:gridSpan w:val="2"/>
            <w:shd w:val="clear" w:color="auto" w:fill="CCEEFF"/>
          </w:tcPr>
          <w:p>
            <w:pPr>
              <w:jc w:val="right"/>
              <w:ind w:right="233"/>
              <w:spacing w:after="0" w:line="214" w:lineRule="exact"/>
              <w:rPr>
                <w:sz w:val="20"/>
                <w:szCs w:val="20"/>
                <w:color w:val="auto"/>
              </w:rPr>
            </w:pPr>
            <w:r>
              <w:rPr>
                <w:rFonts w:ascii="Times New Roman" w:cs="Times New Roman" w:eastAsia="Times New Roman" w:hAnsi="Times New Roman"/>
                <w:sz w:val="24"/>
                <w:szCs w:val="24"/>
                <w:color w:val="auto"/>
                <w:vertAlign w:val="subscript"/>
              </w:rPr>
              <w:t>0</w:t>
            </w:r>
            <w:r>
              <w:rPr>
                <w:rFonts w:ascii="Times New Roman" w:cs="Times New Roman" w:eastAsia="Times New Roman" w:hAnsi="Times New Roman"/>
                <w:sz w:val="11"/>
                <w:szCs w:val="11"/>
                <w:color w:val="auto"/>
              </w:rPr>
              <w:t>(2)</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 benefits</w:t>
            </w:r>
          </w:p>
        </w:tc>
        <w:tc>
          <w:tcPr>
            <w:tcW w:w="1360" w:type="dxa"/>
            <w:vAlign w:val="bottom"/>
            <w:gridSpan w:val="2"/>
          </w:tcPr>
          <w:p>
            <w:pPr>
              <w:jc w:val="right"/>
              <w:ind w:right="213"/>
              <w:spacing w:after="0" w:line="214" w:lineRule="exact"/>
              <w:rPr>
                <w:sz w:val="20"/>
                <w:szCs w:val="20"/>
                <w:color w:val="auto"/>
              </w:rPr>
            </w:pPr>
            <w:r>
              <w:rPr>
                <w:rFonts w:ascii="Times New Roman" w:cs="Times New Roman" w:eastAsia="Times New Roman" w:hAnsi="Times New Roman"/>
                <w:sz w:val="17"/>
                <w:szCs w:val="17"/>
                <w:color w:val="auto"/>
              </w:rPr>
              <w:t>45,199</w:t>
            </w:r>
            <w:r>
              <w:rPr>
                <w:rFonts w:ascii="Times New Roman" w:cs="Times New Roman" w:eastAsia="Times New Roman" w:hAnsi="Times New Roman"/>
                <w:sz w:val="24"/>
                <w:szCs w:val="24"/>
                <w:color w:val="auto"/>
                <w:vertAlign w:val="superscript"/>
              </w:rPr>
              <w:t>(3)</w:t>
            </w:r>
          </w:p>
        </w:tc>
        <w:tc>
          <w:tcPr>
            <w:tcW w:w="1380" w:type="dxa"/>
            <w:vAlign w:val="bottom"/>
            <w:gridSpan w:val="2"/>
          </w:tcPr>
          <w:p>
            <w:pPr>
              <w:jc w:val="right"/>
              <w:ind w:right="233"/>
              <w:spacing w:after="0" w:line="214" w:lineRule="exact"/>
              <w:rPr>
                <w:sz w:val="20"/>
                <w:szCs w:val="20"/>
                <w:color w:val="auto"/>
              </w:rPr>
            </w:pPr>
            <w:r>
              <w:rPr>
                <w:rFonts w:ascii="Times New Roman" w:cs="Times New Roman" w:eastAsia="Times New Roman" w:hAnsi="Times New Roman"/>
                <w:sz w:val="17"/>
                <w:szCs w:val="17"/>
                <w:color w:val="auto"/>
              </w:rPr>
              <w:t>60,266</w:t>
            </w:r>
            <w:r>
              <w:rPr>
                <w:rFonts w:ascii="Times New Roman" w:cs="Times New Roman" w:eastAsia="Times New Roman" w:hAnsi="Times New Roman"/>
                <w:sz w:val="24"/>
                <w:szCs w:val="24"/>
                <w:color w:val="auto"/>
                <w:vertAlign w:val="superscript"/>
              </w:rPr>
              <w:t>(9)</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Outplacement benefits</w:t>
            </w:r>
          </w:p>
        </w:tc>
        <w:tc>
          <w:tcPr>
            <w:tcW w:w="1360" w:type="dxa"/>
            <w:vAlign w:val="bottom"/>
            <w:gridSpan w:val="2"/>
            <w:shd w:val="clear" w:color="auto" w:fill="CCEEFF"/>
          </w:tcPr>
          <w:p>
            <w:pPr>
              <w:jc w:val="right"/>
              <w:ind w:right="213"/>
              <w:spacing w:after="0" w:line="214" w:lineRule="exact"/>
              <w:rPr>
                <w:sz w:val="20"/>
                <w:szCs w:val="20"/>
                <w:color w:val="auto"/>
              </w:rPr>
            </w:pPr>
            <w:r>
              <w:rPr>
                <w:rFonts w:ascii="Times New Roman" w:cs="Times New Roman" w:eastAsia="Times New Roman" w:hAnsi="Times New Roman"/>
                <w:sz w:val="17"/>
                <w:szCs w:val="17"/>
                <w:color w:val="auto"/>
              </w:rPr>
              <w:t>8,000</w:t>
            </w:r>
            <w:r>
              <w:rPr>
                <w:rFonts w:ascii="Times New Roman" w:cs="Times New Roman" w:eastAsia="Times New Roman" w:hAnsi="Times New Roman"/>
                <w:sz w:val="24"/>
                <w:szCs w:val="24"/>
                <w:color w:val="auto"/>
                <w:vertAlign w:val="superscript"/>
              </w:rPr>
              <w:t>(4)</w:t>
            </w:r>
          </w:p>
        </w:tc>
        <w:tc>
          <w:tcPr>
            <w:tcW w:w="1380" w:type="dxa"/>
            <w:vAlign w:val="bottom"/>
            <w:gridSpan w:val="2"/>
            <w:shd w:val="clear" w:color="auto" w:fill="CCEEFF"/>
          </w:tcPr>
          <w:p>
            <w:pPr>
              <w:jc w:val="right"/>
              <w:ind w:right="233"/>
              <w:spacing w:after="0" w:line="214" w:lineRule="exact"/>
              <w:rPr>
                <w:sz w:val="20"/>
                <w:szCs w:val="20"/>
                <w:color w:val="auto"/>
              </w:rPr>
            </w:pPr>
            <w:r>
              <w:rPr>
                <w:rFonts w:ascii="Times New Roman" w:cs="Times New Roman" w:eastAsia="Times New Roman" w:hAnsi="Times New Roman"/>
                <w:sz w:val="17"/>
                <w:szCs w:val="17"/>
                <w:color w:val="auto"/>
              </w:rPr>
              <w:t>8,000</w:t>
            </w:r>
            <w:r>
              <w:rPr>
                <w:rFonts w:ascii="Times New Roman" w:cs="Times New Roman" w:eastAsia="Times New Roman" w:hAnsi="Times New Roman"/>
                <w:sz w:val="24"/>
                <w:szCs w:val="24"/>
                <w:color w:val="auto"/>
                <w:vertAlign w:val="superscript"/>
              </w:rPr>
              <w:t>(4)</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B Unit Vesting</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60"/>
              <w:spacing w:after="0" w:line="214" w:lineRule="exact"/>
              <w:rPr>
                <w:sz w:val="20"/>
                <w:szCs w:val="20"/>
                <w:color w:val="auto"/>
              </w:rPr>
            </w:pPr>
            <w:r>
              <w:rPr>
                <w:rFonts w:ascii="Times New Roman" w:cs="Times New Roman" w:eastAsia="Times New Roman" w:hAnsi="Times New Roman"/>
                <w:sz w:val="17"/>
                <w:szCs w:val="17"/>
                <w:color w:val="auto"/>
              </w:rPr>
              <w:t>4,836,824</w:t>
            </w:r>
            <w:r>
              <w:rPr>
                <w:rFonts w:ascii="Times New Roman" w:cs="Times New Roman" w:eastAsia="Times New Roman" w:hAnsi="Times New Roman"/>
                <w:sz w:val="24"/>
                <w:szCs w:val="24"/>
                <w:color w:val="auto"/>
                <w:vertAlign w:val="superscript"/>
              </w:rPr>
              <w:t>(6)</w:t>
            </w:r>
          </w:p>
        </w:tc>
        <w:tc>
          <w:tcPr>
            <w:tcW w:w="0" w:type="dxa"/>
            <w:vAlign w:val="bottom"/>
          </w:tcPr>
          <w:p>
            <w:pPr>
              <w:spacing w:after="0"/>
              <w:rPr>
                <w:sz w:val="1"/>
                <w:szCs w:val="1"/>
                <w:color w:val="auto"/>
              </w:rPr>
            </w:pPr>
          </w:p>
        </w:tc>
      </w:tr>
      <w:tr>
        <w:trPr>
          <w:trHeight w:val="214"/>
        </w:trPr>
        <w:tc>
          <w:tcPr>
            <w:tcW w:w="3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gridSpan w:val="2"/>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3,253,199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4,068,266</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4,836,824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5" w:lineRule="exact"/>
        <w:rPr>
          <w:sz w:val="20"/>
          <w:szCs w:val="20"/>
          <w:color w:val="auto"/>
        </w:rPr>
      </w:pPr>
    </w:p>
    <w:p>
      <w:pPr>
        <w:ind w:left="600" w:hanging="433"/>
        <w:spacing w:after="0"/>
        <w:tabs>
          <w:tab w:leader="none" w:pos="60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reported for Mr. Boyle reflects a cash severance payment consisting of the sum of (A) two times the sum of his annual base salary ($1,250,000) and target bonus for 2025</w:t>
      </w:r>
    </w:p>
    <w:p>
      <w:pPr>
        <w:spacing w:after="0" w:line="2" w:lineRule="exact"/>
        <w:rPr>
          <w:rFonts w:ascii="Times New Roman" w:cs="Times New Roman" w:eastAsia="Times New Roman" w:hAnsi="Times New Roman"/>
          <w:sz w:val="14"/>
          <w:szCs w:val="14"/>
          <w:color w:val="auto"/>
        </w:rPr>
      </w:pPr>
    </w:p>
    <w:p>
      <w:pPr>
        <w:jc w:val="both"/>
        <w:ind w:left="600" w:right="100"/>
        <w:spacing w:after="0" w:line="2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($1,662,500) and (B) annual bonus earned for 2025, pro-rated for the period of service during 2025, paid in a lump sum. The amounts reported for Messrs. Drazin, Golwas and Miller reflect a cash severance payment consisting of the sum of (A) one and one-half times each individual’s base salary ($810,000, $800,000 and $800,000, respectively) and target bonus for 2025 ($810,000, $800,000 and $800,000, respectively) and (B) annual bonus earned for 2025, pro-rated for the period of service during 2025, paid in a lump sum.</w:t>
      </w:r>
    </w:p>
    <w:p>
      <w:pPr>
        <w:ind w:left="600" w:hanging="433"/>
        <w:spacing w:after="0" w:line="219" w:lineRule="auto"/>
        <w:tabs>
          <w:tab w:leader="none" w:pos="60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reflect each Named Executive Officer’s annual bonus earned but unpaid for 2024.</w:t>
      </w:r>
    </w:p>
    <w:p>
      <w:pPr>
        <w:ind w:left="600" w:right="380" w:hanging="433"/>
        <w:spacing w:after="0" w:line="219" w:lineRule="auto"/>
        <w:tabs>
          <w:tab w:leader="none" w:pos="60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cost of providing the Named Executive Officer with continued medical, dental and vision insurance under COBRA for a period of 21 months (for Mr. Boyle) and 18 months (for Messrs. Drazin, Miller and Golwas) based on monthly COBRA rates in effect as of December 31, 2025.</w:t>
      </w:r>
    </w:p>
    <w:p>
      <w:pPr>
        <w:ind w:left="600" w:hanging="433"/>
        <w:spacing w:after="0" w:line="219" w:lineRule="auto"/>
        <w:tabs>
          <w:tab w:leader="none" w:pos="60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cost of outplacement services for a period of 12 months.</w:t>
      </w:r>
    </w:p>
    <w:p>
      <w:pPr>
        <w:ind w:left="600" w:right="200" w:hanging="433"/>
        <w:spacing w:after="0" w:line="235" w:lineRule="auto"/>
        <w:tabs>
          <w:tab w:leader="none" w:pos="60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Boyle, the amounts reported reflect partial accelerated vesting of time-vested Incentive Units in the event of termination by us without cause, by Mr. Boyle for good reason, and due to disability. For Mr. Pigott, the amount reported reflects partial accelerated</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080"/>
          </w:cols>
          <w:pgMar w:left="320" w:top="451" w:right="4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600" w:right="680"/>
        <w:spacing w:after="0" w:line="231" w:lineRule="auto"/>
        <w:rPr>
          <w:sz w:val="20"/>
          <w:szCs w:val="20"/>
          <w:color w:val="auto"/>
        </w:rPr>
      </w:pPr>
      <w:r>
        <w:rPr>
          <w:rFonts w:ascii="Times New Roman" w:cs="Times New Roman" w:eastAsia="Times New Roman" w:hAnsi="Times New Roman"/>
          <w:sz w:val="14"/>
          <w:szCs w:val="14"/>
          <w:color w:val="auto"/>
        </w:rPr>
        <w:t>vesting of the time-vested Incentive Units in accordance with the Pigott Transition Agreement. The amounts reported for the time-vested Incentive Units are based upon the appreciation in the value of our business from and after the date of grant through the date of our most recent valuation prior to December 31, 2025.</w:t>
      </w:r>
    </w:p>
    <w:p>
      <w:pPr>
        <w:ind w:left="600" w:hanging="433"/>
        <w:spacing w:after="0" w:line="219" w:lineRule="auto"/>
        <w:tabs>
          <w:tab w:leader="none" w:pos="60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reflect the value of accelerated vesting of time-vested Incentive Units in the event of a sale transaction. The amounts reported for the time-vested Incentive Units are based upon the appreciation in the value of our business from and after the date of grant through the date of our most recent valuation prior to December 31, 2025. For Mr. Boyle, the value of accelerated vesting consists of $12,008,015 for time-vested Incentive Units granted in October 2021 and $17,548,737 for time-vested Incentive Units granted in October 2023. For Messrs. Drazin and Golwas, the value of accelerated vesting relates to time-vested Incentive Units granted in October 2021. For Mr. Miller, the value of accelerated vesting relates to time-vested Incentive Units granted in connection with his Key Talent Award.</w:t>
      </w:r>
    </w:p>
    <w:p>
      <w:pPr>
        <w:spacing w:after="0" w:line="1" w:lineRule="exact"/>
        <w:rPr>
          <w:rFonts w:ascii="Times New Roman" w:cs="Times New Roman" w:eastAsia="Times New Roman" w:hAnsi="Times New Roman"/>
          <w:sz w:val="14"/>
          <w:szCs w:val="14"/>
          <w:color w:val="auto"/>
        </w:rPr>
      </w:pPr>
    </w:p>
    <w:p>
      <w:pPr>
        <w:ind w:left="600" w:right="40" w:hanging="433"/>
        <w:spacing w:after="0" w:line="219" w:lineRule="auto"/>
        <w:tabs>
          <w:tab w:leader="none" w:pos="60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reported reflects the cash severance payable to Mr. Pigott pursuant to the Pigott Transition Agreement, consisting of the sum of (A) one and one-half times the sum of his base salary ($1,100,000) and estimated target annual bonus for 2025 ($1,650,000, at the time the Pigott Transition Agreement was entered into), which is paid over 18 months, and</w:t>
      </w:r>
    </w:p>
    <w:p>
      <w:pPr>
        <w:ind w:left="600" w:right="80"/>
        <w:spacing w:after="0" w:line="2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annual bonus earned for 2025 (at target of $1,100,000), which is paid when annual bonuses are generally paid to active employees, in each case subject to Mr. Pigott’s compliance with restrictive covenants.</w:t>
      </w:r>
    </w:p>
    <w:p>
      <w:pPr>
        <w:ind w:left="600" w:hanging="433"/>
        <w:spacing w:after="0" w:line="219" w:lineRule="auto"/>
        <w:tabs>
          <w:tab w:leader="none" w:pos="60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reported for Mr. Boyle reflects a cash severance payment consisting of the sum of (A) three times the sum of his annual base salary ($1,250,000) and target bonus for 2025</w:t>
      </w:r>
    </w:p>
    <w:p>
      <w:pPr>
        <w:ind w:left="600" w:right="100"/>
        <w:spacing w:after="0" w:line="2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($1,662,500) and (B) annual bonus earned for 2025, pro-rated for the period of service during 2025, paid in a lump sum. The amounts reported for Messrs. Drazin, Golwas and Miller reflect a cash severance payment consisting of the sum of (A) two times each individual’s base salary ($810,000, $800,000, and $800,000, respectively) and target bonus for 2025 ($810,000, $800,000, and $800,000, respectively) and (B) annual bonus earned for 2025, pro-rated for the period of service during 2025, paid in a lump sum.</w:t>
      </w:r>
    </w:p>
    <w:p>
      <w:pPr>
        <w:ind w:left="600" w:right="120" w:hanging="433"/>
        <w:spacing w:after="0" w:line="235" w:lineRule="auto"/>
        <w:tabs>
          <w:tab w:leader="none" w:pos="60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reflect the cost of providing each Named Executive Officer with continued medical, dental and vision insurance under COBRA for a period of 24 months based on monthly COBRA rates in effect as of December 31, 2025.</w:t>
      </w:r>
    </w:p>
    <w:p>
      <w:pPr>
        <w:spacing w:after="0" w:line="2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18" w:lineRule="exact"/>
        <w:rPr>
          <w:sz w:val="20"/>
          <w:szCs w:val="20"/>
          <w:color w:val="auto"/>
        </w:rPr>
      </w:pPr>
    </w:p>
    <w:p>
      <w:pPr>
        <w:ind w:left="160" w:right="160" w:firstLine="436"/>
        <w:spacing w:after="0" w:line="263" w:lineRule="auto"/>
        <w:rPr>
          <w:sz w:val="20"/>
          <w:szCs w:val="20"/>
          <w:color w:val="auto"/>
        </w:rPr>
      </w:pPr>
      <w:r>
        <w:rPr>
          <w:rFonts w:ascii="Times New Roman" w:cs="Times New Roman" w:eastAsia="Times New Roman" w:hAnsi="Times New Roman"/>
          <w:sz w:val="18"/>
          <w:szCs w:val="18"/>
          <w:color w:val="auto"/>
        </w:rPr>
        <w:t>Directors who are employed by us and directors who are affiliated with our Sponsors are not compensated by us for their services as directors. Independent non-employee directors who are not affiliated with our Sponsors or with members of the Mills and Abrams families, which currently only include Messrs. Bluedorn, Galanti and Sweet, are currently entitled to compensation consisting of:</w:t>
      </w:r>
    </w:p>
    <w:p>
      <w:pPr>
        <w:spacing w:after="0" w:line="82" w:lineRule="exact"/>
        <w:rPr>
          <w:sz w:val="20"/>
          <w:szCs w:val="20"/>
          <w:color w:val="auto"/>
        </w:rPr>
      </w:pPr>
    </w:p>
    <w:p>
      <w:pPr>
        <w:ind w:left="1140" w:hanging="438"/>
        <w:spacing w:after="0"/>
        <w:tabs>
          <w:tab w:leader="none" w:pos="11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retainer of $125,000 per year;</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chair cash retainers of $25,000 (Audit) and $20,000 (Compensation, Nominating and Governance, and Risk);</w:t>
      </w:r>
    </w:p>
    <w:p>
      <w:pPr>
        <w:spacing w:after="0" w:line="127" w:lineRule="exact"/>
        <w:rPr>
          <w:rFonts w:ascii="Times New Roman" w:cs="Times New Roman" w:eastAsia="Times New Roman" w:hAnsi="Times New Roman"/>
          <w:sz w:val="18"/>
          <w:szCs w:val="18"/>
          <w:color w:val="auto"/>
        </w:rPr>
      </w:pPr>
    </w:p>
    <w:p>
      <w:pPr>
        <w:ind w:left="1140" w:right="380" w:hanging="438"/>
        <w:spacing w:after="0" w:line="278" w:lineRule="auto"/>
        <w:tabs>
          <w:tab w:leader="none" w:pos="11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equity award of RSUs with a grant date fair value of $300,000, that cliff vest on March 27, 2027 (for Mr. Sweet) and March 30, 2027 (for Messrs. Bluedorn and Galanti); and</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2026, an annual equity award of RSUs with a grant date fair value of $200,000, vesting on the first anniversary of grant.</w:t>
      </w:r>
    </w:p>
    <w:p>
      <w:pPr>
        <w:spacing w:after="0" w:line="221" w:lineRule="exact"/>
        <w:rPr>
          <w:sz w:val="20"/>
          <w:szCs w:val="20"/>
          <w:color w:val="auto"/>
        </w:rPr>
      </w:pPr>
    </w:p>
    <w:p>
      <w:pPr>
        <w:ind w:left="160" w:right="820" w:firstLine="436"/>
        <w:spacing w:after="0" w:line="308" w:lineRule="auto"/>
        <w:rPr>
          <w:sz w:val="20"/>
          <w:szCs w:val="20"/>
          <w:color w:val="auto"/>
        </w:rPr>
      </w:pPr>
      <w:r>
        <w:rPr>
          <w:rFonts w:ascii="Times New Roman" w:cs="Times New Roman" w:eastAsia="Times New Roman" w:hAnsi="Times New Roman"/>
          <w:sz w:val="17"/>
          <w:szCs w:val="17"/>
          <w:color w:val="auto"/>
        </w:rPr>
        <w:t>The form and amount of compensation for our non-employee directors was established based on recommendations from management’s compensation consultant, Korn Ferry, based on benchmarking against the peer group used for 2025 Named Executive Officer compensation.</w:t>
      </w:r>
    </w:p>
    <w:p>
      <w:pPr>
        <w:spacing w:after="0" w:line="140" w:lineRule="exact"/>
        <w:rPr>
          <w:sz w:val="20"/>
          <w:szCs w:val="20"/>
          <w:color w:val="auto"/>
        </w:rPr>
      </w:pPr>
    </w:p>
    <w:p>
      <w:pPr>
        <w:ind w:left="160" w:right="80" w:firstLine="436"/>
        <w:spacing w:after="0" w:line="263" w:lineRule="auto"/>
        <w:rPr>
          <w:sz w:val="20"/>
          <w:szCs w:val="20"/>
          <w:color w:val="auto"/>
        </w:rPr>
      </w:pPr>
      <w:r>
        <w:rPr>
          <w:rFonts w:ascii="Times New Roman" w:cs="Times New Roman" w:eastAsia="Times New Roman" w:hAnsi="Times New Roman"/>
          <w:sz w:val="18"/>
          <w:szCs w:val="18"/>
          <w:color w:val="auto"/>
        </w:rPr>
        <w:t>During 2025, James Abrams (our former Chief Operating Officer), Charles Mills (our former Chief Executive Officer), and Andrew Mills (our former President) served as members of our board of directors. They did not receive any compensation or benefits for their service in 2025. Mr. Abrams resigned as a member of the board of directors in connection with Medline Inc.’s initial public offering.</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080"/>
          </w:cols>
          <w:pgMar w:left="320" w:top="451" w:right="4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60" w:firstLine="436"/>
        <w:spacing w:after="0" w:line="278" w:lineRule="auto"/>
        <w:rPr>
          <w:sz w:val="20"/>
          <w:szCs w:val="20"/>
          <w:color w:val="auto"/>
        </w:rPr>
      </w:pPr>
      <w:r>
        <w:rPr>
          <w:rFonts w:ascii="Times New Roman" w:cs="Times New Roman" w:eastAsia="Times New Roman" w:hAnsi="Times New Roman"/>
          <w:sz w:val="18"/>
          <w:szCs w:val="18"/>
          <w:color w:val="auto"/>
        </w:rPr>
        <w:t>The following table provides summary information concerning compensation paid or accrued by us to or on behalf of Messrs. Sweet, Galanti, and Bluedorn for services rendered to us as directors during the last fiscal year.</w:t>
      </w:r>
    </w:p>
    <w:p>
      <w:pPr>
        <w:spacing w:after="0" w:line="16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1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60" w:type="dxa"/>
            <w:vAlign w:val="bottom"/>
            <w:gridSpan w:val="2"/>
          </w:tcPr>
          <w:p>
            <w:pPr>
              <w:jc w:val="center"/>
              <w:ind w:right="480"/>
              <w:spacing w:after="0" w:line="147" w:lineRule="exact"/>
              <w:rPr>
                <w:sz w:val="20"/>
                <w:szCs w:val="20"/>
                <w:color w:val="auto"/>
              </w:rPr>
            </w:pPr>
            <w:r>
              <w:rPr>
                <w:rFonts w:ascii="Times New Roman" w:cs="Times New Roman" w:eastAsia="Times New Roman" w:hAnsi="Times New Roman"/>
                <w:sz w:val="14"/>
                <w:szCs w:val="14"/>
                <w:b w:val="1"/>
                <w:bCs w:val="1"/>
                <w:color w:val="auto"/>
                <w:w w:val="98"/>
              </w:rPr>
              <w:t>Pension Value</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360" w:type="dxa"/>
            <w:vAlign w:val="bottom"/>
            <w:gridSpan w:val="2"/>
          </w:tcPr>
          <w:p>
            <w:pPr>
              <w:jc w:val="center"/>
              <w:ind w:right="480"/>
              <w:spacing w:after="0" w:line="147" w:lineRule="exact"/>
              <w:rPr>
                <w:sz w:val="20"/>
                <w:szCs w:val="20"/>
                <w:color w:val="auto"/>
              </w:rPr>
            </w:pPr>
            <w:r>
              <w:rPr>
                <w:rFonts w:ascii="Times New Roman" w:cs="Times New Roman" w:eastAsia="Times New Roman" w:hAnsi="Times New Roman"/>
                <w:sz w:val="14"/>
                <w:szCs w:val="14"/>
                <w:b w:val="1"/>
                <w:bCs w:val="1"/>
                <w:color w:val="auto"/>
              </w:rPr>
              <w:t>and</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120" w:type="dxa"/>
            <w:vAlign w:val="bottom"/>
            <w:gridSpan w:val="2"/>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Earned</w:t>
            </w:r>
          </w:p>
        </w:tc>
        <w:tc>
          <w:tcPr>
            <w:tcW w:w="11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60" w:type="dxa"/>
            <w:vAlign w:val="bottom"/>
            <w:gridSpan w:val="2"/>
            <w:vMerge w:val="continue"/>
          </w:tcPr>
          <w:p>
            <w:pPr>
              <w:spacing w:after="0"/>
              <w:rPr>
                <w:sz w:val="12"/>
                <w:szCs w:val="12"/>
                <w:color w:val="auto"/>
              </w:rPr>
            </w:pPr>
          </w:p>
        </w:tc>
        <w:tc>
          <w:tcPr>
            <w:tcW w:w="1360" w:type="dxa"/>
            <w:vAlign w:val="bottom"/>
            <w:gridSpan w:val="2"/>
          </w:tcPr>
          <w:p>
            <w:pPr>
              <w:jc w:val="center"/>
              <w:ind w:right="480"/>
              <w:spacing w:after="0" w:line="147" w:lineRule="exact"/>
              <w:rPr>
                <w:sz w:val="20"/>
                <w:szCs w:val="20"/>
                <w:color w:val="auto"/>
              </w:rPr>
            </w:pPr>
            <w:r>
              <w:rPr>
                <w:rFonts w:ascii="Times New Roman" w:cs="Times New Roman" w:eastAsia="Times New Roman" w:hAnsi="Times New Roman"/>
                <w:sz w:val="14"/>
                <w:szCs w:val="14"/>
                <w:b w:val="1"/>
                <w:bCs w:val="1"/>
                <w:color w:val="auto"/>
              </w:rPr>
              <w:t>Nonqualified</w:t>
            </w:r>
          </w:p>
        </w:tc>
        <w:tc>
          <w:tcPr>
            <w:tcW w:w="136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120" w:type="dxa"/>
            <w:vAlign w:val="bottom"/>
            <w:gridSpan w:val="2"/>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or Paid</w:t>
            </w:r>
          </w:p>
        </w:tc>
        <w:tc>
          <w:tcPr>
            <w:tcW w:w="1140" w:type="dxa"/>
            <w:vAlign w:val="bottom"/>
            <w:gridSpan w:val="2"/>
            <w:vMerge w:val="continue"/>
          </w:tcPr>
          <w:p>
            <w:pPr>
              <w:spacing w:after="0"/>
              <w:rPr>
                <w:sz w:val="12"/>
                <w:szCs w:val="12"/>
                <w:color w:val="auto"/>
              </w:rPr>
            </w:pPr>
          </w:p>
        </w:tc>
        <w:tc>
          <w:tcPr>
            <w:tcW w:w="1360" w:type="dxa"/>
            <w:vAlign w:val="bottom"/>
            <w:gridSpan w:val="2"/>
          </w:tcPr>
          <w:p>
            <w:pPr>
              <w:jc w:val="right"/>
              <w:ind w:right="480"/>
              <w:spacing w:after="0" w:line="147"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360" w:type="dxa"/>
            <w:vAlign w:val="bottom"/>
            <w:gridSpan w:val="2"/>
          </w:tcPr>
          <w:p>
            <w:pPr>
              <w:jc w:val="center"/>
              <w:ind w:right="500"/>
              <w:spacing w:after="0" w:line="147"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360" w:type="dxa"/>
            <w:vAlign w:val="bottom"/>
            <w:gridSpan w:val="2"/>
            <w:vMerge w:val="continue"/>
          </w:tcPr>
          <w:p>
            <w:pPr>
              <w:spacing w:after="0"/>
              <w:rPr>
                <w:sz w:val="12"/>
                <w:szCs w:val="12"/>
                <w:color w:val="auto"/>
              </w:rPr>
            </w:pPr>
          </w:p>
        </w:tc>
        <w:tc>
          <w:tcPr>
            <w:tcW w:w="7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7"/>
        </w:trPr>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20" w:type="dxa"/>
            <w:vAlign w:val="bottom"/>
            <w:gridSpan w:val="2"/>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in Cash</w:t>
            </w:r>
          </w:p>
        </w:tc>
        <w:tc>
          <w:tcPr>
            <w:tcW w:w="1140" w:type="dxa"/>
            <w:vAlign w:val="bottom"/>
            <w:gridSpan w:val="2"/>
          </w:tcPr>
          <w:p>
            <w:pPr>
              <w:jc w:val="center"/>
              <w:ind w:right="480"/>
              <w:spacing w:after="0" w:line="147"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360" w:type="dxa"/>
            <w:vAlign w:val="bottom"/>
            <w:gridSpan w:val="2"/>
          </w:tcPr>
          <w:p>
            <w:pPr>
              <w:jc w:val="right"/>
              <w:ind w:right="480"/>
              <w:spacing w:after="0" w:line="147"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360" w:type="dxa"/>
            <w:vAlign w:val="bottom"/>
            <w:gridSpan w:val="2"/>
          </w:tcPr>
          <w:p>
            <w:pPr>
              <w:jc w:val="center"/>
              <w:ind w:right="480"/>
              <w:spacing w:after="0" w:line="14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60" w:type="dxa"/>
            <w:vAlign w:val="bottom"/>
            <w:gridSpan w:val="2"/>
          </w:tcPr>
          <w:p>
            <w:pPr>
              <w:jc w:val="right"/>
              <w:ind w:right="480"/>
              <w:spacing w:after="0" w:line="147"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880" w:type="dxa"/>
            <w:vAlign w:val="bottom"/>
            <w:gridSpan w:val="2"/>
            <w:vMerge w:val="continue"/>
          </w:tcPr>
          <w:p>
            <w:pPr>
              <w:spacing w:after="0"/>
              <w:rPr>
                <w:sz w:val="13"/>
                <w:szCs w:val="13"/>
                <w:color w:val="auto"/>
              </w:rPr>
            </w:pPr>
          </w:p>
        </w:tc>
        <w:tc>
          <w:tcPr>
            <w:tcW w:w="6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80" w:type="dxa"/>
            <w:vAlign w:val="bottom"/>
          </w:tcPr>
          <w:p>
            <w:pPr>
              <w:spacing w:after="0"/>
              <w:rPr>
                <w:sz w:val="13"/>
                <w:szCs w:val="13"/>
                <w:color w:val="auto"/>
              </w:rPr>
            </w:pPr>
          </w:p>
        </w:tc>
        <w:tc>
          <w:tcPr>
            <w:tcW w:w="6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3"/>
                <w:szCs w:val="13"/>
                <w:color w:val="auto"/>
              </w:rPr>
            </w:pPr>
          </w:p>
        </w:tc>
        <w:tc>
          <w:tcPr>
            <w:tcW w:w="880" w:type="dxa"/>
            <w:vAlign w:val="bottom"/>
          </w:tcPr>
          <w:p>
            <w:pPr>
              <w:jc w:val="right"/>
              <w:ind w:right="281"/>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3"/>
                <w:szCs w:val="13"/>
                <w:color w:val="auto"/>
              </w:rPr>
            </w:pPr>
          </w:p>
        </w:tc>
        <w:tc>
          <w:tcPr>
            <w:tcW w:w="1360" w:type="dxa"/>
            <w:vAlign w:val="bottom"/>
            <w:gridSpan w:val="2"/>
          </w:tcPr>
          <w:p>
            <w:pPr>
              <w:jc w:val="center"/>
              <w:ind w:right="480"/>
              <w:spacing w:after="0" w:line="15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80" w:type="dxa"/>
            <w:vAlign w:val="bottom"/>
          </w:tcPr>
          <w:p>
            <w:pPr>
              <w:jc w:val="right"/>
              <w:ind w:right="280"/>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3"/>
                <w:szCs w:val="13"/>
                <w:color w:val="auto"/>
              </w:rPr>
            </w:pPr>
          </w:p>
        </w:tc>
        <w:tc>
          <w:tcPr>
            <w:tcW w:w="640" w:type="dxa"/>
            <w:vAlign w:val="bottom"/>
          </w:tcPr>
          <w:p>
            <w:pPr>
              <w:jc w:val="right"/>
              <w:ind w:right="158"/>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8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Thomas W. Sweet</w:t>
            </w:r>
          </w:p>
        </w:tc>
        <w:tc>
          <w:tcPr>
            <w:tcW w:w="6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150,000</w:t>
            </w: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0</w:t>
            </w: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0</w:t>
            </w: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0</w:t>
            </w: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0</w:t>
            </w: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150,000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Galanti</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75,787</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8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Todd Bluedorn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5" w:lineRule="exact"/>
        <w:rPr>
          <w:sz w:val="20"/>
          <w:szCs w:val="20"/>
          <w:color w:val="auto"/>
        </w:rPr>
      </w:pPr>
    </w:p>
    <w:p>
      <w:pPr>
        <w:ind w:left="600" w:right="120" w:hanging="433"/>
        <w:spacing w:after="0" w:line="228" w:lineRule="auto"/>
        <w:tabs>
          <w:tab w:leader="none" w:pos="60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represents the aggregate grant date fair value of (i) RSUs for Common Units of the Aggregator (which were converted into RSUs covering shares of Medline Inc. common stock in connection with Medline’s initial public offering) granted to Mr. Galanti on September 5, 2025 in connection with the commencement of his service and (ii) RSUs granted to Mr. Bluedorn on December 16, 2025 in connection with the commencement of his service. The grant date fair value was calculated in accordance with ASC Topic 718. As of December 31, 2025, all of the RSUs held by each of Mr. Sweet (12,413), Mr. Galanti (11,005), and Mr. Bluedorn (10,345) were unvested. Mr. Sweet was granted RSUs for Common Units in the Aggregator in connection with his commencement of services on September 27, 2024, which were converted into RSUs covering shares of Medline Inc. common stock in connection with Medline’s initial public offering.</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080"/>
          </w:cols>
          <w:pgMar w:left="320" w:top="452" w:right="4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3" w:lineRule="exact"/>
        <w:rPr>
          <w:sz w:val="20"/>
          <w:szCs w:val="20"/>
          <w:color w:val="auto"/>
        </w:rPr>
      </w:pPr>
    </w:p>
    <w:p>
      <w:pPr>
        <w:ind w:left="160" w:right="4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The agreements described in this section are filed as exhibits to the registration statement of which this prospectus forms a part, and the following descriptions are qualified by reference thereto.</w:t>
      </w:r>
    </w:p>
    <w:p>
      <w:pPr>
        <w:spacing w:after="0" w:line="2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Director Nomination Agreements</w:t>
      </w:r>
    </w:p>
    <w:p>
      <w:pPr>
        <w:spacing w:after="0" w:line="118"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In connection with the IPO Transactions, we entered into separate director nomination agreements with each Designating Stockholder that, among other things, permit such Designating Stockholder to designate an agreed number of individuals as directors (such directors, the “Designated Directors” and each, a “Designated Director”), for so long as such Designating Stockholder continues to beneficially own at least 5% of the outstanding shares of Class A common stock, assuming exchange of all Common Units. Each Designating Stockholder has the right to designate a number of directors to our board of directors (rounded up to the nearest whole number) equal to the product of (i) the number of directors on the board of directors of Medline Inc. multiplied by (ii), a fraction, the numerator of which is the aggregate number of shares of our Class A common stock, assuming exchange of all Common Units, beneficially owned by such Designating Stockholder and the denominator of which is the total number of shares of our Class A common stock outstanding, assuming exchange of all Common Units. Notwithstanding the foregoing, Designated Directors designated by the Mills Family may not exceed 20% of our total number of directors. If the number of Designated Directors permitted to be designated by the Mills Family is reduced as a result of such 20% cap, it may designate non-voting observers in lieu thereof. Accordingly, the specific number of directors and/or non-voting observers that each Designating Stockholder is entitled to designate depends on such Designating Stockholder’s beneficial ownership as well as the size of our board of directors. Although a Designating Stockholder may be permitted to designate a certain number of individuals pursuant to the foregoing provisions, there is no requirement that such Designating Stockholder designate all (or any) such individuals. Medline Inc. was advised by the Designating Stockholders that, at the time of our IPO, Blackstone, Carlyle, H&amp;F, and the Mills Family each designated two directors. See “Management —Background and Experience of Directors” for information regarding which of the directors of Medline Inc. were designated by the relevant Designating Stockholder.</w:t>
      </w:r>
    </w:p>
    <w:p>
      <w:pPr>
        <w:spacing w:after="0" w:line="188" w:lineRule="exact"/>
        <w:rPr>
          <w:sz w:val="20"/>
          <w:szCs w:val="20"/>
          <w:color w:val="auto"/>
        </w:rPr>
      </w:pPr>
    </w:p>
    <w:p>
      <w:pPr>
        <w:jc w:val="both"/>
        <w:ind w:left="160" w:right="140" w:firstLine="436"/>
        <w:spacing w:after="0" w:line="263" w:lineRule="auto"/>
        <w:rPr>
          <w:sz w:val="20"/>
          <w:szCs w:val="20"/>
          <w:color w:val="auto"/>
        </w:rPr>
      </w:pPr>
      <w:r>
        <w:rPr>
          <w:rFonts w:ascii="Times New Roman" w:cs="Times New Roman" w:eastAsia="Times New Roman" w:hAnsi="Times New Roman"/>
          <w:sz w:val="18"/>
          <w:szCs w:val="18"/>
          <w:color w:val="auto"/>
        </w:rPr>
        <w:t>Each of our Designating Stockholders (other than the Mills Family) agreed, severally and not jointly, to vote, or cause to be voted, the respective shares of the Class A common stock or Class B common stock, as applicable, beneficially owned or controlled by them in favor of the Company slate that is included in our proxy statement in accordance with the terms of the director nomination agreements.</w:t>
      </w:r>
    </w:p>
    <w:p>
      <w:pPr>
        <w:spacing w:after="0" w:line="175" w:lineRule="exact"/>
        <w:rPr>
          <w:sz w:val="20"/>
          <w:szCs w:val="20"/>
          <w:color w:val="auto"/>
        </w:rPr>
      </w:pPr>
    </w:p>
    <w:p>
      <w:pPr>
        <w:ind w:left="160" w:right="840" w:firstLine="436"/>
        <w:spacing w:after="0" w:line="278" w:lineRule="auto"/>
        <w:rPr>
          <w:sz w:val="20"/>
          <w:szCs w:val="20"/>
          <w:color w:val="auto"/>
        </w:rPr>
      </w:pPr>
      <w:r>
        <w:rPr>
          <w:rFonts w:ascii="Times New Roman" w:cs="Times New Roman" w:eastAsia="Times New Roman" w:hAnsi="Times New Roman"/>
          <w:sz w:val="18"/>
          <w:szCs w:val="18"/>
          <w:color w:val="auto"/>
        </w:rPr>
        <w:t>For so long as the director nomination agreements remain in effect, Designated Directors may be removed only with the consent of the Designating Stockholder that designated such Designated Director.</w:t>
      </w:r>
    </w:p>
    <w:p>
      <w:pPr>
        <w:spacing w:after="0" w:line="162" w:lineRule="exact"/>
        <w:rPr>
          <w:sz w:val="20"/>
          <w:szCs w:val="20"/>
          <w:color w:val="auto"/>
        </w:rPr>
      </w:pPr>
    </w:p>
    <w:p>
      <w:pPr>
        <w:ind w:left="160" w:right="140" w:firstLine="436"/>
        <w:spacing w:after="0" w:line="254" w:lineRule="auto"/>
        <w:rPr>
          <w:sz w:val="20"/>
          <w:szCs w:val="20"/>
          <w:color w:val="auto"/>
        </w:rPr>
      </w:pPr>
      <w:r>
        <w:rPr>
          <w:rFonts w:ascii="Times New Roman" w:cs="Times New Roman" w:eastAsia="Times New Roman" w:hAnsi="Times New Roman"/>
          <w:sz w:val="18"/>
          <w:szCs w:val="18"/>
          <w:color w:val="auto"/>
        </w:rPr>
        <w:t>In addition, the director nomination agreements, in certain circumstances, permit our Designating Stockholders and their affiliates to assign their rights and obligations under the agreements, in whole or in part. Furthermore, the director nomination agreements require us to cooperate with our Designating Stockholders in connection with certain future pledges, hypothecations, grants of security interest in, or transfers (including to third party investors) of any or all of the Class A common stock or Common Units held by our Designating Stockholders, including to banks or financial institutions as collateral or security for loans, advances or extensions of credit. Moreover, the director nomination agreements provide our Designating Stockholders with information rights.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Information and Access Agreement</w:t>
      </w:r>
    </w:p>
    <w:p>
      <w:pPr>
        <w:spacing w:after="0" w:line="118" w:lineRule="exact"/>
        <w:rPr>
          <w:sz w:val="20"/>
          <w:szCs w:val="20"/>
          <w:color w:val="auto"/>
        </w:rPr>
      </w:pPr>
    </w:p>
    <w:p>
      <w:pPr>
        <w:ind w:left="160" w:right="260" w:firstLine="436"/>
        <w:spacing w:after="0" w:line="263" w:lineRule="auto"/>
        <w:rPr>
          <w:sz w:val="20"/>
          <w:szCs w:val="20"/>
          <w:color w:val="auto"/>
        </w:rPr>
      </w:pPr>
      <w:r>
        <w:rPr>
          <w:rFonts w:ascii="Times New Roman" w:cs="Times New Roman" w:eastAsia="Times New Roman" w:hAnsi="Times New Roman"/>
          <w:sz w:val="18"/>
          <w:szCs w:val="18"/>
          <w:color w:val="auto"/>
        </w:rPr>
        <w:t>In connection with our IPO, we entered into an information and access agreement with Hux that, among other things, permits Hux to designate one non-voting observer to our board of directors for so long as Hux continues to beneficially own at least 5% of the outstanding shares of Class A common stock, assuming exchange of all Common Units. In addition, the information and access agreement, in certain circumstances,</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060"/>
          </w:cols>
          <w:pgMar w:left="320" w:top="452" w:right="51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500"/>
        <w:spacing w:after="0" w:line="278" w:lineRule="auto"/>
        <w:rPr>
          <w:sz w:val="20"/>
          <w:szCs w:val="20"/>
          <w:color w:val="auto"/>
        </w:rPr>
      </w:pPr>
      <w:r>
        <w:rPr>
          <w:rFonts w:ascii="Times New Roman" w:cs="Times New Roman" w:eastAsia="Times New Roman" w:hAnsi="Times New Roman"/>
          <w:sz w:val="18"/>
          <w:szCs w:val="18"/>
          <w:color w:val="auto"/>
        </w:rPr>
        <w:t>permits Hux and its affiliates to assign their rights and obligations under the agreement, in whole or in part. Moreover, the information and access agreement provides Hux and its affiliates with information rights.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Exchange Agreement</w:t>
      </w:r>
    </w:p>
    <w:p>
      <w:pPr>
        <w:spacing w:after="0" w:line="118" w:lineRule="exact"/>
        <w:rPr>
          <w:sz w:val="20"/>
          <w:szCs w:val="20"/>
          <w:color w:val="auto"/>
        </w:rPr>
      </w:pPr>
    </w:p>
    <w:p>
      <w:pPr>
        <w:ind w:left="160" w:right="20" w:firstLine="436"/>
        <w:spacing w:after="0" w:line="250" w:lineRule="auto"/>
        <w:rPr>
          <w:sz w:val="20"/>
          <w:szCs w:val="20"/>
          <w:color w:val="auto"/>
        </w:rPr>
      </w:pPr>
      <w:r>
        <w:rPr>
          <w:rFonts w:ascii="Times New Roman" w:cs="Times New Roman" w:eastAsia="Times New Roman" w:hAnsi="Times New Roman"/>
          <w:sz w:val="18"/>
          <w:szCs w:val="18"/>
          <w:color w:val="auto"/>
        </w:rPr>
        <w:t>In connection with the Reorganization Transactions and IPO Transactions, we entered into an exchange agreement (the “Exchange Agreement”) with the Continuing Unitholders pursuant to which each holder of Common Units (including Common Units issued upon conversion of vested Incentive Units) (and certain permitted transferees thereof) may (subject to the terms of the exchange agreement) exchange their Common Units for shares of our Class A common stock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Class A common stock received upon such exchanges during a restricted period is subject to the applicable restrictions. The exchange agreement also provides that a holder of Common Units does not have the right to exchange Common Units if Medline Inc. determines that such exchange would be prohibited by law or regulation or would violate other agreements with Medline Inc. to which the holder of Common Units may be subject. Medline Inc. may impose additional restrictions on exchange that it determines to be necessary or advisable so that Medline Holdings is not treated as a “publicly traded partnership” for U.S. federal income tax purposes. As a holder exchanges Common Units for shares of Class A common stock, the number of Common Units held by Medline Inc. is correspondingly increased as it acquires the exchanged Common Units. Holders of outstanding Common Units do not have the right to require a redemption of the Common Units.</w:t>
      </w:r>
    </w:p>
    <w:p>
      <w:pPr>
        <w:spacing w:after="0" w:line="2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18"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In connection with the IPO Transactions, we entered into a registration rights agreement with our Principal Stockholders and our Other Pre-IPO Investors, which provides for customary “demand” registrations and “piggyback” registration rights. The registration rights agreement also provides that we will pay certain expenses relating to such registrations and indemnify the registration rights holders against (or make contributions in respect of) certain liabilities which may arise under the Securities Act.</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118" w:lineRule="exact"/>
        <w:rPr>
          <w:sz w:val="20"/>
          <w:szCs w:val="20"/>
          <w:color w:val="auto"/>
        </w:rPr>
      </w:pPr>
    </w:p>
    <w:p>
      <w:pPr>
        <w:ind w:left="160" w:firstLine="436"/>
        <w:spacing w:after="0" w:line="266" w:lineRule="auto"/>
        <w:rPr>
          <w:sz w:val="20"/>
          <w:szCs w:val="20"/>
          <w:color w:val="auto"/>
        </w:rPr>
      </w:pPr>
      <w:r>
        <w:rPr>
          <w:rFonts w:ascii="Times New Roman" w:cs="Times New Roman" w:eastAsia="Times New Roman" w:hAnsi="Times New Roman"/>
          <w:sz w:val="17"/>
          <w:szCs w:val="17"/>
          <w:color w:val="auto"/>
        </w:rPr>
        <w:t>In connection with the Reorganization Transactions, Medline Inc. entered into a tax receivable agreement with certain of our pre-IPO owners that provides for the payment by Medline Inc. to such pre-IPO owners of 90% of certain tax benefits, if any, that Medline Inc. actually realizes, or is deemed to realize (calculated using certain assumptions), as a result of (i) Medline Inc.’s allocable share of existing tax basis in Medline Holdings’ assets acquired in our IPO,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our IPO, including the exchange of Common Units for shares of our Class A common stock by the selling stockholders in connection with this offering, (iii) Medline Inc.’s utilization of certain tax attributes (including any existing tax basis) of the Blocker Companies, which Medline Inc. acquired in connection with our IPO, and (iv) certain other tax benefits related to entering into the tax receivable agreement, including tax benefits attributable to payments under the tax receivable agreement. Sales or exchanges of Common Units (including Common Units issued upon conversion of vested Incentive Units) by Continuing Unitholders to Medline Inc. are expected to result in increases in the tax basis of the assets of Medline Holdings. The existing tax basis, increases in existing tax basis, and the tax basis adjustments generated over time may increase (for tax purposes) Medline Inc.’s depreciation and amortization deductions available to Medline Inc. and, therefore, may reduce the amount of U.S. federal, state, and local tax that Medline Inc. would otherwise be required to pay in the future. It is possible that the IRS may challenge all or part of the validity of such tax basis or other tax attributes covered by the tax receivable agreement, and a court could sustain such a challenge. Medline Inc.’s allocable</w:t>
      </w:r>
    </w:p>
    <w:p>
      <w:pPr>
        <w:spacing w:after="0" w:line="11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060"/>
          </w:cols>
          <w:pgMar w:left="320" w:top="452" w:right="51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20"/>
        <w:spacing w:after="0" w:line="249" w:lineRule="auto"/>
        <w:rPr>
          <w:sz w:val="20"/>
          <w:szCs w:val="20"/>
          <w:color w:val="auto"/>
        </w:rPr>
      </w:pPr>
      <w:r>
        <w:rPr>
          <w:rFonts w:ascii="Times New Roman" w:cs="Times New Roman" w:eastAsia="Times New Roman" w:hAnsi="Times New Roman"/>
          <w:sz w:val="18"/>
          <w:szCs w:val="18"/>
          <w:color w:val="auto"/>
        </w:rPr>
        <w:t>share of existing tax basis acquired in the IPO and the increase in Medline Inc.’s allocable share of existing tax basis and the anticipated tax basis adjustments upon purchases or exchanges of Common Units (including Common Units issued upon conversion of vested Incentive Units) for shares of Class A common stock may also decrease gains (or increase losses) on future dispositions of certain assets to the extent tax basis is allocated to those assets. Actual tax benefits realized by Medline Inc. may differ from tax benefits calculated under the tax receivable agreement as a result of the use of certain assumptions in the tax receivable agreement, including the use of an assumed blended state and local income tax rate of 6% (as adjusted to take into account the U.S. federal tax benefit of such taxes) to calculate tax benefits. The payment obligation under the tax receivable agreement is an obligation of Medline Inc. and not of Medline Holdings. For purposes of the tax receivable agreement, the cash tax benefits will be generally computed by comparing the actual income tax liability of Medline Inc. to the amount of such taxes that Medline Inc. would have been required to pay had it not had use of the tax attributes covered by the tax receivable agreement. The actual and hypothetical tax liabilities determined in the tax receivable agreement will be calculated using the actual U.S. federal income tax rate in effect for the applicable period and an assumed blended state and local income tax rate of 6% (as adjusted to take into account the U.S. federal tax benefit of such taxes). Payments under the tax receivable agreement are generally due annually five business days following finalization of a schedule showing the relevant tax benefit calculations that is required to be delivered by Medline Inc. within 120 calendar days following the due date (including extensions) of its U.S. corporation income tax return, and interest on such payments will accrue from the due date (without extensions) of such tax return. The term of the tax receivable agreement will continue until all such tax benefits have been utilized or expired. Additionally, in the event of certain changes of control, certain material breaches of the tax receivable agreement by Medline Inc., or an insolvency event, the calculation of certain future payments made under the tax receivable agreement will utilize certain valuation assumptions. Estimating the amount of payments that may be made under the tax receivable agreement is by its nature imprecise, insofar as the calculation of amounts payable depends on a variety of factors. The increase in Medline Inc.’s allocable share of existing tax basis and the anticipated tax basis adjustments upon the purchase or exchange of Common Units (including Common Units issued upon conversion of vested Incentive Units) for shares of Class A common stock, as well as the amount and timing of any payments under the tax receivable agreement, will vary depending upon a number of factors, including:</w:t>
      </w:r>
    </w:p>
    <w:p>
      <w:pPr>
        <w:spacing w:after="0" w:line="102" w:lineRule="exact"/>
        <w:rPr>
          <w:sz w:val="20"/>
          <w:szCs w:val="20"/>
          <w:color w:val="auto"/>
        </w:rPr>
      </w:pPr>
    </w:p>
    <w:p>
      <w:pPr>
        <w:ind w:left="1140" w:hanging="438"/>
        <w:spacing w:after="0" w:line="256" w:lineRule="auto"/>
        <w:tabs>
          <w:tab w:leader="none" w:pos="11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timing of purchases or exchanges</w:t>
      </w:r>
      <w:r>
        <w:rPr>
          <w:rFonts w:ascii="Times New Roman" w:cs="Times New Roman" w:eastAsia="Times New Roman" w:hAnsi="Times New Roman"/>
          <w:sz w:val="18"/>
          <w:szCs w:val="18"/>
          <w:color w:val="auto"/>
        </w:rPr>
        <w:t>—for instance, the increase in any tax deductions will vary depending on the fair market value,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fluctuate over time, of the depreciable or amortizable assets of Medline Holdings at the time of each purchase or exchange. In addition, the increase in Medline Inc.’s allocable share of existing tax basis acquired upon the future exchange of Common Units (including Common Units issued upon conversion of vested Incentive Units) for shares of Class A common stock will vary depending on the amount of remaining existing tax basis at the time of such purchase or exchange;</w:t>
      </w:r>
    </w:p>
    <w:p>
      <w:pPr>
        <w:spacing w:after="0" w:line="86" w:lineRule="exact"/>
        <w:rPr>
          <w:rFonts w:ascii="Times New Roman" w:cs="Times New Roman" w:eastAsia="Times New Roman" w:hAnsi="Times New Roman"/>
          <w:sz w:val="18"/>
          <w:szCs w:val="18"/>
          <w:color w:val="auto"/>
        </w:rPr>
      </w:pPr>
    </w:p>
    <w:p>
      <w:pPr>
        <w:ind w:left="1140" w:right="20" w:hanging="438"/>
        <w:spacing w:after="0" w:line="264" w:lineRule="auto"/>
        <w:tabs>
          <w:tab w:leader="none" w:pos="11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price of shares of Class A common stock at the time of the purchase or exchange</w:t>
      </w:r>
      <w:r>
        <w:rPr>
          <w:rFonts w:ascii="Times New Roman" w:cs="Times New Roman" w:eastAsia="Times New Roman" w:hAnsi="Times New Roman"/>
          <w:sz w:val="18"/>
          <w:szCs w:val="18"/>
          <w:color w:val="auto"/>
        </w:rPr>
        <w:t>—the increase in any tax deductions, as well as the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increase in other assets, of Medline Holdings, is directly proportional to the price of shares of Class A common stock at the time of the purchase or exchange;</w:t>
      </w:r>
    </w:p>
    <w:p>
      <w:pPr>
        <w:spacing w:after="0" w:line="79" w:lineRule="exact"/>
        <w:rPr>
          <w:rFonts w:ascii="Times New Roman" w:cs="Times New Roman" w:eastAsia="Times New Roman" w:hAnsi="Times New Roman"/>
          <w:sz w:val="18"/>
          <w:szCs w:val="18"/>
          <w:color w:val="auto"/>
        </w:rPr>
      </w:pPr>
    </w:p>
    <w:p>
      <w:pPr>
        <w:ind w:left="1140" w:right="260" w:hanging="438"/>
        <w:spacing w:after="0" w:line="280" w:lineRule="auto"/>
        <w:tabs>
          <w:tab w:leader="none" w:pos="11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extent to which such purchases or exchanges do not result in a basis adjustment</w:t>
      </w:r>
      <w:r>
        <w:rPr>
          <w:rFonts w:ascii="Times New Roman" w:cs="Times New Roman" w:eastAsia="Times New Roman" w:hAnsi="Times New Roman"/>
          <w:sz w:val="18"/>
          <w:szCs w:val="18"/>
          <w:color w:val="auto"/>
        </w:rPr>
        <w:t>—if a purchase or an exchange does not result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to existing basis, increased deductions will not be available;</w:t>
      </w:r>
    </w:p>
    <w:p>
      <w:pPr>
        <w:spacing w:after="0" w:line="65" w:lineRule="exact"/>
        <w:rPr>
          <w:rFonts w:ascii="Times New Roman" w:cs="Times New Roman" w:eastAsia="Times New Roman" w:hAnsi="Times New Roman"/>
          <w:sz w:val="18"/>
          <w:szCs w:val="18"/>
          <w:color w:val="auto"/>
        </w:rPr>
      </w:pPr>
    </w:p>
    <w:p>
      <w:pPr>
        <w:ind w:left="1140" w:right="220" w:hanging="438"/>
        <w:spacing w:after="0" w:line="280" w:lineRule="auto"/>
        <w:tabs>
          <w:tab w:leader="none" w:pos="11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amount of tax attributes</w:t>
      </w:r>
      <w:r>
        <w:rPr>
          <w:rFonts w:ascii="Times New Roman" w:cs="Times New Roman" w:eastAsia="Times New Roman" w:hAnsi="Times New Roman"/>
          <w:sz w:val="18"/>
          <w:szCs w:val="18"/>
          <w:color w:val="auto"/>
        </w:rPr>
        <w:t>—the amount of applicable tax attributes of the Blocker Companies at the time of the Blocker Transfers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the amount and timing of payments under the tax receivable agreement;</w:t>
      </w:r>
    </w:p>
    <w:p>
      <w:pPr>
        <w:spacing w:after="0" w:line="65" w:lineRule="exact"/>
        <w:rPr>
          <w:rFonts w:ascii="Times New Roman" w:cs="Times New Roman" w:eastAsia="Times New Roman" w:hAnsi="Times New Roman"/>
          <w:sz w:val="18"/>
          <w:szCs w:val="18"/>
          <w:color w:val="auto"/>
        </w:rPr>
      </w:pPr>
    </w:p>
    <w:p>
      <w:pPr>
        <w:ind w:left="1140" w:right="60" w:hanging="438"/>
        <w:spacing w:after="0" w:line="258" w:lineRule="auto"/>
        <w:tabs>
          <w:tab w:leader="none" w:pos="11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tax rates</w:t>
      </w:r>
      <w:r>
        <w:rPr>
          <w:rFonts w:ascii="Times New Roman" w:cs="Times New Roman" w:eastAsia="Times New Roman" w:hAnsi="Times New Roman"/>
          <w:sz w:val="18"/>
          <w:szCs w:val="18"/>
          <w:color w:val="auto"/>
        </w:rPr>
        <w:t>—payments under the tax receivable agreement will be calculated using the actual U.S. federal income tax rate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for the applicable period and an assumed blended state and local income tax rate of 6% (as adjusted to take into account the U.S. federal tax benefit of such taxes), so changes in the U.S. federal income tax rate will impact the magnitude of cash tax benefits covered by the tax receivable agreement and the amount of payments under the tax receivable agreement; and</w:t>
      </w:r>
    </w:p>
    <w:p>
      <w:pPr>
        <w:spacing w:after="0" w:line="1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040"/>
          </w:cols>
          <w:pgMar w:left="320" w:top="451" w:right="5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3" w:lineRule="exact"/>
        <w:rPr>
          <w:sz w:val="20"/>
          <w:szCs w:val="20"/>
          <w:color w:val="auto"/>
        </w:rPr>
      </w:pPr>
    </w:p>
    <w:p>
      <w:pPr>
        <w:ind w:left="1140" w:right="20" w:hanging="438"/>
        <w:spacing w:after="0" w:line="253" w:lineRule="auto"/>
        <w:tabs>
          <w:tab w:leader="none" w:pos="11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amount and timing of our income</w:t>
      </w:r>
      <w:r>
        <w:rPr>
          <w:rFonts w:ascii="Times New Roman" w:cs="Times New Roman" w:eastAsia="Times New Roman" w:hAnsi="Times New Roman"/>
          <w:sz w:val="18"/>
          <w:szCs w:val="18"/>
          <w:color w:val="auto"/>
        </w:rPr>
        <w:t>—Medline Inc. is obligated to pay 90% of the cash tax benefits under the tax receivable agreement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when realized. If Medline Inc. does not have taxable income, Medline Inc. is generally not required (absent the event of certain changes of control, certain material breaches of the tax receivable agreement by Medline Inc., or an insolvency event) to make payments under the tax receivable agreement for a taxable year in which it does not have taxable income, because no cash tax benefits will have been realized. However, any tax attributes that do not result in realized benefits in a given tax year will likely generate tax attributes that may be utilized to generate benefits in previous or future tax years. The utilization of such tax attributes will result in cash tax benefits that will result in payments under the tax receivable agreement.</w:t>
      </w:r>
    </w:p>
    <w:p>
      <w:pPr>
        <w:spacing w:after="0" w:line="186"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We expect that as a result of the size of Medline Inc.’s allocable share of existing tax basis acquired in the IPO (including such existing tax basis acquired from the Blocker Companies pursuant to the Blocker Transfers), the increase in Medline Inc.’s allocable share of existing tax basis and the anticipated tax basis adjustment of the tangible and intangible assets of Medline Holdings upon the purchase or exchange of Common Units (including Common Units issued upon conversion of vested Incentive Units) in connection with or after the IPO and our possible utilization of certain tax attributes (including any existing tax basis), the payments that we may make under the tax receivable agreement will be substantial. Late payments under the tax receivable agreement generally will accrue interest at an uncapped rate equal to one year SOFR plus 500 basis points. The payments under the tax receivable agreement are not conditioned upon continued ownership of us by the pre-IPO owners.</w:t>
      </w:r>
    </w:p>
    <w:p>
      <w:pPr>
        <w:spacing w:after="0" w:line="184"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In the event of certain changes of control, certain material breaches of the tax receivable agreement by Medline Inc., or an insolvency event, the calculation of certain future payments made under the tax receivable agreement will utilize certain valuation assumptions, including that (i) in the case of a change of control, any Common Units (including Common Units issued or that would have been issued upon conversion of vested Incentive Units) that have not been exchanged are deemed exchanged for the market value of the shares of our Class A common stock at the time of the change of control and (ii) Medline Inc. will have sufficient taxable income to fully utilize (A) the tax attributes covered by the tax receivable agreement and (B) any remaining net operating losses subject to the tax receivable agreement on a straight line basis over the shorter of the statutory expiration period for such net operating losses or the five-year period after the change of control or other relevant event.</w:t>
      </w:r>
    </w:p>
    <w:p>
      <w:pPr>
        <w:spacing w:after="0" w:line="184" w:lineRule="exact"/>
        <w:rPr>
          <w:sz w:val="20"/>
          <w:szCs w:val="20"/>
          <w:color w:val="auto"/>
        </w:rPr>
      </w:pPr>
    </w:p>
    <w:p>
      <w:pPr>
        <w:jc w:val="both"/>
        <w:ind w:left="160" w:right="60" w:firstLine="436"/>
        <w:spacing w:after="0" w:line="258" w:lineRule="auto"/>
        <w:rPr>
          <w:sz w:val="20"/>
          <w:szCs w:val="20"/>
          <w:color w:val="auto"/>
        </w:rPr>
      </w:pPr>
      <w:r>
        <w:rPr>
          <w:rFonts w:ascii="Times New Roman" w:cs="Times New Roman" w:eastAsia="Times New Roman" w:hAnsi="Times New Roman"/>
          <w:sz w:val="18"/>
          <w:szCs w:val="18"/>
          <w:color w:val="auto"/>
        </w:rPr>
        <w:t>As a result, Medline Inc. could be required to make payments under the tax receivable agreement that are greater than the specified percentage of the actual cash tax benefits that Medline Inc. realizes in respect of the tax attributes subject to the tax receivable agreement or that are prior to the actual realization, if any, of such future tax benefits. In these situations, we may be able to defer the timing of our payment obligations under the tax receivable agreement. Otherwise, our obligations under the tax receivable agreement could have a substantial negative impact on our liquidity.</w:t>
      </w:r>
    </w:p>
    <w:p>
      <w:pPr>
        <w:spacing w:after="0" w:line="180" w:lineRule="exact"/>
        <w:rPr>
          <w:sz w:val="20"/>
          <w:szCs w:val="20"/>
          <w:color w:val="auto"/>
        </w:rPr>
      </w:pPr>
    </w:p>
    <w:p>
      <w:pPr>
        <w:ind w:left="160" w:right="60" w:firstLine="436"/>
        <w:spacing w:after="0" w:line="254" w:lineRule="auto"/>
        <w:rPr>
          <w:sz w:val="20"/>
          <w:szCs w:val="20"/>
          <w:color w:val="auto"/>
        </w:rPr>
      </w:pPr>
      <w:r>
        <w:rPr>
          <w:rFonts w:ascii="Times New Roman" w:cs="Times New Roman" w:eastAsia="Times New Roman" w:hAnsi="Times New Roman"/>
          <w:sz w:val="18"/>
          <w:szCs w:val="18"/>
          <w:color w:val="auto"/>
        </w:rPr>
        <w:t>Furthermore, the distribution payments from Medline Holdings may be less than the required payments under the tax receivable agreement and/or Medline Holdings may not have available cash to make its pro rata share of distributions. If, as a result of these timing discrepancies, insufficient distributions from Medline Holdings, lack of liquidity in Medline Holdings, or otherwise, we do not have sufficient funds to make payments under the tax receivable agreement, we may be able to defer the timing of our payment obligation. Alternatively, in such scenarios, we may have to seek to raise additional capital, incur indebtedness, or take other measures to fund the required payments under the tax receivable agreement, and thus our liquidity could be materially adversely affected.</w:t>
      </w:r>
    </w:p>
    <w:p>
      <w:pPr>
        <w:spacing w:after="0" w:line="184"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Decisions made by our pre-IPO owners in the course of running our business may influence the timing and amount of payments that are received by an exchanging or selling existing owner under the tax receivable agreement. For example, the earlier disposition of assets following an exchange generally will accelerate payments under the tax receivable agreement and increase the present value of such payments, and the disposition of assets before an exchange will increase an existing owner’s tax liability without giving rise to any rights of an existing owner to receive payments under the tax receivable agreement.</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080"/>
          </w:cols>
          <w:pgMar w:left="320" w:top="452" w:right="4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we will determine. Medline Inc. will not be reimbursed for any payments previously made under the tax receivable agreement if Medline Inc.’s allocable share of existing tax basis acquired in the IPO and increase upon the purchase or exchange of Common Units (including Common Units issued upon conversion of vested Incentive Units) for share of Class A common stock, the anticipated tax basis adjustments or our utilization of tax attributes are successfully challenged by the IRS, although such amounts may reduce our future obligations, if any, under the tax receivable agreement. As a result, in certain circumstances, payments could be made under the tax receivable agreement in excess of the Medline Inc.’s cash tax benefits.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Medline Holdings Amended and Restated Limited Partnership Agreement</w:t>
      </w:r>
    </w:p>
    <w:p>
      <w:pPr>
        <w:spacing w:after="0" w:line="118" w:lineRule="exact"/>
        <w:rPr>
          <w:sz w:val="20"/>
          <w:szCs w:val="20"/>
          <w:color w:val="auto"/>
        </w:rPr>
      </w:pPr>
    </w:p>
    <w:p>
      <w:pPr>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As a result of the Reorganization Transactions and IPO Transactions, Medline Inc. directly or indirectly holds Common Units in Medline Holdings and is the sole general partner of Medline Holdings. Accordingly, Medline Inc. operates and controls all of the business and affairs of Medline Holdings, and, through Medline Holdings and its operating entity subsidiaries, conducts our business.</w:t>
      </w:r>
    </w:p>
    <w:p>
      <w:pPr>
        <w:spacing w:after="0" w:line="175"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color w:val="auto"/>
        </w:rPr>
        <w:t>Pursuant to the amended and restated limited partnership agreement of Medline Holdings, Medline Inc. has the right to determine when distributions will be made to holders of Common Units and the amount of any such distributions. If a distribution is authorized, such distribution will be made to the holders of Common Units and any participating Incentive Units (as described below) pro rata, in accordance with the percentages of their respective Common Units or Incentive Units, as applicable, held. Incentive Units initially will not be entitled to receive distributions (other than tax distributions) until holders of Common Units have received a minimum return as provided in the amended and restated limited partnership agreement of Medline Holdings. However, Incentive Units will have the benefit of adjustment provisions that will reduce the participation threshold for distributions in respect of which they do not participate until there is no participation threshold, at and after which time the Incentive Units would participate pro rata with distributions on Common Units.</w:t>
      </w:r>
    </w:p>
    <w:p>
      <w:pPr>
        <w:spacing w:after="0" w:line="187" w:lineRule="exact"/>
        <w:rPr>
          <w:sz w:val="20"/>
          <w:szCs w:val="20"/>
          <w:color w:val="auto"/>
        </w:rPr>
      </w:pPr>
    </w:p>
    <w:p>
      <w:pPr>
        <w:ind w:left="160" w:right="60" w:firstLine="436"/>
        <w:spacing w:after="0" w:line="269" w:lineRule="auto"/>
        <w:rPr>
          <w:sz w:val="20"/>
          <w:szCs w:val="20"/>
          <w:color w:val="auto"/>
        </w:rPr>
      </w:pPr>
      <w:r>
        <w:rPr>
          <w:rFonts w:ascii="Times New Roman" w:cs="Times New Roman" w:eastAsia="Times New Roman" w:hAnsi="Times New Roman"/>
          <w:sz w:val="17"/>
          <w:szCs w:val="17"/>
          <w:color w:val="auto"/>
        </w:rPr>
        <w:t>The Continuing Unitholders (including Medline Inc.) will incur U.S. federal, state, and local income taxes on their allocable share of any taxable income of Medline Holdings. Net profits and net losses of Medline Holdings will generally be allocated to its holders (including Medline Inc.) pro rata, in accordance with the percentages of Units held, except as otherwise required by law. The amended and restated limited partnership agreement of Medline Holdings provides for cash distributions, which we refer to as “tax distributions,” to the holders of the Units if Medline Inc., as the general partner of Medline Holdings, determines that a holder, by reason of holding Units, incurs an income tax liability. Generally, these tax distributions will be computed based on our estimate of the net taxable income of Medline Holdings allocated to the holder of Units that receives the greatest proportionate allocation of income multiplied by an assumed tax rate equal to 36% with respect to ordinary income or 30% with respect to capital gains or qualified dividend income, in each case, subject to adjustment by the board. Tax distributions will be pro rata as among the Common Units.</w:t>
      </w:r>
    </w:p>
    <w:p>
      <w:pPr>
        <w:spacing w:after="0" w:line="173" w:lineRule="exact"/>
        <w:rPr>
          <w:sz w:val="20"/>
          <w:szCs w:val="20"/>
          <w:color w:val="auto"/>
        </w:rPr>
      </w:pPr>
    </w:p>
    <w:p>
      <w:pPr>
        <w:ind w:left="160" w:right="20" w:firstLine="436"/>
        <w:spacing w:after="0" w:line="252" w:lineRule="auto"/>
        <w:rPr>
          <w:sz w:val="20"/>
          <w:szCs w:val="20"/>
          <w:color w:val="auto"/>
        </w:rPr>
      </w:pPr>
      <w:r>
        <w:rPr>
          <w:rFonts w:ascii="Times New Roman" w:cs="Times New Roman" w:eastAsia="Times New Roman" w:hAnsi="Times New Roman"/>
          <w:sz w:val="18"/>
          <w:szCs w:val="18"/>
          <w:color w:val="auto"/>
        </w:rPr>
        <w:t>Subject to certain restrictions, pursuant to the terms of the amended and restated limited partnership agreement of Medline Holdings, the holders of vested Incentive Units have the right to convert their vested Incentive Units into a number of Common Units of Medline Holdings that generally are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 Common Units received upon conversion will be exchangeable on a one-for-one basis for shares of Class A common stock of Medline Inc. in accordance with the terms of the exchange agreement as described below. An unvested Incentive Unit is not exchangeable unless and until such Incentive Unit vests.</w:t>
      </w:r>
    </w:p>
    <w:p>
      <w:pPr>
        <w:spacing w:after="0" w:line="187" w:lineRule="exact"/>
        <w:rPr>
          <w:sz w:val="20"/>
          <w:szCs w:val="20"/>
          <w:color w:val="auto"/>
        </w:rPr>
      </w:pPr>
    </w:p>
    <w:p>
      <w:pPr>
        <w:ind w:left="160" w:right="640" w:firstLine="436"/>
        <w:spacing w:after="0" w:line="278" w:lineRule="auto"/>
        <w:rPr>
          <w:sz w:val="20"/>
          <w:szCs w:val="20"/>
          <w:color w:val="auto"/>
        </w:rPr>
      </w:pPr>
      <w:r>
        <w:rPr>
          <w:rFonts w:ascii="Times New Roman" w:cs="Times New Roman" w:eastAsia="Times New Roman" w:hAnsi="Times New Roman"/>
          <w:sz w:val="18"/>
          <w:szCs w:val="18"/>
          <w:color w:val="auto"/>
        </w:rPr>
        <w:t>The amended and restated limited partnership agreement of Medline Holdings also provides that substantially all expenses incurred by or attributable to Medline Inc. (such as expenses incurred in connection</w:t>
      </w:r>
    </w:p>
    <w:p>
      <w:pPr>
        <w:spacing w:after="0" w:line="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040"/>
          </w:cols>
          <w:pgMar w:left="320" w:top="452" w:right="5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400"/>
        <w:spacing w:after="0" w:line="278" w:lineRule="auto"/>
        <w:rPr>
          <w:sz w:val="20"/>
          <w:szCs w:val="20"/>
          <w:color w:val="auto"/>
        </w:rPr>
      </w:pPr>
      <w:r>
        <w:rPr>
          <w:rFonts w:ascii="Times New Roman" w:cs="Times New Roman" w:eastAsia="Times New Roman" w:hAnsi="Times New Roman"/>
          <w:sz w:val="18"/>
          <w:szCs w:val="18"/>
          <w:color w:val="auto"/>
        </w:rPr>
        <w:t>with the IPO), but not including obligations incurred under the tax receivable agreement by Medline Inc., income tax expenses of Medline Inc. and payments on indebtedness incurred by Medline Inc., will be borne by Medline Holdings.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Services Agreements</w:t>
      </w:r>
    </w:p>
    <w:p>
      <w:pPr>
        <w:spacing w:after="0" w:line="118" w:lineRule="exact"/>
        <w:rPr>
          <w:sz w:val="20"/>
          <w:szCs w:val="20"/>
          <w:color w:val="auto"/>
        </w:rPr>
      </w:pPr>
    </w:p>
    <w:p>
      <w:pPr>
        <w:ind w:left="160" w:right="100" w:firstLine="436"/>
        <w:spacing w:after="0" w:line="252" w:lineRule="auto"/>
        <w:rPr>
          <w:sz w:val="20"/>
          <w:szCs w:val="20"/>
          <w:color w:val="auto"/>
        </w:rPr>
      </w:pPr>
      <w:r>
        <w:rPr>
          <w:rFonts w:ascii="Times New Roman" w:cs="Times New Roman" w:eastAsia="Times New Roman" w:hAnsi="Times New Roman"/>
          <w:sz w:val="18"/>
          <w:szCs w:val="18"/>
          <w:color w:val="auto"/>
        </w:rPr>
        <w:t>In connection with the Sponsor Acquisition, Medline Holdings entered into services agreements (the “Services Agreements”) with each of Blackstone Management Partners L.L.C. and Blackstone Capital Partners VIII L.P. (collectively, “BX Management”), Carlyle Investment Management L.L.C. (“Carlyle Management”), Hellman &amp; Friedman LP (“H&amp;F Management”) and Mozart Holdco, Inc. (“Mills Family Holdco,” together with BX Management, Carlyle Management and H&amp;F Management, the “Services Agreement Entities”). Under the Services Agreements, Medline Holdings is required to pay or reimburse the Services Agreement Entities and their affiliates for out-of-pocket costs and expenses incurred on behalf of or in connection with the monitoring and evaluation of the operations of Medline Holdings. Medline Holdings is also required to indemnify each of the Services Agreement Entities and certain of their related persons against, among other things, losses and liabilities incurred in connection with or as a result of the services provided to Medline Holdings or its affiliates pursuant to the applicable Services Agreement.</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made payments pursuant to the Services Agreements to BX Management totaling $270 thousand, $360 thousand, $711 thousand, and</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$784 thousand in the years ended December 31, 2022, 2023, 2024 and the nine months ended September 27, 2025, respectively. We made payments</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pursuant to the Services Agreements to Carlyle Management totaling $244 thousand and $60 thousand in the year ended December 31, 2023 and the</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nine months ended September 27, 2025, respectively. We made payments pursuant to the Services Agreements to H&amp;F Management totaling</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$120 thousand and $133 thousand in the year ended December 31, 2024 and the nine months ended September 27, 2025, respectively. We have not</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made any payments to Mills Family Holdco pursuant to the Services Agreements.</w:t>
      </w:r>
    </w:p>
    <w:p>
      <w:pPr>
        <w:spacing w:after="0" w:line="3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118"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In February 2023, Andrew Mills, a member of our board of directors, received an allocation of term loans under our Senior Secured Credit Facilities (as defined herein), of which $17.8 million and $17.7 million principal remained outstanding as of December 31, 2024 and September 27, 2025, respectively. Borrowings under the Senior Secured Credit Facilities bear interest at a floating rate as further described in “Description of Certain Indebtedness—Senior Secured Credit Facilities—Interest rate and fees.” For the years ended December 31, 2024, 2023 and the nine months ended September 27, 2025, the Company paid Mr. Mills $1.9 million, $0.2 million and $0.1 million in principal and $1.6 million, $1.6 million and $1.1 million in interest, respectively, under the Senior Secured Credit Facilities. For additional details on the terms of the Senior Secured Credit Facilities, see “Description of Certain Indebtedness—Senior Secured Credit Facilities.”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Underwriting of IPO</w:t>
      </w:r>
    </w:p>
    <w:p>
      <w:pPr>
        <w:spacing w:after="0" w:line="118" w:lineRule="exact"/>
        <w:rPr>
          <w:sz w:val="20"/>
          <w:szCs w:val="20"/>
          <w:color w:val="auto"/>
        </w:rPr>
      </w:pPr>
    </w:p>
    <w:p>
      <w:pPr>
        <w:ind w:left="160" w:right="60" w:firstLine="436"/>
        <w:spacing w:after="0" w:line="263" w:lineRule="auto"/>
        <w:rPr>
          <w:sz w:val="20"/>
          <w:szCs w:val="20"/>
          <w:color w:val="auto"/>
        </w:rPr>
      </w:pPr>
      <w:r>
        <w:rPr>
          <w:rFonts w:ascii="Times New Roman" w:cs="Times New Roman" w:eastAsia="Times New Roman" w:hAnsi="Times New Roman"/>
          <w:sz w:val="18"/>
          <w:szCs w:val="18"/>
          <w:color w:val="auto"/>
        </w:rPr>
        <w:t>Blackstone Securities Partners L.P., an affiliate of Blackstone, and TCG Capital Markets L.L.C., an affiliate of Carlyle, underwrote 4,553,194 and 4,553,194 shares, respectively, of the 248,439,654 shares of Class A common stock offered to the market in the IPO, with underwriting discounts and commissions of $0.63173 per share paid by us.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Statement of Policy Regarding Transactions with Related Persons</w:t>
      </w:r>
    </w:p>
    <w:p>
      <w:pPr>
        <w:spacing w:after="0" w:line="118" w:lineRule="exact"/>
        <w:rPr>
          <w:sz w:val="20"/>
          <w:szCs w:val="20"/>
          <w:color w:val="auto"/>
        </w:rPr>
      </w:pPr>
    </w:p>
    <w:p>
      <w:pPr>
        <w:ind w:left="160" w:right="20" w:firstLine="436"/>
        <w:spacing w:after="0" w:line="258" w:lineRule="auto"/>
        <w:rPr>
          <w:sz w:val="20"/>
          <w:szCs w:val="20"/>
          <w:color w:val="auto"/>
        </w:rPr>
      </w:pPr>
      <w:r>
        <w:rPr>
          <w:rFonts w:ascii="Times New Roman" w:cs="Times New Roman" w:eastAsia="Times New Roman" w:hAnsi="Times New Roman"/>
          <w:sz w:val="18"/>
          <w:szCs w:val="18"/>
          <w:color w:val="auto"/>
        </w:rPr>
        <w:t>Our board of directors has adopted a written policy regarding transactions with related persons, which we refer to as our “related party transactions policy.” Our related party transactions policy requires that a “related person” (as defined in paragraph (a) of Item 404 of Regulation S-K) must promptly disclose to our Chief Legal Officer any “related person transaction” (defined as any transaction that is anticipated would be reportable by us</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060"/>
          </w:cols>
          <w:pgMar w:left="320" w:top="452" w:right="51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line="255" w:lineRule="auto"/>
        <w:rPr>
          <w:sz w:val="20"/>
          <w:szCs w:val="20"/>
          <w:color w:val="auto"/>
        </w:rPr>
      </w:pPr>
      <w:r>
        <w:rPr>
          <w:rFonts w:ascii="Times New Roman" w:cs="Times New Roman" w:eastAsia="Times New Roman" w:hAnsi="Times New Roman"/>
          <w:sz w:val="18"/>
          <w:szCs w:val="18"/>
          <w:color w:val="auto"/>
        </w:rPr>
        <w:t>under Item 404(a) of Regulation S-K in which we were or are to be a participant and the amount involved exceeds $120,000 and in which any related person had or will have a direct or indirect material interest) and all material facts with respect thereto. Our Chief Legal Officer will then promptly communicate that information to our audit committee. No related person transaction entered into following the completion of our IPO will be executed without the approval or ratification of our audit committee. It is our policy that directors interested in a related person transaction will recuse themselves from any vote on a related person transaction in which they have an interest.</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118" w:lineRule="exact"/>
        <w:rPr>
          <w:sz w:val="20"/>
          <w:szCs w:val="20"/>
          <w:color w:val="auto"/>
        </w:rPr>
      </w:pPr>
    </w:p>
    <w:p>
      <w:pPr>
        <w:ind w:left="160" w:right="40" w:firstLine="436"/>
        <w:spacing w:after="0" w:line="251" w:lineRule="auto"/>
        <w:rPr>
          <w:sz w:val="20"/>
          <w:szCs w:val="20"/>
          <w:color w:val="auto"/>
        </w:rPr>
      </w:pPr>
      <w:r>
        <w:rPr>
          <w:rFonts w:ascii="Times New Roman" w:cs="Times New Roman" w:eastAsia="Times New Roman" w:hAnsi="Times New Roman"/>
          <w:sz w:val="18"/>
          <w:szCs w:val="18"/>
          <w:color w:val="auto"/>
        </w:rPr>
        <w:t>We have entered into an indemnification agreement with each of our directors and executive officers. The indemnification agreements, together with our amended and restated bylaws, provide that we will indemnify our directors and officers to the fullest extent permitted by the DGCL, subject to limited exceptions. The indemnification agreements, together with our amended and restated bylaws, also require us to advance expenses, including attorneys’ fees, incurred by our directors and officers in defending against proceedings to which they are or are threatened to be made a party or participant, to the fullest extent permitted by law, subject to limited exceptions. In addition, our amended and restated certificate of incorporation provides that our directors and officers will not be liable to us or our stockholders for monetary damages for breach of fiduciary duty as directors or officers to the fullest extent permitted by the DGCL. There is no pending litigation or proceeding naming any of our directors or officers to which indemnification is being sought, and we are not aware of any pending or threatened litigation that may result in claims for indemnification by any director or officer.</w:t>
      </w:r>
    </w:p>
    <w:p>
      <w:pPr>
        <w:spacing w:after="0" w:line="2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Family and Other Relationships</w:t>
      </w:r>
    </w:p>
    <w:p>
      <w:pPr>
        <w:spacing w:after="0" w:line="118" w:lineRule="exact"/>
        <w:rPr>
          <w:sz w:val="20"/>
          <w:szCs w:val="20"/>
          <w:color w:val="auto"/>
        </w:rPr>
      </w:pPr>
    </w:p>
    <w:p>
      <w:pPr>
        <w:ind w:left="160" w:right="40" w:firstLine="436"/>
        <w:spacing w:after="0" w:line="263" w:lineRule="auto"/>
        <w:rPr>
          <w:sz w:val="20"/>
          <w:szCs w:val="20"/>
          <w:color w:val="auto"/>
        </w:rPr>
      </w:pPr>
      <w:r>
        <w:rPr>
          <w:rFonts w:ascii="Times New Roman" w:cs="Times New Roman" w:eastAsia="Times New Roman" w:hAnsi="Times New Roman"/>
          <w:sz w:val="18"/>
          <w:szCs w:val="18"/>
          <w:color w:val="auto"/>
        </w:rPr>
        <w:t>Charles Mills, a member of our board of directors, served as our Chief Executive Officer from 1997 to October 2023 and is the cousin of Andrew Mills. During fiscal 2022 and fiscal 2023, Mr. Mills received total compensation of $1,424,568 and $1,137,984, respectively, including salary, bonus, and 401(k) contributions.</w:t>
      </w:r>
    </w:p>
    <w:p>
      <w:pPr>
        <w:spacing w:after="0" w:line="175" w:lineRule="exact"/>
        <w:rPr>
          <w:sz w:val="20"/>
          <w:szCs w:val="20"/>
          <w:color w:val="auto"/>
        </w:rPr>
      </w:pPr>
    </w:p>
    <w:p>
      <w:pPr>
        <w:ind w:left="160" w:right="100" w:firstLine="436"/>
        <w:spacing w:after="0" w:line="263" w:lineRule="auto"/>
        <w:rPr>
          <w:sz w:val="20"/>
          <w:szCs w:val="20"/>
          <w:color w:val="auto"/>
        </w:rPr>
      </w:pPr>
      <w:r>
        <w:rPr>
          <w:rFonts w:ascii="Times New Roman" w:cs="Times New Roman" w:eastAsia="Times New Roman" w:hAnsi="Times New Roman"/>
          <w:sz w:val="18"/>
          <w:szCs w:val="18"/>
          <w:color w:val="auto"/>
        </w:rPr>
        <w:t>Andrew Mills, a member of our board of directors, served as our President from 1997 to October 2023 and is the cousin of Charles Mills and the brother-in-law of James Abrams (our former Chief Operating Officer and director). During fiscal 2022 and fiscal 2023, Mr. Mills received total compensation of $1,236,135 and $394,036, respectively, including salary, bonus, and 401(k) contributions.</w:t>
      </w:r>
    </w:p>
    <w:p>
      <w:pPr>
        <w:spacing w:after="0" w:line="175"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James Abrams served as a member of our board of directors from 2010 to 2025 and as our Chief Operating Officer from 1997 to October 2023 and is the brother of William J. Abrams, son of Robert Abrams and the brother-in-law of Andrew Mills. During fiscal 2022 and fiscal 2023, Mr. Abrams received total compensation of $1,212,199 and $487,717, respectively, including salary, bonus, and 401(k) contributions.</w:t>
      </w:r>
    </w:p>
    <w:p>
      <w:pPr>
        <w:spacing w:after="0" w:line="175" w:lineRule="exact"/>
        <w:rPr>
          <w:sz w:val="20"/>
          <w:szCs w:val="20"/>
          <w:color w:val="auto"/>
        </w:rPr>
      </w:pPr>
    </w:p>
    <w:p>
      <w:pPr>
        <w:ind w:left="160" w:right="20" w:firstLine="436"/>
        <w:spacing w:after="0" w:line="251" w:lineRule="auto"/>
        <w:rPr>
          <w:sz w:val="20"/>
          <w:szCs w:val="20"/>
          <w:color w:val="auto"/>
        </w:rPr>
      </w:pPr>
      <w:r>
        <w:rPr>
          <w:rFonts w:ascii="Times New Roman" w:cs="Times New Roman" w:eastAsia="Times New Roman" w:hAnsi="Times New Roman"/>
          <w:sz w:val="18"/>
          <w:szCs w:val="18"/>
          <w:color w:val="auto"/>
        </w:rPr>
        <w:t>William J. Abrams is the brother of James Abrams. Mr. Abrams joined Medline in 2009 and has served as our Executive Vice President, Supply Chain Solutions since 2023. During fiscal 2022, fiscal 2023, fiscal 2024, and for the nine months ended September 27, 2025, Mr. Abrams received total compensation of $1,791,278, $1,377,619, $1,913,951, and $1,383,790, respectively, including salary, bonus, equity awards, long term incentives, and 401(k) contributions. Mr. Abrams previously held units in the Company’s Managing Partner Program (the “MPU Program”). The MPU Program was a cash-based incentive plan designed to replicate the economics of owning Company common stock. The Managing Partner Units (“MPUs”) issued pursuant to the MPU Program entitled the MPU Unit holders the opportunity to earn both (i) a share of the Company’s “Adjusted Earnings before Taxes” (the Company’s audited consolidated earnings before taxes as determined in accordance with GAAP, as adjusted for certain items) (“Profit Sharing Distributions”) and (ii) special payments tied to certain liquidity events. In addition to regular Profit Sharing Distributions, executives who held MPUs and remained employed until a liquidity event were eligible to receive the “Liquidity Event MPU Amount,” which is an amount per MPU equal to the price per share of Company common stock paid to holders thereof in connection with the liquidity event, less the book value per share of the Company at the time of the liquidity event. The</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020"/>
          </w:cols>
          <w:pgMar w:left="320" w:top="451" w:right="5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line="254" w:lineRule="auto"/>
        <w:rPr>
          <w:sz w:val="20"/>
          <w:szCs w:val="20"/>
          <w:color w:val="auto"/>
        </w:rPr>
      </w:pPr>
      <w:r>
        <w:rPr>
          <w:rFonts w:ascii="Times New Roman" w:cs="Times New Roman" w:eastAsia="Times New Roman" w:hAnsi="Times New Roman"/>
          <w:sz w:val="18"/>
          <w:szCs w:val="18"/>
          <w:color w:val="auto"/>
        </w:rPr>
        <w:t>Sponsor Acquisition qualified as a liquidity event under the MPU Program and entitled MPU Unit holders, including Mr. Abrams, to the Liquidity Event MPU Amount to be paid in equal one-third installments, with the first installment paid on the date of the Sponsor Acquisition and the remaining installments on the first and second anniversary of the Sponsor Acquisition, subject to the executive’s compliance with certain restrictive covenants and, with respect to 50% of such distributions, the executive’s continued employment on the distribution dates. The Company’s obligations under the MPU Program were satisfied as of October 21, 2023, and no further grants or distributions under the MPU Program will be made in the future. In each of fiscal 2022 and fiscal 2023, Mr. Abrams received distributions on his MPU Units of $11,938,474.</w:t>
      </w:r>
    </w:p>
    <w:p>
      <w:pPr>
        <w:spacing w:after="0" w:line="184" w:lineRule="exact"/>
        <w:rPr>
          <w:sz w:val="20"/>
          <w:szCs w:val="20"/>
          <w:color w:val="auto"/>
        </w:rPr>
      </w:pPr>
    </w:p>
    <w:p>
      <w:pPr>
        <w:ind w:left="160" w:right="280" w:firstLine="436"/>
        <w:spacing w:after="0" w:line="278" w:lineRule="auto"/>
        <w:rPr>
          <w:sz w:val="20"/>
          <w:szCs w:val="20"/>
          <w:color w:val="auto"/>
        </w:rPr>
      </w:pPr>
      <w:r>
        <w:rPr>
          <w:rFonts w:ascii="Times New Roman" w:cs="Times New Roman" w:eastAsia="Times New Roman" w:hAnsi="Times New Roman"/>
          <w:sz w:val="18"/>
          <w:szCs w:val="18"/>
          <w:color w:val="auto"/>
        </w:rPr>
        <w:t>Justin Mills is the son of Andrew Mills. Mr. Mills is currently employed by the Company as a sales representative in Acute Care. During fiscal 2024, Mr. Mills received total compensation of $222,784, including base salary, commission, and other benefits.</w:t>
      </w:r>
    </w:p>
    <w:p>
      <w:pPr>
        <w:spacing w:after="0" w:line="162" w:lineRule="exact"/>
        <w:rPr>
          <w:sz w:val="20"/>
          <w:szCs w:val="20"/>
          <w:color w:val="auto"/>
        </w:rPr>
      </w:pPr>
    </w:p>
    <w:p>
      <w:pPr>
        <w:jc w:val="both"/>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Robert Abrams is the father of James Abrams and William J. Abrams and is currently employed as the Company’s Corporate Purchasing Director. During fiscal 2022, fiscal 2023 and fiscal 2024, Mr. Abrams received total compensation of $133,173, $137,981 and $127,917, respectively, comprised of his base salary.</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MPU Rollover Investments</w:t>
      </w:r>
    </w:p>
    <w:p>
      <w:pPr>
        <w:spacing w:after="0" w:line="118" w:lineRule="exact"/>
        <w:rPr>
          <w:sz w:val="20"/>
          <w:szCs w:val="20"/>
          <w:color w:val="auto"/>
        </w:rPr>
      </w:pPr>
    </w:p>
    <w:p>
      <w:pPr>
        <w:ind w:left="160" w:right="160" w:firstLine="436"/>
        <w:spacing w:after="0" w:line="255" w:lineRule="auto"/>
        <w:rPr>
          <w:sz w:val="20"/>
          <w:szCs w:val="20"/>
          <w:color w:val="auto"/>
        </w:rPr>
      </w:pPr>
      <w:r>
        <w:rPr>
          <w:rFonts w:ascii="Times New Roman" w:cs="Times New Roman" w:eastAsia="Times New Roman" w:hAnsi="Times New Roman"/>
          <w:sz w:val="18"/>
          <w:szCs w:val="18"/>
          <w:color w:val="auto"/>
        </w:rPr>
        <w:t>As described above, in connection with the Sponsor Acquisition, MPU Unit holders were entitled to receive the Liquidity Event MPU Amount with respect to such holder’s MPU Units. MPU Unit holders were permitted to elect to reinvest a portion of the Liquidity Event MPU Amount (the “Reinvestment Amount”) into (a) Class A Units and/or (b) catch-up profits interests (“CUPIs”) in Medline Holdings (the “Reinvestment Program”), in each case, to be held indirectly by the MPU Unit holder through the Aggregator. A portion of the Reinvestment Amount was permitted to be funded through a loan from Medline Holdings, secured by a pledge of the purchased units.</w:t>
      </w:r>
    </w:p>
    <w:p>
      <w:pPr>
        <w:spacing w:after="0" w:line="184"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Pursuant to the terms of the Reinvestment Program, on October 21, 2021: (i) James Boyle reinvested $8,181,419 of his Liquidity Event MPU Amount into Class A Units, of which $5,454,279 was funded by a loan from Medline Holdings; (ii) Michael Drazin reinvested $7,215,170 of his Liquidity Event MPU Amount into CUPIs; (iii) James Pigott reinvested $18,306,416 of his Liquidity Event MPU Amount into Class A Units, of which $12,204,277 was funded by a loan from Medline Holdings; (iv) William J. Abrams reinvested $7,521,238 of his Liquidity Event MPU Amount into Class A Units, of which $5,014,159 was funded by a loan from Medline Holdings; (v) Amanda Laabs reinvested $3,809,629 of her Liquidity Event MPU Amount into Class A Units, of which $2,539,753 was funded by a loan from Medline Holdings; (vi) Alex Liberman reinvested $6,996,528 of his Liquidity Event MPU Amount into Class A Units, of which $4,664,352 was funded by a loan from Medline Holdings; and (vii) Doug Golwas reinvested $7,068,825 of his Liquidity Event MPU Amount into Class A Units, of which $4,712,550 was funded by a loan from Medline Holdings. Loans from Medline Holdings under the Reinvestment Program bore interest at an annual interest rate of 0.25%, compounded annually. Aggregate interest payments paid during the life of the loans by Messrs. Boyle, Pigott, Abrams, Liberman and Golwas and Ms. Laabs totaled $20,454, $45,766, $18,803, $17,491, $17,672, and $9,524, respectively. All loans under the Reinvestment Program were fully repaid as of October 20, 2023.</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060"/>
          </w:cols>
          <w:pgMar w:left="320" w:top="452" w:right="51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PRINCIPAL AND SELLING STOCKHOLDERS</w:t>
      </w:r>
    </w:p>
    <w:p>
      <w:pPr>
        <w:spacing w:after="0" w:line="225" w:lineRule="exact"/>
        <w:rPr>
          <w:sz w:val="20"/>
          <w:szCs w:val="20"/>
          <w:color w:val="auto"/>
        </w:rPr>
      </w:pPr>
    </w:p>
    <w:p>
      <w:pPr>
        <w:ind w:left="160" w:right="40" w:firstLine="436"/>
        <w:spacing w:after="0" w:line="260"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shares of our Class A common stock and our Class B common stock as of        , 2026, by (1) the selling stockholders, (2) each person known to us to beneficially own more than 5% of any class of the outstanding voting securities of Medline Inc., (3) each of our directors and named executive officers and (4) all of our directors and executive officers as a group.</w:t>
      </w:r>
    </w:p>
    <w:p>
      <w:pPr>
        <w:spacing w:after="0" w:line="397" w:lineRule="exact"/>
        <w:rPr>
          <w:sz w:val="20"/>
          <w:szCs w:val="20"/>
          <w:color w:val="auto"/>
        </w:rPr>
      </w:pPr>
    </w:p>
    <w:p>
      <w:pPr>
        <w:ind w:left="160" w:right="40" w:firstLine="436"/>
        <w:spacing w:after="0" w:line="258" w:lineRule="auto"/>
        <w:rPr>
          <w:sz w:val="20"/>
          <w:szCs w:val="20"/>
          <w:color w:val="auto"/>
        </w:rPr>
      </w:pPr>
      <w:r>
        <w:rPr>
          <w:rFonts w:ascii="Times New Roman" w:cs="Times New Roman" w:eastAsia="Times New Roman" w:hAnsi="Times New Roman"/>
          <w:sz w:val="18"/>
          <w:szCs w:val="18"/>
          <w:color w:val="auto"/>
        </w:rPr>
        <w:t>The percentage of beneficial ownership of shares of our Class A common stock and our Class B common stock outstanding before the offering set forth below is based on the number of shares of our Class A common stock and our Class B common stock issued and outstanding as of        , 2026. The percentage of beneficial ownership of our Class A common stock and our Class B common stock after the offering set forth below is based on shares of our Class A common stock and our Class B common stock issued and outstanding immediately after the offering.</w:t>
      </w:r>
    </w:p>
    <w:p>
      <w:pPr>
        <w:spacing w:after="0" w:line="180" w:lineRule="exact"/>
        <w:rPr>
          <w:sz w:val="20"/>
          <w:szCs w:val="20"/>
          <w:color w:val="auto"/>
        </w:rPr>
      </w:pPr>
    </w:p>
    <w:p>
      <w:pPr>
        <w:ind w:left="160" w:right="20" w:firstLine="436"/>
        <w:spacing w:after="0" w:line="252"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These rules generally attribute beneficial ownership of securities to persons who possess sole or shared voting power or investment power with respect to those securities. In addition, these rules require that we include shares of Class A common stock and/or Class B common stock, as applicable, issuable pursuant to the exchange of Common Units, conversion of vested Incentive Units, or otherwise are either immediately exchangeable or convertible within 60 days of        , 2026. These securities are deemed to be outstanding and beneficially owned by the person holding those Common Units or Incentive Units, as applicable,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securities shown as beneficially owned by them, subject to applicable community property laws.</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Except as otherwise noted below, the address for persons listed in the table is c/o Medline Inc., 3 Lakes Drive, Northfield, Illinois 60093.</w:t>
      </w:r>
    </w:p>
    <w:p>
      <w:pPr>
        <w:spacing w:after="0" w:line="221" w:lineRule="exact"/>
        <w:rPr>
          <w:sz w:val="20"/>
          <w:szCs w:val="20"/>
          <w:color w:val="auto"/>
        </w:rPr>
      </w:pPr>
    </w:p>
    <w:p>
      <w:pPr>
        <w:ind w:left="160" w:firstLine="436"/>
        <w:spacing w:after="0" w:line="267" w:lineRule="auto"/>
        <w:rPr>
          <w:sz w:val="20"/>
          <w:szCs w:val="20"/>
          <w:color w:val="auto"/>
        </w:rPr>
      </w:pPr>
      <w:r>
        <w:rPr>
          <w:rFonts w:ascii="Times New Roman" w:cs="Times New Roman" w:eastAsia="Times New Roman" w:hAnsi="Times New Roman"/>
          <w:sz w:val="17"/>
          <w:szCs w:val="17"/>
          <w:color w:val="auto"/>
        </w:rPr>
        <w:t>In connection with the IPO, we issued to each Continuing Common Unitholder one share of Class B common stock for each Common Unit such Continuing Common Unitholder beneficially owned immediately prior to the consummation of the Reorganization Transactions. Upon conversion of vested Incentive Units for Common Units, the converting holders also receive an equivalent number of shares of Class B common stock. Upon an exchange by any such Continuing Unitholder of Common Units for shares of our Class A common stock pursuant to the Exchange Agreement, an equivalent number of shares of Class B common stock held by each such Continuing Unitholder will be automatically transferred to us and cancelled and retired. See “Certain Relationships and Related Person Transactions—Exchange Agreement.” As a result, the number of shares of our Class B common stock listed in the table below correlates to the number of Common Units each Continuing Unitholder beneficially owns. The Continuing Common Unitholders hold all of the outstanding shares of our Class B common stock. The shares of Class B common stock have no economic rights but entitle each holder to one vote for each share held of record on all matters to be voted on by stockholders generally, with the number of shares of Class B common stock held by each Continuing Unitholder being equivalent to the number of Common Units held by each such Continuing Unitholder.</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080"/>
          </w:cols>
          <w:pgMar w:left="320" w:top="451" w:right="49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0"/>
          <w:szCs w:val="10"/>
          <w:b w:val="1"/>
          <w:bCs w:val="1"/>
          <w:u w:val="single" w:color="auto"/>
          <w:color w:val="auto"/>
        </w:rPr>
        <w:t>Name of Beneficial Owner</w:t>
      </w:r>
    </w:p>
    <w:p>
      <w:pPr>
        <w:ind w:left="160"/>
        <w:spacing w:after="0" w:line="205" w:lineRule="auto"/>
        <w:rPr>
          <w:sz w:val="20"/>
          <w:szCs w:val="20"/>
          <w:color w:val="auto"/>
        </w:rPr>
      </w:pPr>
      <w:r>
        <w:rPr>
          <w:rFonts w:ascii="Times New Roman" w:cs="Times New Roman" w:eastAsia="Times New Roman" w:hAnsi="Times New Roman"/>
          <w:sz w:val="12"/>
          <w:szCs w:val="12"/>
          <w:color w:val="auto"/>
        </w:rPr>
        <w:t>Blackstone</w:t>
      </w:r>
      <w:r>
        <w:rPr>
          <w:rFonts w:ascii="Times New Roman" w:cs="Times New Roman" w:eastAsia="Times New Roman" w:hAnsi="Times New Roman"/>
          <w:sz w:val="18"/>
          <w:szCs w:val="18"/>
          <w:color w:val="auto"/>
          <w:vertAlign w:val="superscript"/>
        </w:rPr>
        <w:t>(3)</w:t>
      </w:r>
    </w:p>
    <w:p>
      <w:pPr>
        <w:ind w:left="160"/>
        <w:spacing w:after="0" w:line="186" w:lineRule="auto"/>
        <w:rPr>
          <w:sz w:val="20"/>
          <w:szCs w:val="20"/>
          <w:color w:val="auto"/>
        </w:rPr>
      </w:pPr>
      <w:r>
        <w:rPr>
          <w:rFonts w:ascii="Times New Roman" w:cs="Times New Roman" w:eastAsia="Times New Roman" w:hAnsi="Times New Roman"/>
          <w:sz w:val="11"/>
          <w:szCs w:val="11"/>
          <w:color w:val="auto"/>
        </w:rPr>
        <w:t>Carlyle</w:t>
      </w:r>
      <w:r>
        <w:rPr>
          <w:rFonts w:ascii="Times New Roman" w:cs="Times New Roman" w:eastAsia="Times New Roman" w:hAnsi="Times New Roman"/>
          <w:sz w:val="15"/>
          <w:szCs w:val="15"/>
          <w:color w:val="auto"/>
          <w:vertAlign w:val="superscript"/>
        </w:rPr>
        <w:t>(4)</w:t>
      </w:r>
    </w:p>
    <w:p>
      <w:pPr>
        <w:ind w:left="160"/>
        <w:spacing w:after="0" w:line="186" w:lineRule="auto"/>
        <w:rPr>
          <w:sz w:val="20"/>
          <w:szCs w:val="20"/>
          <w:color w:val="auto"/>
        </w:rPr>
      </w:pPr>
      <w:r>
        <w:rPr>
          <w:rFonts w:ascii="Times New Roman" w:cs="Times New Roman" w:eastAsia="Times New Roman" w:hAnsi="Times New Roman"/>
          <w:sz w:val="15"/>
          <w:szCs w:val="15"/>
          <w:color w:val="auto"/>
          <w:vertAlign w:val="subscript"/>
        </w:rPr>
        <w:t>H&amp;F</w:t>
      </w:r>
      <w:r>
        <w:rPr>
          <w:rFonts w:ascii="Times New Roman" w:cs="Times New Roman" w:eastAsia="Times New Roman" w:hAnsi="Times New Roman"/>
          <w:sz w:val="7"/>
          <w:szCs w:val="7"/>
          <w:color w:val="auto"/>
        </w:rPr>
        <w:t>(5)</w:t>
      </w:r>
    </w:p>
    <w:p>
      <w:pPr>
        <w:spacing w:after="0" w:line="1" w:lineRule="exact"/>
        <w:rPr>
          <w:sz w:val="20"/>
          <w:szCs w:val="20"/>
          <w:color w:val="auto"/>
        </w:rPr>
      </w:pPr>
    </w:p>
    <w:p>
      <w:pPr>
        <w:jc w:val="both"/>
        <w:ind w:left="160" w:right="60"/>
        <w:spacing w:after="0" w:line="182" w:lineRule="auto"/>
        <w:rPr>
          <w:sz w:val="20"/>
          <w:szCs w:val="20"/>
          <w:color w:val="auto"/>
        </w:rPr>
      </w:pPr>
      <w:r>
        <w:rPr>
          <w:rFonts w:ascii="Times New Roman" w:cs="Times New Roman" w:eastAsia="Times New Roman" w:hAnsi="Times New Roman"/>
          <w:sz w:val="12"/>
          <w:szCs w:val="12"/>
          <w:color w:val="auto"/>
        </w:rPr>
        <w:t>Mozart HoldCo, Inc.</w:t>
      </w:r>
      <w:r>
        <w:rPr>
          <w:rFonts w:ascii="Times New Roman" w:cs="Times New Roman" w:eastAsia="Times New Roman" w:hAnsi="Times New Roman"/>
          <w:sz w:val="17"/>
          <w:szCs w:val="17"/>
          <w:color w:val="auto"/>
          <w:vertAlign w:val="superscript"/>
        </w:rPr>
        <w:t>(6)</w:t>
      </w:r>
      <w:r>
        <w:rPr>
          <w:rFonts w:ascii="Times New Roman" w:cs="Times New Roman" w:eastAsia="Times New Roman" w:hAnsi="Times New Roman"/>
          <w:sz w:val="12"/>
          <w:szCs w:val="12"/>
          <w:color w:val="auto"/>
        </w:rPr>
        <w:t xml:space="preserve"> GIC Private Limited</w:t>
      </w:r>
      <w:r>
        <w:rPr>
          <w:rFonts w:ascii="Times New Roman" w:cs="Times New Roman" w:eastAsia="Times New Roman" w:hAnsi="Times New Roman"/>
          <w:sz w:val="17"/>
          <w:szCs w:val="17"/>
          <w:color w:val="auto"/>
          <w:vertAlign w:val="superscript"/>
        </w:rPr>
        <w:t>(7)</w:t>
      </w:r>
      <w:r>
        <w:rPr>
          <w:rFonts w:ascii="Times New Roman" w:cs="Times New Roman" w:eastAsia="Times New Roman" w:hAnsi="Times New Roman"/>
          <w:sz w:val="12"/>
          <w:szCs w:val="12"/>
          <w:color w:val="auto"/>
        </w:rPr>
        <w:t xml:space="preserve"> Abu Dhabi Investment</w:t>
      </w:r>
    </w:p>
    <w:p>
      <w:pPr>
        <w:ind w:left="160" w:right="120" w:firstLine="125"/>
        <w:spacing w:after="0" w:line="186" w:lineRule="auto"/>
        <w:rPr>
          <w:sz w:val="20"/>
          <w:szCs w:val="20"/>
          <w:color w:val="auto"/>
        </w:rPr>
      </w:pPr>
      <w:r>
        <w:rPr>
          <w:rFonts w:ascii="Times New Roman" w:cs="Times New Roman" w:eastAsia="Times New Roman" w:hAnsi="Times New Roman"/>
          <w:sz w:val="12"/>
          <w:szCs w:val="12"/>
          <w:color w:val="auto"/>
        </w:rPr>
        <w:t>Authority</w:t>
      </w:r>
      <w:r>
        <w:rPr>
          <w:rFonts w:ascii="Times New Roman" w:cs="Times New Roman" w:eastAsia="Times New Roman" w:hAnsi="Times New Roman"/>
          <w:sz w:val="18"/>
          <w:szCs w:val="18"/>
          <w:color w:val="auto"/>
          <w:vertAlign w:val="superscript"/>
        </w:rPr>
        <w:t>(8)</w:t>
      </w:r>
      <w:r>
        <w:rPr>
          <w:rFonts w:ascii="Times New Roman" w:cs="Times New Roman" w:eastAsia="Times New Roman" w:hAnsi="Times New Roman"/>
          <w:sz w:val="12"/>
          <w:szCs w:val="12"/>
          <w:color w:val="auto"/>
        </w:rPr>
        <w:t xml:space="preserve"> James M. Boyle</w:t>
      </w:r>
      <w:r>
        <w:rPr>
          <w:rFonts w:ascii="Times New Roman" w:cs="Times New Roman" w:eastAsia="Times New Roman" w:hAnsi="Times New Roman"/>
          <w:sz w:val="18"/>
          <w:szCs w:val="18"/>
          <w:color w:val="auto"/>
          <w:vertAlign w:val="superscript"/>
        </w:rPr>
        <w:t>(9)</w:t>
      </w:r>
      <w:r>
        <w:rPr>
          <w:rFonts w:ascii="Times New Roman" w:cs="Times New Roman" w:eastAsia="Times New Roman" w:hAnsi="Times New Roman"/>
          <w:sz w:val="12"/>
          <w:szCs w:val="12"/>
          <w:color w:val="auto"/>
        </w:rPr>
        <w:t xml:space="preserve"> James M. Pigott</w:t>
      </w:r>
      <w:r>
        <w:rPr>
          <w:rFonts w:ascii="Times New Roman" w:cs="Times New Roman" w:eastAsia="Times New Roman" w:hAnsi="Times New Roman"/>
          <w:sz w:val="18"/>
          <w:szCs w:val="18"/>
          <w:color w:val="auto"/>
          <w:vertAlign w:val="superscript"/>
        </w:rPr>
        <w:t>(10)</w:t>
      </w:r>
      <w:r>
        <w:rPr>
          <w:rFonts w:ascii="Times New Roman" w:cs="Times New Roman" w:eastAsia="Times New Roman" w:hAnsi="Times New Roman"/>
          <w:sz w:val="12"/>
          <w:szCs w:val="12"/>
          <w:color w:val="auto"/>
        </w:rPr>
        <w:t xml:space="preserve"> Michael B. Drazin</w:t>
      </w:r>
      <w:r>
        <w:rPr>
          <w:rFonts w:ascii="Times New Roman" w:cs="Times New Roman" w:eastAsia="Times New Roman" w:hAnsi="Times New Roman"/>
          <w:sz w:val="18"/>
          <w:szCs w:val="18"/>
          <w:color w:val="auto"/>
          <w:vertAlign w:val="superscript"/>
        </w:rPr>
        <w:t>(11)</w:t>
      </w:r>
      <w:r>
        <w:rPr>
          <w:rFonts w:ascii="Times New Roman" w:cs="Times New Roman" w:eastAsia="Times New Roman" w:hAnsi="Times New Roman"/>
          <w:sz w:val="12"/>
          <w:szCs w:val="12"/>
          <w:color w:val="auto"/>
        </w:rPr>
        <w:t xml:space="preserve"> Stephen L. Miller</w:t>
      </w:r>
      <w:r>
        <w:rPr>
          <w:rFonts w:ascii="Times New Roman" w:cs="Times New Roman" w:eastAsia="Times New Roman" w:hAnsi="Times New Roman"/>
          <w:sz w:val="18"/>
          <w:szCs w:val="18"/>
          <w:color w:val="auto"/>
          <w:vertAlign w:val="superscript"/>
        </w:rPr>
        <w:t>(12)</w:t>
      </w:r>
      <w:r>
        <w:rPr>
          <w:rFonts w:ascii="Times New Roman" w:cs="Times New Roman" w:eastAsia="Times New Roman" w:hAnsi="Times New Roman"/>
          <w:sz w:val="12"/>
          <w:szCs w:val="12"/>
          <w:color w:val="auto"/>
        </w:rPr>
        <w:t xml:space="preserve"> Douglas P. Golwas</w:t>
      </w:r>
      <w:r>
        <w:rPr>
          <w:rFonts w:ascii="Times New Roman" w:cs="Times New Roman" w:eastAsia="Times New Roman" w:hAnsi="Times New Roman"/>
          <w:sz w:val="18"/>
          <w:szCs w:val="18"/>
          <w:color w:val="auto"/>
          <w:vertAlign w:val="superscript"/>
        </w:rPr>
        <w:t>(13)</w:t>
      </w:r>
      <w:r>
        <w:rPr>
          <w:rFonts w:ascii="Times New Roman" w:cs="Times New Roman" w:eastAsia="Times New Roman" w:hAnsi="Times New Roman"/>
          <w:sz w:val="12"/>
          <w:szCs w:val="12"/>
          <w:color w:val="auto"/>
        </w:rPr>
        <w:t xml:space="preserve"> Joseph P. Baratta Jacob D. Best</w:t>
      </w:r>
    </w:p>
    <w:p>
      <w:pPr>
        <w:ind w:left="160" w:right="20"/>
        <w:spacing w:after="0" w:line="202" w:lineRule="auto"/>
        <w:rPr>
          <w:sz w:val="20"/>
          <w:szCs w:val="20"/>
          <w:color w:val="auto"/>
        </w:rPr>
      </w:pPr>
      <w:r>
        <w:rPr>
          <w:rFonts w:ascii="Times New Roman" w:cs="Times New Roman" w:eastAsia="Times New Roman" w:hAnsi="Times New Roman"/>
          <w:sz w:val="12"/>
          <w:szCs w:val="12"/>
          <w:color w:val="auto"/>
        </w:rPr>
        <w:t>Todd M. Bluedorn Richard A. Galanti Patrick J. Healy</w:t>
      </w:r>
      <w:r>
        <w:rPr>
          <w:rFonts w:ascii="Times New Roman" w:cs="Times New Roman" w:eastAsia="Times New Roman" w:hAnsi="Times New Roman"/>
          <w:sz w:val="18"/>
          <w:szCs w:val="18"/>
          <w:color w:val="auto"/>
          <w:vertAlign w:val="superscript"/>
        </w:rPr>
        <w:t>(14)</w:t>
      </w:r>
      <w:r>
        <w:rPr>
          <w:rFonts w:ascii="Times New Roman" w:cs="Times New Roman" w:eastAsia="Times New Roman" w:hAnsi="Times New Roman"/>
          <w:sz w:val="12"/>
          <w:szCs w:val="12"/>
          <w:color w:val="auto"/>
        </w:rPr>
        <w:t xml:space="preserve"> Andrew J. Mills</w:t>
      </w:r>
      <w:r>
        <w:rPr>
          <w:rFonts w:ascii="Times New Roman" w:cs="Times New Roman" w:eastAsia="Times New Roman" w:hAnsi="Times New Roman"/>
          <w:sz w:val="18"/>
          <w:szCs w:val="18"/>
          <w:color w:val="auto"/>
          <w:vertAlign w:val="superscript"/>
        </w:rPr>
        <w:t>(15)</w:t>
      </w:r>
      <w:r>
        <w:rPr>
          <w:rFonts w:ascii="Times New Roman" w:cs="Times New Roman" w:eastAsia="Times New Roman" w:hAnsi="Times New Roman"/>
          <w:sz w:val="12"/>
          <w:szCs w:val="12"/>
          <w:color w:val="auto"/>
        </w:rPr>
        <w:t xml:space="preserve"> Charles N. Mills</w:t>
      </w:r>
      <w:r>
        <w:rPr>
          <w:rFonts w:ascii="Times New Roman" w:cs="Times New Roman" w:eastAsia="Times New Roman" w:hAnsi="Times New Roman"/>
          <w:sz w:val="18"/>
          <w:szCs w:val="18"/>
          <w:color w:val="auto"/>
          <w:vertAlign w:val="superscript"/>
        </w:rPr>
        <w:t>(16)</w:t>
      </w:r>
      <w:r>
        <w:rPr>
          <w:rFonts w:ascii="Times New Roman" w:cs="Times New Roman" w:eastAsia="Times New Roman" w:hAnsi="Times New Roman"/>
          <w:sz w:val="12"/>
          <w:szCs w:val="12"/>
          <w:color w:val="auto"/>
        </w:rPr>
        <w:t xml:space="preserve"> Robert R. Schmidt Anushka M. Sunder Thomas W. Sweet Stephen H. Wise Directors and executive</w:t>
      </w:r>
    </w:p>
    <w:p>
      <w:pPr>
        <w:ind w:left="300"/>
        <w:spacing w:after="0" w:line="235" w:lineRule="auto"/>
        <w:rPr>
          <w:sz w:val="20"/>
          <w:szCs w:val="20"/>
          <w:color w:val="auto"/>
        </w:rPr>
      </w:pPr>
      <w:r>
        <w:rPr>
          <w:rFonts w:ascii="Times New Roman" w:cs="Times New Roman" w:eastAsia="Times New Roman" w:hAnsi="Times New Roman"/>
          <w:sz w:val="12"/>
          <w:szCs w:val="12"/>
          <w:color w:val="auto"/>
        </w:rPr>
        <w:t>officers as a group</w:t>
      </w:r>
    </w:p>
    <w:p>
      <w:pPr>
        <w:ind w:left="300"/>
        <w:spacing w:after="0"/>
        <w:rPr>
          <w:sz w:val="20"/>
          <w:szCs w:val="20"/>
          <w:color w:val="auto"/>
        </w:rPr>
      </w:pPr>
      <w:r>
        <w:rPr>
          <w:rFonts w:ascii="Times New Roman" w:cs="Times New Roman" w:eastAsia="Times New Roman" w:hAnsi="Times New Roman"/>
          <w:sz w:val="12"/>
          <w:szCs w:val="12"/>
          <w:color w:val="auto"/>
        </w:rPr>
        <w:t>(19 persons)</w:t>
      </w:r>
      <w:r>
        <w:rPr>
          <w:rFonts w:ascii="Times New Roman" w:cs="Times New Roman" w:eastAsia="Times New Roman" w:hAnsi="Times New Roman"/>
          <w:sz w:val="18"/>
          <w:szCs w:val="18"/>
          <w:color w:val="auto"/>
          <w:vertAlign w:val="superscript"/>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41275</wp:posOffset>
            </wp:positionV>
            <wp:extent cx="76454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-659765</wp:posOffset>
            </wp:positionV>
            <wp:extent cx="717613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10"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10"/>
          </w:tcPr>
          <w:p>
            <w:pPr>
              <w:jc w:val="center"/>
              <w:ind w:right="660"/>
              <w:spacing w:after="0"/>
              <w:rPr>
                <w:sz w:val="20"/>
                <w:szCs w:val="20"/>
                <w:color w:val="auto"/>
              </w:rPr>
            </w:pPr>
            <w:r>
              <w:rPr>
                <w:rFonts w:ascii="Times New Roman" w:cs="Times New Roman" w:eastAsia="Times New Roman" w:hAnsi="Times New Roman"/>
                <w:sz w:val="11"/>
                <w:szCs w:val="11"/>
                <w:b w:val="1"/>
                <w:bCs w:val="1"/>
                <w:color w:val="auto"/>
                <w:w w:val="95"/>
              </w:rPr>
              <w:t>Class A Common Stock Beneficially Owned</w:t>
            </w:r>
            <w:r>
              <w:rPr>
                <w:rFonts w:ascii="Times New Roman" w:cs="Times New Roman" w:eastAsia="Times New Roman" w:hAnsi="Times New Roman"/>
                <w:sz w:val="16"/>
                <w:szCs w:val="16"/>
                <w:b w:val="1"/>
                <w:bCs w:val="1"/>
                <w:color w:val="auto"/>
                <w:w w:val="95"/>
                <w:vertAlign w:val="superscript"/>
              </w:rPr>
              <w:t>(1)</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10"/>
          </w:tcPr>
          <w:p>
            <w:pPr>
              <w:jc w:val="center"/>
              <w:ind w:right="640"/>
              <w:spacing w:after="0"/>
              <w:rPr>
                <w:sz w:val="20"/>
                <w:szCs w:val="20"/>
                <w:color w:val="auto"/>
              </w:rPr>
            </w:pPr>
            <w:r>
              <w:rPr>
                <w:rFonts w:ascii="Times New Roman" w:cs="Times New Roman" w:eastAsia="Times New Roman" w:hAnsi="Times New Roman"/>
                <w:sz w:val="11"/>
                <w:szCs w:val="11"/>
                <w:b w:val="1"/>
                <w:bCs w:val="1"/>
                <w:color w:val="auto"/>
                <w:w w:val="95"/>
              </w:rPr>
              <w:t>Class B Common Stock Beneficially Owned</w:t>
            </w:r>
            <w:r>
              <w:rPr>
                <w:rFonts w:ascii="Times New Roman" w:cs="Times New Roman" w:eastAsia="Times New Roman" w:hAnsi="Times New Roman"/>
                <w:sz w:val="16"/>
                <w:szCs w:val="16"/>
                <w:b w:val="1"/>
                <w:bCs w:val="1"/>
                <w:color w:val="auto"/>
                <w:w w:val="95"/>
                <w:vertAlign w:val="superscript"/>
              </w:rPr>
              <w:t>(1)</w:t>
            </w:r>
          </w:p>
        </w:tc>
        <w:tc>
          <w:tcPr>
            <w:tcW w:w="21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Combined Voting Power</w:t>
            </w:r>
            <w:r>
              <w:rPr>
                <w:rFonts w:ascii="Times New Roman" w:cs="Times New Roman" w:eastAsia="Times New Roman" w:hAnsi="Times New Roman"/>
                <w:sz w:val="16"/>
                <w:szCs w:val="16"/>
                <w:b w:val="1"/>
                <w:bCs w:val="1"/>
                <w:color w:val="auto"/>
                <w:w w:val="94"/>
                <w:vertAlign w:val="superscript"/>
              </w:rPr>
              <w:t>(2)</w:t>
            </w:r>
          </w:p>
        </w:tc>
      </w:tr>
      <w:tr>
        <w:trPr>
          <w:trHeight w:val="98"/>
        </w:trPr>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gridSpan w:val="4"/>
          </w:tcPr>
          <w:p>
            <w:pPr>
              <w:jc w:val="center"/>
              <w:ind w:right="120"/>
              <w:spacing w:after="0" w:line="98" w:lineRule="exact"/>
              <w:rPr>
                <w:sz w:val="20"/>
                <w:szCs w:val="20"/>
                <w:color w:val="auto"/>
              </w:rPr>
            </w:pPr>
            <w:r>
              <w:rPr>
                <w:rFonts w:ascii="Times New Roman" w:cs="Times New Roman" w:eastAsia="Times New Roman" w:hAnsi="Times New Roman"/>
                <w:sz w:val="11"/>
                <w:szCs w:val="11"/>
                <w:b w:val="1"/>
                <w:bCs w:val="1"/>
                <w:color w:val="auto"/>
                <w:w w:val="98"/>
              </w:rPr>
              <w:t>After the</w:t>
            </w:r>
          </w:p>
        </w:tc>
        <w:tc>
          <w:tcPr>
            <w:tcW w:w="1020" w:type="dxa"/>
            <w:vAlign w:val="bottom"/>
            <w:tcBorders>
              <w:top w:val="single" w:sz="8" w:color="auto"/>
            </w:tcBorders>
            <w:gridSpan w:val="3"/>
          </w:tcPr>
          <w:p>
            <w:pPr>
              <w:jc w:val="center"/>
              <w:spacing w:after="0" w:line="98" w:lineRule="exact"/>
              <w:rPr>
                <w:sz w:val="20"/>
                <w:szCs w:val="20"/>
                <w:color w:val="auto"/>
              </w:rPr>
            </w:pPr>
            <w:r>
              <w:rPr>
                <w:rFonts w:ascii="Times New Roman" w:cs="Times New Roman" w:eastAsia="Times New Roman" w:hAnsi="Times New Roman"/>
                <w:sz w:val="11"/>
                <w:szCs w:val="11"/>
                <w:b w:val="1"/>
                <w:bCs w:val="1"/>
                <w:color w:val="auto"/>
                <w:w w:val="98"/>
              </w:rPr>
              <w:t>After the</w:t>
            </w:r>
          </w:p>
        </w:tc>
        <w:tc>
          <w:tcPr>
            <w:tcW w:w="1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gridSpan w:val="4"/>
          </w:tcPr>
          <w:p>
            <w:pPr>
              <w:jc w:val="center"/>
              <w:ind w:right="140"/>
              <w:spacing w:after="0" w:line="98" w:lineRule="exact"/>
              <w:rPr>
                <w:sz w:val="20"/>
                <w:szCs w:val="20"/>
                <w:color w:val="auto"/>
              </w:rPr>
            </w:pPr>
            <w:r>
              <w:rPr>
                <w:rFonts w:ascii="Times New Roman" w:cs="Times New Roman" w:eastAsia="Times New Roman" w:hAnsi="Times New Roman"/>
                <w:sz w:val="11"/>
                <w:szCs w:val="11"/>
                <w:b w:val="1"/>
                <w:bCs w:val="1"/>
                <w:color w:val="auto"/>
                <w:w w:val="98"/>
              </w:rPr>
              <w:t>After the</w:t>
            </w:r>
          </w:p>
        </w:tc>
        <w:tc>
          <w:tcPr>
            <w:tcW w:w="1040" w:type="dxa"/>
            <w:vAlign w:val="bottom"/>
            <w:tcBorders>
              <w:top w:val="single" w:sz="8" w:color="auto"/>
            </w:tcBorders>
            <w:gridSpan w:val="3"/>
          </w:tcPr>
          <w:p>
            <w:pPr>
              <w:jc w:val="center"/>
              <w:spacing w:after="0" w:line="98" w:lineRule="exact"/>
              <w:rPr>
                <w:sz w:val="20"/>
                <w:szCs w:val="20"/>
                <w:color w:val="auto"/>
              </w:rPr>
            </w:pPr>
            <w:r>
              <w:rPr>
                <w:rFonts w:ascii="Times New Roman" w:cs="Times New Roman" w:eastAsia="Times New Roman" w:hAnsi="Times New Roman"/>
                <w:sz w:val="11"/>
                <w:szCs w:val="11"/>
                <w:b w:val="1"/>
                <w:bCs w:val="1"/>
                <w:color w:val="auto"/>
                <w:w w:val="94"/>
              </w:rPr>
              <w:t>After the</w:t>
            </w:r>
          </w:p>
        </w:tc>
        <w:tc>
          <w:tcPr>
            <w:tcW w:w="1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center"/>
              <w:spacing w:after="0" w:line="98" w:lineRule="exact"/>
              <w:rPr>
                <w:sz w:val="20"/>
                <w:szCs w:val="20"/>
                <w:color w:val="auto"/>
              </w:rPr>
            </w:pPr>
            <w:r>
              <w:rPr>
                <w:rFonts w:ascii="Times New Roman" w:cs="Times New Roman" w:eastAsia="Times New Roman" w:hAnsi="Times New Roman"/>
                <w:sz w:val="11"/>
                <w:szCs w:val="11"/>
                <w:b w:val="1"/>
                <w:bCs w:val="1"/>
                <w:color w:val="auto"/>
                <w:w w:val="94"/>
              </w:rPr>
              <w:t>After the</w:t>
            </w:r>
          </w:p>
        </w:tc>
        <w:tc>
          <w:tcPr>
            <w:tcW w:w="720" w:type="dxa"/>
            <w:vAlign w:val="bottom"/>
            <w:tcBorders>
              <w:top w:val="single" w:sz="8" w:color="auto"/>
            </w:tcBorders>
          </w:tcPr>
          <w:p>
            <w:pPr>
              <w:jc w:val="center"/>
              <w:ind w:left="7"/>
              <w:spacing w:after="0" w:line="98" w:lineRule="exact"/>
              <w:rPr>
                <w:sz w:val="20"/>
                <w:szCs w:val="20"/>
                <w:color w:val="auto"/>
              </w:rPr>
            </w:pPr>
            <w:r>
              <w:rPr>
                <w:rFonts w:ascii="Times New Roman" w:cs="Times New Roman" w:eastAsia="Times New Roman" w:hAnsi="Times New Roman"/>
                <w:sz w:val="11"/>
                <w:szCs w:val="11"/>
                <w:b w:val="1"/>
                <w:bCs w:val="1"/>
                <w:color w:val="auto"/>
                <w:w w:val="98"/>
              </w:rPr>
              <w:t>After the</w:t>
            </w:r>
          </w:p>
        </w:tc>
      </w:tr>
      <w:tr>
        <w:trPr>
          <w:trHeight w:val="120"/>
        </w:trPr>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4"/>
          </w:tcPr>
          <w:p>
            <w:pPr>
              <w:jc w:val="center"/>
              <w:ind w:right="140"/>
              <w:spacing w:after="0" w:line="121" w:lineRule="exact"/>
              <w:rPr>
                <w:sz w:val="20"/>
                <w:szCs w:val="20"/>
                <w:color w:val="auto"/>
              </w:rPr>
            </w:pPr>
            <w:r>
              <w:rPr>
                <w:rFonts w:ascii="Times New Roman" w:cs="Times New Roman" w:eastAsia="Times New Roman" w:hAnsi="Times New Roman"/>
                <w:sz w:val="11"/>
                <w:szCs w:val="11"/>
                <w:b w:val="1"/>
                <w:bCs w:val="1"/>
                <w:color w:val="auto"/>
                <w:w w:val="99"/>
              </w:rPr>
              <w:t>Offering</w:t>
            </w:r>
          </w:p>
        </w:tc>
        <w:tc>
          <w:tcPr>
            <w:tcW w:w="1160" w:type="dxa"/>
            <w:vAlign w:val="bottom"/>
            <w:gridSpan w:val="4"/>
          </w:tcPr>
          <w:p>
            <w:pPr>
              <w:jc w:val="center"/>
              <w:ind w:right="140"/>
              <w:spacing w:after="0" w:line="121" w:lineRule="exact"/>
              <w:rPr>
                <w:sz w:val="20"/>
                <w:szCs w:val="20"/>
                <w:color w:val="auto"/>
              </w:rPr>
            </w:pPr>
            <w:r>
              <w:rPr>
                <w:rFonts w:ascii="Times New Roman" w:cs="Times New Roman" w:eastAsia="Times New Roman" w:hAnsi="Times New Roman"/>
                <w:sz w:val="11"/>
                <w:szCs w:val="11"/>
                <w:b w:val="1"/>
                <w:bCs w:val="1"/>
                <w:color w:val="auto"/>
                <w:w w:val="94"/>
              </w:rPr>
              <w:t>Offering</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4"/>
          </w:tcPr>
          <w:p>
            <w:pPr>
              <w:jc w:val="center"/>
              <w:ind w:right="120"/>
              <w:spacing w:after="0" w:line="121" w:lineRule="exact"/>
              <w:rPr>
                <w:sz w:val="20"/>
                <w:szCs w:val="20"/>
                <w:color w:val="auto"/>
              </w:rPr>
            </w:pPr>
            <w:r>
              <w:rPr>
                <w:rFonts w:ascii="Times New Roman" w:cs="Times New Roman" w:eastAsia="Times New Roman" w:hAnsi="Times New Roman"/>
                <w:sz w:val="11"/>
                <w:szCs w:val="11"/>
                <w:b w:val="1"/>
                <w:bCs w:val="1"/>
                <w:color w:val="auto"/>
                <w:w w:val="99"/>
              </w:rPr>
              <w:t>Offering</w:t>
            </w:r>
          </w:p>
        </w:tc>
        <w:tc>
          <w:tcPr>
            <w:tcW w:w="1160" w:type="dxa"/>
            <w:vAlign w:val="bottom"/>
            <w:gridSpan w:val="4"/>
          </w:tcPr>
          <w:p>
            <w:pPr>
              <w:jc w:val="center"/>
              <w:ind w:right="120"/>
              <w:spacing w:after="0" w:line="121" w:lineRule="exact"/>
              <w:rPr>
                <w:sz w:val="20"/>
                <w:szCs w:val="20"/>
                <w:color w:val="auto"/>
              </w:rPr>
            </w:pPr>
            <w:r>
              <w:rPr>
                <w:rFonts w:ascii="Times New Roman" w:cs="Times New Roman" w:eastAsia="Times New Roman" w:hAnsi="Times New Roman"/>
                <w:sz w:val="11"/>
                <w:szCs w:val="11"/>
                <w:b w:val="1"/>
                <w:bCs w:val="1"/>
                <w:color w:val="auto"/>
                <w:w w:val="99"/>
              </w:rPr>
              <w:t>Offering</w:t>
            </w:r>
          </w:p>
        </w:tc>
        <w:tc>
          <w:tcPr>
            <w:tcW w:w="660" w:type="dxa"/>
            <w:vAlign w:val="bottom"/>
          </w:tcPr>
          <w:p>
            <w:pPr>
              <w:spacing w:after="0"/>
              <w:rPr>
                <w:sz w:val="10"/>
                <w:szCs w:val="10"/>
                <w:color w:val="auto"/>
              </w:rPr>
            </w:pPr>
          </w:p>
        </w:tc>
        <w:tc>
          <w:tcPr>
            <w:tcW w:w="80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9"/>
              </w:rPr>
              <w:t>Offering</w:t>
            </w:r>
          </w:p>
        </w:tc>
        <w:tc>
          <w:tcPr>
            <w:tcW w:w="720" w:type="dxa"/>
            <w:vAlign w:val="bottom"/>
          </w:tcPr>
          <w:p>
            <w:pPr>
              <w:jc w:val="center"/>
              <w:ind w:left="7"/>
              <w:spacing w:after="0" w:line="121" w:lineRule="exact"/>
              <w:rPr>
                <w:sz w:val="20"/>
                <w:szCs w:val="20"/>
                <w:color w:val="auto"/>
              </w:rPr>
            </w:pPr>
            <w:r>
              <w:rPr>
                <w:rFonts w:ascii="Times New Roman" w:cs="Times New Roman" w:eastAsia="Times New Roman" w:hAnsi="Times New Roman"/>
                <w:sz w:val="11"/>
                <w:szCs w:val="11"/>
                <w:b w:val="1"/>
                <w:bCs w:val="1"/>
                <w:color w:val="auto"/>
                <w:w w:val="94"/>
              </w:rPr>
              <w:t>Offering</w:t>
            </w:r>
          </w:p>
        </w:tc>
      </w:tr>
      <w:tr>
        <w:trPr>
          <w:trHeight w:val="120"/>
        </w:trPr>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4"/>
          </w:tcPr>
          <w:p>
            <w:pPr>
              <w:jc w:val="center"/>
              <w:ind w:right="120"/>
              <w:spacing w:after="0" w:line="121" w:lineRule="exact"/>
              <w:rPr>
                <w:sz w:val="20"/>
                <w:szCs w:val="20"/>
                <w:color w:val="auto"/>
              </w:rPr>
            </w:pPr>
            <w:r>
              <w:rPr>
                <w:rFonts w:ascii="Times New Roman" w:cs="Times New Roman" w:eastAsia="Times New Roman" w:hAnsi="Times New Roman"/>
                <w:sz w:val="11"/>
                <w:szCs w:val="11"/>
                <w:b w:val="1"/>
                <w:bCs w:val="1"/>
                <w:color w:val="auto"/>
                <w:w w:val="94"/>
              </w:rPr>
              <w:t>Transactions</w:t>
            </w:r>
          </w:p>
        </w:tc>
        <w:tc>
          <w:tcPr>
            <w:tcW w:w="1160" w:type="dxa"/>
            <w:vAlign w:val="bottom"/>
            <w:gridSpan w:val="4"/>
          </w:tcPr>
          <w:p>
            <w:pPr>
              <w:jc w:val="center"/>
              <w:ind w:right="140"/>
              <w:spacing w:after="0" w:line="121" w:lineRule="exact"/>
              <w:rPr>
                <w:sz w:val="20"/>
                <w:szCs w:val="20"/>
                <w:color w:val="auto"/>
              </w:rPr>
            </w:pPr>
            <w:r>
              <w:rPr>
                <w:rFonts w:ascii="Times New Roman" w:cs="Times New Roman" w:eastAsia="Times New Roman" w:hAnsi="Times New Roman"/>
                <w:sz w:val="11"/>
                <w:szCs w:val="11"/>
                <w:b w:val="1"/>
                <w:bCs w:val="1"/>
                <w:color w:val="auto"/>
                <w:w w:val="94"/>
              </w:rPr>
              <w:t>Transactions</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4"/>
          </w:tcPr>
          <w:p>
            <w:pPr>
              <w:jc w:val="center"/>
              <w:ind w:right="140"/>
              <w:spacing w:after="0" w:line="121" w:lineRule="exact"/>
              <w:rPr>
                <w:sz w:val="20"/>
                <w:szCs w:val="20"/>
                <w:color w:val="auto"/>
              </w:rPr>
            </w:pPr>
            <w:r>
              <w:rPr>
                <w:rFonts w:ascii="Times New Roman" w:cs="Times New Roman" w:eastAsia="Times New Roman" w:hAnsi="Times New Roman"/>
                <w:sz w:val="11"/>
                <w:szCs w:val="11"/>
                <w:b w:val="1"/>
                <w:bCs w:val="1"/>
                <w:color w:val="auto"/>
                <w:w w:val="94"/>
              </w:rPr>
              <w:t>Transactions</w:t>
            </w:r>
          </w:p>
        </w:tc>
        <w:tc>
          <w:tcPr>
            <w:tcW w:w="1160" w:type="dxa"/>
            <w:vAlign w:val="bottom"/>
            <w:gridSpan w:val="4"/>
          </w:tcPr>
          <w:p>
            <w:pPr>
              <w:jc w:val="center"/>
              <w:ind w:right="120"/>
              <w:spacing w:after="0" w:line="121" w:lineRule="exact"/>
              <w:rPr>
                <w:sz w:val="20"/>
                <w:szCs w:val="20"/>
                <w:color w:val="auto"/>
              </w:rPr>
            </w:pPr>
            <w:r>
              <w:rPr>
                <w:rFonts w:ascii="Times New Roman" w:cs="Times New Roman" w:eastAsia="Times New Roman" w:hAnsi="Times New Roman"/>
                <w:sz w:val="11"/>
                <w:szCs w:val="11"/>
                <w:b w:val="1"/>
                <w:bCs w:val="1"/>
                <w:color w:val="auto"/>
                <w:w w:val="98"/>
              </w:rPr>
              <w:t>Transactions</w:t>
            </w:r>
          </w:p>
        </w:tc>
        <w:tc>
          <w:tcPr>
            <w:tcW w:w="660" w:type="dxa"/>
            <w:vAlign w:val="bottom"/>
          </w:tcPr>
          <w:p>
            <w:pPr>
              <w:spacing w:after="0"/>
              <w:rPr>
                <w:sz w:val="10"/>
                <w:szCs w:val="10"/>
                <w:color w:val="auto"/>
              </w:rPr>
            </w:pPr>
          </w:p>
        </w:tc>
        <w:tc>
          <w:tcPr>
            <w:tcW w:w="80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8"/>
              </w:rPr>
              <w:t>Transactions</w:t>
            </w:r>
          </w:p>
        </w:tc>
        <w:tc>
          <w:tcPr>
            <w:tcW w:w="720" w:type="dxa"/>
            <w:vAlign w:val="bottom"/>
          </w:tcPr>
          <w:p>
            <w:pPr>
              <w:jc w:val="center"/>
              <w:ind w:left="7"/>
              <w:spacing w:after="0" w:line="121" w:lineRule="exact"/>
              <w:rPr>
                <w:sz w:val="20"/>
                <w:szCs w:val="20"/>
                <w:color w:val="auto"/>
              </w:rPr>
            </w:pPr>
            <w:r>
              <w:rPr>
                <w:rFonts w:ascii="Times New Roman" w:cs="Times New Roman" w:eastAsia="Times New Roman" w:hAnsi="Times New Roman"/>
                <w:sz w:val="11"/>
                <w:szCs w:val="11"/>
                <w:b w:val="1"/>
                <w:bCs w:val="1"/>
                <w:color w:val="auto"/>
                <w:w w:val="94"/>
              </w:rPr>
              <w:t>Transactions</w:t>
            </w:r>
          </w:p>
        </w:tc>
      </w:tr>
      <w:tr>
        <w:trPr>
          <w:trHeight w:val="120"/>
        </w:trPr>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4"/>
          </w:tcPr>
          <w:p>
            <w:pPr>
              <w:jc w:val="center"/>
              <w:ind w:right="120"/>
              <w:spacing w:after="0" w:line="121" w:lineRule="exact"/>
              <w:rPr>
                <w:sz w:val="20"/>
                <w:szCs w:val="20"/>
                <w:color w:val="auto"/>
              </w:rPr>
            </w:pPr>
            <w:r>
              <w:rPr>
                <w:rFonts w:ascii="Times New Roman" w:cs="Times New Roman" w:eastAsia="Times New Roman" w:hAnsi="Times New Roman"/>
                <w:sz w:val="11"/>
                <w:szCs w:val="11"/>
                <w:b w:val="1"/>
                <w:bCs w:val="1"/>
                <w:color w:val="auto"/>
                <w:w w:val="98"/>
              </w:rPr>
              <w:t>Assuming</w:t>
            </w:r>
          </w:p>
        </w:tc>
        <w:tc>
          <w:tcPr>
            <w:tcW w:w="1160" w:type="dxa"/>
            <w:vAlign w:val="bottom"/>
            <w:gridSpan w:val="4"/>
          </w:tcPr>
          <w:p>
            <w:pPr>
              <w:jc w:val="center"/>
              <w:ind w:right="140"/>
              <w:spacing w:after="0" w:line="121" w:lineRule="exact"/>
              <w:rPr>
                <w:sz w:val="20"/>
                <w:szCs w:val="20"/>
                <w:color w:val="auto"/>
              </w:rPr>
            </w:pPr>
            <w:r>
              <w:rPr>
                <w:rFonts w:ascii="Times New Roman" w:cs="Times New Roman" w:eastAsia="Times New Roman" w:hAnsi="Times New Roman"/>
                <w:sz w:val="11"/>
                <w:szCs w:val="11"/>
                <w:b w:val="1"/>
                <w:bCs w:val="1"/>
                <w:color w:val="auto"/>
                <w:w w:val="98"/>
              </w:rPr>
              <w:t>Assuming</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4"/>
          </w:tcPr>
          <w:p>
            <w:pPr>
              <w:jc w:val="center"/>
              <w:ind w:right="140"/>
              <w:spacing w:after="0" w:line="121" w:lineRule="exact"/>
              <w:rPr>
                <w:sz w:val="20"/>
                <w:szCs w:val="20"/>
                <w:color w:val="auto"/>
              </w:rPr>
            </w:pPr>
            <w:r>
              <w:rPr>
                <w:rFonts w:ascii="Times New Roman" w:cs="Times New Roman" w:eastAsia="Times New Roman" w:hAnsi="Times New Roman"/>
                <w:sz w:val="11"/>
                <w:szCs w:val="11"/>
                <w:b w:val="1"/>
                <w:bCs w:val="1"/>
                <w:color w:val="auto"/>
                <w:w w:val="98"/>
              </w:rPr>
              <w:t>Assuming</w:t>
            </w:r>
          </w:p>
        </w:tc>
        <w:tc>
          <w:tcPr>
            <w:tcW w:w="1160" w:type="dxa"/>
            <w:vAlign w:val="bottom"/>
            <w:gridSpan w:val="4"/>
          </w:tcPr>
          <w:p>
            <w:pPr>
              <w:jc w:val="center"/>
              <w:ind w:right="120"/>
              <w:spacing w:after="0" w:line="121" w:lineRule="exact"/>
              <w:rPr>
                <w:sz w:val="20"/>
                <w:szCs w:val="20"/>
                <w:color w:val="auto"/>
              </w:rPr>
            </w:pPr>
            <w:r>
              <w:rPr>
                <w:rFonts w:ascii="Times New Roman" w:cs="Times New Roman" w:eastAsia="Times New Roman" w:hAnsi="Times New Roman"/>
                <w:sz w:val="11"/>
                <w:szCs w:val="11"/>
                <w:b w:val="1"/>
                <w:bCs w:val="1"/>
                <w:color w:val="auto"/>
                <w:w w:val="94"/>
              </w:rPr>
              <w:t>Assuming</w:t>
            </w:r>
          </w:p>
        </w:tc>
        <w:tc>
          <w:tcPr>
            <w:tcW w:w="660" w:type="dxa"/>
            <w:vAlign w:val="bottom"/>
          </w:tcPr>
          <w:p>
            <w:pPr>
              <w:spacing w:after="0"/>
              <w:rPr>
                <w:sz w:val="10"/>
                <w:szCs w:val="10"/>
                <w:color w:val="auto"/>
              </w:rPr>
            </w:pPr>
          </w:p>
        </w:tc>
        <w:tc>
          <w:tcPr>
            <w:tcW w:w="80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4"/>
              </w:rPr>
              <w:t>Assuming</w:t>
            </w:r>
          </w:p>
        </w:tc>
        <w:tc>
          <w:tcPr>
            <w:tcW w:w="720" w:type="dxa"/>
            <w:vAlign w:val="bottom"/>
          </w:tcPr>
          <w:p>
            <w:pPr>
              <w:jc w:val="center"/>
              <w:ind w:left="7"/>
              <w:spacing w:after="0" w:line="121" w:lineRule="exact"/>
              <w:rPr>
                <w:sz w:val="20"/>
                <w:szCs w:val="20"/>
                <w:color w:val="auto"/>
              </w:rPr>
            </w:pPr>
            <w:r>
              <w:rPr>
                <w:rFonts w:ascii="Times New Roman" w:cs="Times New Roman" w:eastAsia="Times New Roman" w:hAnsi="Times New Roman"/>
                <w:sz w:val="11"/>
                <w:szCs w:val="11"/>
                <w:b w:val="1"/>
                <w:bCs w:val="1"/>
                <w:color w:val="auto"/>
                <w:w w:val="98"/>
              </w:rPr>
              <w:t>Assuming</w:t>
            </w:r>
          </w:p>
        </w:tc>
      </w:tr>
      <w:tr>
        <w:trPr>
          <w:trHeight w:val="120"/>
        </w:trPr>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4"/>
          </w:tcPr>
          <w:p>
            <w:pPr>
              <w:jc w:val="center"/>
              <w:ind w:right="120"/>
              <w:spacing w:after="0" w:line="121" w:lineRule="exact"/>
              <w:rPr>
                <w:sz w:val="20"/>
                <w:szCs w:val="20"/>
                <w:color w:val="auto"/>
              </w:rPr>
            </w:pPr>
            <w:r>
              <w:rPr>
                <w:rFonts w:ascii="Times New Roman" w:cs="Times New Roman" w:eastAsia="Times New Roman" w:hAnsi="Times New Roman"/>
                <w:sz w:val="11"/>
                <w:szCs w:val="11"/>
                <w:b w:val="1"/>
                <w:bCs w:val="1"/>
                <w:color w:val="auto"/>
                <w:w w:val="98"/>
              </w:rPr>
              <w:t>Underwriters’</w:t>
            </w:r>
          </w:p>
        </w:tc>
        <w:tc>
          <w:tcPr>
            <w:tcW w:w="1160" w:type="dxa"/>
            <w:vAlign w:val="bottom"/>
            <w:gridSpan w:val="4"/>
          </w:tcPr>
          <w:p>
            <w:pPr>
              <w:jc w:val="center"/>
              <w:ind w:right="140"/>
              <w:spacing w:after="0" w:line="121" w:lineRule="exact"/>
              <w:rPr>
                <w:sz w:val="20"/>
                <w:szCs w:val="20"/>
                <w:color w:val="auto"/>
              </w:rPr>
            </w:pPr>
            <w:r>
              <w:rPr>
                <w:rFonts w:ascii="Times New Roman" w:cs="Times New Roman" w:eastAsia="Times New Roman" w:hAnsi="Times New Roman"/>
                <w:sz w:val="11"/>
                <w:szCs w:val="11"/>
                <w:b w:val="1"/>
                <w:bCs w:val="1"/>
                <w:color w:val="auto"/>
                <w:w w:val="98"/>
              </w:rPr>
              <w:t>Underwriters’</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4"/>
          </w:tcPr>
          <w:p>
            <w:pPr>
              <w:jc w:val="center"/>
              <w:ind w:right="140"/>
              <w:spacing w:after="0" w:line="121" w:lineRule="exact"/>
              <w:rPr>
                <w:sz w:val="20"/>
                <w:szCs w:val="20"/>
                <w:color w:val="auto"/>
              </w:rPr>
            </w:pPr>
            <w:r>
              <w:rPr>
                <w:rFonts w:ascii="Times New Roman" w:cs="Times New Roman" w:eastAsia="Times New Roman" w:hAnsi="Times New Roman"/>
                <w:sz w:val="11"/>
                <w:szCs w:val="11"/>
                <w:b w:val="1"/>
                <w:bCs w:val="1"/>
                <w:color w:val="auto"/>
                <w:w w:val="98"/>
              </w:rPr>
              <w:t>Underwriters’</w:t>
            </w:r>
          </w:p>
        </w:tc>
        <w:tc>
          <w:tcPr>
            <w:tcW w:w="1160" w:type="dxa"/>
            <w:vAlign w:val="bottom"/>
            <w:gridSpan w:val="4"/>
          </w:tcPr>
          <w:p>
            <w:pPr>
              <w:jc w:val="center"/>
              <w:ind w:right="120"/>
              <w:spacing w:after="0" w:line="121" w:lineRule="exact"/>
              <w:rPr>
                <w:sz w:val="20"/>
                <w:szCs w:val="20"/>
                <w:color w:val="auto"/>
              </w:rPr>
            </w:pPr>
            <w:r>
              <w:rPr>
                <w:rFonts w:ascii="Times New Roman" w:cs="Times New Roman" w:eastAsia="Times New Roman" w:hAnsi="Times New Roman"/>
                <w:sz w:val="11"/>
                <w:szCs w:val="11"/>
                <w:b w:val="1"/>
                <w:bCs w:val="1"/>
                <w:color w:val="auto"/>
                <w:w w:val="95"/>
              </w:rPr>
              <w:t>Underwriters’</w:t>
            </w:r>
          </w:p>
        </w:tc>
        <w:tc>
          <w:tcPr>
            <w:tcW w:w="660" w:type="dxa"/>
            <w:vAlign w:val="bottom"/>
          </w:tcPr>
          <w:p>
            <w:pPr>
              <w:spacing w:after="0"/>
              <w:rPr>
                <w:sz w:val="10"/>
                <w:szCs w:val="10"/>
                <w:color w:val="auto"/>
              </w:rPr>
            </w:pPr>
          </w:p>
        </w:tc>
        <w:tc>
          <w:tcPr>
            <w:tcW w:w="80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5"/>
              </w:rPr>
              <w:t>Underwriters’</w:t>
            </w:r>
          </w:p>
        </w:tc>
        <w:tc>
          <w:tcPr>
            <w:tcW w:w="720" w:type="dxa"/>
            <w:vAlign w:val="bottom"/>
          </w:tcPr>
          <w:p>
            <w:pPr>
              <w:jc w:val="center"/>
              <w:ind w:left="7"/>
              <w:spacing w:after="0" w:line="121" w:lineRule="exact"/>
              <w:rPr>
                <w:sz w:val="20"/>
                <w:szCs w:val="20"/>
                <w:color w:val="auto"/>
              </w:rPr>
            </w:pPr>
            <w:r>
              <w:rPr>
                <w:rFonts w:ascii="Times New Roman" w:cs="Times New Roman" w:eastAsia="Times New Roman" w:hAnsi="Times New Roman"/>
                <w:sz w:val="11"/>
                <w:szCs w:val="11"/>
                <w:b w:val="1"/>
                <w:bCs w:val="1"/>
                <w:color w:val="auto"/>
                <w:w w:val="98"/>
              </w:rPr>
              <w:t>Underwriters’</w:t>
            </w:r>
          </w:p>
        </w:tc>
      </w:tr>
      <w:tr>
        <w:trPr>
          <w:trHeight w:val="120"/>
        </w:trPr>
        <w:tc>
          <w:tcPr>
            <w:tcW w:w="1160" w:type="dxa"/>
            <w:vAlign w:val="bottom"/>
            <w:gridSpan w:val="4"/>
          </w:tcPr>
          <w:p>
            <w:pPr>
              <w:jc w:val="center"/>
              <w:ind w:right="120"/>
              <w:spacing w:after="0" w:line="121" w:lineRule="exact"/>
              <w:rPr>
                <w:sz w:val="20"/>
                <w:szCs w:val="20"/>
                <w:color w:val="auto"/>
              </w:rPr>
            </w:pPr>
            <w:r>
              <w:rPr>
                <w:rFonts w:ascii="Times New Roman" w:cs="Times New Roman" w:eastAsia="Times New Roman" w:hAnsi="Times New Roman"/>
                <w:sz w:val="11"/>
                <w:szCs w:val="11"/>
                <w:b w:val="1"/>
                <w:bCs w:val="1"/>
                <w:color w:val="auto"/>
                <w:w w:val="95"/>
              </w:rPr>
              <w:t>Prior to the</w:t>
            </w:r>
          </w:p>
        </w:tc>
        <w:tc>
          <w:tcPr>
            <w:tcW w:w="1180" w:type="dxa"/>
            <w:vAlign w:val="bottom"/>
            <w:gridSpan w:val="4"/>
          </w:tcPr>
          <w:p>
            <w:pPr>
              <w:jc w:val="center"/>
              <w:ind w:right="140"/>
              <w:spacing w:after="0" w:line="121"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1160" w:type="dxa"/>
            <w:vAlign w:val="bottom"/>
            <w:gridSpan w:val="4"/>
          </w:tcPr>
          <w:p>
            <w:pPr>
              <w:jc w:val="center"/>
              <w:ind w:right="140"/>
              <w:spacing w:after="0" w:line="121" w:lineRule="exact"/>
              <w:rPr>
                <w:sz w:val="20"/>
                <w:szCs w:val="20"/>
                <w:color w:val="auto"/>
              </w:rPr>
            </w:pPr>
            <w:r>
              <w:rPr>
                <w:rFonts w:ascii="Times New Roman" w:cs="Times New Roman" w:eastAsia="Times New Roman" w:hAnsi="Times New Roman"/>
                <w:sz w:val="11"/>
                <w:szCs w:val="11"/>
                <w:b w:val="1"/>
                <w:bCs w:val="1"/>
                <w:color w:val="auto"/>
                <w:w w:val="97"/>
              </w:rPr>
              <w:t>Option is</w:t>
            </w:r>
          </w:p>
        </w:tc>
        <w:tc>
          <w:tcPr>
            <w:tcW w:w="1160" w:type="dxa"/>
            <w:vAlign w:val="bottom"/>
            <w:gridSpan w:val="4"/>
          </w:tcPr>
          <w:p>
            <w:pPr>
              <w:jc w:val="center"/>
              <w:ind w:right="140"/>
              <w:spacing w:after="0" w:line="121" w:lineRule="exact"/>
              <w:rPr>
                <w:sz w:val="20"/>
                <w:szCs w:val="20"/>
                <w:color w:val="auto"/>
              </w:rPr>
            </w:pPr>
            <w:r>
              <w:rPr>
                <w:rFonts w:ascii="Times New Roman" w:cs="Times New Roman" w:eastAsia="Times New Roman" w:hAnsi="Times New Roman"/>
                <w:sz w:val="11"/>
                <w:szCs w:val="11"/>
                <w:b w:val="1"/>
                <w:bCs w:val="1"/>
                <w:color w:val="auto"/>
                <w:w w:val="99"/>
              </w:rPr>
              <w:t>Prior to the</w:t>
            </w:r>
          </w:p>
        </w:tc>
        <w:tc>
          <w:tcPr>
            <w:tcW w:w="1160" w:type="dxa"/>
            <w:vAlign w:val="bottom"/>
            <w:gridSpan w:val="4"/>
          </w:tcPr>
          <w:p>
            <w:pPr>
              <w:jc w:val="center"/>
              <w:ind w:right="120"/>
              <w:spacing w:after="0" w:line="121"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1160" w:type="dxa"/>
            <w:vAlign w:val="bottom"/>
            <w:gridSpan w:val="4"/>
          </w:tcPr>
          <w:p>
            <w:pPr>
              <w:jc w:val="center"/>
              <w:ind w:right="140"/>
              <w:spacing w:after="0" w:line="121" w:lineRule="exact"/>
              <w:rPr>
                <w:sz w:val="20"/>
                <w:szCs w:val="20"/>
                <w:color w:val="auto"/>
              </w:rPr>
            </w:pPr>
            <w:r>
              <w:rPr>
                <w:rFonts w:ascii="Times New Roman" w:cs="Times New Roman" w:eastAsia="Times New Roman" w:hAnsi="Times New Roman"/>
                <w:sz w:val="11"/>
                <w:szCs w:val="11"/>
                <w:b w:val="1"/>
                <w:bCs w:val="1"/>
                <w:color w:val="auto"/>
                <w:w w:val="97"/>
              </w:rPr>
              <w:t>Option is</w:t>
            </w:r>
          </w:p>
        </w:tc>
        <w:tc>
          <w:tcPr>
            <w:tcW w:w="660" w:type="dxa"/>
            <w:vAlign w:val="bottom"/>
          </w:tcPr>
          <w:p>
            <w:pPr>
              <w:jc w:val="center"/>
              <w:ind w:right="7"/>
              <w:spacing w:after="0" w:line="121" w:lineRule="exact"/>
              <w:rPr>
                <w:sz w:val="20"/>
                <w:szCs w:val="20"/>
                <w:color w:val="auto"/>
              </w:rPr>
            </w:pPr>
            <w:r>
              <w:rPr>
                <w:rFonts w:ascii="Times New Roman" w:cs="Times New Roman" w:eastAsia="Times New Roman" w:hAnsi="Times New Roman"/>
                <w:sz w:val="11"/>
                <w:szCs w:val="11"/>
                <w:b w:val="1"/>
                <w:bCs w:val="1"/>
                <w:color w:val="auto"/>
                <w:w w:val="95"/>
              </w:rPr>
              <w:t>Prior to the</w:t>
            </w:r>
          </w:p>
        </w:tc>
        <w:tc>
          <w:tcPr>
            <w:tcW w:w="80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720" w:type="dxa"/>
            <w:vAlign w:val="bottom"/>
          </w:tcPr>
          <w:p>
            <w:pPr>
              <w:jc w:val="center"/>
              <w:ind w:left="7"/>
              <w:spacing w:after="0" w:line="121" w:lineRule="exact"/>
              <w:rPr>
                <w:sz w:val="20"/>
                <w:szCs w:val="20"/>
                <w:color w:val="auto"/>
              </w:rPr>
            </w:pPr>
            <w:r>
              <w:rPr>
                <w:rFonts w:ascii="Times New Roman" w:cs="Times New Roman" w:eastAsia="Times New Roman" w:hAnsi="Times New Roman"/>
                <w:sz w:val="11"/>
                <w:szCs w:val="11"/>
                <w:b w:val="1"/>
                <w:bCs w:val="1"/>
                <w:color w:val="auto"/>
                <w:w w:val="97"/>
              </w:rPr>
              <w:t>Option is</w:t>
            </w:r>
          </w:p>
        </w:tc>
      </w:tr>
      <w:tr>
        <w:trPr>
          <w:trHeight w:val="120"/>
        </w:trPr>
        <w:tc>
          <w:tcPr>
            <w:tcW w:w="1160" w:type="dxa"/>
            <w:vAlign w:val="bottom"/>
            <w:gridSpan w:val="4"/>
          </w:tcPr>
          <w:p>
            <w:pPr>
              <w:jc w:val="center"/>
              <w:ind w:right="120"/>
              <w:spacing w:after="0" w:line="121" w:lineRule="exact"/>
              <w:rPr>
                <w:sz w:val="20"/>
                <w:szCs w:val="20"/>
                <w:color w:val="auto"/>
              </w:rPr>
            </w:pPr>
            <w:r>
              <w:rPr>
                <w:rFonts w:ascii="Times New Roman" w:cs="Times New Roman" w:eastAsia="Times New Roman" w:hAnsi="Times New Roman"/>
                <w:sz w:val="11"/>
                <w:szCs w:val="11"/>
                <w:b w:val="1"/>
                <w:bCs w:val="1"/>
                <w:color w:val="auto"/>
                <w:w w:val="99"/>
              </w:rPr>
              <w:t>Offering</w:t>
            </w:r>
          </w:p>
        </w:tc>
        <w:tc>
          <w:tcPr>
            <w:tcW w:w="1180" w:type="dxa"/>
            <w:vAlign w:val="bottom"/>
            <w:gridSpan w:val="4"/>
          </w:tcPr>
          <w:p>
            <w:pPr>
              <w:jc w:val="center"/>
              <w:ind w:right="120"/>
              <w:spacing w:after="0" w:line="121" w:lineRule="exact"/>
              <w:rPr>
                <w:sz w:val="20"/>
                <w:szCs w:val="20"/>
                <w:color w:val="auto"/>
              </w:rPr>
            </w:pPr>
            <w:r>
              <w:rPr>
                <w:rFonts w:ascii="Times New Roman" w:cs="Times New Roman" w:eastAsia="Times New Roman" w:hAnsi="Times New Roman"/>
                <w:sz w:val="11"/>
                <w:szCs w:val="11"/>
                <w:b w:val="1"/>
                <w:bCs w:val="1"/>
                <w:color w:val="auto"/>
                <w:w w:val="95"/>
              </w:rPr>
              <w:t>is Not</w:t>
            </w:r>
          </w:p>
        </w:tc>
        <w:tc>
          <w:tcPr>
            <w:tcW w:w="1160" w:type="dxa"/>
            <w:vAlign w:val="bottom"/>
            <w:gridSpan w:val="4"/>
          </w:tcPr>
          <w:p>
            <w:pPr>
              <w:jc w:val="center"/>
              <w:ind w:right="160"/>
              <w:spacing w:after="0" w:line="121" w:lineRule="exact"/>
              <w:rPr>
                <w:sz w:val="20"/>
                <w:szCs w:val="20"/>
                <w:color w:val="auto"/>
              </w:rPr>
            </w:pPr>
            <w:r>
              <w:rPr>
                <w:rFonts w:ascii="Times New Roman" w:cs="Times New Roman" w:eastAsia="Times New Roman" w:hAnsi="Times New Roman"/>
                <w:sz w:val="11"/>
                <w:szCs w:val="11"/>
                <w:b w:val="1"/>
                <w:bCs w:val="1"/>
                <w:color w:val="auto"/>
                <w:w w:val="95"/>
              </w:rPr>
              <w:t>Exercised</w:t>
            </w:r>
          </w:p>
        </w:tc>
        <w:tc>
          <w:tcPr>
            <w:tcW w:w="1160" w:type="dxa"/>
            <w:vAlign w:val="bottom"/>
            <w:gridSpan w:val="4"/>
          </w:tcPr>
          <w:p>
            <w:pPr>
              <w:jc w:val="center"/>
              <w:ind w:right="140"/>
              <w:spacing w:after="0" w:line="121" w:lineRule="exact"/>
              <w:rPr>
                <w:sz w:val="20"/>
                <w:szCs w:val="20"/>
                <w:color w:val="auto"/>
              </w:rPr>
            </w:pPr>
            <w:r>
              <w:rPr>
                <w:rFonts w:ascii="Times New Roman" w:cs="Times New Roman" w:eastAsia="Times New Roman" w:hAnsi="Times New Roman"/>
                <w:sz w:val="11"/>
                <w:szCs w:val="11"/>
                <w:b w:val="1"/>
                <w:bCs w:val="1"/>
                <w:color w:val="auto"/>
                <w:w w:val="94"/>
              </w:rPr>
              <w:t>Offering</w:t>
            </w:r>
          </w:p>
        </w:tc>
        <w:tc>
          <w:tcPr>
            <w:tcW w:w="1160" w:type="dxa"/>
            <w:vAlign w:val="bottom"/>
            <w:gridSpan w:val="4"/>
          </w:tcPr>
          <w:p>
            <w:pPr>
              <w:jc w:val="center"/>
              <w:ind w:right="140"/>
              <w:spacing w:after="0" w:line="121" w:lineRule="exact"/>
              <w:rPr>
                <w:sz w:val="20"/>
                <w:szCs w:val="20"/>
                <w:color w:val="auto"/>
              </w:rPr>
            </w:pPr>
            <w:r>
              <w:rPr>
                <w:rFonts w:ascii="Times New Roman" w:cs="Times New Roman" w:eastAsia="Times New Roman" w:hAnsi="Times New Roman"/>
                <w:sz w:val="11"/>
                <w:szCs w:val="11"/>
                <w:b w:val="1"/>
                <w:bCs w:val="1"/>
                <w:color w:val="auto"/>
                <w:w w:val="95"/>
              </w:rPr>
              <w:t>is Not</w:t>
            </w:r>
          </w:p>
        </w:tc>
        <w:tc>
          <w:tcPr>
            <w:tcW w:w="1160" w:type="dxa"/>
            <w:vAlign w:val="bottom"/>
            <w:gridSpan w:val="4"/>
          </w:tcPr>
          <w:p>
            <w:pPr>
              <w:jc w:val="center"/>
              <w:ind w:right="120"/>
              <w:spacing w:after="0" w:line="121" w:lineRule="exact"/>
              <w:rPr>
                <w:sz w:val="20"/>
                <w:szCs w:val="20"/>
                <w:color w:val="auto"/>
              </w:rPr>
            </w:pPr>
            <w:r>
              <w:rPr>
                <w:rFonts w:ascii="Times New Roman" w:cs="Times New Roman" w:eastAsia="Times New Roman" w:hAnsi="Times New Roman"/>
                <w:sz w:val="11"/>
                <w:szCs w:val="11"/>
                <w:b w:val="1"/>
                <w:bCs w:val="1"/>
                <w:color w:val="auto"/>
                <w:w w:val="96"/>
              </w:rPr>
              <w:t>Exercised in</w:t>
            </w:r>
          </w:p>
        </w:tc>
        <w:tc>
          <w:tcPr>
            <w:tcW w:w="660" w:type="dxa"/>
            <w:vAlign w:val="bottom"/>
          </w:tcPr>
          <w:p>
            <w:pPr>
              <w:jc w:val="center"/>
              <w:ind w:right="7"/>
              <w:spacing w:after="0" w:line="121" w:lineRule="exact"/>
              <w:rPr>
                <w:sz w:val="20"/>
                <w:szCs w:val="20"/>
                <w:color w:val="auto"/>
              </w:rPr>
            </w:pPr>
            <w:r>
              <w:rPr>
                <w:rFonts w:ascii="Times New Roman" w:cs="Times New Roman" w:eastAsia="Times New Roman" w:hAnsi="Times New Roman"/>
                <w:sz w:val="11"/>
                <w:szCs w:val="11"/>
                <w:b w:val="1"/>
                <w:bCs w:val="1"/>
                <w:color w:val="auto"/>
                <w:w w:val="99"/>
              </w:rPr>
              <w:t>Offering</w:t>
            </w:r>
          </w:p>
        </w:tc>
        <w:tc>
          <w:tcPr>
            <w:tcW w:w="80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5"/>
              </w:rPr>
              <w:t>is Not</w:t>
            </w:r>
          </w:p>
        </w:tc>
        <w:tc>
          <w:tcPr>
            <w:tcW w:w="72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5"/>
              </w:rPr>
              <w:t>Exercised</w:t>
            </w:r>
          </w:p>
        </w:tc>
      </w:tr>
      <w:tr>
        <w:trPr>
          <w:trHeight w:val="136"/>
        </w:trPr>
        <w:tc>
          <w:tcPr>
            <w:tcW w:w="116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Transactions</w:t>
            </w:r>
          </w:p>
        </w:tc>
        <w:tc>
          <w:tcPr>
            <w:tcW w:w="118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5"/>
              </w:rPr>
              <w:t>Exercised</w:t>
            </w:r>
          </w:p>
        </w:tc>
        <w:tc>
          <w:tcPr>
            <w:tcW w:w="116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in Full</w:t>
            </w:r>
          </w:p>
        </w:tc>
        <w:tc>
          <w:tcPr>
            <w:tcW w:w="116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4"/>
              </w:rPr>
              <w:t>Transactions</w:t>
            </w:r>
          </w:p>
        </w:tc>
        <w:tc>
          <w:tcPr>
            <w:tcW w:w="116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Exercised</w:t>
            </w:r>
          </w:p>
        </w:tc>
        <w:tc>
          <w:tcPr>
            <w:tcW w:w="400" w:type="dxa"/>
            <w:vAlign w:val="bottom"/>
          </w:tcPr>
          <w:p>
            <w:pPr>
              <w:spacing w:after="0"/>
              <w:rPr>
                <w:sz w:val="11"/>
                <w:szCs w:val="11"/>
                <w:color w:val="auto"/>
              </w:rPr>
            </w:pPr>
          </w:p>
        </w:tc>
        <w:tc>
          <w:tcPr>
            <w:tcW w:w="760" w:type="dxa"/>
            <w:vAlign w:val="bottom"/>
            <w:gridSpan w:val="3"/>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rPr>
              <w:t>Full</w:t>
            </w:r>
          </w:p>
        </w:tc>
        <w:tc>
          <w:tcPr>
            <w:tcW w:w="660" w:type="dxa"/>
            <w:vAlign w:val="bottom"/>
          </w:tcPr>
          <w:p>
            <w:pPr>
              <w:jc w:val="center"/>
              <w:ind w:right="7"/>
              <w:spacing w:after="0"/>
              <w:rPr>
                <w:sz w:val="20"/>
                <w:szCs w:val="20"/>
                <w:color w:val="auto"/>
              </w:rPr>
            </w:pPr>
            <w:r>
              <w:rPr>
                <w:rFonts w:ascii="Times New Roman" w:cs="Times New Roman" w:eastAsia="Times New Roman" w:hAnsi="Times New Roman"/>
                <w:sz w:val="11"/>
                <w:szCs w:val="11"/>
                <w:b w:val="1"/>
                <w:bCs w:val="1"/>
                <w:color w:val="auto"/>
                <w:w w:val="98"/>
              </w:rPr>
              <w:t>Transactions</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Exercised</w:t>
            </w:r>
          </w:p>
        </w:tc>
        <w:tc>
          <w:tcPr>
            <w:tcW w:w="720" w:type="dxa"/>
            <w:vAlign w:val="bottom"/>
          </w:tcPr>
          <w:p>
            <w:pPr>
              <w:jc w:val="center"/>
              <w:ind w:left="7"/>
              <w:spacing w:after="0"/>
              <w:rPr>
                <w:sz w:val="20"/>
                <w:szCs w:val="20"/>
                <w:color w:val="auto"/>
              </w:rPr>
            </w:pPr>
            <w:r>
              <w:rPr>
                <w:rFonts w:ascii="Times New Roman" w:cs="Times New Roman" w:eastAsia="Times New Roman" w:hAnsi="Times New Roman"/>
                <w:sz w:val="11"/>
                <w:szCs w:val="11"/>
                <w:b w:val="1"/>
                <w:bCs w:val="1"/>
                <w:color w:val="auto"/>
                <w:w w:val="96"/>
              </w:rPr>
              <w:t>in Full</w:t>
            </w:r>
          </w:p>
        </w:tc>
      </w:tr>
      <w:tr>
        <w:trPr>
          <w:trHeight w:val="114"/>
        </w:trPr>
        <w:tc>
          <w:tcPr>
            <w:tcW w:w="1040" w:type="dxa"/>
            <w:vAlign w:val="bottom"/>
            <w:tcBorders>
              <w:top w:val="single" w:sz="8" w:color="auto"/>
            </w:tcBorders>
            <w:gridSpan w:val="3"/>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rPr>
              <w:t>Number   Percentage</w:t>
            </w:r>
          </w:p>
        </w:tc>
        <w:tc>
          <w:tcPr>
            <w:tcW w:w="120" w:type="dxa"/>
            <w:vAlign w:val="bottom"/>
          </w:tcPr>
          <w:p>
            <w:pPr>
              <w:spacing w:after="0"/>
              <w:rPr>
                <w:sz w:val="9"/>
                <w:szCs w:val="9"/>
                <w:color w:val="auto"/>
              </w:rPr>
            </w:pPr>
          </w:p>
        </w:tc>
        <w:tc>
          <w:tcPr>
            <w:tcW w:w="1040" w:type="dxa"/>
            <w:vAlign w:val="bottom"/>
            <w:tcBorders>
              <w:top w:val="single" w:sz="8" w:color="auto"/>
            </w:tcBorders>
            <w:gridSpan w:val="3"/>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rPr>
              <w:t>Number   Percentage</w:t>
            </w:r>
          </w:p>
        </w:tc>
        <w:tc>
          <w:tcPr>
            <w:tcW w:w="140" w:type="dxa"/>
            <w:vAlign w:val="bottom"/>
          </w:tcPr>
          <w:p>
            <w:pPr>
              <w:spacing w:after="0"/>
              <w:rPr>
                <w:sz w:val="9"/>
                <w:szCs w:val="9"/>
                <w:color w:val="auto"/>
              </w:rPr>
            </w:pPr>
          </w:p>
        </w:tc>
        <w:tc>
          <w:tcPr>
            <w:tcW w:w="1020" w:type="dxa"/>
            <w:vAlign w:val="bottom"/>
            <w:tcBorders>
              <w:top w:val="single" w:sz="8" w:color="auto"/>
            </w:tcBorders>
            <w:gridSpan w:val="3"/>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rPr>
              <w:t>Number   Percentage</w:t>
            </w:r>
          </w:p>
        </w:tc>
        <w:tc>
          <w:tcPr>
            <w:tcW w:w="140" w:type="dxa"/>
            <w:vAlign w:val="bottom"/>
          </w:tcPr>
          <w:p>
            <w:pPr>
              <w:spacing w:after="0"/>
              <w:rPr>
                <w:sz w:val="9"/>
                <w:szCs w:val="9"/>
                <w:color w:val="auto"/>
              </w:rPr>
            </w:pPr>
          </w:p>
        </w:tc>
        <w:tc>
          <w:tcPr>
            <w:tcW w:w="1020" w:type="dxa"/>
            <w:vAlign w:val="bottom"/>
            <w:tcBorders>
              <w:top w:val="single" w:sz="8" w:color="auto"/>
            </w:tcBorders>
            <w:gridSpan w:val="3"/>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rPr>
              <w:t>Number   Percentage</w:t>
            </w:r>
          </w:p>
        </w:tc>
        <w:tc>
          <w:tcPr>
            <w:tcW w:w="140" w:type="dxa"/>
            <w:vAlign w:val="bottom"/>
          </w:tcPr>
          <w:p>
            <w:pPr>
              <w:spacing w:after="0"/>
              <w:rPr>
                <w:sz w:val="9"/>
                <w:szCs w:val="9"/>
                <w:color w:val="auto"/>
              </w:rPr>
            </w:pPr>
          </w:p>
        </w:tc>
        <w:tc>
          <w:tcPr>
            <w:tcW w:w="1020" w:type="dxa"/>
            <w:vAlign w:val="bottom"/>
            <w:tcBorders>
              <w:top w:val="single" w:sz="8" w:color="auto"/>
            </w:tcBorders>
            <w:gridSpan w:val="3"/>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rPr>
              <w:t>Number   Percentage</w:t>
            </w:r>
          </w:p>
        </w:tc>
        <w:tc>
          <w:tcPr>
            <w:tcW w:w="140" w:type="dxa"/>
            <w:vAlign w:val="bottom"/>
          </w:tcPr>
          <w:p>
            <w:pPr>
              <w:spacing w:after="0"/>
              <w:rPr>
                <w:sz w:val="9"/>
                <w:szCs w:val="9"/>
                <w:color w:val="auto"/>
              </w:rPr>
            </w:pPr>
          </w:p>
        </w:tc>
        <w:tc>
          <w:tcPr>
            <w:tcW w:w="1040" w:type="dxa"/>
            <w:vAlign w:val="bottom"/>
            <w:tcBorders>
              <w:top w:val="single" w:sz="8" w:color="auto"/>
            </w:tcBorders>
            <w:gridSpan w:val="3"/>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rPr>
              <w:t>Number   Percentage</w:t>
            </w:r>
          </w:p>
        </w:tc>
        <w:tc>
          <w:tcPr>
            <w:tcW w:w="1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center"/>
              <w:ind w:left="7"/>
              <w:spacing w:after="0" w:line="114" w:lineRule="exact"/>
              <w:rPr>
                <w:sz w:val="20"/>
                <w:szCs w:val="20"/>
                <w:color w:val="auto"/>
              </w:rPr>
            </w:pPr>
            <w:r>
              <w:rPr>
                <w:rFonts w:ascii="Times New Roman" w:cs="Times New Roman" w:eastAsia="Times New Roman" w:hAnsi="Times New Roman"/>
                <w:sz w:val="11"/>
                <w:szCs w:val="11"/>
                <w:b w:val="1"/>
                <w:bCs w:val="1"/>
                <w:color w:val="auto"/>
                <w:w w:val="96"/>
              </w:rPr>
              <w:t>Percentage</w:t>
            </w:r>
          </w:p>
        </w:tc>
        <w:tc>
          <w:tcPr>
            <w:tcW w:w="720" w:type="dxa"/>
            <w:vAlign w:val="bottom"/>
            <w:tcBorders>
              <w:top w:val="single" w:sz="8" w:color="auto"/>
            </w:tcBorders>
          </w:tcPr>
          <w:p>
            <w:pPr>
              <w:spacing w:after="0"/>
              <w:rPr>
                <w:sz w:val="9"/>
                <w:szCs w:val="9"/>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6929755" cy="933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29755" cy="93345"/>
                    </a:xfrm>
                    <a:prstGeom prst="rect">
                      <a:avLst/>
                    </a:prstGeom>
                    <a:noFill/>
                  </pic:spPr>
                </pic:pic>
              </a:graphicData>
            </a:graphic>
          </wp:anchor>
        </w:drawing>
        <w:drawing>
          <wp:anchor simplePos="0" relativeHeight="251657728" behindDoc="1" locked="0" layoutInCell="0" allowOverlap="1">
            <wp:simplePos x="0" y="0"/>
            <wp:positionH relativeFrom="column">
              <wp:posOffset>-1099820</wp:posOffset>
            </wp:positionH>
            <wp:positionV relativeFrom="paragraph">
              <wp:posOffset>169545</wp:posOffset>
            </wp:positionV>
            <wp:extent cx="6929755" cy="850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29755" cy="85090"/>
                    </a:xfrm>
                    <a:prstGeom prst="rect">
                      <a:avLst/>
                    </a:prstGeom>
                    <a:noFill/>
                  </pic:spPr>
                </pic:pic>
              </a:graphicData>
            </a:graphic>
          </wp:anchor>
        </w:drawing>
        <w:drawing>
          <wp:anchor simplePos="0" relativeHeight="251657728" behindDoc="1" locked="0" layoutInCell="0" allowOverlap="1">
            <wp:simplePos x="0" y="0"/>
            <wp:positionH relativeFrom="column">
              <wp:posOffset>-1099820</wp:posOffset>
            </wp:positionH>
            <wp:positionV relativeFrom="paragraph">
              <wp:posOffset>339725</wp:posOffset>
            </wp:positionV>
            <wp:extent cx="6929755" cy="850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29755" cy="85090"/>
                    </a:xfrm>
                    <a:prstGeom prst="rect">
                      <a:avLst/>
                    </a:prstGeom>
                    <a:noFill/>
                  </pic:spPr>
                </pic:pic>
              </a:graphicData>
            </a:graphic>
          </wp:anchor>
        </w:drawing>
        <w:drawing>
          <wp:anchor simplePos="0" relativeHeight="251657728" behindDoc="1" locked="0" layoutInCell="0" allowOverlap="1">
            <wp:simplePos x="0" y="0"/>
            <wp:positionH relativeFrom="column">
              <wp:posOffset>-1099820</wp:posOffset>
            </wp:positionH>
            <wp:positionV relativeFrom="paragraph">
              <wp:posOffset>594360</wp:posOffset>
            </wp:positionV>
            <wp:extent cx="6929755" cy="850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29755" cy="85090"/>
                    </a:xfrm>
                    <a:prstGeom prst="rect">
                      <a:avLst/>
                    </a:prstGeom>
                    <a:noFill/>
                  </pic:spPr>
                </pic:pic>
              </a:graphicData>
            </a:graphic>
          </wp:anchor>
        </w:drawing>
        <w:drawing>
          <wp:anchor simplePos="0" relativeHeight="251657728" behindDoc="1" locked="0" layoutInCell="0" allowOverlap="1">
            <wp:simplePos x="0" y="0"/>
            <wp:positionH relativeFrom="column">
              <wp:posOffset>-1099820</wp:posOffset>
            </wp:positionH>
            <wp:positionV relativeFrom="paragraph">
              <wp:posOffset>764540</wp:posOffset>
            </wp:positionV>
            <wp:extent cx="6929755" cy="850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29755" cy="85090"/>
                    </a:xfrm>
                    <a:prstGeom prst="rect">
                      <a:avLst/>
                    </a:prstGeom>
                    <a:noFill/>
                  </pic:spPr>
                </pic:pic>
              </a:graphicData>
            </a:graphic>
          </wp:anchor>
        </w:drawing>
        <w:drawing>
          <wp:anchor simplePos="0" relativeHeight="251657728" behindDoc="1" locked="0" layoutInCell="0" allowOverlap="1">
            <wp:simplePos x="0" y="0"/>
            <wp:positionH relativeFrom="column">
              <wp:posOffset>-1099820</wp:posOffset>
            </wp:positionH>
            <wp:positionV relativeFrom="paragraph">
              <wp:posOffset>934085</wp:posOffset>
            </wp:positionV>
            <wp:extent cx="6929755" cy="850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29755" cy="85090"/>
                    </a:xfrm>
                    <a:prstGeom prst="rect">
                      <a:avLst/>
                    </a:prstGeom>
                    <a:noFill/>
                  </pic:spPr>
                </pic:pic>
              </a:graphicData>
            </a:graphic>
          </wp:anchor>
        </w:drawing>
        <w:drawing>
          <wp:anchor simplePos="0" relativeHeight="251657728" behindDoc="1" locked="0" layoutInCell="0" allowOverlap="1">
            <wp:simplePos x="0" y="0"/>
            <wp:positionH relativeFrom="column">
              <wp:posOffset>-1099820</wp:posOffset>
            </wp:positionH>
            <wp:positionV relativeFrom="paragraph">
              <wp:posOffset>1104265</wp:posOffset>
            </wp:positionV>
            <wp:extent cx="6929755" cy="850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29755" cy="85090"/>
                    </a:xfrm>
                    <a:prstGeom prst="rect">
                      <a:avLst/>
                    </a:prstGeom>
                    <a:noFill/>
                  </pic:spPr>
                </pic:pic>
              </a:graphicData>
            </a:graphic>
          </wp:anchor>
        </w:drawing>
        <w:drawing>
          <wp:anchor simplePos="0" relativeHeight="251657728" behindDoc="1" locked="0" layoutInCell="0" allowOverlap="1">
            <wp:simplePos x="0" y="0"/>
            <wp:positionH relativeFrom="column">
              <wp:posOffset>-1099820</wp:posOffset>
            </wp:positionH>
            <wp:positionV relativeFrom="paragraph">
              <wp:posOffset>1273810</wp:posOffset>
            </wp:positionV>
            <wp:extent cx="6929755" cy="850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29755" cy="85090"/>
                    </a:xfrm>
                    <a:prstGeom prst="rect">
                      <a:avLst/>
                    </a:prstGeom>
                    <a:noFill/>
                  </pic:spPr>
                </pic:pic>
              </a:graphicData>
            </a:graphic>
          </wp:anchor>
        </w:drawing>
        <w:drawing>
          <wp:anchor simplePos="0" relativeHeight="251657728" behindDoc="1" locked="0" layoutInCell="0" allowOverlap="1">
            <wp:simplePos x="0" y="0"/>
            <wp:positionH relativeFrom="column">
              <wp:posOffset>-1099820</wp:posOffset>
            </wp:positionH>
            <wp:positionV relativeFrom="paragraph">
              <wp:posOffset>1443990</wp:posOffset>
            </wp:positionV>
            <wp:extent cx="6929755" cy="850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29755" cy="85090"/>
                    </a:xfrm>
                    <a:prstGeom prst="rect">
                      <a:avLst/>
                    </a:prstGeom>
                    <a:noFill/>
                  </pic:spPr>
                </pic:pic>
              </a:graphicData>
            </a:graphic>
          </wp:anchor>
        </w:drawing>
        <w:drawing>
          <wp:anchor simplePos="0" relativeHeight="251657728" behindDoc="1" locked="0" layoutInCell="0" allowOverlap="1">
            <wp:simplePos x="0" y="0"/>
            <wp:positionH relativeFrom="column">
              <wp:posOffset>-1099820</wp:posOffset>
            </wp:positionH>
            <wp:positionV relativeFrom="paragraph">
              <wp:posOffset>1613535</wp:posOffset>
            </wp:positionV>
            <wp:extent cx="6929755" cy="850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29755" cy="85090"/>
                    </a:xfrm>
                    <a:prstGeom prst="rect">
                      <a:avLst/>
                    </a:prstGeom>
                    <a:noFill/>
                  </pic:spPr>
                </pic:pic>
              </a:graphicData>
            </a:graphic>
          </wp:anchor>
        </w:drawing>
        <w:drawing>
          <wp:anchor simplePos="0" relativeHeight="251657728" behindDoc="1" locked="0" layoutInCell="0" allowOverlap="1">
            <wp:simplePos x="0" y="0"/>
            <wp:positionH relativeFrom="column">
              <wp:posOffset>-1099820</wp:posOffset>
            </wp:positionH>
            <wp:positionV relativeFrom="paragraph">
              <wp:posOffset>1783715</wp:posOffset>
            </wp:positionV>
            <wp:extent cx="6929755" cy="850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29755" cy="85090"/>
                    </a:xfrm>
                    <a:prstGeom prst="rect">
                      <a:avLst/>
                    </a:prstGeom>
                    <a:noFill/>
                  </pic:spPr>
                </pic:pic>
              </a:graphicData>
            </a:graphic>
          </wp:anchor>
        </w:drawing>
        <w:drawing>
          <wp:anchor simplePos="0" relativeHeight="251657728" behindDoc="1" locked="0" layoutInCell="0" allowOverlap="1">
            <wp:simplePos x="0" y="0"/>
            <wp:positionH relativeFrom="column">
              <wp:posOffset>-1099820</wp:posOffset>
            </wp:positionH>
            <wp:positionV relativeFrom="paragraph">
              <wp:posOffset>1953260</wp:posOffset>
            </wp:positionV>
            <wp:extent cx="6929755" cy="2546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29755" cy="254635"/>
                    </a:xfrm>
                    <a:prstGeom prst="rect">
                      <a:avLst/>
                    </a:prstGeom>
                    <a:noFill/>
                  </pic:spPr>
                </pic:pic>
              </a:graphicData>
            </a:graphic>
          </wp:anchor>
        </w:drawing>
      </w:r>
    </w:p>
    <w:p>
      <w:pPr>
        <w:spacing w:after="0" w:line="3642" w:lineRule="exact"/>
        <w:rPr>
          <w:sz w:val="20"/>
          <w:szCs w:val="20"/>
          <w:color w:val="auto"/>
        </w:rPr>
      </w:pPr>
    </w:p>
    <w:p>
      <w:pPr>
        <w:sectPr>
          <w:pgSz w:w="11900" w:h="16838" w:orient="portrait"/>
          <w:cols w:equalWidth="0" w:num="2">
            <w:col w:w="1380" w:space="520"/>
            <w:col w:w="9160"/>
          </w:cols>
          <w:pgMar w:left="320" w:top="451" w:right="519" w:bottom="1440" w:gutter="0" w:footer="0" w:header="0"/>
        </w:sectPr>
      </w:pPr>
    </w:p>
    <w:p>
      <w:pPr>
        <w:ind w:left="600" w:hanging="433"/>
        <w:spacing w:after="0"/>
        <w:tabs>
          <w:tab w:leader="none" w:pos="60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less than 1%.</w:t>
      </w:r>
    </w:p>
    <w:p>
      <w:pPr>
        <w:spacing w:after="0" w:line="2" w:lineRule="exact"/>
        <w:rPr>
          <w:sz w:val="20"/>
          <w:szCs w:val="20"/>
          <w:color w:val="auto"/>
        </w:rPr>
      </w:pPr>
    </w:p>
    <w:p>
      <w:pPr>
        <w:ind w:left="600" w:right="20" w:hanging="433"/>
        <w:spacing w:after="0" w:line="219" w:lineRule="auto"/>
        <w:tabs>
          <w:tab w:leader="none" w:pos="60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terms of the exchange agreement, Common Units are exchangeable for shares of our Class A common stock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See “Certain Relationships and Related Person Transactions—Exchange Agreement.” The Continuing Common Unitholders hold all of the issued and outstanding shares of our Class B common stock, and the number of shares of our Class B common stock listed in the table above correlates to the number of Common Units each Continuing Common Unitholder beneficially owns. Beneficial ownership of Common Units or of shares of our Class B common stock reflected in this table has not been also reflected as beneficial ownership of shares of our Class A common stock for which Common Units may be exchanged.</w:t>
      </w:r>
    </w:p>
    <w:p>
      <w:pPr>
        <w:spacing w:after="0" w:line="1" w:lineRule="exact"/>
        <w:rPr>
          <w:rFonts w:ascii="Times New Roman" w:cs="Times New Roman" w:eastAsia="Times New Roman" w:hAnsi="Times New Roman"/>
          <w:sz w:val="14"/>
          <w:szCs w:val="14"/>
          <w:color w:val="auto"/>
        </w:rPr>
      </w:pPr>
    </w:p>
    <w:p>
      <w:pPr>
        <w:ind w:left="600" w:right="160" w:hanging="433"/>
        <w:spacing w:after="0" w:line="219" w:lineRule="auto"/>
        <w:tabs>
          <w:tab w:leader="none" w:pos="60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percentage of voting power of the shares eligible to vote in the election of directors of Medline Inc. voting together as a single class. See “Description of Capital Stock— Common Stock.”</w:t>
      </w:r>
    </w:p>
    <w:p>
      <w:pPr>
        <w:ind w:left="600" w:hanging="433"/>
        <w:spacing w:after="0" w:line="219" w:lineRule="auto"/>
        <w:tabs>
          <w:tab w:leader="none" w:pos="60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Blackstone Funds that are selling stockholders in this offering are BX Mozart ML-1 Holdco, L.P., Mozart Aggregator UNLV Holdco L.P., BX Mozart ML-2 Holdco, L.P., and</w:t>
      </w:r>
    </w:p>
    <w:p>
      <w:pPr>
        <w:ind w:left="600"/>
        <w:spacing w:after="0"/>
        <w:rPr>
          <w:sz w:val="20"/>
          <w:szCs w:val="20"/>
          <w:color w:val="auto"/>
        </w:rPr>
      </w:pPr>
      <w:r>
        <w:rPr>
          <w:rFonts w:ascii="Times New Roman" w:cs="Times New Roman" w:eastAsia="Times New Roman" w:hAnsi="Times New Roman"/>
          <w:sz w:val="14"/>
          <w:szCs w:val="14"/>
          <w:color w:val="auto"/>
        </w:rPr>
        <w:t>Mozart Aggregator II UNLV Holdco L.P. (collectively, the “Blackstone Funds”). They are offering            ,            ,            , and            shares, respectively.</w:t>
      </w:r>
    </w:p>
    <w:p>
      <w:pPr>
        <w:spacing w:after="0" w:line="90" w:lineRule="exact"/>
        <w:rPr>
          <w:sz w:val="20"/>
          <w:szCs w:val="20"/>
          <w:color w:val="auto"/>
        </w:rPr>
      </w:pPr>
    </w:p>
    <w:p>
      <w:pPr>
        <w:ind w:left="160"/>
        <w:spacing w:after="0"/>
        <w:tabs>
          <w:tab w:leader="none" w:pos="580" w:val="left"/>
          <w:tab w:leader="none" w:pos="4380" w:val="left"/>
        </w:tabs>
        <w:rPr>
          <w:sz w:val="20"/>
          <w:szCs w:val="20"/>
          <w:color w:val="auto"/>
        </w:rPr>
      </w:pPr>
      <w:r>
        <w:rPr>
          <w:rFonts w:ascii="Times New Roman" w:cs="Times New Roman" w:eastAsia="Times New Roman" w:hAnsi="Times New Roman"/>
          <w:sz w:val="14"/>
          <w:szCs w:val="14"/>
          <w:color w:val="auto"/>
        </w:rPr>
        <w:t> </w:t>
      </w:r>
      <w:r>
        <w:rPr>
          <w:sz w:val="20"/>
          <w:szCs w:val="20"/>
          <w:color w:val="auto"/>
        </w:rPr>
        <w:tab/>
      </w:r>
      <w:r>
        <w:rPr>
          <w:rFonts w:ascii="Times New Roman" w:cs="Times New Roman" w:eastAsia="Times New Roman" w:hAnsi="Times New Roman"/>
          <w:sz w:val="14"/>
          <w:szCs w:val="14"/>
          <w:color w:val="auto"/>
        </w:rPr>
        <w:t xml:space="preserve">Reflects             shares of Class A common stock and           </w:t>
        <w:tab/>
        <w:t>shares of Class B common stock directly held by BX Mozart ML-1 Holdco L.P.,             shares of Class A</w:t>
      </w:r>
    </w:p>
    <w:p>
      <w:pPr>
        <w:ind w:left="600"/>
        <w:spacing w:after="0" w:line="222" w:lineRule="auto"/>
        <w:tabs>
          <w:tab w:leader="none" w:pos="2300" w:val="left"/>
        </w:tabs>
        <w:rPr>
          <w:sz w:val="20"/>
          <w:szCs w:val="20"/>
          <w:color w:val="auto"/>
        </w:rPr>
      </w:pPr>
      <w:r>
        <w:rPr>
          <w:rFonts w:ascii="Times New Roman" w:cs="Times New Roman" w:eastAsia="Times New Roman" w:hAnsi="Times New Roman"/>
          <w:sz w:val="14"/>
          <w:szCs w:val="14"/>
          <w:color w:val="auto"/>
        </w:rPr>
        <w:t xml:space="preserve">common stock and           </w:t>
        <w:tab/>
        <w:t>shares of Class B common stock directly held by Mozart Aggregator UNLV Holdco L.P.,             shares of Class A common stock directly held by BX</w:t>
      </w:r>
    </w:p>
    <w:p>
      <w:pPr>
        <w:ind w:left="600" w:right="20"/>
        <w:spacing w:after="0" w:line="227" w:lineRule="auto"/>
        <w:rPr>
          <w:sz w:val="20"/>
          <w:szCs w:val="20"/>
          <w:color w:val="auto"/>
        </w:rPr>
      </w:pPr>
      <w:r>
        <w:rPr>
          <w:rFonts w:ascii="Times New Roman" w:cs="Times New Roman" w:eastAsia="Times New Roman" w:hAnsi="Times New Roman"/>
          <w:sz w:val="14"/>
          <w:szCs w:val="14"/>
          <w:color w:val="auto"/>
        </w:rPr>
        <w:t>Mozart ML-2 Holdco L.P.,        shares of Class A common stock directly held by Mozart Aggregator II UNLV Holdco L.P., and        shares of Class A common stock directly held by Mozart Aggregator II LP. Does not reflect any reduction in beneficial ownership associated with any distributions of shares of Class A common stock in kind to certain of its affiliates and limited partners following the consummation of this offering. Any recipients of such distributions would be subject to a lock-up agreement with the underwriters. It is expected that the Blackstone Funds will act as selling stockholders with respect to the shares they directly hold and the shares that they receive in exchange for Common Units.</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060"/>
          </w:cols>
          <w:pgMar w:left="320" w:top="451" w:right="519" w:bottom="1440" w:gutter="0" w:footer="0" w:header="0"/>
          <w:type w:val="continuous"/>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600" w:right="200" w:hanging="433"/>
        <w:spacing w:after="0" w:line="255" w:lineRule="auto"/>
        <w:tabs>
          <w:tab w:leader="none" w:pos="60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BX Mozart ML-1 Holdco GP L.L.C. is the general partner of BX Mozart ML-1 Holdco L.P. BCP Mozart Aggregator L.P. is the managing member of BX Mozart ML-1 Holdco GP L.L.C.</w:t>
      </w:r>
    </w:p>
    <w:p>
      <w:pPr>
        <w:spacing w:after="0" w:line="72" w:lineRule="exact"/>
        <w:rPr>
          <w:rFonts w:ascii="Times New Roman" w:cs="Times New Roman" w:eastAsia="Times New Roman" w:hAnsi="Times New Roman"/>
          <w:sz w:val="14"/>
          <w:szCs w:val="14"/>
          <w:color w:val="auto"/>
        </w:rPr>
      </w:pPr>
    </w:p>
    <w:p>
      <w:pPr>
        <w:ind w:left="600" w:hanging="433"/>
        <w:spacing w:after="0"/>
        <w:tabs>
          <w:tab w:leader="none" w:pos="60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BCP 8 Holdings Mozart Manager L.L.C. is the general partner of BCP Mozart Aggregator L.P. BMA VIII L.L.C. is the managing member of BCP 8 Holdings Mozart Manager L.L.C.</w:t>
      </w:r>
    </w:p>
    <w:p>
      <w:pPr>
        <w:spacing w:after="0" w:line="106" w:lineRule="exact"/>
        <w:rPr>
          <w:rFonts w:ascii="Times New Roman" w:cs="Times New Roman" w:eastAsia="Times New Roman" w:hAnsi="Times New Roman"/>
          <w:sz w:val="14"/>
          <w:szCs w:val="14"/>
          <w:color w:val="auto"/>
        </w:rPr>
      </w:pPr>
    </w:p>
    <w:p>
      <w:pPr>
        <w:ind w:left="600" w:right="420" w:hanging="433"/>
        <w:spacing w:after="0" w:line="255" w:lineRule="auto"/>
        <w:tabs>
          <w:tab w:leader="none" w:pos="60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BCP 8 Holdings Mozart Manager L.L.C. is the general partner of Mozart Aggregator UNLV Holdco L.P. BMA VIII L.L.C. is the managing member of BCP 8 Holdings Mozart Manager L.L.C.</w:t>
      </w:r>
    </w:p>
    <w:p>
      <w:pPr>
        <w:spacing w:after="0" w:line="72" w:lineRule="exact"/>
        <w:rPr>
          <w:rFonts w:ascii="Times New Roman" w:cs="Times New Roman" w:eastAsia="Times New Roman" w:hAnsi="Times New Roman"/>
          <w:sz w:val="14"/>
          <w:szCs w:val="14"/>
          <w:color w:val="auto"/>
        </w:rPr>
      </w:pPr>
    </w:p>
    <w:p>
      <w:pPr>
        <w:ind w:left="600" w:hanging="433"/>
        <w:spacing w:after="0"/>
        <w:tabs>
          <w:tab w:leader="none" w:pos="60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BX Mozart ML-2 Holdco GP L.L.C. is the general partner of BX Mozart ML-2 Holdco L.P. Mozart Aggregator II LP is the managing member of BX Mozart ML-2 Holdco GP L.L.C.</w:t>
      </w:r>
    </w:p>
    <w:p>
      <w:pPr>
        <w:spacing w:after="0" w:line="106" w:lineRule="exact"/>
        <w:rPr>
          <w:rFonts w:ascii="Times New Roman" w:cs="Times New Roman" w:eastAsia="Times New Roman" w:hAnsi="Times New Roman"/>
          <w:sz w:val="14"/>
          <w:szCs w:val="14"/>
          <w:color w:val="auto"/>
        </w:rPr>
      </w:pPr>
    </w:p>
    <w:p>
      <w:pPr>
        <w:ind w:left="600" w:right="180" w:hanging="433"/>
        <w:spacing w:after="0" w:line="255" w:lineRule="auto"/>
        <w:tabs>
          <w:tab w:leader="none" w:pos="60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Blackstone Management Associates VIII L.P. is the general partner of Mozart Aggregator II LP. BMA VIII L.L.C. is the general partner of Blackstone Management Associates VIII L.P.</w:t>
      </w:r>
    </w:p>
    <w:p>
      <w:pPr>
        <w:spacing w:after="0" w:line="72" w:lineRule="exact"/>
        <w:rPr>
          <w:rFonts w:ascii="Times New Roman" w:cs="Times New Roman" w:eastAsia="Times New Roman" w:hAnsi="Times New Roman"/>
          <w:sz w:val="14"/>
          <w:szCs w:val="14"/>
          <w:color w:val="auto"/>
        </w:rPr>
      </w:pPr>
    </w:p>
    <w:p>
      <w:pPr>
        <w:ind w:left="600" w:right="200" w:hanging="433"/>
        <w:spacing w:after="0" w:line="255" w:lineRule="auto"/>
        <w:tabs>
          <w:tab w:leader="none" w:pos="60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Blackstone Management Associates VIII L.P. is the general partner of Mozart Aggregator II UNLV Holdco L.P. BMA VIII L.L.C. is the general partner of Blackstone Management Associates VIII L.P.</w:t>
      </w:r>
    </w:p>
    <w:p>
      <w:pPr>
        <w:spacing w:after="0" w:line="72" w:lineRule="exact"/>
        <w:rPr>
          <w:rFonts w:ascii="Times New Roman" w:cs="Times New Roman" w:eastAsia="Times New Roman" w:hAnsi="Times New Roman"/>
          <w:sz w:val="14"/>
          <w:szCs w:val="14"/>
          <w:color w:val="auto"/>
        </w:rPr>
      </w:pPr>
    </w:p>
    <w:p>
      <w:pPr>
        <w:ind w:left="600" w:hanging="433"/>
        <w:spacing w:after="0"/>
        <w:tabs>
          <w:tab w:leader="none" w:pos="60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Blackstone Holdings II L.P. is the managing member of BMA VIII L.L.C. Blackstone Holdings I/II GP L.L.C. is the general partner of Blackstone Holdings II L.P.</w:t>
      </w:r>
    </w:p>
    <w:p>
      <w:pPr>
        <w:spacing w:after="0" w:line="106" w:lineRule="exact"/>
        <w:rPr>
          <w:rFonts w:ascii="Times New Roman" w:cs="Times New Roman" w:eastAsia="Times New Roman" w:hAnsi="Times New Roman"/>
          <w:sz w:val="14"/>
          <w:szCs w:val="14"/>
          <w:color w:val="auto"/>
        </w:rPr>
      </w:pPr>
    </w:p>
    <w:p>
      <w:pPr>
        <w:ind w:left="600" w:right="80" w:hanging="433"/>
        <w:spacing w:after="0" w:line="255" w:lineRule="auto"/>
        <w:tabs>
          <w:tab w:leader="none" w:pos="60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Blackstone Inc. is the sole member of Blackstone Holdings I/II GP L.L.C. The sole holder of the Series II preferred stock of Blackstone Inc. is Blackstone Group Management L.L.C. Blackstone Group Management L.L.C. is wholly-owned by Blackstone’s senior managing directors and controlled by its founder, Stephen A. Schwarzman.</w:t>
      </w:r>
    </w:p>
    <w:p>
      <w:pPr>
        <w:spacing w:after="0" w:line="72" w:lineRule="exact"/>
        <w:rPr>
          <w:rFonts w:ascii="Times New Roman" w:cs="Times New Roman" w:eastAsia="Times New Roman" w:hAnsi="Times New Roman"/>
          <w:sz w:val="14"/>
          <w:szCs w:val="14"/>
          <w:color w:val="auto"/>
        </w:rPr>
      </w:pPr>
    </w:p>
    <w:p>
      <w:pPr>
        <w:ind w:left="600" w:right="400" w:hanging="433"/>
        <w:spacing w:after="0" w:line="238" w:lineRule="auto"/>
        <w:tabs>
          <w:tab w:leader="none" w:pos="60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Blackstone entities described in this footnote and Stephen A. Schwarzman may be deemed to beneficially own the securities directly or indirectly controlled by such Blackstone entities or him, but each disclaims beneficial ownership of such securities (other than the Blackstone Funds to the extent of their direct holdings). The address of Mr. Schwarzman and each of the other entities listed in this footnote is c/o Blackstone Inc., 345 Park Avenue, New York, New York 10154.</w:t>
      </w:r>
    </w:p>
    <w:p>
      <w:pPr>
        <w:spacing w:after="0" w:line="83" w:lineRule="exact"/>
        <w:rPr>
          <w:sz w:val="20"/>
          <w:szCs w:val="20"/>
          <w:color w:val="auto"/>
        </w:rPr>
      </w:pPr>
    </w:p>
    <w:p>
      <w:pPr>
        <w:ind w:left="600" w:hanging="433"/>
        <w:spacing w:after="0"/>
        <w:tabs>
          <w:tab w:leader="none" w:pos="60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Carlyle Funds that are selling stockholders in this offering are CP Circle ML-1 Holdco, L.P., CP Circle UNLV Holdco, L.P., CP Circle ML-2 Holdco, L.P., CP Circle ML-3</w:t>
      </w:r>
    </w:p>
    <w:tbl>
      <w:tblPr>
        <w:tblLayout w:type="fixed"/>
        <w:tblInd w:w="160" w:type="dxa"/>
        <w:tblCellMar>
          <w:top w:w="0" w:type="dxa"/>
          <w:left w:w="0" w:type="dxa"/>
          <w:bottom w:w="0" w:type="dxa"/>
          <w:right w:w="0" w:type="dxa"/>
        </w:tblCellMar>
      </w:tblPr>
      <w:tr>
        <w:trPr>
          <w:trHeight w:val="133"/>
        </w:trPr>
        <w:tc>
          <w:tcPr>
            <w:tcW w:w="240" w:type="dxa"/>
            <w:vAlign w:val="bottom"/>
          </w:tcPr>
          <w:p>
            <w:pPr>
              <w:spacing w:after="0"/>
              <w:rPr>
                <w:sz w:val="11"/>
                <w:szCs w:val="11"/>
                <w:color w:val="auto"/>
              </w:rPr>
            </w:pPr>
          </w:p>
        </w:tc>
        <w:tc>
          <w:tcPr>
            <w:tcW w:w="10660" w:type="dxa"/>
            <w:vAlign w:val="bottom"/>
            <w:gridSpan w:val="12"/>
          </w:tcPr>
          <w:p>
            <w:pPr>
              <w:ind w:left="200"/>
              <w:spacing w:after="0" w:line="133" w:lineRule="exact"/>
              <w:rPr>
                <w:sz w:val="20"/>
                <w:szCs w:val="20"/>
                <w:color w:val="auto"/>
              </w:rPr>
            </w:pPr>
            <w:r>
              <w:rPr>
                <w:rFonts w:ascii="Times New Roman" w:cs="Times New Roman" w:eastAsia="Times New Roman" w:hAnsi="Times New Roman"/>
                <w:sz w:val="14"/>
                <w:szCs w:val="14"/>
                <w:color w:val="auto"/>
              </w:rPr>
              <w:t>Holdco, L.P., CP Circle ML-4 Holdco, L.P., CP Circle ML-5 Holdco, L.P., CP Circle ML-6 Holdco, L.P., CP Circle ML-7 Holdco, L.P., Carlyle Mozart Coinvestment UNLV Holdco,</w:t>
            </w:r>
          </w:p>
        </w:tc>
      </w:tr>
      <w:tr>
        <w:trPr>
          <w:trHeight w:val="147"/>
        </w:trPr>
        <w:tc>
          <w:tcPr>
            <w:tcW w:w="240" w:type="dxa"/>
            <w:vAlign w:val="bottom"/>
          </w:tcPr>
          <w:p>
            <w:pPr>
              <w:spacing w:after="0"/>
              <w:rPr>
                <w:sz w:val="12"/>
                <w:szCs w:val="12"/>
                <w:color w:val="auto"/>
              </w:rPr>
            </w:pPr>
          </w:p>
        </w:tc>
        <w:tc>
          <w:tcPr>
            <w:tcW w:w="6180" w:type="dxa"/>
            <w:vAlign w:val="bottom"/>
            <w:gridSpan w:val="6"/>
          </w:tcPr>
          <w:p>
            <w:pPr>
              <w:ind w:left="200"/>
              <w:spacing w:after="0" w:line="147" w:lineRule="exact"/>
              <w:rPr>
                <w:sz w:val="20"/>
                <w:szCs w:val="20"/>
                <w:color w:val="auto"/>
              </w:rPr>
            </w:pPr>
            <w:r>
              <w:rPr>
                <w:rFonts w:ascii="Times New Roman" w:cs="Times New Roman" w:eastAsia="Times New Roman" w:hAnsi="Times New Roman"/>
                <w:sz w:val="14"/>
                <w:szCs w:val="14"/>
                <w:color w:val="auto"/>
              </w:rPr>
              <w:t xml:space="preserve">L.P., and CPEP Circle Holdings L.P. (collectively, the “Selling Carlyle Funds”). They are offering       </w:t>
            </w:r>
          </w:p>
        </w:tc>
        <w:tc>
          <w:tcPr>
            <w:tcW w:w="14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9"/>
                <w:szCs w:val="9"/>
                <w:color w:val="auto"/>
                <w:w w:val="70"/>
              </w:rPr>
              <w:t>, </w:t>
            </w:r>
          </w:p>
        </w:tc>
        <w:tc>
          <w:tcPr>
            <w:tcW w:w="212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rPr>
              <w:t xml:space="preserve">         ,            ,            , 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2"/>
              </w:rPr>
              <w:t>, </w:t>
            </w:r>
          </w:p>
        </w:tc>
        <w:tc>
          <w:tcPr>
            <w:tcW w:w="17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rPr>
              <w:t>         ,             ,</w:t>
            </w:r>
          </w:p>
        </w:tc>
      </w:tr>
      <w:tr>
        <w:trPr>
          <w:trHeight w:val="185"/>
        </w:trPr>
        <w:tc>
          <w:tcPr>
            <w:tcW w:w="24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48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and            shares, respectively.</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81"/>
              </w:rPr>
              <w:t>Reflects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7420" w:type="dxa"/>
            <w:vAlign w:val="bottom"/>
            <w:gridSpan w:val="5"/>
          </w:tcPr>
          <w:p>
            <w:pPr>
              <w:ind w:left="100"/>
              <w:spacing w:after="0"/>
              <w:rPr>
                <w:sz w:val="20"/>
                <w:szCs w:val="20"/>
                <w:color w:val="auto"/>
              </w:rPr>
            </w:pPr>
            <w:r>
              <w:rPr>
                <w:rFonts w:ascii="Times New Roman" w:cs="Times New Roman" w:eastAsia="Times New Roman" w:hAnsi="Times New Roman"/>
                <w:sz w:val="14"/>
                <w:szCs w:val="14"/>
                <w:color w:val="auto"/>
              </w:rPr>
              <w:t>shares of Class A common stock and            shares of Class B common stock directly held by CP Circle ML-1 Holdco, L.P.,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2"/>
              </w:rPr>
              <w:t> </w:t>
            </w:r>
          </w:p>
        </w:tc>
        <w:tc>
          <w:tcPr>
            <w:tcW w:w="17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9"/>
              </w:rPr>
              <w:t>   shares of Class A common</w:t>
            </w:r>
          </w:p>
        </w:tc>
      </w:tr>
      <w:tr>
        <w:trPr>
          <w:trHeight w:val="147"/>
        </w:trPr>
        <w:tc>
          <w:tcPr>
            <w:tcW w:w="240" w:type="dxa"/>
            <w:vAlign w:val="bottom"/>
          </w:tcPr>
          <w:p>
            <w:pPr>
              <w:spacing w:after="0"/>
              <w:rPr>
                <w:sz w:val="12"/>
                <w:szCs w:val="12"/>
                <w:color w:val="auto"/>
              </w:rPr>
            </w:pPr>
          </w:p>
        </w:tc>
        <w:tc>
          <w:tcPr>
            <w:tcW w:w="880" w:type="dxa"/>
            <w:vAlign w:val="bottom"/>
            <w:gridSpan w:val="2"/>
          </w:tcPr>
          <w:p>
            <w:pPr>
              <w:ind w:left="200"/>
              <w:spacing w:after="0" w:line="147" w:lineRule="exact"/>
              <w:rPr>
                <w:sz w:val="20"/>
                <w:szCs w:val="20"/>
                <w:color w:val="auto"/>
              </w:rPr>
            </w:pPr>
            <w:r>
              <w:rPr>
                <w:rFonts w:ascii="Times New Roman" w:cs="Times New Roman" w:eastAsia="Times New Roman" w:hAnsi="Times New Roman"/>
                <w:sz w:val="14"/>
                <w:szCs w:val="14"/>
                <w:color w:val="auto"/>
                <w:w w:val="98"/>
              </w:rPr>
              <w:t>stock and </w:t>
            </w:r>
          </w:p>
        </w:tc>
        <w:tc>
          <w:tcPr>
            <w:tcW w:w="1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48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 xml:space="preserve">shares of Class B common stock directly held by CP Circle UNLV Holdco, L.P.,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jc w:val="right"/>
              <w:ind w:right="29"/>
              <w:spacing w:after="0"/>
              <w:rPr>
                <w:sz w:val="20"/>
                <w:szCs w:val="20"/>
                <w:color w:val="auto"/>
              </w:rPr>
            </w:pPr>
            <w:r>
              <w:rPr>
                <w:rFonts w:ascii="Times New Roman" w:cs="Times New Roman" w:eastAsia="Times New Roman" w:hAnsi="Times New Roman"/>
                <w:sz w:val="5"/>
                <w:szCs w:val="5"/>
                <w:color w:val="auto"/>
                <w:w w:val="79"/>
              </w:rPr>
              <w:t> </w:t>
            </w:r>
          </w:p>
        </w:tc>
        <w:tc>
          <w:tcPr>
            <w:tcW w:w="4200" w:type="dxa"/>
            <w:vAlign w:val="bottom"/>
            <w:gridSpan w:val="4"/>
          </w:tcPr>
          <w:p>
            <w:pPr>
              <w:ind w:left="40"/>
              <w:spacing w:after="0" w:line="147" w:lineRule="exact"/>
              <w:rPr>
                <w:sz w:val="20"/>
                <w:szCs w:val="20"/>
                <w:color w:val="auto"/>
              </w:rPr>
            </w:pPr>
            <w:r>
              <w:rPr>
                <w:rFonts w:ascii="Times New Roman" w:cs="Times New Roman" w:eastAsia="Times New Roman" w:hAnsi="Times New Roman"/>
                <w:sz w:val="14"/>
                <w:szCs w:val="14"/>
                <w:color w:val="auto"/>
              </w:rPr>
              <w:t>shares of Class A common stock directly held by CP Circle ML-2</w:t>
            </w:r>
          </w:p>
        </w:tc>
      </w:tr>
      <w:tr>
        <w:trPr>
          <w:trHeight w:val="147"/>
        </w:trPr>
        <w:tc>
          <w:tcPr>
            <w:tcW w:w="240" w:type="dxa"/>
            <w:vAlign w:val="bottom"/>
          </w:tcPr>
          <w:p>
            <w:pPr>
              <w:spacing w:after="0"/>
              <w:rPr>
                <w:sz w:val="12"/>
                <w:szCs w:val="12"/>
                <w:color w:val="auto"/>
              </w:rPr>
            </w:pPr>
          </w:p>
        </w:tc>
        <w:tc>
          <w:tcPr>
            <w:tcW w:w="1020" w:type="dxa"/>
            <w:vAlign w:val="bottom"/>
            <w:gridSpan w:val="3"/>
          </w:tcPr>
          <w:p>
            <w:pPr>
              <w:ind w:left="200"/>
              <w:spacing w:after="0" w:line="147" w:lineRule="exact"/>
              <w:rPr>
                <w:sz w:val="20"/>
                <w:szCs w:val="20"/>
                <w:color w:val="auto"/>
              </w:rPr>
            </w:pPr>
            <w:r>
              <w:rPr>
                <w:rFonts w:ascii="Times New Roman" w:cs="Times New Roman" w:eastAsia="Times New Roman" w:hAnsi="Times New Roman"/>
                <w:sz w:val="14"/>
                <w:szCs w:val="14"/>
                <w:color w:val="auto"/>
                <w:w w:val="86"/>
              </w:rPr>
              <w:t>Holdco, L.P.,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4880" w:type="dxa"/>
            <w:vAlign w:val="bottom"/>
          </w:tcPr>
          <w:p>
            <w:pPr>
              <w:ind w:left="100"/>
              <w:spacing w:after="0" w:line="147" w:lineRule="exact"/>
              <w:rPr>
                <w:sz w:val="20"/>
                <w:szCs w:val="20"/>
                <w:color w:val="auto"/>
              </w:rPr>
            </w:pPr>
            <w:r>
              <w:rPr>
                <w:rFonts w:ascii="Times New Roman" w:cs="Times New Roman" w:eastAsia="Times New Roman" w:hAnsi="Times New Roman"/>
                <w:sz w:val="14"/>
                <w:szCs w:val="14"/>
                <w:color w:val="auto"/>
                <w:w w:val="97"/>
              </w:rPr>
              <w:t>   shares of Class A common stock directly held by CP Circle ML-3 Holdco, L.P.,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w w:val="71"/>
              </w:rPr>
              <w:t> </w:t>
            </w:r>
          </w:p>
        </w:tc>
        <w:tc>
          <w:tcPr>
            <w:tcW w:w="4200" w:type="dxa"/>
            <w:vAlign w:val="bottom"/>
            <w:gridSpan w:val="4"/>
          </w:tcPr>
          <w:p>
            <w:pPr>
              <w:ind w:left="80"/>
              <w:spacing w:after="0" w:line="147" w:lineRule="exact"/>
              <w:rPr>
                <w:sz w:val="20"/>
                <w:szCs w:val="20"/>
                <w:color w:val="auto"/>
              </w:rPr>
            </w:pPr>
            <w:r>
              <w:rPr>
                <w:rFonts w:ascii="Times New Roman" w:cs="Times New Roman" w:eastAsia="Times New Roman" w:hAnsi="Times New Roman"/>
                <w:sz w:val="14"/>
                <w:szCs w:val="14"/>
                <w:color w:val="auto"/>
              </w:rPr>
              <w:t>   shares of Class A common stock directly held by CP Circle ML-4</w:t>
            </w:r>
          </w:p>
        </w:tc>
      </w:tr>
      <w:tr>
        <w:trPr>
          <w:trHeight w:val="147"/>
        </w:trPr>
        <w:tc>
          <w:tcPr>
            <w:tcW w:w="240" w:type="dxa"/>
            <w:vAlign w:val="bottom"/>
          </w:tcPr>
          <w:p>
            <w:pPr>
              <w:spacing w:after="0"/>
              <w:rPr>
                <w:sz w:val="12"/>
                <w:szCs w:val="12"/>
                <w:color w:val="auto"/>
              </w:rPr>
            </w:pPr>
          </w:p>
        </w:tc>
        <w:tc>
          <w:tcPr>
            <w:tcW w:w="1020" w:type="dxa"/>
            <w:vAlign w:val="bottom"/>
            <w:gridSpan w:val="3"/>
          </w:tcPr>
          <w:p>
            <w:pPr>
              <w:ind w:left="200"/>
              <w:spacing w:after="0" w:line="147" w:lineRule="exact"/>
              <w:rPr>
                <w:sz w:val="20"/>
                <w:szCs w:val="20"/>
                <w:color w:val="auto"/>
              </w:rPr>
            </w:pPr>
            <w:r>
              <w:rPr>
                <w:rFonts w:ascii="Times New Roman" w:cs="Times New Roman" w:eastAsia="Times New Roman" w:hAnsi="Times New Roman"/>
                <w:sz w:val="14"/>
                <w:szCs w:val="14"/>
                <w:color w:val="auto"/>
                <w:w w:val="86"/>
              </w:rPr>
              <w:t>Holdco, L.P.,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4880" w:type="dxa"/>
            <w:vAlign w:val="bottom"/>
          </w:tcPr>
          <w:p>
            <w:pPr>
              <w:ind w:left="100"/>
              <w:spacing w:after="0" w:line="147" w:lineRule="exact"/>
              <w:rPr>
                <w:sz w:val="20"/>
                <w:szCs w:val="20"/>
                <w:color w:val="auto"/>
              </w:rPr>
            </w:pPr>
            <w:r>
              <w:rPr>
                <w:rFonts w:ascii="Times New Roman" w:cs="Times New Roman" w:eastAsia="Times New Roman" w:hAnsi="Times New Roman"/>
                <w:sz w:val="14"/>
                <w:szCs w:val="14"/>
                <w:color w:val="auto"/>
                <w:w w:val="97"/>
              </w:rPr>
              <w:t>   shares of Class A common stock directly held by CP Circle ML-5 Holdco, L.P.,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w w:val="71"/>
              </w:rPr>
              <w:t> </w:t>
            </w:r>
          </w:p>
        </w:tc>
        <w:tc>
          <w:tcPr>
            <w:tcW w:w="4200" w:type="dxa"/>
            <w:vAlign w:val="bottom"/>
            <w:gridSpan w:val="4"/>
          </w:tcPr>
          <w:p>
            <w:pPr>
              <w:ind w:left="80"/>
              <w:spacing w:after="0" w:line="147" w:lineRule="exact"/>
              <w:rPr>
                <w:sz w:val="20"/>
                <w:szCs w:val="20"/>
                <w:color w:val="auto"/>
              </w:rPr>
            </w:pPr>
            <w:r>
              <w:rPr>
                <w:rFonts w:ascii="Times New Roman" w:cs="Times New Roman" w:eastAsia="Times New Roman" w:hAnsi="Times New Roman"/>
                <w:sz w:val="14"/>
                <w:szCs w:val="14"/>
                <w:color w:val="auto"/>
              </w:rPr>
              <w:t>   shares of Class A common stock directly held by CP Circle ML-6</w:t>
            </w:r>
          </w:p>
        </w:tc>
      </w:tr>
      <w:tr>
        <w:trPr>
          <w:trHeight w:val="147"/>
        </w:trPr>
        <w:tc>
          <w:tcPr>
            <w:tcW w:w="240" w:type="dxa"/>
            <w:vAlign w:val="bottom"/>
          </w:tcPr>
          <w:p>
            <w:pPr>
              <w:spacing w:after="0"/>
              <w:rPr>
                <w:sz w:val="12"/>
                <w:szCs w:val="12"/>
                <w:color w:val="auto"/>
              </w:rPr>
            </w:pPr>
          </w:p>
        </w:tc>
        <w:tc>
          <w:tcPr>
            <w:tcW w:w="1020" w:type="dxa"/>
            <w:vAlign w:val="bottom"/>
            <w:gridSpan w:val="3"/>
          </w:tcPr>
          <w:p>
            <w:pPr>
              <w:ind w:left="200"/>
              <w:spacing w:after="0" w:line="147" w:lineRule="exact"/>
              <w:rPr>
                <w:sz w:val="20"/>
                <w:szCs w:val="20"/>
                <w:color w:val="auto"/>
              </w:rPr>
            </w:pPr>
            <w:r>
              <w:rPr>
                <w:rFonts w:ascii="Times New Roman" w:cs="Times New Roman" w:eastAsia="Times New Roman" w:hAnsi="Times New Roman"/>
                <w:sz w:val="14"/>
                <w:szCs w:val="14"/>
                <w:color w:val="auto"/>
                <w:w w:val="86"/>
              </w:rPr>
              <w:t>Holdco, L.P.,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4880" w:type="dxa"/>
            <w:vAlign w:val="bottom"/>
          </w:tcPr>
          <w:p>
            <w:pPr>
              <w:ind w:left="100"/>
              <w:spacing w:after="0" w:line="147" w:lineRule="exact"/>
              <w:rPr>
                <w:sz w:val="20"/>
                <w:szCs w:val="20"/>
                <w:color w:val="auto"/>
              </w:rPr>
            </w:pPr>
            <w:r>
              <w:rPr>
                <w:rFonts w:ascii="Times New Roman" w:cs="Times New Roman" w:eastAsia="Times New Roman" w:hAnsi="Times New Roman"/>
                <w:sz w:val="14"/>
                <w:szCs w:val="14"/>
                <w:color w:val="auto"/>
                <w:w w:val="98"/>
              </w:rPr>
              <w:t>   shares of Class A common stock directly held by CP Circle ML-7 Holdco, L.P., 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jc w:val="right"/>
              <w:ind w:right="9"/>
              <w:spacing w:after="0"/>
              <w:rPr>
                <w:sz w:val="20"/>
                <w:szCs w:val="20"/>
                <w:color w:val="auto"/>
              </w:rPr>
            </w:pPr>
            <w:r>
              <w:rPr>
                <w:rFonts w:ascii="Times New Roman" w:cs="Times New Roman" w:eastAsia="Times New Roman" w:hAnsi="Times New Roman"/>
                <w:sz w:val="8"/>
                <w:szCs w:val="8"/>
                <w:color w:val="auto"/>
                <w:w w:val="74"/>
              </w:rPr>
              <w:t> </w:t>
            </w:r>
          </w:p>
        </w:tc>
        <w:tc>
          <w:tcPr>
            <w:tcW w:w="4200" w:type="dxa"/>
            <w:vAlign w:val="bottom"/>
            <w:gridSpan w:val="4"/>
          </w:tcPr>
          <w:p>
            <w:pPr>
              <w:ind w:left="40"/>
              <w:spacing w:after="0" w:line="147" w:lineRule="exact"/>
              <w:rPr>
                <w:sz w:val="20"/>
                <w:szCs w:val="20"/>
                <w:color w:val="auto"/>
              </w:rPr>
            </w:pPr>
            <w:r>
              <w:rPr>
                <w:rFonts w:ascii="Times New Roman" w:cs="Times New Roman" w:eastAsia="Times New Roman" w:hAnsi="Times New Roman"/>
                <w:sz w:val="14"/>
                <w:szCs w:val="14"/>
                <w:color w:val="auto"/>
              </w:rPr>
              <w:t>   shares of Class A common stock directly held by Carlyle Mozart</w:t>
            </w:r>
          </w:p>
        </w:tc>
      </w:tr>
      <w:tr>
        <w:trPr>
          <w:trHeight w:val="147"/>
        </w:trPr>
        <w:tc>
          <w:tcPr>
            <w:tcW w:w="240" w:type="dxa"/>
            <w:vAlign w:val="bottom"/>
          </w:tcPr>
          <w:p>
            <w:pPr>
              <w:spacing w:after="0"/>
              <w:rPr>
                <w:sz w:val="12"/>
                <w:szCs w:val="12"/>
                <w:color w:val="auto"/>
              </w:rPr>
            </w:pPr>
          </w:p>
        </w:tc>
        <w:tc>
          <w:tcPr>
            <w:tcW w:w="10660" w:type="dxa"/>
            <w:vAlign w:val="bottom"/>
            <w:gridSpan w:val="12"/>
          </w:tcPr>
          <w:p>
            <w:pPr>
              <w:ind w:left="200"/>
              <w:spacing w:after="0" w:line="147" w:lineRule="exact"/>
              <w:rPr>
                <w:sz w:val="20"/>
                <w:szCs w:val="20"/>
                <w:color w:val="auto"/>
              </w:rPr>
            </w:pPr>
            <w:r>
              <w:rPr>
                <w:rFonts w:ascii="Times New Roman" w:cs="Times New Roman" w:eastAsia="Times New Roman" w:hAnsi="Times New Roman"/>
                <w:sz w:val="14"/>
                <w:szCs w:val="14"/>
                <w:color w:val="auto"/>
              </w:rPr>
              <w:t>Coinvestment UNLV Holdco, L.P., and             shares of Class A common stock directly held by Carlyle Mozart Coinvestment Holdings, L.P. (Carlyle Mozart Coinvestment</w:t>
            </w:r>
          </w:p>
        </w:tc>
      </w:tr>
      <w:tr>
        <w:trPr>
          <w:trHeight w:val="147"/>
        </w:trPr>
        <w:tc>
          <w:tcPr>
            <w:tcW w:w="240" w:type="dxa"/>
            <w:vAlign w:val="bottom"/>
          </w:tcPr>
          <w:p>
            <w:pPr>
              <w:spacing w:after="0"/>
              <w:rPr>
                <w:sz w:val="12"/>
                <w:szCs w:val="12"/>
                <w:color w:val="auto"/>
              </w:rPr>
            </w:pPr>
          </w:p>
        </w:tc>
        <w:tc>
          <w:tcPr>
            <w:tcW w:w="10660" w:type="dxa"/>
            <w:vAlign w:val="bottom"/>
            <w:gridSpan w:val="12"/>
          </w:tcPr>
          <w:p>
            <w:pPr>
              <w:ind w:left="200"/>
              <w:spacing w:after="0" w:line="147" w:lineRule="exact"/>
              <w:rPr>
                <w:sz w:val="20"/>
                <w:szCs w:val="20"/>
                <w:color w:val="auto"/>
              </w:rPr>
            </w:pPr>
            <w:r>
              <w:rPr>
                <w:rFonts w:ascii="Times New Roman" w:cs="Times New Roman" w:eastAsia="Times New Roman" w:hAnsi="Times New Roman"/>
                <w:sz w:val="14"/>
                <w:szCs w:val="14"/>
                <w:color w:val="auto"/>
              </w:rPr>
              <w:t>Holdings, L.P., Carlyle Mozart Coinvestment UNLV Holdco, L.P., CP Circle ML-7 Holdco, L.P., CP Circle ML-6 Holdco, L.P., CP Circle ML-5 Holdco, L.P., CP Circle ML-4 Holdco,</w:t>
            </w:r>
          </w:p>
        </w:tc>
      </w:tr>
      <w:tr>
        <w:trPr>
          <w:trHeight w:val="147"/>
        </w:trPr>
        <w:tc>
          <w:tcPr>
            <w:tcW w:w="240" w:type="dxa"/>
            <w:vAlign w:val="bottom"/>
          </w:tcPr>
          <w:p>
            <w:pPr>
              <w:spacing w:after="0"/>
              <w:rPr>
                <w:sz w:val="12"/>
                <w:szCs w:val="12"/>
                <w:color w:val="auto"/>
              </w:rPr>
            </w:pPr>
          </w:p>
        </w:tc>
        <w:tc>
          <w:tcPr>
            <w:tcW w:w="10660" w:type="dxa"/>
            <w:vAlign w:val="bottom"/>
            <w:gridSpan w:val="12"/>
          </w:tcPr>
          <w:p>
            <w:pPr>
              <w:ind w:left="200"/>
              <w:spacing w:after="0" w:line="147" w:lineRule="exact"/>
              <w:rPr>
                <w:sz w:val="20"/>
                <w:szCs w:val="20"/>
                <w:color w:val="auto"/>
              </w:rPr>
            </w:pPr>
            <w:r>
              <w:rPr>
                <w:rFonts w:ascii="Times New Roman" w:cs="Times New Roman" w:eastAsia="Times New Roman" w:hAnsi="Times New Roman"/>
                <w:sz w:val="14"/>
                <w:szCs w:val="14"/>
                <w:color w:val="auto"/>
              </w:rPr>
              <w:t>L.P., CP Circle ML-3 Holdco, L.P., CP Circle ML-2 Holdco, L.P., CP Circle ML-1 Holdco, L.P., CP Circle UNLV Holdco, L.P., and CPEP Circle Holdings L.P., collectively, the</w:t>
            </w:r>
          </w:p>
        </w:tc>
      </w:tr>
      <w:tr>
        <w:trPr>
          <w:trHeight w:val="147"/>
        </w:trPr>
        <w:tc>
          <w:tcPr>
            <w:tcW w:w="240" w:type="dxa"/>
            <w:vAlign w:val="bottom"/>
          </w:tcPr>
          <w:p>
            <w:pPr>
              <w:spacing w:after="0"/>
              <w:rPr>
                <w:sz w:val="12"/>
                <w:szCs w:val="12"/>
                <w:color w:val="auto"/>
              </w:rPr>
            </w:pPr>
          </w:p>
        </w:tc>
        <w:tc>
          <w:tcPr>
            <w:tcW w:w="10660" w:type="dxa"/>
            <w:vAlign w:val="bottom"/>
            <w:gridSpan w:val="12"/>
          </w:tcPr>
          <w:p>
            <w:pPr>
              <w:ind w:left="200"/>
              <w:spacing w:after="0" w:line="147" w:lineRule="exact"/>
              <w:rPr>
                <w:sz w:val="20"/>
                <w:szCs w:val="20"/>
                <w:color w:val="auto"/>
              </w:rPr>
            </w:pPr>
            <w:r>
              <w:rPr>
                <w:rFonts w:ascii="Times New Roman" w:cs="Times New Roman" w:eastAsia="Times New Roman" w:hAnsi="Times New Roman"/>
                <w:sz w:val="14"/>
                <w:szCs w:val="14"/>
                <w:color w:val="auto"/>
              </w:rPr>
              <w:t>“Carlyle Funds”). Does not reflect any reduction in beneficial ownership associated with any distributions of shares of Class A common stock in kind to certain of its affiliates and</w:t>
            </w:r>
          </w:p>
        </w:tc>
      </w:tr>
      <w:tr>
        <w:trPr>
          <w:trHeight w:val="147"/>
        </w:trPr>
        <w:tc>
          <w:tcPr>
            <w:tcW w:w="240" w:type="dxa"/>
            <w:vAlign w:val="bottom"/>
          </w:tcPr>
          <w:p>
            <w:pPr>
              <w:spacing w:after="0"/>
              <w:rPr>
                <w:sz w:val="12"/>
                <w:szCs w:val="12"/>
                <w:color w:val="auto"/>
              </w:rPr>
            </w:pPr>
          </w:p>
        </w:tc>
        <w:tc>
          <w:tcPr>
            <w:tcW w:w="10660" w:type="dxa"/>
            <w:vAlign w:val="bottom"/>
            <w:gridSpan w:val="12"/>
          </w:tcPr>
          <w:p>
            <w:pPr>
              <w:ind w:left="200"/>
              <w:spacing w:after="0" w:line="147" w:lineRule="exact"/>
              <w:rPr>
                <w:sz w:val="20"/>
                <w:szCs w:val="20"/>
                <w:color w:val="auto"/>
              </w:rPr>
            </w:pPr>
            <w:r>
              <w:rPr>
                <w:rFonts w:ascii="Times New Roman" w:cs="Times New Roman" w:eastAsia="Times New Roman" w:hAnsi="Times New Roman"/>
                <w:sz w:val="14"/>
                <w:szCs w:val="14"/>
                <w:color w:val="auto"/>
              </w:rPr>
              <w:t>limited partners following the consummation of this offering. Any recipients of such distributions would be subject to a lock-up agreement with the underwriters. It is expected that the</w:t>
            </w:r>
          </w:p>
        </w:tc>
      </w:tr>
      <w:tr>
        <w:trPr>
          <w:trHeight w:val="185"/>
        </w:trPr>
        <w:tc>
          <w:tcPr>
            <w:tcW w:w="240" w:type="dxa"/>
            <w:vAlign w:val="bottom"/>
          </w:tcPr>
          <w:p>
            <w:pPr>
              <w:spacing w:after="0"/>
              <w:rPr>
                <w:sz w:val="16"/>
                <w:szCs w:val="16"/>
                <w:color w:val="auto"/>
              </w:rPr>
            </w:pPr>
          </w:p>
        </w:tc>
        <w:tc>
          <w:tcPr>
            <w:tcW w:w="10660" w:type="dxa"/>
            <w:vAlign w:val="bottom"/>
            <w:gridSpan w:val="12"/>
          </w:tcPr>
          <w:p>
            <w:pPr>
              <w:ind w:left="200"/>
              <w:spacing w:after="0"/>
              <w:rPr>
                <w:sz w:val="20"/>
                <w:szCs w:val="20"/>
                <w:color w:val="auto"/>
              </w:rPr>
            </w:pPr>
            <w:r>
              <w:rPr>
                <w:rFonts w:ascii="Times New Roman" w:cs="Times New Roman" w:eastAsia="Times New Roman" w:hAnsi="Times New Roman"/>
                <w:sz w:val="14"/>
                <w:szCs w:val="14"/>
                <w:color w:val="auto"/>
              </w:rPr>
              <w:t>Selling Carlyle Funds will act as selling stockholders with respect to the shares they directly hold and the shares that they receive in exchange for Common Units.</w:t>
            </w:r>
          </w:p>
        </w:tc>
      </w:tr>
    </w:tbl>
    <w:p>
      <w:pPr>
        <w:spacing w:after="0" w:line="82" w:lineRule="exact"/>
        <w:rPr>
          <w:sz w:val="20"/>
          <w:szCs w:val="20"/>
          <w:color w:val="auto"/>
        </w:rPr>
      </w:pPr>
    </w:p>
    <w:p>
      <w:pPr>
        <w:ind w:left="600" w:hanging="433"/>
        <w:spacing w:after="0"/>
        <w:tabs>
          <w:tab w:leader="none" w:pos="60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Carlyle Group Inc., a publicly traded company listed on Nasdaq, is the sole shareholder of Carlyle Holdings I GP Inc., which is the sole member of Carlyle Holdings I GP Sub L.L.C., which is the general partner of Carlyle Holdings I L.P., which, with respect to the securities managed by TC Group VII S1, L.P. and CPEP GP, LLC, is the managing member of CG Subsidiary Holdings L.L.C., which is the sole member of TC Group, L.L.C., which is the general partner of TC Group Sub L.P., which is the managing member of TC Group VII S1, L.L.C., which is the general partner of TC Group VII S1, L.P., which is the general partner of each of Carlyle Mozart Coinvestment Holdings, L.P., CP Circle Holdings, L.P., CP Circle UNLV Holdco, L.P., Carlyle Mozart Coinvestment UNLV Holdco, L.P., and CP VII Circle Holdings – A, L.P., which is the managing member of CP Circle ML Holdco GP, LLC, which is the general partner of each of CP Circle ML-7 Holdco, L.P., CP Circle ML-6 Holdco, L.P., CP Circle ML-5 Holdco, L.P., CP Circle ML-4 Holdco, L.P., CP Circle ML-3 Holdco, L.P. and CP Circle ML-2 Holdco, L.P. CP Circle Holdings, L.P. is the managing member of CP Circle ML-1 Holdco GP, LLC, which is the general partner of CP Circle ML-1 Holdco, L.P.</w:t>
      </w:r>
    </w:p>
    <w:p>
      <w:pPr>
        <w:spacing w:after="0" w:line="170" w:lineRule="exact"/>
        <w:rPr>
          <w:rFonts w:ascii="Times New Roman" w:cs="Times New Roman" w:eastAsia="Times New Roman" w:hAnsi="Times New Roman"/>
          <w:sz w:val="14"/>
          <w:szCs w:val="14"/>
          <w:color w:val="auto"/>
        </w:rPr>
      </w:pPr>
    </w:p>
    <w:p>
      <w:pPr>
        <w:ind w:left="600" w:right="60" w:hanging="433"/>
        <w:spacing w:after="0" w:line="255" w:lineRule="auto"/>
        <w:tabs>
          <w:tab w:leader="none" w:pos="60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CG Subsidiary Holdings L.L.C. is also the sole shareholder of TC Group VIII Lux GP, S.à r.l., which is the Luxembourg general partner of CP VIII Circle AIF Holdings, S.C.Sp., and the managing member of CPEP GP, LLC, which is the general partner of CPEP Circle Holdings L.P.</w:t>
      </w:r>
    </w:p>
    <w:p>
      <w:pPr>
        <w:spacing w:after="0" w:line="72" w:lineRule="exact"/>
        <w:rPr>
          <w:rFonts w:ascii="Times New Roman" w:cs="Times New Roman" w:eastAsia="Times New Roman" w:hAnsi="Times New Roman"/>
          <w:sz w:val="14"/>
          <w:szCs w:val="14"/>
          <w:color w:val="auto"/>
        </w:rPr>
      </w:pPr>
    </w:p>
    <w:p>
      <w:pPr>
        <w:ind w:left="600" w:right="520" w:hanging="433"/>
        <w:spacing w:after="0" w:line="255" w:lineRule="auto"/>
        <w:tabs>
          <w:tab w:leader="none" w:pos="60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and investment determinations with respect to the securities held by the Carlyle VII Funds are made by the investment committee of TC Group VII S1, L.P. Voting and investment determinations with respect to the securities held by the Carlyle VIII Funds are made</w:t>
      </w:r>
    </w:p>
    <w:p>
      <w:pPr>
        <w:spacing w:after="0" w:line="1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060"/>
          </w:cols>
          <w:pgMar w:left="320" w:top="451" w:right="51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600" w:right="160"/>
        <w:spacing w:after="0" w:line="238" w:lineRule="auto"/>
        <w:rPr>
          <w:sz w:val="20"/>
          <w:szCs w:val="20"/>
          <w:color w:val="auto"/>
        </w:rPr>
      </w:pPr>
      <w:r>
        <w:rPr>
          <w:rFonts w:ascii="Times New Roman" w:cs="Times New Roman" w:eastAsia="Times New Roman" w:hAnsi="Times New Roman"/>
          <w:sz w:val="14"/>
          <w:szCs w:val="14"/>
          <w:color w:val="auto"/>
        </w:rPr>
        <w:t>by the investment committee of TC Group VIII, L.P. Each of these investment committees is comprised of William Conway, Jr., Daniel D’Aniello, David Rubenstein, Allan Holt, Sandra Horbach, Brian Bernasek, James Burr, Ian Fujiyama, Patrick McCarter, William McMullan, Martin Sumner, Stephen Wise, Robert Schmidt, Joe Bress, Jeremy Anderson and Marco De Benedetti as a non-voting observer. Each member of the investment committees disclaims beneficial ownership of all such securities.</w:t>
      </w:r>
    </w:p>
    <w:p>
      <w:pPr>
        <w:spacing w:after="0" w:line="83" w:lineRule="exact"/>
        <w:rPr>
          <w:sz w:val="20"/>
          <w:szCs w:val="20"/>
          <w:color w:val="auto"/>
        </w:rPr>
      </w:pPr>
    </w:p>
    <w:p>
      <w:pPr>
        <w:jc w:val="both"/>
        <w:ind w:left="600" w:right="120" w:hanging="433"/>
        <w:spacing w:after="0" w:line="238" w:lineRule="auto"/>
        <w:tabs>
          <w:tab w:leader="none" w:pos="60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Additionally, voting and investment determinations with respect to the securities held by CPEP Circle Holdings L.P. are made by the investment committee of CPEP GP, LLC, which is comprised of David Rubenstein, Sandra Horbach, John C. Redett, John Pavelski, Brian Bernasek, and Jason Thomas, with Michael Wand, Vlad Lasocki, X.D. Yang, and Kazuhiro Yamada serving as non-voting observers. Each member of the investment committees disclaims beneficial ownership of all such securities.</w:t>
      </w:r>
    </w:p>
    <w:p>
      <w:pPr>
        <w:spacing w:after="0" w:line="82" w:lineRule="exact"/>
        <w:rPr>
          <w:rFonts w:ascii="Times New Roman" w:cs="Times New Roman" w:eastAsia="Times New Roman" w:hAnsi="Times New Roman"/>
          <w:sz w:val="14"/>
          <w:szCs w:val="14"/>
          <w:color w:val="auto"/>
        </w:rPr>
      </w:pPr>
    </w:p>
    <w:p>
      <w:pPr>
        <w:ind w:left="600" w:right="60" w:hanging="433"/>
        <w:spacing w:after="0" w:line="238" w:lineRule="auto"/>
        <w:tabs>
          <w:tab w:leader="none" w:pos="60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for TC Group VII Lux GP, S.à r.l. is c/o The Carlyle Group 2, avenue Charles de Gaulle, L-1653 Luxembourg, Luxembourg. The address for each of TC Group VIII Lux GP, S.à r.l., CP VII Circle AIF Holdings, S.C.Sp. and CP VIII Circle AIF Holdings, S.C.Sp. is 9, rue de Bitbourg, L-1273 Luxembourg, Grand Duchy of Luxembourg. The address for each of the other entities named in this footnote is c/o The Carlyle Group, 1001 Pennsylvania Avenue, NW, Suite 220 South, Washington, D.C. 20004.</w:t>
      </w:r>
    </w:p>
    <w:p>
      <w:pPr>
        <w:spacing w:after="0" w:line="83" w:lineRule="exact"/>
        <w:rPr>
          <w:sz w:val="20"/>
          <w:szCs w:val="20"/>
          <w:color w:val="auto"/>
        </w:rPr>
      </w:pPr>
    </w:p>
    <w:p>
      <w:pPr>
        <w:ind w:left="600" w:hanging="433"/>
        <w:spacing w:after="0"/>
        <w:tabs>
          <w:tab w:leader="none" w:pos="60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H&amp;F Funds that are selling stockholders in this offering are Hellman &amp; Friedman Capital Partners X (Parallel), L.P., HFCP X (Parallel - A), L.P., Mend Partners II, L.P., and Mend</w:t>
      </w:r>
    </w:p>
    <w:p>
      <w:pPr>
        <w:spacing w:after="0" w:line="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Investment Holdings I, L.P. (collectively, the “H&amp;F Funds”). They are offering            ,            ,            , and            shares, respectively.</w:t>
      </w:r>
    </w:p>
    <w:p>
      <w:pPr>
        <w:sectPr>
          <w:pgSz w:w="11900" w:h="16838" w:orient="portrait"/>
          <w:cols w:equalWidth="0" w:num="1">
            <w:col w:w="11080"/>
          </w:cols>
          <w:pgMar w:left="320" w:top="452" w:right="499" w:bottom="1440" w:gutter="0" w:footer="0" w:header="0"/>
        </w:sectPr>
      </w:pPr>
    </w:p>
    <w:p>
      <w:pPr>
        <w:spacing w:after="0" w:line="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4"/>
          <w:szCs w:val="14"/>
          <w:color w:val="auto"/>
        </w:rPr>
        <w:t>Reflects         shares of Class A common stock held by Hellman &amp; Friedman Capital Partners X (Parallel), L.P.,         shares of Class A common stock held by HFCP X (Parallel - A), L.P.,         shares of Class A common stock held by Mend Partners II, L.P. and         shares of Class A common stock and         shares of Class B common stock held by Mend Investment Holdings I, L.P. Does not reflect any reduction in beneficial ownership associated with any distributions of shares of Class A common stock in kind to certain of its affiliates and limited partners following the consummation of this offering. Any recipients of such distributions would be subject to a lock-up agreement with the underwriters. It is expected that the H&amp;F Funds will act as selling stockholders with respect to the shares they directly hold and the shares that they receive in exchange for Common Units.</w:t>
      </w:r>
    </w:p>
    <w:p>
      <w:pPr>
        <w:spacing w:after="0" w:line="198" w:lineRule="exact"/>
        <w:rPr>
          <w:sz w:val="20"/>
          <w:szCs w:val="20"/>
          <w:color w:val="auto"/>
        </w:rPr>
      </w:pPr>
    </w:p>
    <w:p>
      <w:pPr>
        <w:sectPr>
          <w:pgSz w:w="11900" w:h="16838" w:orient="portrait"/>
          <w:cols w:equalWidth="0" w:num="2">
            <w:col w:w="200" w:space="400"/>
            <w:col w:w="10480"/>
          </w:cols>
          <w:pgMar w:left="320" w:top="452" w:right="499" w:bottom="1440" w:gutter="0" w:footer="0" w:header="0"/>
          <w:type w:val="continuous"/>
        </w:sectPr>
      </w:pPr>
    </w:p>
    <w:p>
      <w:pPr>
        <w:ind w:left="600" w:hanging="433"/>
        <w:spacing w:after="0"/>
        <w:tabs>
          <w:tab w:leader="none" w:pos="60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Hellman &amp; Friedman Investors X, L.P. (“Investors X GP”) is the general partner of Hellman &amp; Friedman Capital Partners X (Parallel), L.P. and HFCP X (Parallel - A), L.P.</w:t>
      </w:r>
    </w:p>
    <w:p>
      <w:pPr>
        <w:spacing w:after="0" w:line="106" w:lineRule="exact"/>
        <w:rPr>
          <w:rFonts w:ascii="Times New Roman" w:cs="Times New Roman" w:eastAsia="Times New Roman" w:hAnsi="Times New Roman"/>
          <w:sz w:val="14"/>
          <w:szCs w:val="14"/>
          <w:color w:val="auto"/>
        </w:rPr>
      </w:pPr>
    </w:p>
    <w:p>
      <w:pPr>
        <w:ind w:left="600" w:hanging="433"/>
        <w:spacing w:after="0"/>
        <w:tabs>
          <w:tab w:leader="none" w:pos="60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Mend Partners GP, LLC (“Mend GP”) is the general partner of Mend Partners II, L.P. Investors X GP is the managing member of Mend GP.</w:t>
      </w:r>
    </w:p>
    <w:p>
      <w:pPr>
        <w:spacing w:after="0" w:line="106" w:lineRule="exact"/>
        <w:rPr>
          <w:rFonts w:ascii="Times New Roman" w:cs="Times New Roman" w:eastAsia="Times New Roman" w:hAnsi="Times New Roman"/>
          <w:sz w:val="14"/>
          <w:szCs w:val="14"/>
          <w:color w:val="auto"/>
        </w:rPr>
      </w:pPr>
    </w:p>
    <w:p>
      <w:pPr>
        <w:ind w:left="600" w:right="560" w:hanging="433"/>
        <w:spacing w:after="0" w:line="255" w:lineRule="auto"/>
        <w:tabs>
          <w:tab w:leader="none" w:pos="60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Mend Investment Holdings GP, LLC (“Mend Investment GP”) is the general partner of Mend Investment Holdings I, L.P. Hellman &amp; Friedman Capital Partners X, L.P. is the managing member of Mend Investment GP. Investors X GP is the general partner of Hellman &amp; Friedman Capital Partners X, L.P.</w:t>
      </w:r>
    </w:p>
    <w:p>
      <w:pPr>
        <w:spacing w:after="0" w:line="72" w:lineRule="exact"/>
        <w:rPr>
          <w:rFonts w:ascii="Times New Roman" w:cs="Times New Roman" w:eastAsia="Times New Roman" w:hAnsi="Times New Roman"/>
          <w:sz w:val="14"/>
          <w:szCs w:val="14"/>
          <w:color w:val="auto"/>
        </w:rPr>
      </w:pPr>
    </w:p>
    <w:p>
      <w:pPr>
        <w:ind w:left="600" w:right="280" w:hanging="433"/>
        <w:spacing w:after="0" w:line="238" w:lineRule="auto"/>
        <w:tabs>
          <w:tab w:leader="none" w:pos="60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H&amp;F Corporate Investors X, Ltd. (“Investors X Ltd.”) is the general partner of Investors X GP. A three-member board of directors of Investors X Ltd. has voting and investment discretion over the shares held by the H&amp;F Funds. Each of the members of the board of directors of Investors X Ltd. disclaims beneficial ownership of such shares. The address of each entity named in this footnote is c/o Hellman &amp; Friedman LLC, 415 Mission Street, Suite 5700, San Francisco, California 94105.</w:t>
      </w:r>
    </w:p>
    <w:p>
      <w:pPr>
        <w:spacing w:after="0" w:line="83" w:lineRule="exact"/>
        <w:rPr>
          <w:sz w:val="20"/>
          <w:szCs w:val="20"/>
          <w:color w:val="auto"/>
        </w:rPr>
      </w:pPr>
    </w:p>
    <w:p>
      <w:pPr>
        <w:jc w:val="both"/>
        <w:ind w:left="600" w:right="160" w:hanging="433"/>
        <w:spacing w:after="0" w:line="238" w:lineRule="auto"/>
        <w:tabs>
          <w:tab w:leader="none" w:pos="60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Mozart HoldCo, Inc. is an entity that is owned directly and/or indirectly by members of the Mills Family and trusts for their benefit. No person or group beneficially owns more than fifty percent of the voting power of Mozart HoldCo, Inc. Investment and voting decisions over the securities of Medline Inc. and Medline Holdings, LP held by Mozart HoldCo, Inc. are made by a board of directors consisting of three or more directors. See “Description of Capital Stock—Common Stock—Mills Family Voting Cap.”</w:t>
      </w:r>
    </w:p>
    <w:p>
      <w:pPr>
        <w:spacing w:after="0" w:line="6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7"/>
              </w:rPr>
              <w:t>(7)</w:t>
            </w:r>
          </w:p>
        </w:tc>
        <w:tc>
          <w:tcPr>
            <w:tcW w:w="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The          </w:t>
            </w:r>
          </w:p>
        </w:tc>
        <w:tc>
          <w:tcPr>
            <w:tcW w:w="9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shares of Class A common stock are beneficially owned by GIC Private Limited (“GIC”) and its affiliate, Hux Investment Pte. Ltd. GIC and Hux share the power to vote</w:t>
            </w:r>
          </w:p>
        </w:tc>
      </w:tr>
      <w:tr>
        <w:trPr>
          <w:trHeight w:val="147"/>
        </w:trPr>
        <w:tc>
          <w:tcPr>
            <w:tcW w:w="300" w:type="dxa"/>
            <w:vAlign w:val="bottom"/>
          </w:tcPr>
          <w:p>
            <w:pPr>
              <w:spacing w:after="0"/>
              <w:rPr>
                <w:sz w:val="12"/>
                <w:szCs w:val="12"/>
                <w:color w:val="auto"/>
              </w:rPr>
            </w:pPr>
          </w:p>
        </w:tc>
        <w:tc>
          <w:tcPr>
            <w:tcW w:w="10600" w:type="dxa"/>
            <w:vAlign w:val="bottom"/>
            <w:gridSpan w:val="2"/>
          </w:tcPr>
          <w:p>
            <w:pPr>
              <w:ind w:left="140"/>
              <w:spacing w:after="0" w:line="147" w:lineRule="exact"/>
              <w:rPr>
                <w:sz w:val="20"/>
                <w:szCs w:val="20"/>
                <w:color w:val="auto"/>
              </w:rPr>
            </w:pPr>
            <w:r>
              <w:rPr>
                <w:rFonts w:ascii="Times New Roman" w:cs="Times New Roman" w:eastAsia="Times New Roman" w:hAnsi="Times New Roman"/>
                <w:sz w:val="14"/>
                <w:szCs w:val="14"/>
                <w:color w:val="auto"/>
              </w:rPr>
              <w:t>and the power to dispose of these shares with GIC Special Investments Pte. Ltd. (“GIC SI”). GIC and GIC SI are private limited companies incorporated in Singapore. GIC SI is</w:t>
            </w:r>
          </w:p>
        </w:tc>
      </w:tr>
      <w:tr>
        <w:trPr>
          <w:trHeight w:val="147"/>
        </w:trPr>
        <w:tc>
          <w:tcPr>
            <w:tcW w:w="300" w:type="dxa"/>
            <w:vAlign w:val="bottom"/>
          </w:tcPr>
          <w:p>
            <w:pPr>
              <w:spacing w:after="0"/>
              <w:rPr>
                <w:sz w:val="12"/>
                <w:szCs w:val="12"/>
                <w:color w:val="auto"/>
              </w:rPr>
            </w:pPr>
          </w:p>
        </w:tc>
        <w:tc>
          <w:tcPr>
            <w:tcW w:w="10600" w:type="dxa"/>
            <w:vAlign w:val="bottom"/>
            <w:gridSpan w:val="2"/>
          </w:tcPr>
          <w:p>
            <w:pPr>
              <w:ind w:left="140"/>
              <w:spacing w:after="0" w:line="147" w:lineRule="exact"/>
              <w:rPr>
                <w:sz w:val="20"/>
                <w:szCs w:val="20"/>
                <w:color w:val="auto"/>
              </w:rPr>
            </w:pPr>
            <w:r>
              <w:rPr>
                <w:rFonts w:ascii="Times New Roman" w:cs="Times New Roman" w:eastAsia="Times New Roman" w:hAnsi="Times New Roman"/>
                <w:sz w:val="14"/>
                <w:szCs w:val="14"/>
                <w:color w:val="auto"/>
              </w:rPr>
              <w:t>wholly-owned by GIC and is the private equity investment arm of GIC. GIC is wholly-owned by the Government of Singapore and was set up with the sole purpose of managing the</w:t>
            </w:r>
          </w:p>
        </w:tc>
      </w:tr>
      <w:tr>
        <w:trPr>
          <w:trHeight w:val="147"/>
        </w:trPr>
        <w:tc>
          <w:tcPr>
            <w:tcW w:w="300" w:type="dxa"/>
            <w:vAlign w:val="bottom"/>
          </w:tcPr>
          <w:p>
            <w:pPr>
              <w:spacing w:after="0"/>
              <w:rPr>
                <w:sz w:val="12"/>
                <w:szCs w:val="12"/>
                <w:color w:val="auto"/>
              </w:rPr>
            </w:pPr>
          </w:p>
        </w:tc>
        <w:tc>
          <w:tcPr>
            <w:tcW w:w="10600" w:type="dxa"/>
            <w:vAlign w:val="bottom"/>
            <w:gridSpan w:val="2"/>
          </w:tcPr>
          <w:p>
            <w:pPr>
              <w:ind w:left="140"/>
              <w:spacing w:after="0" w:line="147" w:lineRule="exact"/>
              <w:rPr>
                <w:sz w:val="20"/>
                <w:szCs w:val="20"/>
                <w:color w:val="auto"/>
              </w:rPr>
            </w:pPr>
            <w:r>
              <w:rPr>
                <w:rFonts w:ascii="Times New Roman" w:cs="Times New Roman" w:eastAsia="Times New Roman" w:hAnsi="Times New Roman"/>
                <w:sz w:val="14"/>
                <w:szCs w:val="14"/>
                <w:color w:val="auto"/>
              </w:rPr>
              <w:t>Government of Singapore’s foreign reserves. The Government of Singapore disclaims beneficial ownership of such shares. The address for GIC and Hux is 168 Robinson Road,</w:t>
            </w:r>
          </w:p>
        </w:tc>
      </w:tr>
      <w:tr>
        <w:trPr>
          <w:trHeight w:val="185"/>
        </w:trPr>
        <w:tc>
          <w:tcPr>
            <w:tcW w:w="300" w:type="dxa"/>
            <w:vAlign w:val="bottom"/>
          </w:tcPr>
          <w:p>
            <w:pPr>
              <w:spacing w:after="0"/>
              <w:rPr>
                <w:sz w:val="16"/>
                <w:szCs w:val="16"/>
                <w:color w:val="auto"/>
              </w:rPr>
            </w:pPr>
          </w:p>
        </w:tc>
        <w:tc>
          <w:tcPr>
            <w:tcW w:w="106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#37-01 Capital Tower, Singapore 068912.</w:t>
            </w:r>
          </w:p>
        </w:tc>
      </w:tr>
      <w:tr>
        <w:trPr>
          <w:trHeight w:val="246"/>
        </w:trPr>
        <w:tc>
          <w:tcPr>
            <w:tcW w:w="3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7"/>
              </w:rPr>
              <w:t>(8)</w:t>
            </w:r>
          </w:p>
        </w:tc>
        <w:tc>
          <w:tcPr>
            <w:tcW w:w="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The          </w:t>
            </w:r>
          </w:p>
        </w:tc>
        <w:tc>
          <w:tcPr>
            <w:tcW w:w="97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shares of Class A common stock are held by Abu Dhabi Investment Authority (“ADIA”), directly or through one or more of its direct or indirect subsidiaries, including</w:t>
            </w:r>
          </w:p>
        </w:tc>
      </w:tr>
    </w:tbl>
    <w:p>
      <w:pPr>
        <w:ind w:left="600"/>
        <w:spacing w:after="0" w:line="230" w:lineRule="auto"/>
        <w:rPr>
          <w:sz w:val="20"/>
          <w:szCs w:val="20"/>
          <w:color w:val="auto"/>
        </w:rPr>
      </w:pPr>
      <w:r>
        <w:rPr>
          <w:rFonts w:ascii="Times New Roman" w:cs="Times New Roman" w:eastAsia="Times New Roman" w:hAnsi="Times New Roman"/>
          <w:sz w:val="14"/>
          <w:szCs w:val="14"/>
          <w:color w:val="auto"/>
        </w:rPr>
        <w:t>primarily Platinum Falcon B 2018 RSC Limited, a restricted scope company incorporated in the Abu Dhabi Global Market. ADIA is a public institution established by the Government of the Emirate of Abu Dhabi. The address for ADIA is 211 Corniche Street, P.O. Box 3600, Abu Dhabi, United Arab Emirates and the address for Platinum Falcon B 2018 RSC Limited is Level 26, Al Khatem Tower, Abu Dhabi Global Market Square, Al Maryah Island, Abu Dhabi, United Arab Emirates.</w:t>
      </w:r>
    </w:p>
    <w:p>
      <w:pPr>
        <w:spacing w:after="0" w:line="83" w:lineRule="exact"/>
        <w:rPr>
          <w:sz w:val="20"/>
          <w:szCs w:val="20"/>
          <w:color w:val="auto"/>
        </w:rPr>
      </w:pPr>
    </w:p>
    <w:p>
      <w:pPr>
        <w:ind w:left="600" w:hanging="433"/>
        <w:spacing w:after="0"/>
        <w:tabs>
          <w:tab w:leader="none" w:pos="60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            shares of Class B common stock corresponding to an equivalent number of outstanding Common Units held by Mr. Boyle, (b)            shares of Class B</w:t>
      </w:r>
    </w:p>
    <w:p>
      <w:pPr>
        <w:spacing w:after="0" w:line="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common stock corresponding to an equivalent number of outstanding Common Units held by a trust over which Mr. Boyle’s spouse is a trustee, (c)        shares of Class B common stock corresponding to an equivalent number of Common Units which would be received within 60 days of         , 2026 upon the conversion of vested Incentive Units held by Mr. Boyle at a conversion price of $        per share of Class A common stock (the closing price per share of Class A common stock on such date), and (d)        shares of Class B common stock corresponding to an equivalent number of Common Units which would be received within 60 days of         , 2026 upon the conversion of vested Incentive Units held by a trust over which Mr. Boyle’s spouse is a trustee at a conversion price of $        per share of Class A common stock (the closing price per share of Class A common stock on such date).</w:t>
      </w:r>
    </w:p>
    <w:p>
      <w:pPr>
        <w:spacing w:after="0" w:line="2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080"/>
          </w:cols>
          <w:pgMar w:left="320" w:top="452" w:right="499" w:bottom="1440" w:gutter="0" w:footer="0" w:header="0"/>
          <w:type w:val="continuous"/>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600" w:right="380" w:hanging="439"/>
        <w:spacing w:after="0" w:line="231" w:lineRule="auto"/>
        <w:tabs>
          <w:tab w:leader="none" w:pos="580" w:val="left"/>
        </w:tabs>
        <w:rPr>
          <w:sz w:val="20"/>
          <w:szCs w:val="20"/>
          <w:color w:val="auto"/>
        </w:rPr>
      </w:pPr>
      <w:r>
        <w:rPr>
          <w:rFonts w:ascii="Times New Roman" w:cs="Times New Roman" w:eastAsia="Times New Roman" w:hAnsi="Times New Roman"/>
          <w:sz w:val="14"/>
          <w:szCs w:val="14"/>
          <w:color w:val="auto"/>
        </w:rPr>
        <w:t>(10)</w:t>
        <w:tab/>
        <w:t>Reflects (a)        shares of Class B common stock corresponding to an equivalent number of outstanding Common Units held by trusts over which Mr. Pigott is a trustee and (b)        shares of Class B common stock corresponding to an equivalent number of Common Units which would be received within 60 days of        , 2026 upon the</w:t>
      </w:r>
    </w:p>
    <w:p>
      <w:pPr>
        <w:ind w:left="600" w:right="20"/>
        <w:spacing w:after="0" w:line="235" w:lineRule="auto"/>
        <w:rPr>
          <w:sz w:val="20"/>
          <w:szCs w:val="20"/>
          <w:color w:val="auto"/>
        </w:rPr>
      </w:pPr>
      <w:r>
        <w:rPr>
          <w:rFonts w:ascii="Times New Roman" w:cs="Times New Roman" w:eastAsia="Times New Roman" w:hAnsi="Times New Roman"/>
          <w:sz w:val="14"/>
          <w:szCs w:val="14"/>
          <w:color w:val="auto"/>
        </w:rPr>
        <w:t>conversion of vested Incentive Units held by trusts over which Mr. Pigott is a trustee at a conversion price of $        per share of Class A common stock (the closing price per share of Class A common stock on such date).</w:t>
      </w:r>
    </w:p>
    <w:p>
      <w:pPr>
        <w:spacing w:after="0" w:line="83" w:lineRule="exact"/>
        <w:rPr>
          <w:sz w:val="20"/>
          <w:szCs w:val="20"/>
          <w:color w:val="auto"/>
        </w:rPr>
      </w:pPr>
    </w:p>
    <w:p>
      <w:pPr>
        <w:ind w:left="600" w:hanging="433"/>
        <w:spacing w:after="0"/>
        <w:tabs>
          <w:tab w:leader="none" w:pos="60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            shares of Class B common stock corresponding to an equivalent number of outstanding Common Units held by Mr. Drazin and (b)            shares of Class B</w:t>
      </w:r>
    </w:p>
    <w:p>
      <w:pPr>
        <w:spacing w:after="0" w:line="2" w:lineRule="exact"/>
        <w:rPr>
          <w:sz w:val="20"/>
          <w:szCs w:val="20"/>
          <w:color w:val="auto"/>
        </w:rPr>
      </w:pPr>
    </w:p>
    <w:p>
      <w:pPr>
        <w:ind w:left="600" w:right="240"/>
        <w:spacing w:after="0" w:line="235" w:lineRule="auto"/>
        <w:rPr>
          <w:sz w:val="20"/>
          <w:szCs w:val="20"/>
          <w:color w:val="auto"/>
        </w:rPr>
      </w:pPr>
      <w:r>
        <w:rPr>
          <w:rFonts w:ascii="Times New Roman" w:cs="Times New Roman" w:eastAsia="Times New Roman" w:hAnsi="Times New Roman"/>
          <w:sz w:val="14"/>
          <w:szCs w:val="14"/>
          <w:color w:val="auto"/>
        </w:rPr>
        <w:t>common stock corresponding to an equivalent number of Common Units which would be received within 60 days of        , 2026 upon the conversion of vested Incentive Units held by Mr. Drazin at a conversion price of $        per share of Class A common stock (the closing price per share of Class A common stock on such date).</w:t>
      </w:r>
    </w:p>
    <w:p>
      <w:pPr>
        <w:spacing w:after="0" w:line="83" w:lineRule="exact"/>
        <w:rPr>
          <w:sz w:val="20"/>
          <w:szCs w:val="20"/>
          <w:color w:val="auto"/>
        </w:rPr>
      </w:pPr>
    </w:p>
    <w:p>
      <w:pPr>
        <w:ind w:left="600" w:hanging="433"/>
        <w:spacing w:after="0"/>
        <w:tabs>
          <w:tab w:leader="none" w:pos="60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shares of Class B common stock corresponding to an equivalent number of Common Units which would be received within 60 days of            , 2026 upon the</w:t>
      </w:r>
    </w:p>
    <w:p>
      <w:pPr>
        <w:spacing w:after="0" w:line="2" w:lineRule="exact"/>
        <w:rPr>
          <w:sz w:val="20"/>
          <w:szCs w:val="20"/>
          <w:color w:val="auto"/>
        </w:rPr>
      </w:pPr>
    </w:p>
    <w:p>
      <w:pPr>
        <w:ind w:left="600" w:right="280"/>
        <w:spacing w:after="0" w:line="235" w:lineRule="auto"/>
        <w:rPr>
          <w:sz w:val="20"/>
          <w:szCs w:val="20"/>
          <w:color w:val="auto"/>
        </w:rPr>
      </w:pPr>
      <w:r>
        <w:rPr>
          <w:rFonts w:ascii="Times New Roman" w:cs="Times New Roman" w:eastAsia="Times New Roman" w:hAnsi="Times New Roman"/>
          <w:sz w:val="14"/>
          <w:szCs w:val="14"/>
          <w:color w:val="auto"/>
        </w:rPr>
        <w:t>conversion of vested Incentive Units held by a trust over which Mr. Miller is a trustee at a conversion price of $        per share of Class A common stock (the closing price per share of Class A common stock on such date).</w:t>
      </w:r>
    </w:p>
    <w:p>
      <w:pPr>
        <w:spacing w:after="0" w:line="83" w:lineRule="exact"/>
        <w:rPr>
          <w:sz w:val="20"/>
          <w:szCs w:val="20"/>
          <w:color w:val="auto"/>
        </w:rPr>
      </w:pPr>
    </w:p>
    <w:p>
      <w:pPr>
        <w:ind w:left="600" w:hanging="433"/>
        <w:spacing w:after="0"/>
        <w:tabs>
          <w:tab w:leader="none" w:pos="60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            shares of Class B common stock corresponding to an equivalent number of outstanding Common Units held by Mr. Golwas, (b)            shares of Class B</w:t>
      </w:r>
    </w:p>
    <w:tbl>
      <w:tblPr>
        <w:tblLayout w:type="fixed"/>
        <w:tblInd w:w="160" w:type="dxa"/>
        <w:tblCellMar>
          <w:top w:w="0" w:type="dxa"/>
          <w:left w:w="0" w:type="dxa"/>
          <w:bottom w:w="0" w:type="dxa"/>
          <w:right w:w="0" w:type="dxa"/>
        </w:tblCellMar>
      </w:tblPr>
      <w:tr>
        <w:trPr>
          <w:trHeight w:val="133"/>
        </w:trPr>
        <w:tc>
          <w:tcPr>
            <w:tcW w:w="340" w:type="dxa"/>
            <w:vAlign w:val="bottom"/>
          </w:tcPr>
          <w:p>
            <w:pPr>
              <w:spacing w:after="0"/>
              <w:rPr>
                <w:sz w:val="11"/>
                <w:szCs w:val="11"/>
                <w:color w:val="auto"/>
              </w:rPr>
            </w:pPr>
          </w:p>
        </w:tc>
        <w:tc>
          <w:tcPr>
            <w:tcW w:w="6860" w:type="dxa"/>
            <w:vAlign w:val="bottom"/>
            <w:gridSpan w:val="6"/>
          </w:tcPr>
          <w:p>
            <w:pPr>
              <w:ind w:left="100"/>
              <w:spacing w:after="0" w:line="133" w:lineRule="exact"/>
              <w:rPr>
                <w:sz w:val="20"/>
                <w:szCs w:val="20"/>
                <w:color w:val="auto"/>
              </w:rPr>
            </w:pPr>
            <w:r>
              <w:rPr>
                <w:rFonts w:ascii="Times New Roman" w:cs="Times New Roman" w:eastAsia="Times New Roman" w:hAnsi="Times New Roman"/>
                <w:sz w:val="14"/>
                <w:szCs w:val="14"/>
                <w:color w:val="auto"/>
              </w:rPr>
              <w:t>common stock corresponding to an equivalent number of Common Units which would be received within 60 days of </w:t>
            </w:r>
          </w:p>
        </w:tc>
        <w:tc>
          <w:tcPr>
            <w:tcW w:w="16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w w:val="71"/>
              </w:rPr>
              <w:t> </w:t>
            </w:r>
          </w:p>
        </w:tc>
        <w:tc>
          <w:tcPr>
            <w:tcW w:w="342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   , 2026 upon the conversion of vested Incentive Units</w:t>
            </w:r>
          </w:p>
        </w:tc>
      </w:tr>
      <w:tr>
        <w:trPr>
          <w:trHeight w:val="147"/>
        </w:trPr>
        <w:tc>
          <w:tcPr>
            <w:tcW w:w="340" w:type="dxa"/>
            <w:vAlign w:val="bottom"/>
          </w:tcPr>
          <w:p>
            <w:pPr>
              <w:spacing w:after="0"/>
              <w:rPr>
                <w:sz w:val="12"/>
                <w:szCs w:val="12"/>
                <w:color w:val="auto"/>
              </w:rPr>
            </w:pPr>
          </w:p>
        </w:tc>
        <w:tc>
          <w:tcPr>
            <w:tcW w:w="10580" w:type="dxa"/>
            <w:vAlign w:val="bottom"/>
            <w:gridSpan w:val="9"/>
          </w:tcPr>
          <w:p>
            <w:pPr>
              <w:ind w:left="100"/>
              <w:spacing w:after="0" w:line="147" w:lineRule="exact"/>
              <w:rPr>
                <w:sz w:val="20"/>
                <w:szCs w:val="20"/>
                <w:color w:val="auto"/>
              </w:rPr>
            </w:pPr>
            <w:r>
              <w:rPr>
                <w:rFonts w:ascii="Times New Roman" w:cs="Times New Roman" w:eastAsia="Times New Roman" w:hAnsi="Times New Roman"/>
                <w:sz w:val="14"/>
                <w:szCs w:val="14"/>
                <w:color w:val="auto"/>
              </w:rPr>
              <w:t>held by Mr. Golwas at a conversion price of $            per share of Class A common stock (the closing price per share of Class A common stock on such date), and (c)            shares</w:t>
            </w:r>
          </w:p>
        </w:tc>
      </w:tr>
      <w:tr>
        <w:trPr>
          <w:trHeight w:val="147"/>
        </w:trPr>
        <w:tc>
          <w:tcPr>
            <w:tcW w:w="340" w:type="dxa"/>
            <w:vAlign w:val="bottom"/>
          </w:tcPr>
          <w:p>
            <w:pPr>
              <w:spacing w:after="0"/>
              <w:rPr>
                <w:sz w:val="12"/>
                <w:szCs w:val="12"/>
                <w:color w:val="auto"/>
              </w:rPr>
            </w:pPr>
          </w:p>
        </w:tc>
        <w:tc>
          <w:tcPr>
            <w:tcW w:w="10580" w:type="dxa"/>
            <w:vAlign w:val="bottom"/>
            <w:gridSpan w:val="9"/>
          </w:tcPr>
          <w:p>
            <w:pPr>
              <w:ind w:left="100"/>
              <w:spacing w:after="0" w:line="147" w:lineRule="exact"/>
              <w:rPr>
                <w:sz w:val="20"/>
                <w:szCs w:val="20"/>
                <w:color w:val="auto"/>
              </w:rPr>
            </w:pPr>
            <w:r>
              <w:rPr>
                <w:rFonts w:ascii="Times New Roman" w:cs="Times New Roman" w:eastAsia="Times New Roman" w:hAnsi="Times New Roman"/>
                <w:sz w:val="14"/>
                <w:szCs w:val="14"/>
                <w:color w:val="auto"/>
              </w:rPr>
              <w:t>of Class B common stock corresponding to an equivalent number of Common Units which would be received within 60 days of            , 2026 upon the conversion of vested</w:t>
            </w:r>
          </w:p>
        </w:tc>
      </w:tr>
      <w:tr>
        <w:trPr>
          <w:trHeight w:val="147"/>
        </w:trPr>
        <w:tc>
          <w:tcPr>
            <w:tcW w:w="340" w:type="dxa"/>
            <w:vAlign w:val="bottom"/>
          </w:tcPr>
          <w:p>
            <w:pPr>
              <w:spacing w:after="0"/>
              <w:rPr>
                <w:sz w:val="12"/>
                <w:szCs w:val="12"/>
                <w:color w:val="auto"/>
              </w:rPr>
            </w:pPr>
          </w:p>
        </w:tc>
        <w:tc>
          <w:tcPr>
            <w:tcW w:w="5400" w:type="dxa"/>
            <w:vAlign w:val="bottom"/>
            <w:gridSpan w:val="4"/>
          </w:tcPr>
          <w:p>
            <w:pPr>
              <w:ind w:left="100"/>
              <w:spacing w:after="0" w:line="147" w:lineRule="exact"/>
              <w:rPr>
                <w:sz w:val="20"/>
                <w:szCs w:val="20"/>
                <w:color w:val="auto"/>
              </w:rPr>
            </w:pPr>
            <w:r>
              <w:rPr>
                <w:rFonts w:ascii="Times New Roman" w:cs="Times New Roman" w:eastAsia="Times New Roman" w:hAnsi="Times New Roman"/>
                <w:sz w:val="14"/>
                <w:szCs w:val="14"/>
                <w:color w:val="auto"/>
              </w:rPr>
              <w:t xml:space="preserve">Incentive Units held by a trust over which Mr. Golwas is a trustee at a conversion price of $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5040" w:type="dxa"/>
            <w:vAlign w:val="bottom"/>
            <w:gridSpan w:val="4"/>
          </w:tcPr>
          <w:p>
            <w:pPr>
              <w:ind w:left="60"/>
              <w:spacing w:after="0" w:line="147" w:lineRule="exact"/>
              <w:rPr>
                <w:sz w:val="20"/>
                <w:szCs w:val="20"/>
                <w:color w:val="auto"/>
              </w:rPr>
            </w:pPr>
            <w:r>
              <w:rPr>
                <w:rFonts w:ascii="Times New Roman" w:cs="Times New Roman" w:eastAsia="Times New Roman" w:hAnsi="Times New Roman"/>
                <w:sz w:val="14"/>
                <w:szCs w:val="14"/>
                <w:color w:val="auto"/>
              </w:rPr>
              <w:t>      per share of Class A common stock (the closing price per share of Class A</w:t>
            </w:r>
          </w:p>
        </w:tc>
      </w:tr>
      <w:tr>
        <w:trPr>
          <w:trHeight w:val="185"/>
        </w:trPr>
        <w:tc>
          <w:tcPr>
            <w:tcW w:w="340" w:type="dxa"/>
            <w:vAlign w:val="bottom"/>
          </w:tcPr>
          <w:p>
            <w:pPr>
              <w:spacing w:after="0"/>
              <w:rPr>
                <w:sz w:val="16"/>
                <w:szCs w:val="16"/>
                <w:color w:val="auto"/>
              </w:rPr>
            </w:pPr>
          </w:p>
        </w:tc>
        <w:tc>
          <w:tcPr>
            <w:tcW w:w="5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stock on such date).</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20" w:type="dxa"/>
            <w:vAlign w:val="bottom"/>
          </w:tcPr>
          <w:p>
            <w:pPr>
              <w:spacing w:after="0"/>
              <w:rPr>
                <w:sz w:val="16"/>
                <w:szCs w:val="16"/>
                <w:color w:val="auto"/>
              </w:rPr>
            </w:pPr>
          </w:p>
        </w:tc>
      </w:tr>
      <w:tr>
        <w:trPr>
          <w:trHeight w:val="230"/>
        </w:trPr>
        <w:tc>
          <w:tcPr>
            <w:tcW w:w="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94"/>
              </w:rPr>
              <w:t>(14)</w:t>
            </w:r>
          </w:p>
        </w:tc>
        <w:tc>
          <w:tcPr>
            <w:tcW w:w="52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 xml:space="preserve">Reflects (a)            shares of Class A common stock directly held by Mr. Healy and (b)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504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   shares of Class A common stock directly held by a partnership for which Mr. Healy</w:t>
            </w:r>
          </w:p>
        </w:tc>
      </w:tr>
      <w:tr>
        <w:trPr>
          <w:trHeight w:val="147"/>
        </w:trPr>
        <w:tc>
          <w:tcPr>
            <w:tcW w:w="340" w:type="dxa"/>
            <w:vAlign w:val="bottom"/>
          </w:tcPr>
          <w:p>
            <w:pPr>
              <w:spacing w:after="0"/>
              <w:rPr>
                <w:sz w:val="12"/>
                <w:szCs w:val="12"/>
                <w:color w:val="auto"/>
              </w:rPr>
            </w:pPr>
          </w:p>
        </w:tc>
        <w:tc>
          <w:tcPr>
            <w:tcW w:w="10580" w:type="dxa"/>
            <w:vAlign w:val="bottom"/>
            <w:gridSpan w:val="9"/>
          </w:tcPr>
          <w:p>
            <w:pPr>
              <w:ind w:left="100"/>
              <w:spacing w:after="0" w:line="147" w:lineRule="exact"/>
              <w:rPr>
                <w:sz w:val="20"/>
                <w:szCs w:val="20"/>
                <w:color w:val="auto"/>
              </w:rPr>
            </w:pPr>
            <w:r>
              <w:rPr>
                <w:rFonts w:ascii="Times New Roman" w:cs="Times New Roman" w:eastAsia="Times New Roman" w:hAnsi="Times New Roman"/>
                <w:sz w:val="14"/>
                <w:szCs w:val="14"/>
                <w:color w:val="auto"/>
              </w:rPr>
              <w:t>serves as the general partner. Does not reflect any increase in beneficial ownership associated with the distribution of an aggregate of            shares of Class A common stock in kind</w:t>
            </w:r>
          </w:p>
        </w:tc>
      </w:tr>
      <w:tr>
        <w:trPr>
          <w:trHeight w:val="185"/>
        </w:trPr>
        <w:tc>
          <w:tcPr>
            <w:tcW w:w="340" w:type="dxa"/>
            <w:vAlign w:val="bottom"/>
          </w:tcPr>
          <w:p>
            <w:pPr>
              <w:spacing w:after="0"/>
              <w:rPr>
                <w:sz w:val="16"/>
                <w:szCs w:val="16"/>
                <w:color w:val="auto"/>
              </w:rPr>
            </w:pPr>
          </w:p>
        </w:tc>
        <w:tc>
          <w:tcPr>
            <w:tcW w:w="1058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for which Mr. Healy will have beneficial ownership following the consummation of this offering and the exercise of the underwriters’ option.</w:t>
            </w:r>
          </w:p>
        </w:tc>
      </w:tr>
      <w:tr>
        <w:trPr>
          <w:trHeight w:val="230"/>
        </w:trPr>
        <w:tc>
          <w:tcPr>
            <w:tcW w:w="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94"/>
              </w:rPr>
              <w:t>(15)</w:t>
            </w:r>
          </w:p>
        </w:tc>
        <w:tc>
          <w:tcPr>
            <w:tcW w:w="5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The AJM 2018 Generations Trust, which is associated with Mr. Mills, directly holds 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5300" w:type="dxa"/>
            <w:vAlign w:val="bottom"/>
            <w:gridSpan w:val="6"/>
          </w:tcPr>
          <w:p>
            <w:pPr>
              <w:ind w:left="40"/>
              <w:spacing w:after="0"/>
              <w:rPr>
                <w:sz w:val="20"/>
                <w:szCs w:val="20"/>
                <w:color w:val="auto"/>
              </w:rPr>
            </w:pPr>
            <w:r>
              <w:rPr>
                <w:rFonts w:ascii="Times New Roman" w:cs="Times New Roman" w:eastAsia="Times New Roman" w:hAnsi="Times New Roman"/>
                <w:sz w:val="14"/>
                <w:szCs w:val="14"/>
                <w:color w:val="auto"/>
              </w:rPr>
              <w:t>   shares of Class B common stock corresponding to an equivalent number of Common</w:t>
            </w:r>
          </w:p>
        </w:tc>
      </w:tr>
      <w:tr>
        <w:trPr>
          <w:trHeight w:val="185"/>
        </w:trPr>
        <w:tc>
          <w:tcPr>
            <w:tcW w:w="340" w:type="dxa"/>
            <w:vAlign w:val="bottom"/>
          </w:tcPr>
          <w:p>
            <w:pPr>
              <w:spacing w:after="0"/>
              <w:rPr>
                <w:sz w:val="16"/>
                <w:szCs w:val="16"/>
                <w:color w:val="auto"/>
              </w:rPr>
            </w:pPr>
          </w:p>
        </w:tc>
        <w:tc>
          <w:tcPr>
            <w:tcW w:w="5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Units. Mr. Mills disclaims beneficial ownership of such shares.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20" w:type="dxa"/>
            <w:vAlign w:val="bottom"/>
          </w:tcPr>
          <w:p>
            <w:pPr>
              <w:spacing w:after="0"/>
              <w:rPr>
                <w:sz w:val="16"/>
                <w:szCs w:val="16"/>
                <w:color w:val="auto"/>
              </w:rPr>
            </w:pPr>
          </w:p>
        </w:tc>
      </w:tr>
      <w:tr>
        <w:trPr>
          <w:trHeight w:val="230"/>
        </w:trPr>
        <w:tc>
          <w:tcPr>
            <w:tcW w:w="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94"/>
              </w:rPr>
              <w:t>(16)</w:t>
            </w:r>
          </w:p>
        </w:tc>
        <w:tc>
          <w:tcPr>
            <w:tcW w:w="5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xml:space="preserve">The Charles N. Mills Gift Trust, which is associated with Mr. Mills, directly holds 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5300" w:type="dxa"/>
            <w:vAlign w:val="bottom"/>
            <w:gridSpan w:val="6"/>
          </w:tcPr>
          <w:p>
            <w:pPr>
              <w:ind w:left="80"/>
              <w:spacing w:after="0"/>
              <w:rPr>
                <w:sz w:val="20"/>
                <w:szCs w:val="20"/>
                <w:color w:val="auto"/>
              </w:rPr>
            </w:pPr>
            <w:r>
              <w:rPr>
                <w:rFonts w:ascii="Times New Roman" w:cs="Times New Roman" w:eastAsia="Times New Roman" w:hAnsi="Times New Roman"/>
                <w:sz w:val="14"/>
                <w:szCs w:val="14"/>
                <w:color w:val="auto"/>
              </w:rPr>
              <w:t>shares of Class B common stock corresponding to an equivalent number of Common Units.</w:t>
            </w:r>
          </w:p>
        </w:tc>
      </w:tr>
      <w:tr>
        <w:trPr>
          <w:trHeight w:val="185"/>
        </w:trPr>
        <w:tc>
          <w:tcPr>
            <w:tcW w:w="340" w:type="dxa"/>
            <w:vAlign w:val="bottom"/>
          </w:tcPr>
          <w:p>
            <w:pPr>
              <w:spacing w:after="0"/>
              <w:rPr>
                <w:sz w:val="16"/>
                <w:szCs w:val="16"/>
                <w:color w:val="auto"/>
              </w:rPr>
            </w:pPr>
          </w:p>
        </w:tc>
        <w:tc>
          <w:tcPr>
            <w:tcW w:w="5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Mr. Mills disclaims beneficial ownership of such shares.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20" w:type="dxa"/>
            <w:vAlign w:val="bottom"/>
          </w:tcPr>
          <w:p>
            <w:pPr>
              <w:spacing w:after="0"/>
              <w:rPr>
                <w:sz w:val="16"/>
                <w:szCs w:val="16"/>
                <w:color w:val="auto"/>
              </w:rPr>
            </w:pPr>
          </w:p>
        </w:tc>
      </w:tr>
      <w:tr>
        <w:trPr>
          <w:trHeight w:val="230"/>
        </w:trPr>
        <w:tc>
          <w:tcPr>
            <w:tcW w:w="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94"/>
              </w:rPr>
              <w:t>(17)</w:t>
            </w:r>
          </w:p>
        </w:tc>
        <w:tc>
          <w:tcPr>
            <w:tcW w:w="686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 xml:space="preserve">Reflects (a)            shares of Class A common stock beneficially owned by our directors and executive officers, (b) </w:t>
            </w:r>
          </w:p>
        </w:tc>
        <w:tc>
          <w:tcPr>
            <w:tcW w:w="160" w:type="dxa"/>
            <w:vAlign w:val="bottom"/>
          </w:tcPr>
          <w:p>
            <w:pPr>
              <w:jc w:val="right"/>
              <w:ind w:right="19"/>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3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shares of Class B common stock corresponding to an</w:t>
            </w:r>
          </w:p>
        </w:tc>
      </w:tr>
      <w:tr>
        <w:trPr>
          <w:trHeight w:val="147"/>
        </w:trPr>
        <w:tc>
          <w:tcPr>
            <w:tcW w:w="340" w:type="dxa"/>
            <w:vAlign w:val="bottom"/>
          </w:tcPr>
          <w:p>
            <w:pPr>
              <w:spacing w:after="0"/>
              <w:rPr>
                <w:sz w:val="12"/>
                <w:szCs w:val="12"/>
                <w:color w:val="auto"/>
              </w:rPr>
            </w:pPr>
          </w:p>
        </w:tc>
        <w:tc>
          <w:tcPr>
            <w:tcW w:w="6860" w:type="dxa"/>
            <w:vAlign w:val="bottom"/>
            <w:gridSpan w:val="6"/>
          </w:tcPr>
          <w:p>
            <w:pPr>
              <w:ind w:left="100"/>
              <w:spacing w:after="0" w:line="147" w:lineRule="exact"/>
              <w:rPr>
                <w:sz w:val="20"/>
                <w:szCs w:val="20"/>
                <w:color w:val="auto"/>
              </w:rPr>
            </w:pPr>
            <w:r>
              <w:rPr>
                <w:rFonts w:ascii="Times New Roman" w:cs="Times New Roman" w:eastAsia="Times New Roman" w:hAnsi="Times New Roman"/>
                <w:sz w:val="14"/>
                <w:szCs w:val="14"/>
                <w:color w:val="auto"/>
              </w:rPr>
              <w:t xml:space="preserve">equivalent number of outstanding Common Units beneficially owned by our directors and executive officers, and (c) </w:t>
            </w:r>
          </w:p>
        </w:tc>
        <w:tc>
          <w:tcPr>
            <w:tcW w:w="160" w:type="dxa"/>
            <w:vAlign w:val="bottom"/>
          </w:tcPr>
          <w:p>
            <w:pPr>
              <w:jc w:val="right"/>
              <w:ind w:right="59"/>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w w:val="71"/>
              </w:rPr>
              <w:t> </w:t>
            </w:r>
          </w:p>
        </w:tc>
        <w:tc>
          <w:tcPr>
            <w:tcW w:w="342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rPr>
              <w:t>   shares of Class B common stock corresponding to an</w:t>
            </w:r>
          </w:p>
        </w:tc>
      </w:tr>
      <w:tr>
        <w:trPr>
          <w:trHeight w:val="163"/>
        </w:trPr>
        <w:tc>
          <w:tcPr>
            <w:tcW w:w="340" w:type="dxa"/>
            <w:vAlign w:val="bottom"/>
          </w:tcPr>
          <w:p>
            <w:pPr>
              <w:spacing w:after="0"/>
              <w:rPr>
                <w:sz w:val="14"/>
                <w:szCs w:val="14"/>
                <w:color w:val="auto"/>
              </w:rPr>
            </w:pPr>
          </w:p>
        </w:tc>
        <w:tc>
          <w:tcPr>
            <w:tcW w:w="7020" w:type="dxa"/>
            <w:vAlign w:val="bottom"/>
            <w:gridSpan w:val="7"/>
          </w:tcPr>
          <w:p>
            <w:pPr>
              <w:ind w:left="100"/>
              <w:spacing w:after="0"/>
              <w:rPr>
                <w:sz w:val="20"/>
                <w:szCs w:val="20"/>
                <w:color w:val="auto"/>
              </w:rPr>
            </w:pPr>
            <w:r>
              <w:rPr>
                <w:rFonts w:ascii="Times New Roman" w:cs="Times New Roman" w:eastAsia="Times New Roman" w:hAnsi="Times New Roman"/>
                <w:sz w:val="14"/>
                <w:szCs w:val="14"/>
                <w:color w:val="auto"/>
                <w:w w:val="99"/>
              </w:rPr>
              <w:t>equivalent number of Common Units that our directors and executive officers have the right to acquire within 60 days of 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3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 2026 upon the conversion of vested Incentive Units</w:t>
            </w:r>
          </w:p>
        </w:tc>
      </w:tr>
    </w:tbl>
    <w:p>
      <w:pPr>
        <w:jc w:val="center"/>
        <w:ind w:left="380"/>
        <w:spacing w:after="0"/>
        <w:rPr>
          <w:sz w:val="20"/>
          <w:szCs w:val="20"/>
          <w:color w:val="auto"/>
        </w:rPr>
      </w:pPr>
      <w:r>
        <w:rPr>
          <w:rFonts w:ascii="Times New Roman" w:cs="Times New Roman" w:eastAsia="Times New Roman" w:hAnsi="Times New Roman"/>
          <w:sz w:val="14"/>
          <w:szCs w:val="14"/>
          <w:color w:val="auto"/>
        </w:rPr>
        <w:t>held by our directors and executive officers at a conversion price of $            per share of Class A common stock (the closing price per share of Class A common stock on such date).</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080"/>
          </w:cols>
          <w:pgMar w:left="320" w:top="451" w:right="49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DESCRIPTION OF CERTAIN INDEBTEDNESS</w:t>
      </w:r>
    </w:p>
    <w:p>
      <w:pPr>
        <w:spacing w:after="0" w:line="2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The following section summarizes the terms of our material principal indebtedness.</w:t>
      </w:r>
    </w:p>
    <w:p>
      <w:pPr>
        <w:spacing w:after="0" w:line="3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Senior Secured Credit Facilities</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18" w:lineRule="exact"/>
        <w:rPr>
          <w:sz w:val="20"/>
          <w:szCs w:val="20"/>
          <w:color w:val="auto"/>
        </w:rPr>
      </w:pPr>
    </w:p>
    <w:p>
      <w:pPr>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In connection with the Sponsor Acquisition, we entered into a credit agreement (as amended through the date hereof, the “Sponsor Acquisition Credit Agreement”) which governs our Senior Secured Credit Facilities with Bank of America, N.A. as administrative agent, collateral agent, swing line lender and an L/C issuer.</w:t>
      </w:r>
    </w:p>
    <w:p>
      <w:pPr>
        <w:spacing w:after="0" w:line="175" w:lineRule="exact"/>
        <w:rPr>
          <w:sz w:val="20"/>
          <w:szCs w:val="20"/>
          <w:color w:val="auto"/>
        </w:rPr>
      </w:pPr>
    </w:p>
    <w:p>
      <w:pPr>
        <w:ind w:left="160" w:right="380" w:firstLine="436"/>
        <w:spacing w:after="0" w:line="263" w:lineRule="auto"/>
        <w:rPr>
          <w:sz w:val="20"/>
          <w:szCs w:val="20"/>
          <w:color w:val="auto"/>
        </w:rPr>
      </w:pPr>
      <w:r>
        <w:rPr>
          <w:rFonts w:ascii="Times New Roman" w:cs="Times New Roman" w:eastAsia="Times New Roman" w:hAnsi="Times New Roman"/>
          <w:sz w:val="18"/>
          <w:szCs w:val="18"/>
          <w:color w:val="auto"/>
        </w:rPr>
        <w:t>The Sponsor Acquisition Credit Agreement initially provided for (i) the Initial Dollar Term Loan Facility in an aggregate principal amount of $7,270 million, (ii) the Initial Euro Term Loan Facility in an aggregate principal amount equal to the euro equivalent of $500 million and (iii) the Revolving Credit Facility in an aggregate principal amount of $1,000 million.</w:t>
      </w:r>
    </w:p>
    <w:p>
      <w:pPr>
        <w:spacing w:after="0" w:line="175" w:lineRule="exact"/>
        <w:rPr>
          <w:sz w:val="20"/>
          <w:szCs w:val="20"/>
          <w:color w:val="auto"/>
        </w:rPr>
      </w:pPr>
    </w:p>
    <w:p>
      <w:pPr>
        <w:ind w:left="160" w:firstLine="436"/>
        <w:spacing w:after="0" w:line="264" w:lineRule="auto"/>
        <w:rPr>
          <w:sz w:val="20"/>
          <w:szCs w:val="20"/>
          <w:color w:val="auto"/>
        </w:rPr>
      </w:pPr>
      <w:r>
        <w:rPr>
          <w:rFonts w:ascii="Times New Roman" w:cs="Times New Roman" w:eastAsia="Times New Roman" w:hAnsi="Times New Roman"/>
          <w:sz w:val="17"/>
          <w:szCs w:val="17"/>
          <w:color w:val="auto"/>
        </w:rPr>
        <w:t>On the Second Amendment Date, we entered into an amendment to the Sponsor Acquisition Credit Agreement to refinance the Initial Dollar Term Loan Facility and the loans thereunder in order to reduce the applicable margin with respect thereto (the Initial Dollar Term Loan Facility after giving effect to such refinancing, the “Refinanced Dollar Term Loan Facility”). On the Third Amendment Date, we entered into an amendment to the Sponsor Acquisition Credit Agreement to (i) refinance the Initial Euro Term Loan Facility with incremental euro-denominated term loans in an equivalent principal amount of the Initial Euro Term Loans so prepaid (the “Refinanced Euro Term Loan Facility”), (ii) incur incremental euro-denominated Term B loans of the same class as the Refinanced Euro Term Loans in an aggregate principal amount of approximately €185 million (together with the Refinanced Euro Term Loan Facility, the “New Euro Term Loan Facility”), (iii) incur incremental term loans under the Additional Dollar Term Loan Facility in an aggregate principal amount of approximately $1,519 million and (iv) amend the Revolving Credit Facility to extend the maturity date to the date that is five years following the Third Amendment Date, subject to a springing maturity 91-days inside of the maturity date of the New Euro Term Loan Facility, the 2028 Refinancing Term Loan Facility, the 2021 Secured Notes and the 2024 Notes (the “Springing Condition”), in each case, solely to the extent a material amount of such debt, as applicable, remains outstanding as of such date. On the Fourth Amendment Date, we entered into an amendment to the Sponsor Acquisition Credit Agreement to refinance the Refinanced Dollar Term Loan Facility to be on the same terms as the New Dollar Term Loan Facility (the “Refinancing”) causing the refinanced loans under the Refinanced Dollar Term Loan Facility to be a single class with the term loans outstanding under the Additional Dollar Term Loan Facility (the “New Dollar Term Loan Facility”). On the Fifth Amendment Date, we entered into an amendment to the Sponsor Acquisition Credit Agreement to permit letter of credit issuers to issue letters of credit in excess of their respective letter of credit commitments and to obligate the other lenders under our Revolving Credit Facility to participate in such letters of credit, subject to other customary limitations. On the Sixth Amendment Date, we entered into an amendment to the Sponsor Acquisition Credit Agreement to</w:t>
      </w:r>
    </w:p>
    <w:p>
      <w:pPr>
        <w:spacing w:after="0" w:line="1" w:lineRule="exact"/>
        <w:rPr>
          <w:sz w:val="20"/>
          <w:szCs w:val="20"/>
          <w:color w:val="auto"/>
        </w:rPr>
      </w:pPr>
    </w:p>
    <w:p>
      <w:pPr>
        <w:ind w:left="160" w:right="320" w:firstLine="7"/>
        <w:spacing w:after="0" w:line="248" w:lineRule="auto"/>
        <w:tabs>
          <w:tab w:leader="none" w:pos="373"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refinance an aggregate principal amount of New Dollar Term Loans equal to $4,074 million in order to reduce the applicable margin with respect thereto (the “2028 Refinancing Term Loan Facility”) and (ii) refinance an aggregate principal amount of New Dollar Term Loans equal to</w:t>
      </w:r>
    </w:p>
    <w:p>
      <w:pPr>
        <w:ind w:left="160" w:right="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$3,500 million in order to reduce the applicable margin with respect thereto and extend the maturity date with respect thereto to October 23, 2030 (such date, the “2030 Refinancing Term Loan Maturity Date”) (the “2030 Refinancing Term Loan Facility” and, together with the 2028 Refinancing Term Loan Facility, the “2025 Refinancing Dollar Term Facility”; the 2025 Refinancing Dollar Term Facility, together with the Revolving Credit Facility and the New Euro Term Loan Facility, the “Senior Secured Credit Facilities”).</w:t>
      </w:r>
    </w:p>
    <w:p>
      <w:pPr>
        <w:spacing w:after="0" w:line="189" w:lineRule="exact"/>
        <w:rPr>
          <w:sz w:val="20"/>
          <w:szCs w:val="20"/>
          <w:color w:val="auto"/>
        </w:rPr>
      </w:pPr>
    </w:p>
    <w:p>
      <w:pPr>
        <w:jc w:val="both"/>
        <w:ind w:left="160" w:right="40" w:firstLine="436"/>
        <w:spacing w:after="0" w:line="263" w:lineRule="auto"/>
        <w:rPr>
          <w:sz w:val="20"/>
          <w:szCs w:val="20"/>
          <w:color w:val="auto"/>
        </w:rPr>
      </w:pPr>
      <w:r>
        <w:rPr>
          <w:rFonts w:ascii="Times New Roman" w:cs="Times New Roman" w:eastAsia="Times New Roman" w:hAnsi="Times New Roman"/>
          <w:sz w:val="18"/>
          <w:szCs w:val="18"/>
          <w:color w:val="auto"/>
        </w:rPr>
        <w:t>Medline Borrower, LP (which is referred to throughout this section as the “Borrower”) is the borrower under the Senior Secured Credit Facilities. The Revolving Credit Facility includes sub-facilities for letters of credit and for short-term borrowings referred to as swing line borrowings. In addition, the Sponsor Acquisition</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060"/>
          </w:cols>
          <w:pgMar w:left="320" w:top="451" w:right="51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line="249" w:lineRule="auto"/>
        <w:rPr>
          <w:sz w:val="20"/>
          <w:szCs w:val="20"/>
          <w:color w:val="auto"/>
        </w:rPr>
      </w:pPr>
      <w:r>
        <w:rPr>
          <w:rFonts w:ascii="Times New Roman" w:cs="Times New Roman" w:eastAsia="Times New Roman" w:hAnsi="Times New Roman"/>
          <w:sz w:val="18"/>
          <w:szCs w:val="18"/>
          <w:color w:val="auto"/>
        </w:rPr>
        <w:t xml:space="preserve">Credit Agreement provides that we have the right at any time, subject to customary conditions, to request incremental term loans or incremental revolving credit commitments in an aggregate principal amount of up to (a) the greater of (1) $2,375 million and (2) an amount equal to 100% of our trailing consolidated EBITDA for the most recently ended period of four consecutive fiscal quarters for which financial statements are internally available, on a pro forma basis, plus (b) additional amounts not to exceed available capacity under a specified general debt basket, plus (c) an amount equal to all voluntary prepayments, repurchases and redemptions of the term loans under the Sponsor Acquisition Credit Agreement and certain other debt secured by liens on the collateral and permanent revolving credit commitment reductions under the Sponsor Acquisition Credit Agreement, in each case prior to or simultaneous with the date of any such incurrence (to the extent not funded with the proceeds of long-term debt other than revolving loans), plus (d) an additional unlimited amount so long as we (I) in the case of incremental indebtedness that is secured by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Senior Secured Credit Facilities, do not exceed a specified pro forma first lien net leverage ratio (or, so long as we do not exceed the pro forma first lien net leverage ratio immediately prior to such incurrence or any related transactions), (II) in the case of incremental indebtedness that is secured on the collateral on a junior basis with respect to the Senior Secured Credit Facilities, either do not exceed a specified pro forma secured net leverage ratio or we satisfy a specified pro forma interest coverage ratio (or, so long as we do not exceed the pro forma secured net leverage ratio or we satisfy such interest coverage ratio, as applicable, immediately prior to such incurrence or any related transactions), and (III) in the case of unsecured incremental indebtedness (or indebtedness secured by assets that do not constitute collateral securing the Senior Secured Credit Facilities), either do not exceed a specified pro forma total net leverage ratio or we satisfy a specified pro forma interest coverage ratio (or, so long as we do not exceed the pro forma total net leverage ratio or we satisfy such interest coverage ratio, as applicable, immediately prior to such incurrence or any related transactions). The lenders under the Senior Secured Credit Facilities are not under any obligation to provide any such incremental loans or commitments, and any such addition of or increase in loans is subject to certain customary conditions precedent and other provisions.</w:t>
      </w:r>
    </w:p>
    <w:p>
      <w:pPr>
        <w:spacing w:after="0" w:line="3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and Fees</w:t>
      </w:r>
    </w:p>
    <w:p>
      <w:pPr>
        <w:spacing w:after="0" w:line="118"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Borrowings under the 2025 Refinancing Dollar Term Facility, and the Revolving Credit Facility bear interest, at the Borrower’s option, at a rate per annum equal to an applicable margin over either (a) a base rate determined by reference to the highest of (1) the “Prime Rate” in the United States as published in The Wall Street Journal, (2) the federal funds effective rate plus 1/2 of 1%, and (3) Term SOFR for a one-month interest period plus 1.00% or (b) a Term SOFR rate determined by reference to the applicable Term SOFR rate published on the Federal Reserve Bank of New York’s Website for the interest period relevant to such borrowing, subject in the case of the 2025 Refinancing Dollar Term Facility, to a Term SOFR floor of 0.50%, and in the case of the Revolving Credit Facility, to a Term SOFR floor of 0.00%. Borrowings under the New Euro Term Loan Facility bear interest at a rate per annum equal to an applicable margin over a EURIBOR rate for euro deposits determined by reference to the applicable page for the EURIBOR rate for euro deposits for the interest period relevant to such borrowing. Additionally, pursuant to the terms of the Sponsor Acquisition Credit Agreement, the applicable margin with respect to each of our Senior Secured Credit Facilities was contractually reduced by 0.25% per annum upon the consummation of the IPO.</w:t>
      </w:r>
    </w:p>
    <w:p>
      <w:pPr>
        <w:spacing w:after="0" w:line="2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Prepayments</w:t>
      </w:r>
    </w:p>
    <w:p>
      <w:pPr>
        <w:spacing w:after="0" w:line="118" w:lineRule="exact"/>
        <w:rPr>
          <w:sz w:val="20"/>
          <w:szCs w:val="20"/>
          <w:color w:val="auto"/>
        </w:rPr>
      </w:pPr>
    </w:p>
    <w:p>
      <w:pPr>
        <w:ind w:left="160" w:right="380" w:firstLine="436"/>
        <w:spacing w:after="0" w:line="278" w:lineRule="auto"/>
        <w:rPr>
          <w:sz w:val="20"/>
          <w:szCs w:val="20"/>
          <w:color w:val="auto"/>
        </w:rPr>
      </w:pPr>
      <w:r>
        <w:rPr>
          <w:rFonts w:ascii="Times New Roman" w:cs="Times New Roman" w:eastAsia="Times New Roman" w:hAnsi="Times New Roman"/>
          <w:sz w:val="18"/>
          <w:szCs w:val="18"/>
          <w:color w:val="auto"/>
        </w:rPr>
        <w:t>The credit agreement governing the Senior Secured Credit Facilities contains customary mandatory prepayment requirements, including with respect to excess cash flow, asset sale proceeds and proceeds from certain incurrences of indebtedness.</w:t>
      </w:r>
    </w:p>
    <w:p>
      <w:pPr>
        <w:spacing w:after="0" w:line="162" w:lineRule="exact"/>
        <w:rPr>
          <w:sz w:val="20"/>
          <w:szCs w:val="20"/>
          <w:color w:val="auto"/>
        </w:rPr>
      </w:pPr>
    </w:p>
    <w:p>
      <w:pPr>
        <w:ind w:left="160" w:right="120" w:firstLine="436"/>
        <w:spacing w:after="0" w:line="285" w:lineRule="auto"/>
        <w:rPr>
          <w:sz w:val="20"/>
          <w:szCs w:val="20"/>
          <w:color w:val="auto"/>
        </w:rPr>
      </w:pPr>
      <w:r>
        <w:rPr>
          <w:rFonts w:ascii="Times New Roman" w:cs="Times New Roman" w:eastAsia="Times New Roman" w:hAnsi="Times New Roman"/>
          <w:sz w:val="17"/>
          <w:szCs w:val="17"/>
          <w:color w:val="auto"/>
        </w:rPr>
        <w:t>Except as set forth below, we may voluntarily repay outstanding loans under the Senior Secured Credit Facilities at any time without premium or penalty, other than customary breakage costs. Any voluntary prepayment, refinancing or repricing of the term loans under (i) the Sixth Amendment Refinancing Term Loan Facility in connection with certain repricing transactions that occur prior to the 6-month anniversary of the Sixth</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060"/>
          </w:cols>
          <w:pgMar w:left="320" w:top="452" w:right="51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line="258" w:lineRule="auto"/>
        <w:rPr>
          <w:sz w:val="20"/>
          <w:szCs w:val="20"/>
          <w:color w:val="auto"/>
        </w:rPr>
      </w:pPr>
      <w:r>
        <w:rPr>
          <w:rFonts w:ascii="Times New Roman" w:cs="Times New Roman" w:eastAsia="Times New Roman" w:hAnsi="Times New Roman"/>
          <w:sz w:val="18"/>
          <w:szCs w:val="18"/>
          <w:color w:val="auto"/>
        </w:rPr>
        <w:t>Amendment Date shall be subject to a prepayment premium of 1.0% of the principal amount of the term loans so prepaid, refinanced or repriced, subject to certain exceptions and (ii) the New Euro Term Loan Facility in connection with certain repricing transactions that occur prior to the 6-month anniversary of the Third Amendment Date shall be subject to a prepayment premium of 1.0% of the principal amount of such term loans so prepaid, refinanced, or repriced, subject to certain exceptions.</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Amortization and Maturity</w:t>
      </w:r>
    </w:p>
    <w:p>
      <w:pPr>
        <w:spacing w:after="0" w:line="118" w:lineRule="exact"/>
        <w:rPr>
          <w:sz w:val="20"/>
          <w:szCs w:val="20"/>
          <w:color w:val="auto"/>
        </w:rPr>
      </w:pPr>
    </w:p>
    <w:p>
      <w:pPr>
        <w:ind w:left="160" w:right="100" w:firstLine="436"/>
        <w:spacing w:after="0" w:line="253" w:lineRule="auto"/>
        <w:rPr>
          <w:sz w:val="20"/>
          <w:szCs w:val="20"/>
          <w:color w:val="auto"/>
        </w:rPr>
      </w:pPr>
      <w:r>
        <w:rPr>
          <w:rFonts w:ascii="Times New Roman" w:cs="Times New Roman" w:eastAsia="Times New Roman" w:hAnsi="Times New Roman"/>
          <w:sz w:val="18"/>
          <w:szCs w:val="18"/>
          <w:color w:val="auto"/>
        </w:rPr>
        <w:t>The term loans under the 2028 Refinancing Term Loan Facility amortize in equal quarterly installments in an aggregate annual amount equal to 1.00% of the original principal amount of such term loans as of the Sixth Amendment Date, with the balance being payable on the Initial Term Loan Maturity Date. The term loans under the 2030 Refinancing Term Loan Facility amortize in equal quarterly installments in an aggregate annual amount equal to 1.00% of the original principal amount of such term loans as of the Sixth Amendment Date, with the balance being payable on the 2030 Refinancing Term Loan Maturity Date. The term loans under the New Euro Term Loan Facility do not have any amortization, with the balance payable on the Initial Term Loan Maturity Date. The Revolving Credit Facility will, subject to the Springing Condition, mature five years after the Third Amendment Date.</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Guarantee and Security</w:t>
      </w:r>
    </w:p>
    <w:p>
      <w:pPr>
        <w:spacing w:after="0" w:line="118" w:lineRule="exact"/>
        <w:rPr>
          <w:sz w:val="20"/>
          <w:szCs w:val="20"/>
          <w:color w:val="auto"/>
        </w:rPr>
      </w:pPr>
    </w:p>
    <w:p>
      <w:pPr>
        <w:ind w:left="160" w:right="160" w:firstLine="436"/>
        <w:spacing w:after="0" w:line="254" w:lineRule="auto"/>
        <w:rPr>
          <w:sz w:val="20"/>
          <w:szCs w:val="20"/>
          <w:color w:val="auto"/>
        </w:rPr>
      </w:pPr>
      <w:r>
        <w:rPr>
          <w:rFonts w:ascii="Times New Roman" w:cs="Times New Roman" w:eastAsia="Times New Roman" w:hAnsi="Times New Roman"/>
          <w:sz w:val="18"/>
          <w:szCs w:val="18"/>
          <w:color w:val="auto"/>
        </w:rPr>
        <w:t>All of our obligations under the Senior Secured Credit Facilities and certain hedge agreements and cash management arrangements provided by any lender party to the Sponsor Acquisition Credit Agreement or any of its affiliates and certain other persons are unconditionally guaranteed by Medline Intermediate, LP, the Borrower (with respect to hedge agreements and cash management arrangements not entered into by the Borrower), and each of our existing and subsequently acquired or organized direct or indirect material wholly-owned domestic restricted subsidiaries, with customary exceptions including, among other things, where providing such guarantees is not permitted by law, regulation, or contract or would result in material adverse tax consequences.</w:t>
      </w:r>
    </w:p>
    <w:p>
      <w:pPr>
        <w:spacing w:after="0" w:line="184" w:lineRule="exact"/>
        <w:rPr>
          <w:sz w:val="20"/>
          <w:szCs w:val="20"/>
          <w:color w:val="auto"/>
        </w:rPr>
      </w:pPr>
    </w:p>
    <w:p>
      <w:pPr>
        <w:ind w:left="160" w:right="60" w:firstLine="436"/>
        <w:spacing w:after="0" w:line="252" w:lineRule="auto"/>
        <w:rPr>
          <w:sz w:val="20"/>
          <w:szCs w:val="20"/>
          <w:color w:val="auto"/>
        </w:rPr>
      </w:pPr>
      <w:r>
        <w:rPr>
          <w:rFonts w:ascii="Times New Roman" w:cs="Times New Roman" w:eastAsia="Times New Roman" w:hAnsi="Times New Roman"/>
          <w:sz w:val="18"/>
          <w:szCs w:val="18"/>
          <w:color w:val="auto"/>
        </w:rPr>
        <w:t>All obligations under the Senior Secured Credit Facilities and certain hedge agreements and cash management arrangements provided by any lender party to the Sponsor Acquisition Credit Agreement or any of its affiliates and certain other persons, and the guarantees of such obligations, are secured, subject to permitted liens and other exceptions, by: (i) a perfected first-priority pledge of all the equity interests of the Borrower and each wholly-owned material restricted subsidiary of the Borrower (other than Mozart Real Estate and its subsidiaries) that is directly held by the Borrower or a subsidiary guarantor (limited, with respect to equity interests, to 65% of the voting power issued by first-tier foreign subsidiaries, CFCs, or FSHCOs, as defined under the Credit Agreement except for certain instances, all of the equity interests issued by a first-tier foreign subsidiary will be pledged) and (ii) perfected first-priority security interests in substantially all tangible and intangible personal property of the Borrower and the subsidiary guarantors (excluding motor vehicles and fee owned real property).</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Certain Covenants and Events of Default</w:t>
      </w:r>
    </w:p>
    <w:p>
      <w:pPr>
        <w:spacing w:after="0" w:line="118"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The credit agreement that governs the Senior Secured Credit Facilities contains a number of covenants that, among other things, restrict, subject to certain exceptions, the ability of the Borrower and its restricted subsidiaries to:</w:t>
      </w:r>
    </w:p>
    <w:p>
      <w:pPr>
        <w:spacing w:after="0" w:line="69" w:lineRule="exact"/>
        <w:rPr>
          <w:sz w:val="20"/>
          <w:szCs w:val="20"/>
          <w:color w:val="auto"/>
        </w:rPr>
      </w:pPr>
    </w:p>
    <w:p>
      <w:pPr>
        <w:ind w:left="1140" w:hanging="438"/>
        <w:spacing w:after="0"/>
        <w:tabs>
          <w:tab w:leader="none" w:pos="11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or consolidations;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or repurchase capital stock;</w:t>
      </w: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060"/>
          </w:cols>
          <w:pgMar w:left="320" w:top="452" w:right="51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140" w:hanging="438"/>
        <w:spacing w:after="0"/>
        <w:tabs>
          <w:tab w:leader="none" w:pos="11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subordinated indebtedness;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and advances;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that prohibit our ability and the ability of our subsidiary guarantors to incur liens on assets; and</w:t>
      </w:r>
    </w:p>
    <w:p>
      <w:pPr>
        <w:spacing w:after="0" w:line="127" w:lineRule="exact"/>
        <w:rPr>
          <w:rFonts w:ascii="Times New Roman" w:cs="Times New Roman" w:eastAsia="Times New Roman" w:hAnsi="Times New Roman"/>
          <w:sz w:val="18"/>
          <w:szCs w:val="18"/>
          <w:color w:val="auto"/>
        </w:rPr>
      </w:pPr>
    </w:p>
    <w:p>
      <w:pPr>
        <w:ind w:left="1140" w:right="20" w:hanging="438"/>
        <w:spacing w:after="0" w:line="278" w:lineRule="auto"/>
        <w:tabs>
          <w:tab w:leader="none" w:pos="11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amendments to certain subordinated indebtedness in a manner materially adverse to the lenders under the Senior Secured Credit Facilities.</w:t>
      </w:r>
    </w:p>
    <w:p>
      <w:pPr>
        <w:spacing w:after="0" w:line="162" w:lineRule="exact"/>
        <w:rPr>
          <w:sz w:val="20"/>
          <w:szCs w:val="20"/>
          <w:color w:val="auto"/>
        </w:rPr>
      </w:pPr>
    </w:p>
    <w:p>
      <w:pPr>
        <w:ind w:left="160" w:right="280" w:firstLine="436"/>
        <w:spacing w:after="0" w:line="255" w:lineRule="auto"/>
        <w:rPr>
          <w:sz w:val="20"/>
          <w:szCs w:val="20"/>
          <w:color w:val="auto"/>
        </w:rPr>
      </w:pPr>
      <w:r>
        <w:rPr>
          <w:rFonts w:ascii="Times New Roman" w:cs="Times New Roman" w:eastAsia="Times New Roman" w:hAnsi="Times New Roman"/>
          <w:sz w:val="18"/>
          <w:szCs w:val="18"/>
          <w:color w:val="auto"/>
        </w:rPr>
        <w:t>The credit agreement that governs the Senior Secured Credit Facilities contains a springing financial covenant requiring compliance with a maximum ratio of consolidated first lien net indebtedness to consolidated EBITDA, applicable solely to the Revolving Credit Facility. The financial covenant is tested on the last day of any fiscal quarter only if the aggregate principal amount of borrowings (excluding outstanding letters of credit (whether or not cash collateralized)) under the Revolving Credit Facility, exceeds 35% of the greater of (a) total amount of commitments under the Revolving Credit Facility on such day and (b) $1,000 million.</w:t>
      </w:r>
    </w:p>
    <w:p>
      <w:pPr>
        <w:spacing w:after="0" w:line="184"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 credit agreement that governs the Senior Secured Credit Facilities also limits Medline Intermediate, LP’s activities to being a passive holding company and contains certain customary affirmative covenants and events of default for facilities of this type, including relating to a change of control. If an event of default occurs, the lenders under the Senior Secured Credit Facilities will be entitled to take various actions, including the acceleration of amounts due under the Senior Secured Credit Facilities and all actions permitted to be taken by secured creditors under applicable law.</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New Euro Term Loan Facility</w:t>
      </w:r>
    </w:p>
    <w:p>
      <w:pPr>
        <w:spacing w:after="0" w:line="118"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color w:val="auto"/>
        </w:rPr>
        <w:t>On the Third Amendment Date, we refinanced all of our Existing Euro Term Loan Facility with the incurrence of new euro-denominated Term B loans and incurred incremental euro-denominated Term B loans in an aggregate principal amount of approximately €185 million, which, together with the outstanding Refinanced Euro Term Loan Facility, constitute a single class of term loans under the Credit Agreement. The New Euro Term Loan Facility has substantially identical terms to the Existing Euro Term Loan Facility, provided, however, that (a) the applicable margin with respect to the interest rates under the New Euro Term Loan Facility is lower than the applicable margin with respect to the interest rates under the Existing Euro Term Loan Facility and (b) any voluntary prepayment, refinancing or repricing of the term loans under the New Euro Term Loan Facility in connection with certain repricing transactions that occur on or prior to the 6-month anniversary of the Third Amendment Date are subject to a prepayment premium of 1.0% of the principal amount of the term loans so prepaid, refinanced, or repriced, subject to certain exceptions.</w:t>
      </w:r>
    </w:p>
    <w:p>
      <w:pPr>
        <w:spacing w:after="0" w:line="187" w:lineRule="exact"/>
        <w:rPr>
          <w:sz w:val="20"/>
          <w:szCs w:val="20"/>
          <w:color w:val="auto"/>
        </w:rPr>
      </w:pPr>
    </w:p>
    <w:p>
      <w:pPr>
        <w:jc w:val="both"/>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On the Fourth Amendment Date, we consummated the Refinancing, pursuant to which the term loans that were previously outstanding under the Existing Dollar Term Loan Facility were prepaid in full with the proceeds of incremental borrowings made under the New Dollar Term Loan Facility in an equivalent principal amount equal to the principal amount of Existing Dollar Term Loans so prepaid.</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New Euro Term Loan Facility was repaid in full on December 18, 2025.</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2025 Refinancing Dollar Term Facility</w:t>
      </w:r>
    </w:p>
    <w:p>
      <w:pPr>
        <w:spacing w:after="0" w:line="118" w:lineRule="exact"/>
        <w:rPr>
          <w:sz w:val="20"/>
          <w:szCs w:val="20"/>
          <w:color w:val="auto"/>
        </w:rPr>
      </w:pPr>
    </w:p>
    <w:p>
      <w:pPr>
        <w:ind w:left="160" w:right="120" w:firstLine="436"/>
        <w:spacing w:after="0" w:line="258" w:lineRule="auto"/>
        <w:rPr>
          <w:sz w:val="20"/>
          <w:szCs w:val="20"/>
          <w:color w:val="auto"/>
        </w:rPr>
      </w:pPr>
      <w:r>
        <w:rPr>
          <w:rFonts w:ascii="Times New Roman" w:cs="Times New Roman" w:eastAsia="Times New Roman" w:hAnsi="Times New Roman"/>
          <w:sz w:val="18"/>
          <w:szCs w:val="18"/>
          <w:color w:val="auto"/>
        </w:rPr>
        <w:t>On the Sixth Amendment Date, we refinanced all of our New Dollar Term Loan Facility with the incurrence of new dollar-denominated Term B loans, which refinancing loans are comprised of (i) a new dollar-denominated senior secured term loan facility in an aggregate principal amount of approximately $4,074 million (the “2028 Refinancing Term Loan Facility”) and (ii) a new dollar-denominated senior secured term loan facility in an aggregate principal amount of approximately $3,500 million (the “2030 Refinancing Term Loan Facility” and,</w:t>
      </w:r>
    </w:p>
    <w:p>
      <w:pPr>
        <w:spacing w:after="0" w:line="11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000"/>
          </w:cols>
          <w:pgMar w:left="320" w:top="452" w:right="57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spacing w:after="0" w:line="251" w:lineRule="auto"/>
        <w:rPr>
          <w:sz w:val="20"/>
          <w:szCs w:val="20"/>
          <w:color w:val="auto"/>
        </w:rPr>
      </w:pPr>
      <w:r>
        <w:rPr>
          <w:rFonts w:ascii="Times New Roman" w:cs="Times New Roman" w:eastAsia="Times New Roman" w:hAnsi="Times New Roman"/>
          <w:sz w:val="18"/>
          <w:szCs w:val="18"/>
          <w:color w:val="auto"/>
        </w:rPr>
        <w:t>together with the 2028 Refinancing Term Loan Facility, collectively, the “2025 Refinancing Dollar Term Facility”). The 2028 Refinancing Term Loan Facility has substantially identical terms to the New Dollar Term Loan Facility outstanding under the Sponsor Credit Agreement immediately prior to the Sixth Amendment Date, provided, however, that (i) the applicable margin with respect to the interest rates under the 2028 Refinancing Term Loan Facility is 0.25% lower than the applicable margin with respect to the interest rates under the New Dollar Term Loan Facility and (ii) any voluntary prepayment, refinancing, or repricing of the term loans under the 2028 Refinancing Term Loan Facility in connection with certain repricing transactions that occur prior to the 6-month anniversary of the Sixth Amendment Date are subject to a prepayment premium of 1.0% of the principal amount of the term loans so prepaid, refinanced, or repriced, subject to certain exceptions. The 2030 Refinancing Term Loan Facility has substantially identical terms to the 2028 Refinancing Term Loan Facility, provided, however, that the 2030 Refinancing Term Loan Facility will mature on the 2030 Refinancing Term Loan Maturity Date. Additionally, the applicable margin with respect to the 2025 Refinancing Dollar Term Facility was contractually reduced by 0.25% per annum upon the consummation of the IPO.</w:t>
      </w:r>
    </w:p>
    <w:p>
      <w:pPr>
        <w:spacing w:after="0" w:line="2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 Extension</w:t>
      </w:r>
    </w:p>
    <w:p>
      <w:pPr>
        <w:spacing w:after="0" w:line="118" w:lineRule="exact"/>
        <w:rPr>
          <w:sz w:val="20"/>
          <w:szCs w:val="20"/>
          <w:color w:val="auto"/>
        </w:rPr>
      </w:pPr>
    </w:p>
    <w:p>
      <w:pPr>
        <w:ind w:left="160" w:right="120" w:firstLine="436"/>
        <w:spacing w:after="0" w:line="278" w:lineRule="auto"/>
        <w:rPr>
          <w:sz w:val="20"/>
          <w:szCs w:val="20"/>
          <w:color w:val="auto"/>
        </w:rPr>
      </w:pPr>
      <w:r>
        <w:rPr>
          <w:rFonts w:ascii="Times New Roman" w:cs="Times New Roman" w:eastAsia="Times New Roman" w:hAnsi="Times New Roman"/>
          <w:sz w:val="18"/>
          <w:szCs w:val="18"/>
          <w:color w:val="auto"/>
        </w:rPr>
        <w:t>On the Third Amendment Date, we amended the Revolving Credit Facility to extend the maturity date to the date that is five years following the Third Amendment Date, subject to the Springing Condition.</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2021 Notes</w:t>
      </w:r>
    </w:p>
    <w:p>
      <w:pPr>
        <w:spacing w:after="0" w:line="118" w:lineRule="exact"/>
        <w:rPr>
          <w:sz w:val="20"/>
          <w:szCs w:val="20"/>
          <w:color w:val="auto"/>
        </w:rPr>
      </w:pPr>
    </w:p>
    <w:p>
      <w:pPr>
        <w:ind w:left="160" w:firstLine="436"/>
        <w:spacing w:after="0" w:line="270" w:lineRule="auto"/>
        <w:rPr>
          <w:sz w:val="20"/>
          <w:szCs w:val="20"/>
          <w:color w:val="auto"/>
        </w:rPr>
      </w:pPr>
      <w:r>
        <w:rPr>
          <w:rFonts w:ascii="Times New Roman" w:cs="Times New Roman" w:eastAsia="Times New Roman" w:hAnsi="Times New Roman"/>
          <w:sz w:val="17"/>
          <w:szCs w:val="17"/>
          <w:color w:val="auto"/>
        </w:rPr>
        <w:t>To partially finance the Sponsor Acquisition, Medline Borrower, LP (the “Issuer”) and Medline Co-Issuer, Inc. (the “Co-Issuer” and together with the Issuer, the “Issuers”) issued (i) $4,500 million aggregate principal amount of 3.875% Senior Secured Notes due 2029 (the “2021 Secured Notes”) pursuant to an indenture, dated as of October 15, 2021 (the “2021 Secured Notes Indenture”), and (ii) $2,500 million aggregate principal amount of</w:t>
      </w:r>
    </w:p>
    <w:p>
      <w:pPr>
        <w:spacing w:after="0" w:line="1" w:lineRule="exact"/>
        <w:rPr>
          <w:sz w:val="20"/>
          <w:szCs w:val="20"/>
          <w:color w:val="auto"/>
        </w:rPr>
      </w:pPr>
    </w:p>
    <w:p>
      <w:pPr>
        <w:ind w:left="160" w:right="140"/>
        <w:spacing w:after="0" w:line="256" w:lineRule="auto"/>
        <w:rPr>
          <w:sz w:val="20"/>
          <w:szCs w:val="20"/>
          <w:color w:val="auto"/>
        </w:rPr>
      </w:pPr>
      <w:r>
        <w:rPr>
          <w:rFonts w:ascii="Times New Roman" w:cs="Times New Roman" w:eastAsia="Times New Roman" w:hAnsi="Times New Roman"/>
          <w:sz w:val="18"/>
          <w:szCs w:val="18"/>
          <w:color w:val="auto"/>
        </w:rPr>
        <w:t>5.250% Senior Notes due 2029 (the “2021 Unsecured Notes” and, together with the 2021 Secured Notes, the “2021 Notes”)) pursuant to an indenture, dated as of October 15, 2021 (the “2021 Unsecured Notes Indenture”).</w:t>
      </w:r>
    </w:p>
    <w:p>
      <w:pPr>
        <w:spacing w:after="0" w:line="18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2021 Secured Notes have a fixed annual interest rate of 3.875%, which will be paid in cash semi-annually in arrears on April 1 and October 1 of each year, and will mature on April 1, 2029. The 2021 Unsecured Notes have a fixed annual interest rate of 5.250%, which will be paid in cash semi-annually in arrears on April 1 and October 1 of each year, and will mature on October 1, 2029.</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Ranking and Guarantees</w:t>
      </w:r>
    </w:p>
    <w:p>
      <w:pPr>
        <w:spacing w:after="0" w:line="118" w:lineRule="exact"/>
        <w:rPr>
          <w:sz w:val="20"/>
          <w:szCs w:val="20"/>
          <w:color w:val="auto"/>
        </w:rPr>
      </w:pPr>
    </w:p>
    <w:p>
      <w:pPr>
        <w:ind w:left="160" w:right="200" w:firstLine="436"/>
        <w:spacing w:after="0" w:line="278" w:lineRule="auto"/>
        <w:rPr>
          <w:sz w:val="20"/>
          <w:szCs w:val="20"/>
          <w:color w:val="auto"/>
        </w:rPr>
      </w:pPr>
      <w:r>
        <w:rPr>
          <w:rFonts w:ascii="Times New Roman" w:cs="Times New Roman" w:eastAsia="Times New Roman" w:hAnsi="Times New Roman"/>
          <w:sz w:val="18"/>
          <w:szCs w:val="18"/>
          <w:color w:val="auto"/>
        </w:rPr>
        <w:t>The 2021 Notes are guaranteed by Medline Intermediate, LP and each of the Issuer’s wholly owned domestic restricted subsidiaries (other than the Co-Issuer) that guarantee our Senior Secured Credit Facilities.</w:t>
      </w:r>
    </w:p>
    <w:p>
      <w:pPr>
        <w:spacing w:after="0" w:line="162"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 xml:space="preserve">The 2021 Secured Notes and the related guarantees are our senior secured obligations and rank equally in right of payment with all of the Issuers’ existing and future senior indebtedness; rank senior in right of payment to all of the Issuers’ and guarantors’ future subordinated indebtedness; are effectively senior to all of the Issuers’ and the guarantors’ existing and future unsecured indebtedness to the extent of the value of the collateral securing the 2021 Secured Notes, including the 2021 Unsecured Notes; rank equally in priority as to the collateral securing the 2021 Secured Notes with respect to borrowings and guarantees under our Senior Secured Credit Facilities, the notes and any other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indebtedness; and are structurally subordinated to all existing and future indebtedness, claims of holders of preferred stock and other liabilities of any subsidiary of an Issuer or a guarantor that is not a guarantor or co-issuer of the 2021 Secured Notes.</w:t>
      </w:r>
    </w:p>
    <w:p>
      <w:pPr>
        <w:spacing w:after="0" w:line="184" w:lineRule="exact"/>
        <w:rPr>
          <w:sz w:val="20"/>
          <w:szCs w:val="20"/>
          <w:color w:val="auto"/>
        </w:rPr>
      </w:pPr>
    </w:p>
    <w:p>
      <w:pPr>
        <w:ind w:left="160" w:right="100" w:firstLine="436"/>
        <w:spacing w:after="0" w:line="285" w:lineRule="auto"/>
        <w:rPr>
          <w:sz w:val="20"/>
          <w:szCs w:val="20"/>
          <w:color w:val="auto"/>
        </w:rPr>
      </w:pPr>
      <w:r>
        <w:rPr>
          <w:rFonts w:ascii="Times New Roman" w:cs="Times New Roman" w:eastAsia="Times New Roman" w:hAnsi="Times New Roman"/>
          <w:sz w:val="17"/>
          <w:szCs w:val="17"/>
          <w:color w:val="auto"/>
        </w:rPr>
        <w:t>The 2021 Unsecured Notes and the related guarantees are our senior unsecured obligations and rank equally in right of payment with all of the Issuers’ existing and future senior indebtedness; rank senior in right of payment to all of the Issuers’ and guarantors’ future subordinated indebtedness; are effectively subordinated to all of the Issuers’ and the guarantors’ existing and future secured indebtedness to the extent of the value of the</w:t>
      </w:r>
    </w:p>
    <w:p>
      <w:pPr>
        <w:spacing w:after="0" w:line="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020"/>
          </w:cols>
          <w:pgMar w:left="320" w:top="452" w:right="5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both"/>
        <w:ind w:left="160" w:right="620"/>
        <w:spacing w:after="0" w:line="263" w:lineRule="auto"/>
        <w:rPr>
          <w:sz w:val="20"/>
          <w:szCs w:val="20"/>
          <w:color w:val="auto"/>
        </w:rPr>
      </w:pPr>
      <w:r>
        <w:rPr>
          <w:rFonts w:ascii="Times New Roman" w:cs="Times New Roman" w:eastAsia="Times New Roman" w:hAnsi="Times New Roman"/>
          <w:sz w:val="18"/>
          <w:szCs w:val="18"/>
          <w:color w:val="auto"/>
        </w:rPr>
        <w:t>collateral securing such indebtedness, including the notes, the 2021 Secured Notes and our Senior Secured Credit Facilities; and are structurally subordinated to the existing and future indebtedness, claims of holders of preferred stock, and other liabilities of any subsidiary of an Issuer or a guarantor that is not a guarantor or co-issuer of the 2021 Unsecured Notes.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Security</w:t>
      </w:r>
    </w:p>
    <w:p>
      <w:pPr>
        <w:spacing w:after="0" w:line="118" w:lineRule="exact"/>
        <w:rPr>
          <w:sz w:val="20"/>
          <w:szCs w:val="20"/>
          <w:color w:val="auto"/>
        </w:rPr>
      </w:pPr>
    </w:p>
    <w:p>
      <w:pPr>
        <w:ind w:left="160" w:right="140" w:firstLine="436"/>
        <w:spacing w:after="0" w:line="278" w:lineRule="auto"/>
        <w:rPr>
          <w:sz w:val="20"/>
          <w:szCs w:val="20"/>
          <w:color w:val="auto"/>
        </w:rPr>
      </w:pPr>
      <w:r>
        <w:rPr>
          <w:rFonts w:ascii="Times New Roman" w:cs="Times New Roman" w:eastAsia="Times New Roman" w:hAnsi="Times New Roman"/>
          <w:sz w:val="18"/>
          <w:szCs w:val="18"/>
          <w:color w:val="auto"/>
        </w:rPr>
        <w:t>The Issuers’ obligations under the 2021 Secured Notes and the related guarantees are secured by a perfected first priority lien on substantially all of the Issuers’ and the guarantors’ tangible and intangible assets, in each case, subject to permitted liens and certain exceptions.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18" w:lineRule="exact"/>
        <w:rPr>
          <w:sz w:val="20"/>
          <w:szCs w:val="20"/>
          <w:color w:val="auto"/>
        </w:rPr>
      </w:pPr>
    </w:p>
    <w:p>
      <w:pPr>
        <w:ind w:left="160" w:right="40" w:firstLine="436"/>
        <w:spacing w:after="0" w:line="263" w:lineRule="auto"/>
        <w:rPr>
          <w:sz w:val="20"/>
          <w:szCs w:val="20"/>
          <w:color w:val="auto"/>
        </w:rPr>
      </w:pPr>
      <w:r>
        <w:rPr>
          <w:rFonts w:ascii="Times New Roman" w:cs="Times New Roman" w:eastAsia="Times New Roman" w:hAnsi="Times New Roman"/>
          <w:sz w:val="18"/>
          <w:szCs w:val="18"/>
          <w:color w:val="auto"/>
        </w:rPr>
        <w:t>At any time on or after October 1, 2024, each series of 2021 Notes is redeemable, in whole or in part, at the Issuers’ option, at the applicable redemption prices set forth in the applicable indenture, plus accrued and unpaid interest, if any, on the principal amount of the applicable series of Notes being redeemed to, but excluding, the redemption date</w:t>
      </w:r>
    </w:p>
    <w:p>
      <w:pPr>
        <w:spacing w:after="0" w:line="17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 the event of a Change of Control Triggering Event (as defined in the 2021 Secured Notes Indenture or the 2021 Unsecured Notes Indenture, as applicable), the Issuers will be required to offer to repurchase the 2021 Secured Notes and the 2021 Unsecured Notes, respectively, at a price of 101% of their principal amount plus accrued and unpaid interest, if any, to, but excluding, the date of repurchase.</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118"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2021 Notes contain a number of significant affirmative and negative covenants and customary events of default. Such covenants, among other things, limit or restrict, subject to certain exceptions, the ability of the Issuers and their subsidiaries to:</w:t>
      </w:r>
    </w:p>
    <w:p>
      <w:pPr>
        <w:spacing w:after="0" w:line="69" w:lineRule="exact"/>
        <w:rPr>
          <w:sz w:val="20"/>
          <w:szCs w:val="20"/>
          <w:color w:val="auto"/>
        </w:rPr>
      </w:pPr>
    </w:p>
    <w:p>
      <w:pPr>
        <w:ind w:left="1140" w:hanging="438"/>
        <w:spacing w:after="0"/>
        <w:tabs>
          <w:tab w:leader="none" w:pos="11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or consolidations;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or repurchase capital stock;</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subordinated indebtedness;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and advances;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that prohibit our ability and the ability of our subsidiary guarantors to incur liens on assets.</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2024 Notes</w:t>
      </w:r>
    </w:p>
    <w:p>
      <w:pPr>
        <w:spacing w:after="0" w:line="118" w:lineRule="exact"/>
        <w:rPr>
          <w:sz w:val="20"/>
          <w:szCs w:val="20"/>
          <w:color w:val="auto"/>
        </w:rPr>
      </w:pPr>
    </w:p>
    <w:p>
      <w:pPr>
        <w:ind w:left="160" w:right="40" w:firstLine="436"/>
        <w:spacing w:after="0" w:line="255" w:lineRule="auto"/>
        <w:rPr>
          <w:sz w:val="20"/>
          <w:szCs w:val="20"/>
          <w:color w:val="auto"/>
        </w:rPr>
      </w:pPr>
      <w:r>
        <w:rPr>
          <w:rFonts w:ascii="Times New Roman" w:cs="Times New Roman" w:eastAsia="Times New Roman" w:hAnsi="Times New Roman"/>
          <w:sz w:val="18"/>
          <w:szCs w:val="18"/>
          <w:color w:val="auto"/>
        </w:rPr>
        <w:t>The Issuers issued (i) $1,000 million aggregate principal amount of 6.250% Senior Secured Notes due 2029 (the “Initial 2024 Notes”) pursuant to an indenture, dated as of March 27, 2024 (the “Initial 2024 Indenture”) and (ii) $500 million aggregate principal amount of 6.250% Senior Secured Notes due 2029 (the “Additional 2024 Notes,” and together with the Initial 2024 Notes, the “2024 Notes”; the 2024 Notes together with the 2021 Notes, the “Senior Notes”) pursuant to the first supplemental indenture to the Initial Indenture, dated as of June 24, 2024 (the “First Supplemental 2024 Indenture,” and together with the Initial 2024 Indenture, the “Indenture”).</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060"/>
          </w:cols>
          <w:pgMar w:left="320" w:top="452" w:right="51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120" w:firstLine="436"/>
        <w:spacing w:after="0" w:line="278" w:lineRule="auto"/>
        <w:rPr>
          <w:sz w:val="20"/>
          <w:szCs w:val="20"/>
          <w:color w:val="auto"/>
        </w:rPr>
      </w:pPr>
      <w:r>
        <w:rPr>
          <w:rFonts w:ascii="Times New Roman" w:cs="Times New Roman" w:eastAsia="Times New Roman" w:hAnsi="Times New Roman"/>
          <w:sz w:val="18"/>
          <w:szCs w:val="18"/>
          <w:color w:val="auto"/>
        </w:rPr>
        <w:t>The 2024 Notes have a fixed annual interest rate of 6.250%, which will be paid in cash semi-annually in arrears on April 1 and October 1 of each year and will mature on April 1, 2029.</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Ranking and Guarantees</w:t>
      </w:r>
    </w:p>
    <w:p>
      <w:pPr>
        <w:spacing w:after="0" w:line="118" w:lineRule="exact"/>
        <w:rPr>
          <w:sz w:val="20"/>
          <w:szCs w:val="20"/>
          <w:color w:val="auto"/>
        </w:rPr>
      </w:pPr>
    </w:p>
    <w:p>
      <w:pPr>
        <w:ind w:left="160" w:right="260" w:firstLine="436"/>
        <w:spacing w:after="0" w:line="278" w:lineRule="auto"/>
        <w:rPr>
          <w:sz w:val="20"/>
          <w:szCs w:val="20"/>
          <w:color w:val="auto"/>
        </w:rPr>
      </w:pPr>
      <w:r>
        <w:rPr>
          <w:rFonts w:ascii="Times New Roman" w:cs="Times New Roman" w:eastAsia="Times New Roman" w:hAnsi="Times New Roman"/>
          <w:sz w:val="18"/>
          <w:szCs w:val="18"/>
          <w:color w:val="auto"/>
        </w:rPr>
        <w:t>The 2024 Notes are guaranteed by Medline Intermediate, LP and each of the Issuer’s wholly owned domestic restricted subsidiaries (other than the Co-Issuer) that guarantee our Senior Secured Credit Facilities.</w:t>
      </w:r>
    </w:p>
    <w:p>
      <w:pPr>
        <w:spacing w:after="0" w:line="162" w:lineRule="exact"/>
        <w:rPr>
          <w:sz w:val="20"/>
          <w:szCs w:val="20"/>
          <w:color w:val="auto"/>
        </w:rPr>
      </w:pPr>
    </w:p>
    <w:p>
      <w:pPr>
        <w:ind w:left="160" w:right="60" w:firstLine="436"/>
        <w:spacing w:after="0" w:line="253" w:lineRule="auto"/>
        <w:rPr>
          <w:sz w:val="20"/>
          <w:szCs w:val="20"/>
          <w:color w:val="auto"/>
        </w:rPr>
      </w:pPr>
      <w:r>
        <w:rPr>
          <w:rFonts w:ascii="Times New Roman" w:cs="Times New Roman" w:eastAsia="Times New Roman" w:hAnsi="Times New Roman"/>
          <w:sz w:val="18"/>
          <w:szCs w:val="18"/>
          <w:color w:val="auto"/>
        </w:rPr>
        <w:t xml:space="preserve">The 2024 Notes and the related guarantees are our senior secured obligations and rank equally in right of payment with all of the Issuers’ existing and future senior indebtedness; rank senior in right of payment to all of the Issuers’ and guarantors’ future subordinated indebtedness; are effectively senior to all of the Issuers’ and the guarantors’ existing and future unsecured indebtedness to the extent of the value of the collateral securing the 2024 Notes, including the 2021 Unsecured Notes; rank equally in priority as to the collateral securing the 2024 Notes with respect to borrowings and guarantees under our Senior Secured Credit Facilities, the 2021 Secured Notes, and any other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indebtedness; and are structurally subordinated to all existing and future indebtedness, claims of holders of preferred stock and other liabilities of any subsidiary of an Issuer or a guarantor that is not a guarantor or co-issuer of the 2024 Notes.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Security</w:t>
      </w:r>
    </w:p>
    <w:p>
      <w:pPr>
        <w:spacing w:after="0" w:line="118" w:lineRule="exact"/>
        <w:rPr>
          <w:sz w:val="20"/>
          <w:szCs w:val="20"/>
          <w:color w:val="auto"/>
        </w:rPr>
      </w:pPr>
    </w:p>
    <w:p>
      <w:pPr>
        <w:ind w:left="160" w:right="320" w:firstLine="436"/>
        <w:spacing w:after="0" w:line="278" w:lineRule="auto"/>
        <w:rPr>
          <w:sz w:val="20"/>
          <w:szCs w:val="20"/>
          <w:color w:val="auto"/>
        </w:rPr>
      </w:pPr>
      <w:r>
        <w:rPr>
          <w:rFonts w:ascii="Times New Roman" w:cs="Times New Roman" w:eastAsia="Times New Roman" w:hAnsi="Times New Roman"/>
          <w:sz w:val="18"/>
          <w:szCs w:val="18"/>
          <w:color w:val="auto"/>
        </w:rPr>
        <w:t>The Issuers’ obligations under the 2024 Notes and the related guarantees are secured by a perfected first priority lien on substantially all of the Issuers’ and the guarantors’ tangible and intangible assets, in each case, subject to permitted liens and certain exceptions.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18" w:lineRule="exact"/>
        <w:rPr>
          <w:sz w:val="20"/>
          <w:szCs w:val="20"/>
          <w:color w:val="auto"/>
        </w:rPr>
      </w:pPr>
    </w:p>
    <w:p>
      <w:pPr>
        <w:ind w:left="160" w:right="20" w:firstLine="436"/>
        <w:spacing w:after="0" w:line="252" w:lineRule="auto"/>
        <w:rPr>
          <w:sz w:val="20"/>
          <w:szCs w:val="20"/>
          <w:color w:val="auto"/>
        </w:rPr>
      </w:pPr>
      <w:r>
        <w:rPr>
          <w:rFonts w:ascii="Times New Roman" w:cs="Times New Roman" w:eastAsia="Times New Roman" w:hAnsi="Times New Roman"/>
          <w:sz w:val="18"/>
          <w:szCs w:val="18"/>
          <w:color w:val="auto"/>
        </w:rPr>
        <w:t>At any time prior to April 1, 2026, the 2024 Notes are redeemable, in whole or in part, at the Issuers’ option, at a redemption price equal to 100% of the principal amount of the 2024 Notes being redeemed plus a “make-whole” premium specified in the applicable 2024 Indenture, plus accrued and unpaid interest, if any, on the principal amount of the 2024 Notes being redeemed to, but excluding, the redemption date. At any time on or after April 1, 2026, the 2024 Notes are redeemable, in whole or in part, at the Issuers’ option, at the applicable redemption prices set forth in the 2024 Indenture, plus accrued and unpaid interest, if any, on the principal amount of the 2024 Notes being redeemed to, but excluding, the redemption date. In addition, subject to certain conditions, at any time prior to April 1, 2026, the Issuers may redeem up to 40% of the aggregate principal amount of the 2024 Notes with an amount not to exceed the net cash proceeds from certain equity offerings at a redemption price of 106.250%, plus accrued and unpaid interest, if any, on the principal amount of the 2024 Notes being redeemed to, but excluding, the redemption date.</w:t>
      </w:r>
    </w:p>
    <w:p>
      <w:pPr>
        <w:spacing w:after="0" w:line="187" w:lineRule="exact"/>
        <w:rPr>
          <w:sz w:val="20"/>
          <w:szCs w:val="20"/>
          <w:color w:val="auto"/>
        </w:rPr>
      </w:pPr>
    </w:p>
    <w:p>
      <w:pPr>
        <w:ind w:left="160" w:right="140" w:firstLine="436"/>
        <w:spacing w:after="0" w:line="263" w:lineRule="auto"/>
        <w:rPr>
          <w:sz w:val="20"/>
          <w:szCs w:val="20"/>
          <w:color w:val="auto"/>
        </w:rPr>
      </w:pPr>
      <w:r>
        <w:rPr>
          <w:rFonts w:ascii="Times New Roman" w:cs="Times New Roman" w:eastAsia="Times New Roman" w:hAnsi="Times New Roman"/>
          <w:sz w:val="18"/>
          <w:szCs w:val="18"/>
          <w:color w:val="auto"/>
        </w:rPr>
        <w:t>Prior to April 1, 2026, the Issuers may, at their option, at any time and from time to time, redeem up to 10% of the aggregate principal amount of the 2024 Notes during each calendar year following the issuance of the 2024 Notes at a redemption price of 103.000% of the principal amount of the 2024 Notes being redeemed, plus accrued and unpaid interest, if any, to, but excluding, the redemption date.</w:t>
      </w:r>
    </w:p>
    <w:p>
      <w:pPr>
        <w:spacing w:after="0" w:line="17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Prior to April 1, 2026, the Issuers may redeem all, but not less than all, of the 2024 Notes with an amount not to exceed the net cash proceeds from any Qualified IPO (as defined in the 2024 Indenture) at a redemption price of 106.250% of the principal amount of the 2024 Notes being redeemed, plus accrued and unpaid interest, if any, to, but excluding, the redemption date.</w:t>
      </w:r>
    </w:p>
    <w:p>
      <w:pPr>
        <w:spacing w:after="0" w:line="175" w:lineRule="exact"/>
        <w:rPr>
          <w:sz w:val="20"/>
          <w:szCs w:val="20"/>
          <w:color w:val="auto"/>
        </w:rPr>
      </w:pPr>
    </w:p>
    <w:p>
      <w:pPr>
        <w:ind w:left="160" w:right="360" w:firstLine="436"/>
        <w:spacing w:after="0" w:line="278" w:lineRule="auto"/>
        <w:rPr>
          <w:sz w:val="20"/>
          <w:szCs w:val="20"/>
          <w:color w:val="auto"/>
        </w:rPr>
      </w:pPr>
      <w:r>
        <w:rPr>
          <w:rFonts w:ascii="Times New Roman" w:cs="Times New Roman" w:eastAsia="Times New Roman" w:hAnsi="Times New Roman"/>
          <w:sz w:val="18"/>
          <w:szCs w:val="18"/>
          <w:color w:val="auto"/>
        </w:rPr>
        <w:t>In the event of a Change of Control Triggering Event (as defined in the 2024 Indenture), the Issuers will be required to offer to repurchase the 2024 Notes at a price of 101% of their principal amount plus accrued and unpaid interest, if any, to, but excluding, the date of repurchase.</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080"/>
          </w:cols>
          <w:pgMar w:left="320" w:top="452" w:right="4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118"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The 2024 Notes contain a number of significant affirmative and negative covenants and customary events of default. Such covenants, among other things, limit or restrict, subject to certain exceptions, the ability of the Issuers and their subsidiaries to:</w:t>
      </w:r>
    </w:p>
    <w:p>
      <w:pPr>
        <w:spacing w:after="0" w:line="69" w:lineRule="exact"/>
        <w:rPr>
          <w:sz w:val="20"/>
          <w:szCs w:val="20"/>
          <w:color w:val="auto"/>
        </w:rPr>
      </w:pPr>
    </w:p>
    <w:p>
      <w:pPr>
        <w:ind w:left="1140" w:hanging="438"/>
        <w:spacing w:after="0"/>
        <w:tabs>
          <w:tab w:leader="none" w:pos="11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or consolidations;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or repurchase capital stock;</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subordinated indebtedness;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and advances;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 and</w:t>
      </w:r>
    </w:p>
    <w:p>
      <w:pPr>
        <w:spacing w:after="0" w:line="127" w:lineRule="exact"/>
        <w:rPr>
          <w:rFonts w:ascii="Times New Roman" w:cs="Times New Roman" w:eastAsia="Times New Roman" w:hAnsi="Times New Roman"/>
          <w:sz w:val="18"/>
          <w:szCs w:val="18"/>
          <w:color w:val="auto"/>
        </w:rPr>
      </w:pPr>
    </w:p>
    <w:p>
      <w:pPr>
        <w:ind w:left="5500" w:right="1880" w:hanging="4798"/>
        <w:spacing w:after="0" w:line="448" w:lineRule="auto"/>
        <w:tabs>
          <w:tab w:leader="none" w:pos="11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that prohibit our ability and the ability of our subsidiary guarantors to incur liens on assets. 214</w:t>
      </w:r>
    </w:p>
    <w:p>
      <w:pPr>
        <w:sectPr>
          <w:pgSz w:w="11900" w:h="16838" w:orient="portrait"/>
          <w:cols w:equalWidth="0" w:num="1">
            <w:col w:w="11060"/>
          </w:cols>
          <w:pgMar w:left="320" w:top="451" w:right="51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The following is a description of the material terms of, and is qualified in its entirety by, Medline Inc.’s amended and restated certificate of incorporation and amended and restated bylaws, each as in effect as of the date of this prospectus, copies of which are filed as exhibits to the registration statement of which this prospectus forms a part. Under “Description of Capital Stock,” “we,” “us,” “our,” the “Company,” and “our company” refer to Medline Inc. and not to any of its subsidiaries.</w:t>
      </w:r>
    </w:p>
    <w:p>
      <w:pPr>
        <w:spacing w:after="0" w:line="180" w:lineRule="exact"/>
        <w:rPr>
          <w:sz w:val="20"/>
          <w:szCs w:val="20"/>
          <w:color w:val="auto"/>
        </w:rPr>
      </w:pPr>
    </w:p>
    <w:p>
      <w:pPr>
        <w:ind w:left="160" w:right="140" w:firstLine="436"/>
        <w:spacing w:after="0" w:line="255" w:lineRule="auto"/>
        <w:rPr>
          <w:sz w:val="20"/>
          <w:szCs w:val="20"/>
          <w:color w:val="auto"/>
        </w:rPr>
      </w:pPr>
      <w:r>
        <w:rPr>
          <w:rFonts w:ascii="Times New Roman" w:cs="Times New Roman" w:eastAsia="Times New Roman" w:hAnsi="Times New Roman"/>
          <w:sz w:val="18"/>
          <w:szCs w:val="18"/>
          <w:color w:val="auto"/>
        </w:rPr>
        <w:t>Our purpose is to engage in any lawful act or activity for which corporations may be organized under the DGCL. Our authorized capital stock consists of 50,000,000,000 shares of Class A common stock, par value $0.0001 per share, 50,000,000,000 shares of Class B common stock, par value $0.0001 per share, and 5,000,000,000 shares of preferred stock, par value $0.0001 per share. No shares of preferred stock will be issued or outstanding immediately after the offering contemplated by this prospectus. Unless our board of directors determines otherwise, we will issue all shares of our capital stock in uncertificated form.</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18" w:lineRule="exact"/>
        <w:rPr>
          <w:sz w:val="20"/>
          <w:szCs w:val="20"/>
          <w:color w:val="auto"/>
        </w:rPr>
      </w:pPr>
    </w:p>
    <w:p>
      <w:pPr>
        <w:ind w:left="160" w:right="60" w:firstLine="436"/>
        <w:spacing w:after="0" w:line="263" w:lineRule="auto"/>
        <w:rPr>
          <w:sz w:val="20"/>
          <w:szCs w:val="20"/>
          <w:color w:val="auto"/>
        </w:rPr>
      </w:pPr>
      <w:r>
        <w:rPr>
          <w:rFonts w:ascii="Times New Roman" w:cs="Times New Roman" w:eastAsia="Times New Roman" w:hAnsi="Times New Roman"/>
          <w:sz w:val="18"/>
          <w:szCs w:val="18"/>
          <w:color w:val="auto"/>
        </w:rPr>
        <w:t>Holders of shares of our Class A common stock are entitled to one vote for each share held of record on all matters on which stockholders are entitled to vote generally, including the election or removal of directors. The holders of our Class A common stock do not have cumulative voting rights in the election of directors.</w:t>
      </w:r>
    </w:p>
    <w:p>
      <w:pPr>
        <w:spacing w:after="0" w:line="175" w:lineRule="exact"/>
        <w:rPr>
          <w:sz w:val="20"/>
          <w:szCs w:val="20"/>
          <w:color w:val="auto"/>
        </w:rPr>
      </w:pPr>
    </w:p>
    <w:p>
      <w:pPr>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Holders of shares of our Class A common stock are entitled to receive dividends when, as and if declared by our board of directors out of funds legally available therefore, subject to any statutory or contractual restrictions on the payment of dividends and to the rights of the holders of one or more outstanding series of our preferred stock.</w:t>
      </w:r>
    </w:p>
    <w:p>
      <w:pPr>
        <w:spacing w:after="0" w:line="175"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Upon our liquidation, dissolution or winding up and after payment in full of all amounts required to be paid to creditors, and subject to the rights of the holders of one or more outstanding series of preferred stock, the holders of shares of our Class A common stock will be entitled to receive pro rata our remaining assets available for distribution to stockholders.</w:t>
      </w:r>
    </w:p>
    <w:p>
      <w:pPr>
        <w:spacing w:after="0" w:line="175" w:lineRule="exact"/>
        <w:rPr>
          <w:sz w:val="20"/>
          <w:szCs w:val="20"/>
          <w:color w:val="auto"/>
        </w:rPr>
      </w:pPr>
    </w:p>
    <w:p>
      <w:pPr>
        <w:ind w:left="160" w:right="40" w:firstLine="436"/>
        <w:spacing w:after="0" w:line="258" w:lineRule="auto"/>
        <w:rPr>
          <w:sz w:val="20"/>
          <w:szCs w:val="20"/>
          <w:color w:val="auto"/>
        </w:rPr>
      </w:pPr>
      <w:r>
        <w:rPr>
          <w:rFonts w:ascii="Times New Roman" w:cs="Times New Roman" w:eastAsia="Times New Roman" w:hAnsi="Times New Roman"/>
          <w:sz w:val="18"/>
          <w:szCs w:val="18"/>
          <w:color w:val="auto"/>
        </w:rPr>
        <w:t>The Class A common stock is not subject to further calls or assessments by us. Holders of shares of our Class A common stock do not have preemptive, subscription, redemption or conversion rights. There are no redemption or sinking fund provisions applicable to the Class A common stock. The rights, powers, preferences and privileges of holders of our Class A common stock are subject to those of the holders of any shares of our preferred stock or any other series or class of stock we may authorize and issue in the future.</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Class B Common Stock</w:t>
      </w:r>
    </w:p>
    <w:p>
      <w:pPr>
        <w:spacing w:after="0" w:line="118" w:lineRule="exact"/>
        <w:rPr>
          <w:sz w:val="20"/>
          <w:szCs w:val="20"/>
          <w:color w:val="auto"/>
        </w:rPr>
      </w:pPr>
    </w:p>
    <w:p>
      <w:pPr>
        <w:ind w:left="160" w:right="100" w:firstLine="436"/>
        <w:spacing w:after="0" w:line="252" w:lineRule="auto"/>
        <w:rPr>
          <w:sz w:val="20"/>
          <w:szCs w:val="20"/>
          <w:color w:val="auto"/>
        </w:rPr>
      </w:pPr>
      <w:r>
        <w:rPr>
          <w:rFonts w:ascii="Times New Roman" w:cs="Times New Roman" w:eastAsia="Times New Roman" w:hAnsi="Times New Roman"/>
          <w:sz w:val="18"/>
          <w:szCs w:val="18"/>
          <w:color w:val="auto"/>
        </w:rPr>
        <w:t>Holders of shares of our Class B common stock are entitled to one vote for each share held of record on all matters on which stockholders are entitled to vote generally, including the election and removal of directors. Upon the occurrence of any split or combination of the Common Units, the issued shares of our Class B common stock will be automatically split or combined into a greater or lesser number of shares of our Class B common stock at the same ratio as such split or combination of the Common Units. Additionally, other than as the result of a split or combination for which an adjustment has been made as outlined in the foregoing sentence, if at any time the ratio at which Common Units are exchangeable for shares of our Class A common stock changes from one-for-one as described under “Certain Relationships and Related Person Transactions—Exchange Agreement,” the number of votes to which holders of our Class B common stock are entitled will be adjusted accordingly. The holders of our Class B common stock do not have cumulative voting rights in the election of directors.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060"/>
          </w:cols>
          <w:pgMar w:left="320" w:top="451" w:right="51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240" w:firstLine="436"/>
        <w:spacing w:after="0" w:line="255" w:lineRule="auto"/>
        <w:rPr>
          <w:sz w:val="20"/>
          <w:szCs w:val="20"/>
          <w:color w:val="auto"/>
        </w:rPr>
      </w:pPr>
      <w:r>
        <w:rPr>
          <w:rFonts w:ascii="Times New Roman" w:cs="Times New Roman" w:eastAsia="Times New Roman" w:hAnsi="Times New Roman"/>
          <w:sz w:val="18"/>
          <w:szCs w:val="18"/>
          <w:color w:val="auto"/>
        </w:rPr>
        <w:t>We issued one share of Class B common stock for each Common Unit held by our Continuing Unitholders, and, upon conversion of vested Incentive Units for Common Units, the converting holders will also receive an equivalent number of shares of Class B common stock. Upon an exchange by any such Continuing Unitholder of Common Units for shares of our Class A common stock pursuant to the Exchange Agreement, an equivalent number of shares of Class B common stock held by each such Continuing Unitholder will be automatically transferred to us and cancelled and retired.</w:t>
      </w:r>
    </w:p>
    <w:p>
      <w:pPr>
        <w:spacing w:after="0" w:line="184" w:lineRule="exact"/>
        <w:rPr>
          <w:sz w:val="20"/>
          <w:szCs w:val="20"/>
          <w:color w:val="auto"/>
        </w:rPr>
      </w:pPr>
    </w:p>
    <w:p>
      <w:pPr>
        <w:ind w:left="160" w:right="20" w:firstLine="436"/>
        <w:spacing w:after="0" w:line="250" w:lineRule="auto"/>
        <w:rPr>
          <w:sz w:val="20"/>
          <w:szCs w:val="20"/>
          <w:color w:val="auto"/>
        </w:rPr>
      </w:pPr>
      <w:r>
        <w:rPr>
          <w:rFonts w:ascii="Times New Roman" w:cs="Times New Roman" w:eastAsia="Times New Roman" w:hAnsi="Times New Roman"/>
          <w:sz w:val="18"/>
          <w:szCs w:val="18"/>
          <w:color w:val="auto"/>
        </w:rPr>
        <w:t>Holders of shares of our Class B common stock vote together with holders of our Class A common stock as a single class on all matters on which stockholders are entitled to vote generally, except as otherwise required by law or by the amended and restated certificate of incorporation. Delaware law entitles the holders of the outstanding shares of Class A common stock, Class B common stock, and any preferred stock to vote separately as different classes in connection with any amendment to our certificate of incorporation that would increase or decrease the par value of the shares of such class or that would alter or change the powers, preferences, or special rights of such class so as to affect them adversely. As permitted by Delaware law, the amended and restated certificate of incorporation includes a provision which eliminates the separate class vote that the holders of our Class A common stock, Class B common stock, or preferred stock would otherwise have with respect to an amendment to the certificate of incorporation increasing or decreasing the authorized number of shares of Class A common stock, Class B common stock, or preferred stock. Thus, subject to any special or additional voting requirements contained in the amended and restated certificate of incorporation, the holders of our Class A common stock, Class B common stock, and preferred stock would vote together as a single class on any amendment to the certificate of incorporation increasing or decreasing the authorized number of shares of Class A common stock, Class B common, stock or preferred stock. Under Delaware law, depending on the circumstances, any such increase in the authorized number of shares of our Class A common stock, Class B common stock, or preferred stock would require either the affirmative vote of the holders of a majority of the votes cast at a meeting at which a quorum is present or a majority in voting power of the outstanding shares of capital stock entitled to vote thereon.</w:t>
      </w:r>
    </w:p>
    <w:p>
      <w:pPr>
        <w:spacing w:after="0" w:line="191" w:lineRule="exact"/>
        <w:rPr>
          <w:sz w:val="20"/>
          <w:szCs w:val="20"/>
          <w:color w:val="auto"/>
        </w:rPr>
      </w:pPr>
    </w:p>
    <w:p>
      <w:pPr>
        <w:ind w:left="160" w:right="140" w:firstLine="436"/>
        <w:spacing w:after="0" w:line="278" w:lineRule="auto"/>
        <w:rPr>
          <w:sz w:val="20"/>
          <w:szCs w:val="20"/>
          <w:color w:val="auto"/>
        </w:rPr>
      </w:pPr>
      <w:r>
        <w:rPr>
          <w:rFonts w:ascii="Times New Roman" w:cs="Times New Roman" w:eastAsia="Times New Roman" w:hAnsi="Times New Roman"/>
          <w:sz w:val="18"/>
          <w:szCs w:val="18"/>
          <w:color w:val="auto"/>
        </w:rPr>
        <w:t>Holders of our Class B common stock are not entitled to receive dividends or to receive a distribution upon a liquidation, dissolution, or winding up of Medline Inc.</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amended and restated certificate of incorporation does not provide for any restrictions on transfer of shares of Class B common stock other</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than:</w:t>
      </w:r>
    </w:p>
    <w:p>
      <w:pPr>
        <w:spacing w:after="0" w:line="109" w:lineRule="exact"/>
        <w:rPr>
          <w:sz w:val="20"/>
          <w:szCs w:val="20"/>
          <w:color w:val="auto"/>
        </w:rPr>
      </w:pPr>
    </w:p>
    <w:p>
      <w:pPr>
        <w:ind w:left="1140" w:right="20" w:hanging="438"/>
        <w:spacing w:after="0" w:line="278" w:lineRule="auto"/>
        <w:tabs>
          <w:tab w:leader="none" w:pos="11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requiring an automatic transfer of shares of Class B common stock to us upon an exchange of the Common Units associated with such shares;</w:t>
      </w:r>
    </w:p>
    <w:p>
      <w:pPr>
        <w:spacing w:after="0" w:line="68" w:lineRule="exact"/>
        <w:rPr>
          <w:rFonts w:ascii="Times New Roman" w:cs="Times New Roman" w:eastAsia="Times New Roman" w:hAnsi="Times New Roman"/>
          <w:sz w:val="18"/>
          <w:szCs w:val="18"/>
          <w:color w:val="auto"/>
        </w:rPr>
      </w:pPr>
    </w:p>
    <w:p>
      <w:pPr>
        <w:jc w:val="both"/>
        <w:ind w:left="1140" w:right="220" w:hanging="438"/>
        <w:spacing w:after="0" w:line="263" w:lineRule="auto"/>
        <w:tabs>
          <w:tab w:leader="none" w:pos="11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requiring that the holder will not transfer shares of Class B common stock to any person (other than the Company) unless the holder transfers an equal number of Common Units to the same person directly or indirectly via a transfer of interests in the Medline Management Aggregator LLC or any successor entity;</w:t>
      </w:r>
    </w:p>
    <w:p>
      <w:pPr>
        <w:spacing w:after="0" w:line="81" w:lineRule="exact"/>
        <w:rPr>
          <w:rFonts w:ascii="Times New Roman" w:cs="Times New Roman" w:eastAsia="Times New Roman" w:hAnsi="Times New Roman"/>
          <w:sz w:val="18"/>
          <w:szCs w:val="18"/>
          <w:color w:val="auto"/>
        </w:rPr>
      </w:pPr>
    </w:p>
    <w:p>
      <w:pPr>
        <w:ind w:left="1140" w:right="120" w:hanging="438"/>
        <w:spacing w:after="0" w:line="278" w:lineRule="auto"/>
        <w:tabs>
          <w:tab w:leader="none" w:pos="11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requiring that, in the event the holder transfers Common Units to any person, the holder transfer an equal number of shares of Class B common stock to the same person.</w:t>
      </w:r>
    </w:p>
    <w:p>
      <w:pPr>
        <w:spacing w:after="0" w:line="162"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The Class B common stock is not subject to further calls or assessments by us. Holders of shares of our Class B common stock do not have preemptive, subscription, redemption, or conversion rights. There are no redemption or sinking fund provisions applicable to the Class B common stock. The rights, powers, preferences, and privileges of holders of our Class B common stock are subject to those of the holders of any shares of our preferred stock or any other series or class of stock we may authorize and issue in the future.</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Mills Family Voting Cap</w:t>
      </w:r>
    </w:p>
    <w:p>
      <w:pPr>
        <w:spacing w:after="0" w:line="118" w:lineRule="exact"/>
        <w:rPr>
          <w:sz w:val="20"/>
          <w:szCs w:val="20"/>
          <w:color w:val="auto"/>
        </w:rPr>
      </w:pPr>
    </w:p>
    <w:p>
      <w:pPr>
        <w:ind w:left="160" w:right="200" w:firstLine="436"/>
        <w:spacing w:after="0" w:line="278" w:lineRule="auto"/>
        <w:rPr>
          <w:sz w:val="20"/>
          <w:szCs w:val="20"/>
          <w:color w:val="auto"/>
        </w:rPr>
      </w:pPr>
      <w:r>
        <w:rPr>
          <w:rFonts w:ascii="Times New Roman" w:cs="Times New Roman" w:eastAsia="Times New Roman" w:hAnsi="Times New Roman"/>
          <w:sz w:val="18"/>
          <w:szCs w:val="18"/>
          <w:color w:val="auto"/>
        </w:rPr>
        <w:t>The Mills Family and their affiliates are not entitled to cast votes, or provide consent, with respect to any shares of capital stock of Medline Inc. owned by them representing, in the aggregate, more than 20% of the total</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060"/>
          </w:cols>
          <w:pgMar w:left="320" w:top="452" w:right="51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180"/>
        <w:spacing w:after="0" w:line="254" w:lineRule="auto"/>
        <w:rPr>
          <w:sz w:val="20"/>
          <w:szCs w:val="20"/>
          <w:color w:val="auto"/>
        </w:rPr>
      </w:pPr>
      <w:r>
        <w:rPr>
          <w:rFonts w:ascii="Times New Roman" w:cs="Times New Roman" w:eastAsia="Times New Roman" w:hAnsi="Times New Roman"/>
          <w:sz w:val="18"/>
          <w:szCs w:val="18"/>
          <w:color w:val="auto"/>
        </w:rPr>
        <w:t>number of votes entitled to be cast (or as to which consents may be delivered) by the holders of all shares of capital stock of Medline Inc. outstanding and entitled to vote (or provide consent) in respect of any matter (the “Mills Family Voting Cap”). Any shares owned by such holders in excess of the Mills Family Voting Cap will not have any voting power on any such matter (and, accordingly, shall be deemed not to be outstanding for purposes of determining a quorum or for purposes of determining the shares entitled to vote at any such meeting or to provide consent in lieu of a meeting of stockholders), with the application of the loss of voting power allocated among such holders pro rata in accordance with the shares of the Company’s capital stock owned thereby.</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18" w:lineRule="exact"/>
        <w:rPr>
          <w:sz w:val="20"/>
          <w:szCs w:val="20"/>
          <w:color w:val="auto"/>
        </w:rPr>
      </w:pPr>
    </w:p>
    <w:p>
      <w:pPr>
        <w:ind w:left="160" w:right="20" w:firstLine="436"/>
        <w:spacing w:after="0" w:line="254" w:lineRule="auto"/>
        <w:rPr>
          <w:sz w:val="20"/>
          <w:szCs w:val="20"/>
          <w:color w:val="auto"/>
        </w:rPr>
      </w:pPr>
      <w:r>
        <w:rPr>
          <w:rFonts w:ascii="Times New Roman" w:cs="Times New Roman" w:eastAsia="Times New Roman" w:hAnsi="Times New Roman"/>
          <w:sz w:val="18"/>
          <w:szCs w:val="18"/>
          <w:color w:val="auto"/>
        </w:rPr>
        <w:t>As of the date of this prospectus, we had no shares of preferred stock issued or outstanding. Our amended and restated certificate of incorporation authorizes our board of directors to establish one or more series of preferred stock (including convertible preferred stock). Unless required by law or by any stock exchange, and subject to the terms of our amended and restated certificate of incorporation, the authorized shares of preferred stock will be available for issuance without further action by holders of our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90" w:lineRule="exact"/>
        <w:rPr>
          <w:sz w:val="20"/>
          <w:szCs w:val="20"/>
          <w:color w:val="auto"/>
        </w:rPr>
      </w:pPr>
    </w:p>
    <w:p>
      <w:pPr>
        <w:ind w:left="1140" w:hanging="438"/>
        <w:spacing w:after="0"/>
        <w:tabs>
          <w:tab w:leader="none" w:pos="11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27" w:lineRule="exact"/>
        <w:rPr>
          <w:rFonts w:ascii="Times New Roman" w:cs="Times New Roman" w:eastAsia="Times New Roman" w:hAnsi="Times New Roman"/>
          <w:sz w:val="18"/>
          <w:szCs w:val="18"/>
          <w:color w:val="auto"/>
        </w:rPr>
      </w:pPr>
    </w:p>
    <w:p>
      <w:pPr>
        <w:ind w:left="1140" w:right="80" w:hanging="438"/>
        <w:spacing w:after="0" w:line="263" w:lineRule="auto"/>
        <w:tabs>
          <w:tab w:leader="none" w:pos="11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 which our board of directors may, except where otherwise provided in any preferred stock designation, increase (but not above the total number of authorized shares of the class) or decrease (but not below the number of shares then outstanding);</w:t>
      </w:r>
    </w:p>
    <w:p>
      <w:pPr>
        <w:spacing w:after="0" w:line="81"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if any, will be cumulative or non-cumulative and the dividend rate of the series;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at which dividends, if any, will be payable on shares of such series;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and price or prices, if any, for shares of the series;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amounts of any sinking fund provided for the purchase or redemption of shares of the series;</w:t>
      </w:r>
    </w:p>
    <w:p>
      <w:pPr>
        <w:spacing w:after="0" w:line="127" w:lineRule="exact"/>
        <w:rPr>
          <w:rFonts w:ascii="Times New Roman" w:cs="Times New Roman" w:eastAsia="Times New Roman" w:hAnsi="Times New Roman"/>
          <w:sz w:val="18"/>
          <w:szCs w:val="18"/>
          <w:color w:val="auto"/>
        </w:rPr>
      </w:pPr>
    </w:p>
    <w:p>
      <w:pPr>
        <w:ind w:left="1140" w:right="420" w:hanging="438"/>
        <w:spacing w:after="0" w:line="278" w:lineRule="auto"/>
        <w:tabs>
          <w:tab w:leader="none" w:pos="11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on shares of the series in the event of any voluntary or involuntary liquidation, dissolution or winding-up of our affairs or other event;</w:t>
      </w:r>
    </w:p>
    <w:p>
      <w:pPr>
        <w:spacing w:after="0" w:line="68" w:lineRule="exact"/>
        <w:rPr>
          <w:rFonts w:ascii="Times New Roman" w:cs="Times New Roman" w:eastAsia="Times New Roman" w:hAnsi="Times New Roman"/>
          <w:sz w:val="18"/>
          <w:szCs w:val="18"/>
          <w:color w:val="auto"/>
        </w:rPr>
      </w:pPr>
    </w:p>
    <w:p>
      <w:pPr>
        <w:ind w:left="1140" w:hanging="438"/>
        <w:spacing w:after="0" w:line="285" w:lineRule="auto"/>
        <w:tabs>
          <w:tab w:leader="none" w:pos="114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65" w:lineRule="exact"/>
        <w:rPr>
          <w:rFonts w:ascii="Times New Roman" w:cs="Times New Roman" w:eastAsia="Times New Roman" w:hAnsi="Times New Roman"/>
          <w:sz w:val="17"/>
          <w:szCs w:val="17"/>
          <w:color w:val="auto"/>
        </w:rPr>
      </w:pPr>
    </w:p>
    <w:p>
      <w:pPr>
        <w:ind w:left="1140" w:hanging="438"/>
        <w:spacing w:after="0"/>
        <w:tabs>
          <w:tab w:leader="none" w:pos="11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issuance of shares of the same series or of any other class or series of our capital stock;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if any, of the holders of the series.</w:t>
      </w:r>
    </w:p>
    <w:p>
      <w:pPr>
        <w:spacing w:after="0" w:line="221" w:lineRule="exact"/>
        <w:rPr>
          <w:sz w:val="20"/>
          <w:szCs w:val="20"/>
          <w:color w:val="auto"/>
        </w:rPr>
      </w:pPr>
    </w:p>
    <w:p>
      <w:pPr>
        <w:ind w:left="160" w:right="20" w:firstLine="436"/>
        <w:spacing w:after="0" w:line="253" w:lineRule="auto"/>
        <w:rPr>
          <w:sz w:val="20"/>
          <w:szCs w:val="20"/>
          <w:color w:val="auto"/>
        </w:rPr>
      </w:pPr>
      <w:r>
        <w:rPr>
          <w:rFonts w:ascii="Times New Roman" w:cs="Times New Roman" w:eastAsia="Times New Roman" w:hAnsi="Times New Roman"/>
          <w:sz w:val="18"/>
          <w:szCs w:val="18"/>
          <w:color w:val="auto"/>
        </w:rPr>
        <w:t>We could issue one or more series of preferred stock that could, depending on the terms of the series, impede or discourage an acquisition attempt or other transaction that some, or a majority, of the holders of our Class A common stock might believe to be in their best interests or in which the holders of our Class A common stock might receive a premium over the market price of the shares of our Class A common stock. Additionally, the issuance of preferred stock may adversely affect the rights or interests of holders of our Class A common stock by restricting dividends on the Class A common stock, diluting the voting power of the Class A common stock, or subordinating the rights of the Class A common stock to distributions upon a liquidation, dissolution, or winding up or other event. As a result of these or other factors, the issuance of preferred stock could have an adverse impact on the market price of our Class A common stock.</w:t>
      </w:r>
    </w:p>
    <w:p>
      <w:pPr>
        <w:spacing w:after="0" w:line="11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020"/>
          </w:cols>
          <w:pgMar w:left="320" w:top="451" w:right="5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18"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The DGCL permits the board of directors of a corporation, subject to any restrictions in the certificate of incorporation, to declare and pay dividends out of the corporation’s “surplus” or, if there is no “surplus,” out of its net profits for the fiscal year in which the dividend is declared and/or the preceding fiscal year. “Surplus” is defined as the excess of the net assets of the corporation over the amount determined to be the capital of the corporation. The capital of the corporation is typically calculated to be (and cannot be less than) the aggregate par value of all issued shares of capital stock. Net assets is an amount equal to the fair value of the total assets minus total liabilities. The DGCL also provides that dividends may not be paid out of net profits if, after the payment of the dividend, the remaining capital would be less than the capital represented by the outstanding stock of all classes having a preference upon the distribution of assets. Declaration and payment of any dividend is subject to the discretion of our board of directors, except that our amended and restated certificate of incorporation provides that holders of Class B common stock shall not be entitled to any dividends on their shares of Class B common stock (other than dividends payable in the form of additional shares of Class B common stock). See also “Dividend Policy.”</w:t>
      </w:r>
    </w:p>
    <w:p>
      <w:pPr>
        <w:spacing w:after="0" w:line="2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Annual Stockholder Meetings</w:t>
      </w:r>
    </w:p>
    <w:p>
      <w:pPr>
        <w:spacing w:after="0" w:line="118" w:lineRule="exact"/>
        <w:rPr>
          <w:sz w:val="20"/>
          <w:szCs w:val="20"/>
          <w:color w:val="auto"/>
        </w:rPr>
      </w:pPr>
    </w:p>
    <w:p>
      <w:pPr>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Our amended and restated bylaws provide that annual stockholder meetings will be held at a date, time, and place, if any, as exclusively selected by our board of directors. To the extent permitted under applicable law, we may conduct meetings solely by means of remote communications, including by webcast.</w:t>
      </w:r>
    </w:p>
    <w:p>
      <w:pPr>
        <w:spacing w:after="0" w:line="278" w:lineRule="exact"/>
        <w:rPr>
          <w:sz w:val="20"/>
          <w:szCs w:val="20"/>
          <w:color w:val="auto"/>
        </w:rPr>
      </w:pPr>
    </w:p>
    <w:p>
      <w:pPr>
        <w:ind w:left="160" w:right="180"/>
        <w:spacing w:after="0" w:line="282" w:lineRule="auto"/>
        <w:rPr>
          <w:sz w:val="20"/>
          <w:szCs w:val="20"/>
          <w:color w:val="auto"/>
        </w:rPr>
      </w:pPr>
      <w:r>
        <w:rPr>
          <w:rFonts w:ascii="Times New Roman" w:cs="Times New Roman" w:eastAsia="Times New Roman" w:hAnsi="Times New Roman"/>
          <w:sz w:val="18"/>
          <w:szCs w:val="18"/>
          <w:b w:val="1"/>
          <w:bCs w:val="1"/>
          <w:color w:val="auto"/>
        </w:rPr>
        <w:t>Anti-Takeover Effects of Our Amended and Restated Certificate of Incorporation and Amended and Restated Bylaws and Certain Provisions of Delaware Law</w:t>
      </w:r>
    </w:p>
    <w:p>
      <w:pPr>
        <w:spacing w:after="0" w:line="53" w:lineRule="exact"/>
        <w:rPr>
          <w:sz w:val="20"/>
          <w:szCs w:val="20"/>
          <w:color w:val="auto"/>
        </w:rPr>
      </w:pPr>
    </w:p>
    <w:p>
      <w:pPr>
        <w:ind w:left="160" w:right="40" w:firstLine="436"/>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amended and restated bylaws, and the DGCL contain provisions that are summarized in the following paragraphs and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Capital Stock</w:t>
      </w:r>
    </w:p>
    <w:p>
      <w:pPr>
        <w:spacing w:after="0" w:line="118" w:lineRule="exact"/>
        <w:rPr>
          <w:sz w:val="20"/>
          <w:szCs w:val="20"/>
          <w:color w:val="auto"/>
        </w:rPr>
      </w:pPr>
    </w:p>
    <w:p>
      <w:pPr>
        <w:ind w:left="160" w:right="80" w:firstLine="436"/>
        <w:spacing w:after="0" w:line="254"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shares that are authorized and available for issuance. However, the listing requirements of Nasdaq, which apply so long as the shares of Class A common stock remain listed on Nasdaq, require stockholder approval of certain issuances equal to or exceeding 20% of the then outstanding voting power or the then outstanding number of shares of Class A common stock (we believe the position of Nasdaq is that the calculation in this latter case treats as outstanding shares issuable upon exchange of outstanding Common Units not indirectly held by Medline Inc.). These additional shares may be used for a variety of corporate purposes, including future public offerings, to raise additional capital, or to facilitate acquisitions.</w:t>
      </w:r>
    </w:p>
    <w:p>
      <w:pPr>
        <w:spacing w:after="0" w:line="184" w:lineRule="exact"/>
        <w:rPr>
          <w:sz w:val="20"/>
          <w:szCs w:val="20"/>
          <w:color w:val="auto"/>
        </w:rPr>
      </w:pPr>
    </w:p>
    <w:p>
      <w:pPr>
        <w:ind w:left="160" w:right="100" w:firstLine="436"/>
        <w:spacing w:after="0" w:line="258" w:lineRule="auto"/>
        <w:rPr>
          <w:sz w:val="20"/>
          <w:szCs w:val="20"/>
          <w:color w:val="auto"/>
        </w:rPr>
      </w:pPr>
      <w:r>
        <w:rPr>
          <w:rFonts w:ascii="Times New Roman" w:cs="Times New Roman" w:eastAsia="Times New Roman" w:hAnsi="Times New Roman"/>
          <w:sz w:val="18"/>
          <w:szCs w:val="18"/>
          <w:color w:val="auto"/>
        </w:rPr>
        <w:t>Our board of directors may generally issue shares of one or more series of preferred stock on terms designed to discourage, delay, or prevent a change of control of the Company or the removal of our management. Moreover, our authorized but unissued shares of preferred stock are available for future issuances in one or more series without stockholder approval and could be utilized for a variety of corporate purposes, including future offerings to raise additional capital, to facilitate acquisitions, and to fund employee benefit plans.</w:t>
      </w:r>
    </w:p>
    <w:p>
      <w:pPr>
        <w:spacing w:after="0" w:line="180" w:lineRule="exact"/>
        <w:rPr>
          <w:sz w:val="20"/>
          <w:szCs w:val="20"/>
          <w:color w:val="auto"/>
        </w:rPr>
      </w:pPr>
    </w:p>
    <w:p>
      <w:pPr>
        <w:ind w:left="160" w:right="380" w:firstLine="436"/>
        <w:spacing w:after="0" w:line="278" w:lineRule="auto"/>
        <w:rPr>
          <w:sz w:val="20"/>
          <w:szCs w:val="20"/>
          <w:color w:val="auto"/>
        </w:rPr>
      </w:pPr>
      <w:r>
        <w:rPr>
          <w:rFonts w:ascii="Times New Roman" w:cs="Times New Roman" w:eastAsia="Times New Roman" w:hAnsi="Times New Roman"/>
          <w:sz w:val="18"/>
          <w:szCs w:val="18"/>
          <w:color w:val="auto"/>
        </w:rPr>
        <w:t>One of the effects of the existence of authorized and unissued and unreserved common stock or preferred stock may be to enable our board of directors to issue shares to persons friendly to current management, which</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080"/>
          </w:cols>
          <w:pgMar w:left="320" w:top="451" w:right="4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200"/>
        <w:spacing w:after="0" w:line="263" w:lineRule="auto"/>
        <w:rPr>
          <w:sz w:val="20"/>
          <w:szCs w:val="20"/>
          <w:color w:val="auto"/>
        </w:rPr>
      </w:pPr>
      <w:r>
        <w:rPr>
          <w:rFonts w:ascii="Times New Roman" w:cs="Times New Roman" w:eastAsia="Times New Roman" w:hAnsi="Times New Roman"/>
          <w:sz w:val="18"/>
          <w:szCs w:val="18"/>
          <w:color w:val="auto"/>
        </w:rPr>
        <w:t>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Class A common stock at prices higher than prevailing market prices.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18"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color w:val="auto"/>
        </w:rPr>
        <w:t>We have elected not to be governed by Section 203 of the DGCL, which is Delaware’s anti-takeover statute that, subject to certain exceptions and approvals, restricts “business combinations,” including specified mergers, asset sales, stock sales, and other transactions, between a corporation and its subsidiaries, on the one hand, and any interested stockholder (generally defined to mean a person who (x) owns 15% or more of the outstanding voting stock of the corporation or (y) is an affiliate or associate of us and was the owner of 15% or more of our voting stock within the three-year period before the date on which it is sought to be determined whether such person is an “interested stockholder,” and the affiliates or associates of such person), on the other, for a three-year period following the time the person became an interested stockholder.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94" w:lineRule="exact"/>
        <w:rPr>
          <w:sz w:val="20"/>
          <w:szCs w:val="20"/>
          <w:color w:val="auto"/>
        </w:rPr>
      </w:pPr>
    </w:p>
    <w:p>
      <w:pPr>
        <w:ind w:left="1140" w:right="480" w:hanging="438"/>
        <w:spacing w:after="0" w:line="278" w:lineRule="auto"/>
        <w:tabs>
          <w:tab w:leader="none" w:pos="11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that resulted in the stockholder becoming an interested stockholder;</w:t>
      </w:r>
    </w:p>
    <w:p>
      <w:pPr>
        <w:spacing w:after="0" w:line="68" w:lineRule="exact"/>
        <w:rPr>
          <w:rFonts w:ascii="Times New Roman" w:cs="Times New Roman" w:eastAsia="Times New Roman" w:hAnsi="Times New Roman"/>
          <w:sz w:val="18"/>
          <w:szCs w:val="18"/>
          <w:color w:val="auto"/>
        </w:rPr>
      </w:pPr>
    </w:p>
    <w:p>
      <w:pPr>
        <w:ind w:left="1140" w:right="440" w:hanging="438"/>
        <w:spacing w:after="0" w:line="308" w:lineRule="auto"/>
        <w:tabs>
          <w:tab w:leader="none" w:pos="114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46" w:lineRule="exact"/>
        <w:rPr>
          <w:rFonts w:ascii="Times New Roman" w:cs="Times New Roman" w:eastAsia="Times New Roman" w:hAnsi="Times New Roman"/>
          <w:sz w:val="17"/>
          <w:szCs w:val="17"/>
          <w:color w:val="auto"/>
        </w:rPr>
      </w:pPr>
    </w:p>
    <w:p>
      <w:pPr>
        <w:ind w:left="1140" w:right="220" w:hanging="438"/>
        <w:spacing w:after="0" w:line="292" w:lineRule="auto"/>
        <w:tabs>
          <w:tab w:leader="none" w:pos="11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of directors and by the affirmative vote of holders of at least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of our outstanding voting stock that is not owned by the interested stockholder.</w:t>
      </w:r>
    </w:p>
    <w:p>
      <w:pPr>
        <w:spacing w:after="0" w:line="26"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and was an affiliate of us. For purposes of this section only, “voting stock” generally means any class or series of our stock that is entitled to vote generally in the election of directors. References to a percentage of voting stock in this section refer to the percentage of the votes of such voting stock.</w:t>
      </w:r>
    </w:p>
    <w:p>
      <w:pPr>
        <w:spacing w:after="0" w:line="184" w:lineRule="exact"/>
        <w:rPr>
          <w:sz w:val="20"/>
          <w:szCs w:val="20"/>
          <w:color w:val="auto"/>
        </w:rPr>
      </w:pPr>
    </w:p>
    <w:p>
      <w:pPr>
        <w:ind w:left="160" w:right="100" w:firstLine="436"/>
        <w:spacing w:after="0" w:line="254" w:lineRule="auto"/>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have the effect of preventing changes in our board of directors and may make it more difficult to accomplish transactions that stockholders may otherwise deem to be in their best interests.</w:t>
      </w:r>
    </w:p>
    <w:p>
      <w:pPr>
        <w:spacing w:after="0" w:line="184" w:lineRule="exact"/>
        <w:rPr>
          <w:sz w:val="20"/>
          <w:szCs w:val="20"/>
          <w:color w:val="auto"/>
        </w:rPr>
      </w:pPr>
    </w:p>
    <w:p>
      <w:pPr>
        <w:ind w:left="160" w:right="160" w:firstLine="436"/>
        <w:spacing w:after="0" w:line="26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Designating Stockholders and their affiliates, and any of their respective direct or indirect transferees, and any group as to which such persons are a party, do not constitute “interested stockholders” for purposes of this provision.</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118" w:lineRule="exact"/>
        <w:rPr>
          <w:sz w:val="20"/>
          <w:szCs w:val="20"/>
          <w:color w:val="auto"/>
        </w:rPr>
      </w:pPr>
    </w:p>
    <w:p>
      <w:pPr>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Under Delaware law, the right to vote cumulatively does not exist unless the certificate of incorporation specifically authorizes cumulative voting. Our amended and restated certificate of incorporation does not</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040"/>
          </w:cols>
          <w:pgMar w:left="320" w:top="451" w:right="5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480"/>
        <w:spacing w:after="0" w:line="278" w:lineRule="auto"/>
        <w:rPr>
          <w:sz w:val="20"/>
          <w:szCs w:val="20"/>
          <w:color w:val="auto"/>
        </w:rPr>
      </w:pPr>
      <w:r>
        <w:rPr>
          <w:rFonts w:ascii="Times New Roman" w:cs="Times New Roman" w:eastAsia="Times New Roman" w:hAnsi="Times New Roman"/>
          <w:sz w:val="18"/>
          <w:szCs w:val="18"/>
          <w:color w:val="auto"/>
        </w:rPr>
        <w:t>authorize cumulative voting. Therefore, stockholders holding a majority in voting power of the shares of our stock entitled to vote generally in the election of directors will be able to elect all of our directors.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18"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 xml:space="preserve">Our amended and restated certificate of incorporation provides that special meetings of our stockholders may be called at any time only by or at the direction of the board of directors, the chair of our board, or the chief executive officer;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at any time when our Designating Stockholders collectively beneficially own, in the aggregate, at least 30% in voting power of the stock entitled to vote generally in the election of directors, special meetings of our stockholders shall also be called by the board of directors or the chair of the board of directors at the request of a Designating Stockholder.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Director Nominations and Stockholder Proposals</w:t>
      </w:r>
    </w:p>
    <w:p>
      <w:pPr>
        <w:spacing w:after="0" w:line="118" w:lineRule="exact"/>
        <w:rPr>
          <w:sz w:val="20"/>
          <w:szCs w:val="20"/>
          <w:color w:val="auto"/>
        </w:rPr>
      </w:pPr>
    </w:p>
    <w:p>
      <w:pPr>
        <w:ind w:left="160" w:right="100" w:firstLine="436"/>
        <w:spacing w:after="0" w:line="251" w:lineRule="auto"/>
        <w:rPr>
          <w:sz w:val="20"/>
          <w:szCs w:val="20"/>
          <w:color w:val="auto"/>
        </w:rPr>
      </w:pPr>
      <w:r>
        <w:rPr>
          <w:rFonts w:ascii="Times New Roman" w:cs="Times New Roman" w:eastAsia="Times New Roman" w:hAnsi="Times New Roman"/>
          <w:sz w:val="18"/>
          <w:szCs w:val="18"/>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These provisions do not apply to the parties to the director nomination agreements so long as the relevant agreements remains in effect. Our amended and restated bylaws allow the chair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2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Consent</w:t>
      </w:r>
    </w:p>
    <w:p>
      <w:pPr>
        <w:spacing w:after="0" w:line="118"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Pursuant to Section 228 of the DGCL, any action required or permitted to be taken at any annual or special meeting of the stockholders may be taken without a meeting, without prior notice, and without a vote if a consent or consents,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does not permit our Class A common stockholders to act by consent in lieu of a meeting from and after the date on which our Designating Stockholders cease to beneficially own or control, in the aggregate, at least 30% of the total voting power of all then outstanding shares of our capital stock entitled to vote generally in the election of directors unless such action is recommended by all directors then in office, but it does provide that any action required or permitted to be taken by holders of our Class B common stock, voting separately as a class, or, to the extent expressly permitted by any certificate of designation relating to one or more series of our preferred stock, by the holders of such series of preferred stock, voting separately as a series or separately as a class with one or more other such series, may be taken by consent in lieu of a meeting if a consent or consents, setting forth the action so taken, is or are signed by the holders of outstanding shares of the relevant class or series having not less than the minimum number of votes that would be necessary to authorize or take such action at a meeting at which all shares entitled to vote thereon were present and voted.</w:t>
      </w:r>
    </w:p>
    <w:p>
      <w:pPr>
        <w:spacing w:after="0" w:line="1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080"/>
          </w:cols>
          <w:pgMar w:left="320" w:top="452" w:right="49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118" w:lineRule="exact"/>
        <w:rPr>
          <w:sz w:val="20"/>
          <w:szCs w:val="20"/>
          <w:color w:val="auto"/>
        </w:rPr>
      </w:pPr>
    </w:p>
    <w:p>
      <w:pPr>
        <w:ind w:left="160" w:right="80" w:firstLine="436"/>
        <w:spacing w:after="0" w:line="254" w:lineRule="auto"/>
        <w:rPr>
          <w:sz w:val="20"/>
          <w:szCs w:val="20"/>
          <w:color w:val="auto"/>
        </w:rPr>
      </w:pPr>
      <w:r>
        <w:rPr>
          <w:rFonts w:ascii="Times New Roman" w:cs="Times New Roman" w:eastAsia="Times New Roman" w:hAnsi="Times New Roman"/>
          <w:sz w:val="18"/>
          <w:szCs w:val="18"/>
          <w:color w:val="auto"/>
        </w:rPr>
        <w:t>Under the DGCL, with certain exceptions, our stockholders have appraisal rights in connection with a merger, consolidation, statutory conversion or statutory domestication, transfer, or continuance in which we are a constituent entity. Pursuant to the DGCL, stockholders who properly demand and perfect appraisal rights in connection with such merger, consolidation, statutory conversion or statutory domestication, transfer, or continuance have the right to receive payment of the fair value of their shares as determined by the Delaware Court of Chancery, plus interest, if any, on the amount determined to be the fair value, from the effective time of the merger, consolidation, statutory conversion or statutory domestication, transfer, or continuance through the date of payment of the judgment.</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118" w:lineRule="exact"/>
        <w:rPr>
          <w:sz w:val="20"/>
          <w:szCs w:val="20"/>
          <w:color w:val="auto"/>
        </w:rPr>
      </w:pPr>
    </w:p>
    <w:p>
      <w:pPr>
        <w:ind w:left="160" w:right="120" w:firstLine="436"/>
        <w:spacing w:after="0" w:line="270" w:lineRule="auto"/>
        <w:rPr>
          <w:sz w:val="20"/>
          <w:szCs w:val="20"/>
          <w:color w:val="auto"/>
        </w:rPr>
      </w:pPr>
      <w:r>
        <w:rPr>
          <w:rFonts w:ascii="Times New Roman" w:cs="Times New Roman" w:eastAsia="Times New Roman" w:hAnsi="Times New Roman"/>
          <w:sz w:val="17"/>
          <w:szCs w:val="17"/>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To bring such an action, the stockholder must otherwise comply with Delaware law regarding derivative actions, including by making a pre-suit demand on our board of directors or satisfying its burden to show that any pre-suit demand would be futile. Our amended and restated certificate of incorporation has vested an independent and disinterested litigation demand committee with sole and exclusive authority to consider the merits of any such demands and make decisions and taken actions with respect to any such demands, including whether to initiate a proceeding. This provision may affect a stockholder’s ability to commence or control a derivative proceeding.</w:t>
      </w:r>
    </w:p>
    <w:p>
      <w:pPr>
        <w:spacing w:after="0" w:line="2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18" w:lineRule="exact"/>
        <w:rPr>
          <w:sz w:val="20"/>
          <w:szCs w:val="20"/>
          <w:color w:val="auto"/>
        </w:rPr>
      </w:pPr>
    </w:p>
    <w:p>
      <w:pPr>
        <w:ind w:left="160" w:right="380" w:firstLine="436"/>
        <w:spacing w:after="0" w:line="278" w:lineRule="auto"/>
        <w:rPr>
          <w:sz w:val="20"/>
          <w:szCs w:val="20"/>
          <w:color w:val="auto"/>
        </w:rPr>
      </w:pPr>
      <w:r>
        <w:rPr>
          <w:rFonts w:ascii="Times New Roman" w:cs="Times New Roman" w:eastAsia="Times New Roman" w:hAnsi="Times New Roman"/>
          <w:sz w:val="18"/>
          <w:szCs w:val="18"/>
          <w:color w:val="auto"/>
        </w:rPr>
        <w:t>To prevent having to litigate claims in multiple jurisdictions and the threat of inconsistent or contrary rulings by different courts, among other considerations, our amended and restated certificate of incorporation includes forum selection provisions.</w:t>
      </w:r>
    </w:p>
    <w:p>
      <w:pPr>
        <w:spacing w:after="0" w:line="162" w:lineRule="exact"/>
        <w:rPr>
          <w:sz w:val="20"/>
          <w:szCs w:val="20"/>
          <w:color w:val="auto"/>
        </w:rPr>
      </w:pPr>
    </w:p>
    <w:p>
      <w:pPr>
        <w:ind w:left="160" w:right="20" w:firstLine="436"/>
        <w:spacing w:after="0" w:line="254" w:lineRule="auto"/>
        <w:rPr>
          <w:sz w:val="20"/>
          <w:szCs w:val="20"/>
          <w:color w:val="auto"/>
        </w:rPr>
      </w:pPr>
      <w:r>
        <w:rPr>
          <w:rFonts w:ascii="Times New Roman" w:cs="Times New Roman" w:eastAsia="Times New Roman" w:hAnsi="Times New Roman"/>
          <w:sz w:val="18"/>
          <w:szCs w:val="18"/>
          <w:color w:val="auto"/>
        </w:rPr>
        <w:t>More specifically, our amended and restated certificate of incorporation provides that, unless we consent in writing to the selection of an alternative forum, the Court of Chancery of the State of Delaware will, to the fullest extent permitted by law, be the sole and exclusive forum for: (i) any derivative action or proceeding brought on our behalf; (ii) any action asserting a breach of fiduciary duty owed by any current or former director, officer, stockholder, or employee of the company to the company or our stockholders; (iii) any action asserting a claim against us arising under the DGCL, our amended and restated certificate of incorporation or our amended and restated bylaws or as to which the DGCL confers jurisdiction on the Court of Chancery of the State of Delaware; or (iv) any action asserting a claim against us that is governed by the internal affairs doctrine.</w:t>
      </w:r>
    </w:p>
    <w:p>
      <w:pPr>
        <w:spacing w:after="0" w:line="184"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Our amended and restated certificate of incorporation further provides that, unless we consent in writing to the selection of an alternative forum, to the fullest extent permitted by law, the federal district courts of the United States of America will be the exclusive forum for the resolution of any complaint asserting a cause of action arising under the federal securities laws of the United States, including, in each case, the applicable rules and regulations promulgated thereunder. It is possible that a court could find our forum selection provisions to be inapplicable or unenforceable and, accordingly, we could be required to litigate claims in multiple jurisdictions, incur additional costs or otherwise not receive the benefits that we expect our forum selection provisions to provide.</w:t>
      </w:r>
    </w:p>
    <w:p>
      <w:pPr>
        <w:spacing w:after="0" w:line="187" w:lineRule="exact"/>
        <w:rPr>
          <w:sz w:val="20"/>
          <w:szCs w:val="20"/>
          <w:color w:val="auto"/>
        </w:rPr>
      </w:pPr>
    </w:p>
    <w:p>
      <w:pPr>
        <w:ind w:left="160" w:right="180" w:firstLine="436"/>
        <w:spacing w:after="0" w:line="278" w:lineRule="auto"/>
        <w:rPr>
          <w:sz w:val="20"/>
          <w:szCs w:val="20"/>
          <w:color w:val="auto"/>
        </w:rPr>
      </w:pPr>
      <w:r>
        <w:rPr>
          <w:rFonts w:ascii="Times New Roman" w:cs="Times New Roman" w:eastAsia="Times New Roman" w:hAnsi="Times New Roman"/>
          <w:sz w:val="18"/>
          <w:szCs w:val="18"/>
          <w:color w:val="auto"/>
        </w:rPr>
        <w:t>To the fullest extent permitted by law, any person or entity purchasing or otherwise acquiring or holding any interest in shares of capital stock of our company shall be deemed to have notice of and consented to the forum</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080"/>
          </w:cols>
          <w:pgMar w:left="320" w:top="452" w:right="49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100"/>
        <w:spacing w:after="0" w:line="254"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However, investors will not be deemed to have waived compliance with the federal securities laws and the rules and regulations thereunder as a result of our forum selection provisions. See “Risk Factors—Risks Related to this Offering and Ownership of our Class A Common Stock—Our amended and restated certificate of incorporation designates the Court of Chancery of the State of Delaware or the federal district courts of the United States of America, as applicable, as the sole and exclusive forum for certain types of actions and proceedings that may be initiated by our stockholders, which could limit our stockholders’ ability to obtain a favorable judicial forum for disputes with the Company or the Company’s directors, officers, or other employees.”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18" w:lineRule="exact"/>
        <w:rPr>
          <w:sz w:val="20"/>
          <w:szCs w:val="20"/>
          <w:color w:val="auto"/>
        </w:rPr>
      </w:pPr>
    </w:p>
    <w:p>
      <w:pPr>
        <w:ind w:left="160" w:right="40" w:firstLine="436"/>
        <w:spacing w:after="0" w:line="251" w:lineRule="auto"/>
        <w:rPr>
          <w:sz w:val="20"/>
          <w:szCs w:val="20"/>
          <w:color w:val="auto"/>
        </w:rPr>
      </w:pPr>
      <w:r>
        <w:rPr>
          <w:rFonts w:ascii="Times New Roman" w:cs="Times New Roman" w:eastAsia="Times New Roman" w:hAnsi="Times New Roman"/>
          <w:sz w:val="18"/>
          <w:szCs w:val="18"/>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As a consequence of this waiver, none of our Sponsors, the Mills Family, subject to limited exceptions, or any of their respective affiliates or any of our directors who are not employed by us (including any non-employee director who serves as one of our officers in both their director and officer capacities) or their affiliates will have any duty to refrain from</w:t>
      </w:r>
    </w:p>
    <w:p>
      <w:pPr>
        <w:spacing w:after="0" w:line="1" w:lineRule="exact"/>
        <w:rPr>
          <w:sz w:val="20"/>
          <w:szCs w:val="20"/>
          <w:color w:val="auto"/>
        </w:rPr>
      </w:pPr>
    </w:p>
    <w:p>
      <w:pPr>
        <w:ind w:left="380" w:hanging="213"/>
        <w:spacing w:after="0"/>
        <w:tabs>
          <w:tab w:leader="none" w:pos="3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a corporate opportunity in the same or similar lines of business in which we or our affiliates now engage or propose to engage or</w:t>
      </w:r>
    </w:p>
    <w:p>
      <w:pPr>
        <w:spacing w:after="0" w:line="6" w:lineRule="exact"/>
        <w:rPr>
          <w:rFonts w:ascii="Times New Roman" w:cs="Times New Roman" w:eastAsia="Times New Roman" w:hAnsi="Times New Roman"/>
          <w:sz w:val="18"/>
          <w:szCs w:val="18"/>
          <w:color w:val="auto"/>
        </w:rPr>
      </w:pPr>
    </w:p>
    <w:p>
      <w:pPr>
        <w:ind w:left="160" w:firstLine="7"/>
        <w:spacing w:after="0" w:line="249" w:lineRule="auto"/>
        <w:tabs>
          <w:tab w:leader="none" w:pos="42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competing with us or our affiliates. In addition, to the fullest extent permitted by law, in the event that our Sponsors, the Mills Family or any non-employee director acquires knowledge of a potential transaction or other business opportunity which may be a corporate opportunity for itself or themselves or its or their affiliates or for us or our affiliates, as a consequence of this waiver,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non-employee director solely in their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 The director nomination agreements we entered into with the Designating Stockholders also contains provisions providing the Designating Stockholders with access to our corporate information.</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18" w:lineRule="exact"/>
        <w:rPr>
          <w:sz w:val="20"/>
          <w:szCs w:val="20"/>
          <w:color w:val="auto"/>
        </w:rPr>
      </w:pPr>
    </w:p>
    <w:p>
      <w:pPr>
        <w:ind w:left="160" w:right="60" w:firstLine="436"/>
        <w:spacing w:after="0" w:line="251"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and certain officers to corporations and their stockholders for monetary damages for breaches of their fiduciary duties, subject to certain exceptions. Our amended and restated certificate of incorporation includes a provision that eliminates the personal liability of directors and officers for monetary damages to the corporation or its stockholders for any breach of fiduciary duty as a director or officer, except to the extent such exemption from liability or limitation thereof is not permitted under the DGCL. The effect of these provisions is to eliminate the rights of us and our stockholders to recover monetary damages from a director or officer for breach of fiduciary duty as a director or officer, including breaches resulting from grossly negligent behavior. Under current law, this provision will not limit or eliminate the liability of any officer in any action by or in the right of the Company, including any derivative claim. Further, the exculpation from liability for monetary damages does not apply to any director or officer if the director or officer has breached their duty of loyalty to the corporation and its stockholders, acted in bad faith, knowingly or intentionally violated the law, or derived an improper benefit from their actions as a director or officer. In addition, exculpation does not apply to any director in connection with the authorization of illegal dividends, redemptions or stock repurchases.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060"/>
          </w:cols>
          <w:pgMar w:left="320" w:top="451" w:right="51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40" w:firstLine="436"/>
        <w:spacing w:after="0" w:line="258" w:lineRule="auto"/>
        <w:rPr>
          <w:sz w:val="20"/>
          <w:szCs w:val="20"/>
          <w:color w:val="auto"/>
        </w:rPr>
      </w:pPr>
      <w:r>
        <w:rPr>
          <w:rFonts w:ascii="Times New Roman" w:cs="Times New Roman" w:eastAsia="Times New Roman" w:hAnsi="Times New Roman"/>
          <w:sz w:val="18"/>
          <w:szCs w:val="18"/>
          <w:color w:val="auto"/>
        </w:rPr>
        <w:t>Our amended and restated bylaws generally provide that we must indemnify and advance expenses to our directors and officers to the fullest extent authorized by the DGCL, subject to limited exceptions.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180"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The limitation of liability, indemnification, and advancement provisions in our amended and restated certificate of incorporation and amended and restated bylaws may discourage stockholders from bringing a lawsuit against directors and officers for breach of their fiduciary duty. These provisions also may have the effect of reducing the likelihood of derivative litigation against directors,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84" w:lineRule="exact"/>
        <w:rPr>
          <w:sz w:val="20"/>
          <w:szCs w:val="20"/>
          <w:color w:val="auto"/>
        </w:rPr>
      </w:pPr>
    </w:p>
    <w:p>
      <w:pPr>
        <w:ind w:left="160" w:right="100" w:firstLine="436"/>
        <w:spacing w:after="0" w:line="278" w:lineRule="auto"/>
        <w:rPr>
          <w:sz w:val="20"/>
          <w:szCs w:val="20"/>
          <w:color w:val="auto"/>
        </w:rPr>
      </w:pPr>
      <w:r>
        <w:rPr>
          <w:rFonts w:ascii="Times New Roman" w:cs="Times New Roman" w:eastAsia="Times New Roman" w:hAnsi="Times New Roman"/>
          <w:sz w:val="18"/>
          <w:szCs w:val="18"/>
          <w:color w:val="auto"/>
        </w:rPr>
        <w:t>There is currently no pending material litigation or proceeding involving any of our directors, officers or employees for which indemnification is sought.</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transfer agent and registrar for shares of our Class A common stock is Equiniti Trust Company, LLC.</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Class A common stock is listed on Nasdaq under the symbol “MDLN.”</w:t>
      </w:r>
    </w:p>
    <w:p>
      <w:pPr>
        <w:spacing w:after="0" w:line="15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040"/>
          </w:cols>
          <w:pgMar w:left="320" w:top="452" w:right="5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CERTAIN U.S. FEDERAL INCOME TAX CONSEQUENCES TO NON-U.S. HOLDERS</w:t>
      </w:r>
    </w:p>
    <w:p>
      <w:pPr>
        <w:spacing w:after="0" w:line="225" w:lineRule="exact"/>
        <w:rPr>
          <w:sz w:val="20"/>
          <w:szCs w:val="20"/>
          <w:color w:val="auto"/>
        </w:rPr>
      </w:pPr>
    </w:p>
    <w:p>
      <w:pPr>
        <w:ind w:left="160" w:right="40" w:firstLine="436"/>
        <w:spacing w:after="0" w:line="274" w:lineRule="auto"/>
        <w:rPr>
          <w:sz w:val="20"/>
          <w:szCs w:val="20"/>
          <w:color w:val="auto"/>
        </w:rPr>
      </w:pPr>
      <w:r>
        <w:rPr>
          <w:rFonts w:ascii="Times New Roman" w:cs="Times New Roman" w:eastAsia="Times New Roman" w:hAnsi="Times New Roman"/>
          <w:sz w:val="17"/>
          <w:szCs w:val="17"/>
          <w:color w:val="auto"/>
        </w:rPr>
        <w:t>The following is a summary of material U.S. federal income tax consequences to a non-U.S. holder (as defined herein) of the purchase, ownership and disposition of shares of our Class A common stock but does not purport to be a complete analysis of all the potential tax considerations relating thereto. We have not sought, and do not intend to seek, any ruling from the IRS with respect to the statements made and the conclusions reached in the following summary. Accordingly, the discussion below neither binds the IRS nor the courts, and there can be no assurance that the IRS or a court will agree with such statements and conclusions. This summary deals only with Class A common stock that is held as a capital asset by a non-U.S. holder.</w:t>
      </w:r>
    </w:p>
    <w:p>
      <w:pPr>
        <w:spacing w:after="0" w:line="168" w:lineRule="exact"/>
        <w:rPr>
          <w:sz w:val="20"/>
          <w:szCs w:val="20"/>
          <w:color w:val="auto"/>
        </w:rPr>
      </w:pPr>
    </w:p>
    <w:p>
      <w:pPr>
        <w:ind w:left="160" w:right="840" w:firstLine="436"/>
        <w:spacing w:after="0" w:line="278" w:lineRule="auto"/>
        <w:rPr>
          <w:sz w:val="20"/>
          <w:szCs w:val="20"/>
          <w:color w:val="auto"/>
        </w:rPr>
      </w:pPr>
      <w:r>
        <w:rPr>
          <w:rFonts w:ascii="Times New Roman" w:cs="Times New Roman" w:eastAsia="Times New Roman" w:hAnsi="Times New Roman"/>
          <w:sz w:val="18"/>
          <w:szCs w:val="18"/>
          <w:color w:val="auto"/>
        </w:rPr>
        <w:t>A “non-U.S. holder” means a beneficial owner of shares of our Class A common stock (other than an entity or arrangement treated as a partnership for U.S. federal income tax purposes) that is not, for U.S. federal income tax purposes, any of the following:</w:t>
      </w:r>
    </w:p>
    <w:p>
      <w:pPr>
        <w:spacing w:after="0" w:line="69" w:lineRule="exact"/>
        <w:rPr>
          <w:sz w:val="20"/>
          <w:szCs w:val="20"/>
          <w:color w:val="auto"/>
        </w:rPr>
      </w:pPr>
    </w:p>
    <w:p>
      <w:pPr>
        <w:ind w:left="1140" w:hanging="438"/>
        <w:spacing w:after="0"/>
        <w:tabs>
          <w:tab w:leader="none" w:pos="11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27"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treated as a corporation for U.S. federal income tax purposes) created or organized in or under the laws of the United States, any state thereof or the District of Columbia;</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27" w:lineRule="exact"/>
        <w:rPr>
          <w:rFonts w:ascii="Times New Roman" w:cs="Times New Roman" w:eastAsia="Times New Roman" w:hAnsi="Times New Roman"/>
          <w:sz w:val="18"/>
          <w:szCs w:val="18"/>
          <w:color w:val="auto"/>
        </w:rPr>
      </w:pPr>
    </w:p>
    <w:p>
      <w:pPr>
        <w:ind w:left="1140" w:hanging="438"/>
        <w:spacing w:after="0" w:line="259" w:lineRule="auto"/>
        <w:tabs>
          <w:tab w:leader="none" w:pos="11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(1) is subject to the primary supervision of a court within the United States and one or more U.S. persons (within the meaning of the U.S. Internal Revenue Code of 1986, as amended (the “Code”)) have the authority to control all substantial decisions of the trust or</w:t>
      </w: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has a valid election in effect under applicable U.S. Treasury regulations to be treated as a U.S. person.</w:t>
      </w:r>
    </w:p>
    <w:p>
      <w:pPr>
        <w:spacing w:after="0" w:line="202" w:lineRule="exact"/>
        <w:rPr>
          <w:sz w:val="20"/>
          <w:szCs w:val="20"/>
          <w:color w:val="auto"/>
        </w:rPr>
      </w:pPr>
    </w:p>
    <w:p>
      <w:pPr>
        <w:ind w:left="160" w:right="40" w:firstLine="436"/>
        <w:spacing w:after="0" w:line="266" w:lineRule="auto"/>
        <w:rPr>
          <w:sz w:val="20"/>
          <w:szCs w:val="20"/>
          <w:color w:val="auto"/>
        </w:rPr>
      </w:pPr>
      <w:r>
        <w:rPr>
          <w:rFonts w:ascii="Times New Roman" w:cs="Times New Roman" w:eastAsia="Times New Roman" w:hAnsi="Times New Roman"/>
          <w:sz w:val="17"/>
          <w:szCs w:val="17"/>
          <w:color w:val="auto"/>
        </w:rPr>
        <w:t>This summary is based upon provisions of the Code, and regulations, rulings and judicial decisions as of the date hereof. Those authorities may be changed, perhaps retroactively, so as to result in U.S. federal income tax consequences different from those summarized below. This summary does not address all of the U.S. federal income tax consequences that may be relevant to you in light of your particular circumstances, nor does it address the Medicare tax on net investment income, U.S. federal alternative minimum taxes, U.S. federal estate and gift taxes, or the effects of any state, local, or non-United States tax laws. In addition, it does not represent a detailed description of the U.S. federal income tax consequences applicable to you if you are subject to special treatment under the U.S. federal income tax laws (including if you are a U.S. expatriate, “controlled foreign corporation,” “passive foreign investment company,” a partnership or other pass-through entity for U.S. federal income tax purposes, tax-exempt organizations or governmental organizations, persons deemed to sell our common stock under the constructive sale provisions of the Code, persons who hold or receive our common stock pursuant to the exercise of any employee stock option or otherwise as compensation, tax-qualified retirement plans, “qualified foreign pension funds” as defined in the Code and entities all of the interests of which are held by qualified foreign pension funds or persons subject to special tax accounting rules as a result of any item of gross income with respect to the stock being taken into account in an applicable financial statement). We cannot assure you that a change in law will not alter significantly the tax considerations that we describe in this summary.</w:t>
      </w:r>
    </w:p>
    <w:p>
      <w:pPr>
        <w:spacing w:after="0" w:line="182" w:lineRule="exact"/>
        <w:rPr>
          <w:sz w:val="20"/>
          <w:szCs w:val="20"/>
          <w:color w:val="auto"/>
        </w:rPr>
      </w:pPr>
    </w:p>
    <w:p>
      <w:pPr>
        <w:jc w:val="both"/>
        <w:ind w:left="160" w:right="60" w:firstLine="436"/>
        <w:spacing w:after="0" w:line="263"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U.S. federal income tax purposes) holds shares of our Class A common stock, the tax treatment of a partner generally will depend upon the status of the partner and the activities of the partnership. If you are a partnership or a partner of a partnership considering an investment in our Class A common stock, you should consult your tax advisors.</w:t>
      </w:r>
    </w:p>
    <w:p>
      <w:pPr>
        <w:spacing w:after="0" w:line="171" w:lineRule="exact"/>
        <w:rPr>
          <w:sz w:val="20"/>
          <w:szCs w:val="20"/>
          <w:color w:val="auto"/>
        </w:rPr>
      </w:pPr>
    </w:p>
    <w:p>
      <w:pPr>
        <w:ind w:left="160" w:right="32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If you are considering the purchase of our Class A common stock, you should consult your own tax advisors concerning the particular U.S. federal income tax consequences to you of the purchase, ownership and disposition of our Class A common stock, as well as the consequences to you arising under other U.S. federal tax laws and the laws of any other taxing jurisdiction.</w:t>
      </w:r>
    </w:p>
    <w:p>
      <w:pPr>
        <w:spacing w:after="0" w:line="1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080"/>
          </w:cols>
          <w:pgMar w:left="320" w:top="452" w:right="49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18"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In the event that we make a distribution of cash or other property (other than certain pro rata distributions of our Class A common stock) in respect of shares of our Class A common stock, the distribution generally will be treated as a dividend for U.S. federal income tax purposes to the extent it is paid from our current or accumulated earnings and profits, as determined under U.S. federal income tax principles. Any portion of a distribution that exceeds our current and accumulated earnings and profits generally will be treated first as a tax-free return of capital, causing a reduction in the adjusted tax basis of a non-U.S. holder’s Class A common stock, and to the extent the amount of the distribution exceeds a non-U.S. holder’s adjusted tax basis in shares of our Class A common stock, the excess will be treated as a capital gain from the disposition of shares of our Class A common stock (the tax treatment of which is discussed below under “—Gain on Disposition of Class A Common Stock”).</w:t>
      </w:r>
    </w:p>
    <w:p>
      <w:pPr>
        <w:spacing w:after="0" w:line="184"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Dividends paid to a non-U.S. holder generally will be subject to withholding of U.S.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U.S. permanent establishment) are not subject to the withholding tax, provided certain certification and disclosure requirements are satisfied. Instead, such dividends are subject to U.S. federal income tax on a net income basis generally in the same manner as if the non-U.S. holder were a U.S.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84" w:lineRule="exact"/>
        <w:rPr>
          <w:sz w:val="20"/>
          <w:szCs w:val="20"/>
          <w:color w:val="auto"/>
        </w:rPr>
      </w:pPr>
    </w:p>
    <w:p>
      <w:pPr>
        <w:ind w:left="160" w:right="160" w:firstLine="436"/>
        <w:spacing w:after="0" w:line="254" w:lineRule="auto"/>
        <w:rPr>
          <w:sz w:val="20"/>
          <w:szCs w:val="20"/>
          <w:color w:val="auto"/>
        </w:rPr>
      </w:pPr>
      <w:r>
        <w:rPr>
          <w:rFonts w:ascii="Times New Roman" w:cs="Times New Roman" w:eastAsia="Times New Roman" w:hAnsi="Times New Roman"/>
          <w:sz w:val="18"/>
          <w:szCs w:val="18"/>
          <w:color w:val="auto"/>
        </w:rPr>
        <w:t>A non-U.S. holder who wishes to claim the benefit of an applicable treaty rate and avoid backup withholding, as discussed below, for dividends will be required (a) to provide the applicable withholding agent with a properly executed IRS Form W-8BEN or Form W-8BEN-E (or other applicable form) certifying under penalty of perjury that such holder is not a U.S. person as defined under the Code and is eligible for treaty benefits or (b) if our Class A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w:t>
      </w:r>
    </w:p>
    <w:p>
      <w:pPr>
        <w:spacing w:after="0" w:line="184" w:lineRule="exact"/>
        <w:rPr>
          <w:sz w:val="20"/>
          <w:szCs w:val="20"/>
          <w:color w:val="auto"/>
        </w:rPr>
      </w:pPr>
    </w:p>
    <w:p>
      <w:pPr>
        <w:ind w:left="160" w:right="180" w:firstLine="436"/>
        <w:spacing w:after="0" w:line="263" w:lineRule="auto"/>
        <w:rPr>
          <w:sz w:val="20"/>
          <w:szCs w:val="20"/>
          <w:color w:val="auto"/>
        </w:rPr>
      </w:pPr>
      <w:r>
        <w:rPr>
          <w:rFonts w:ascii="Times New Roman" w:cs="Times New Roman" w:eastAsia="Times New Roman" w:hAnsi="Times New Roman"/>
          <w:sz w:val="18"/>
          <w:szCs w:val="18"/>
          <w:color w:val="auto"/>
        </w:rPr>
        <w:t>A non-U.S. holder eligible for a reduced rate of U.S. federal withholding tax pursuant to an income tax treaty may obtain a refund of any excess amounts withheld by timely filing an appropriate claim for refund with the IRS. Non-U.S. holders should consult their tax advisors regarding their entitlement to benefits under any applicable income tax treaty.</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Gain on Disposition of Class A Common Stock</w:t>
      </w:r>
    </w:p>
    <w:p>
      <w:pPr>
        <w:spacing w:after="0" w:line="118" w:lineRule="exact"/>
        <w:rPr>
          <w:sz w:val="20"/>
          <w:szCs w:val="20"/>
          <w:color w:val="auto"/>
        </w:rPr>
      </w:pPr>
    </w:p>
    <w:p>
      <w:pPr>
        <w:ind w:left="160" w:right="420" w:firstLine="436"/>
        <w:spacing w:after="0" w:line="278" w:lineRule="auto"/>
        <w:rPr>
          <w:sz w:val="20"/>
          <w:szCs w:val="20"/>
          <w:color w:val="auto"/>
        </w:rPr>
      </w:pPr>
      <w:r>
        <w:rPr>
          <w:rFonts w:ascii="Times New Roman" w:cs="Times New Roman" w:eastAsia="Times New Roman" w:hAnsi="Times New Roman"/>
          <w:sz w:val="18"/>
          <w:szCs w:val="18"/>
          <w:color w:val="auto"/>
        </w:rPr>
        <w:t>Subject to the discussion of backup withholding below, any gain realized by a non-U.S. holder on the sale or other disposition of our Class A common stock generally will not be subject to U.S. federal income tax unless:</w:t>
      </w:r>
    </w:p>
    <w:p>
      <w:pPr>
        <w:spacing w:after="0" w:line="69" w:lineRule="exact"/>
        <w:rPr>
          <w:sz w:val="20"/>
          <w:szCs w:val="20"/>
          <w:color w:val="auto"/>
        </w:rPr>
      </w:pPr>
    </w:p>
    <w:p>
      <w:pPr>
        <w:ind w:left="1140" w:right="400" w:hanging="438"/>
        <w:spacing w:after="0" w:line="278" w:lineRule="auto"/>
        <w:tabs>
          <w:tab w:leader="none" w:pos="11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of the non-U.S. holder in the United States (and, if required by an applicable income tax treaty, is attributable to a U.S. permanent establishment of the non-U.S. holder);</w:t>
      </w:r>
    </w:p>
    <w:p>
      <w:pPr>
        <w:spacing w:after="0" w:line="68" w:lineRule="exact"/>
        <w:rPr>
          <w:rFonts w:ascii="Times New Roman" w:cs="Times New Roman" w:eastAsia="Times New Roman" w:hAnsi="Times New Roman"/>
          <w:sz w:val="18"/>
          <w:szCs w:val="18"/>
          <w:color w:val="auto"/>
        </w:rPr>
      </w:pPr>
    </w:p>
    <w:p>
      <w:pPr>
        <w:ind w:left="1140" w:right="280" w:hanging="438"/>
        <w:spacing w:after="0" w:line="278" w:lineRule="auto"/>
        <w:tabs>
          <w:tab w:leader="none" w:pos="11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that disposition, and certain other conditions are met; or</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“U.S. real property holding corporation” for U.S. federal income tax purposes and certain other conditions are met.</w:t>
      </w:r>
    </w:p>
    <w:p>
      <w:pPr>
        <w:spacing w:after="0" w:line="221" w:lineRule="exact"/>
        <w:rPr>
          <w:sz w:val="20"/>
          <w:szCs w:val="20"/>
          <w:color w:val="auto"/>
        </w:rPr>
      </w:pPr>
    </w:p>
    <w:p>
      <w:pPr>
        <w:ind w:left="160" w:right="20" w:firstLine="436"/>
        <w:spacing w:after="0" w:line="285" w:lineRule="auto"/>
        <w:rPr>
          <w:sz w:val="20"/>
          <w:szCs w:val="20"/>
          <w:color w:val="auto"/>
        </w:rPr>
      </w:pPr>
      <w:r>
        <w:rPr>
          <w:rFonts w:ascii="Times New Roman" w:cs="Times New Roman" w:eastAsia="Times New Roman" w:hAnsi="Times New Roman"/>
          <w:sz w:val="17"/>
          <w:szCs w:val="17"/>
          <w:color w:val="auto"/>
        </w:rPr>
        <w:t>A non-U.S. holder described in the first bullet point immediately above will be subject to tax on the gain derived from the sale or other disposition in the same manner as if the non-U.S. holder were a U.S. person as defined under the Code. In addition, if any non-U.S. holder described in the first bullet point immediately above is a foreign corporation, the gain realized by such non-U.S. holder may be subject to an additional “branch profits</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060"/>
          </w:cols>
          <w:pgMar w:left="320" w:top="452" w:right="51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60"/>
        <w:spacing w:after="0" w:line="258" w:lineRule="auto"/>
        <w:rPr>
          <w:sz w:val="20"/>
          <w:szCs w:val="20"/>
          <w:color w:val="auto"/>
        </w:rPr>
      </w:pPr>
      <w:r>
        <w:rPr>
          <w:rFonts w:ascii="Times New Roman" w:cs="Times New Roman" w:eastAsia="Times New Roman" w:hAnsi="Times New Roman"/>
          <w:sz w:val="18"/>
          <w:szCs w:val="18"/>
          <w:color w:val="auto"/>
        </w:rPr>
        <w:t>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U.S. source capital losses even though the individual is not considered a resident of the United States.</w:t>
      </w:r>
    </w:p>
    <w:p>
      <w:pPr>
        <w:spacing w:after="0" w:line="180" w:lineRule="exact"/>
        <w:rPr>
          <w:sz w:val="20"/>
          <w:szCs w:val="20"/>
          <w:color w:val="auto"/>
        </w:rPr>
      </w:pPr>
    </w:p>
    <w:p>
      <w:pPr>
        <w:ind w:left="160" w:right="120" w:firstLine="436"/>
        <w:spacing w:after="0" w:line="258" w:lineRule="auto"/>
        <w:rPr>
          <w:sz w:val="20"/>
          <w:szCs w:val="20"/>
          <w:color w:val="auto"/>
        </w:rPr>
      </w:pPr>
      <w:r>
        <w:rPr>
          <w:rFonts w:ascii="Times New Roman" w:cs="Times New Roman" w:eastAsia="Times New Roman" w:hAnsi="Times New Roman"/>
          <w:sz w:val="18"/>
          <w:szCs w:val="18"/>
          <w:color w:val="auto"/>
        </w:rPr>
        <w:t>Generally, a corporation is a “U.S. real property holding corporation” if the fair market value of its U.S. real property interests equals or exceeds 50% of the sum of the fair market value of its worldwide real property interests and its other assets used or held for use in a trade or business (all as determined for U.S. federal income tax purposes). We believe we are not and do not anticipate becoming a “U.S. real property holding corporation” for U.S. federal income tax purposes.</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18" w:lineRule="exact"/>
        <w:rPr>
          <w:sz w:val="20"/>
          <w:szCs w:val="20"/>
          <w:color w:val="auto"/>
        </w:rPr>
      </w:pPr>
    </w:p>
    <w:p>
      <w:pPr>
        <w:ind w:left="160" w:right="40" w:firstLine="436"/>
        <w:spacing w:after="0" w:line="263" w:lineRule="auto"/>
        <w:rPr>
          <w:sz w:val="20"/>
          <w:szCs w:val="20"/>
          <w:color w:val="auto"/>
        </w:rPr>
      </w:pPr>
      <w:r>
        <w:rPr>
          <w:rFonts w:ascii="Times New Roman" w:cs="Times New Roman" w:eastAsia="Times New Roman" w:hAnsi="Times New Roman"/>
          <w:sz w:val="18"/>
          <w:szCs w:val="18"/>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75" w:lineRule="exact"/>
        <w:rPr>
          <w:sz w:val="20"/>
          <w:szCs w:val="20"/>
          <w:color w:val="auto"/>
        </w:rPr>
      </w:pPr>
    </w:p>
    <w:p>
      <w:pPr>
        <w:jc w:val="both"/>
        <w:ind w:left="160" w:right="160" w:firstLine="436"/>
        <w:spacing w:after="0" w:line="263" w:lineRule="auto"/>
        <w:rPr>
          <w:sz w:val="20"/>
          <w:szCs w:val="20"/>
          <w:color w:val="auto"/>
        </w:rPr>
      </w:pPr>
      <w:r>
        <w:rPr>
          <w:rFonts w:ascii="Times New Roman" w:cs="Times New Roman" w:eastAsia="Times New Roman" w:hAnsi="Times New Roman"/>
          <w:sz w:val="18"/>
          <w:szCs w:val="18"/>
          <w:color w:val="auto"/>
        </w:rPr>
        <w:t>A non-U.S. holder will not be subject to backup withholding on distributions received if such holder certifies under penalty of perjury that it is a non-U.S. holder (and the payor does not have actual knowledge or reason to know that such holder is a U.S. person as defined under the Code) such as by furnishing a valid IRS Form W-8BEN, W-8BEN-E, or W-8ECI, or such holder otherwise establishes an exemption.</w:t>
      </w:r>
    </w:p>
    <w:p>
      <w:pPr>
        <w:spacing w:after="0" w:line="175" w:lineRule="exact"/>
        <w:rPr>
          <w:sz w:val="20"/>
          <w:szCs w:val="20"/>
          <w:color w:val="auto"/>
        </w:rPr>
      </w:pPr>
    </w:p>
    <w:p>
      <w:pPr>
        <w:ind w:left="160" w:right="80" w:firstLine="436"/>
        <w:spacing w:after="0" w:line="258" w:lineRule="auto"/>
        <w:rPr>
          <w:sz w:val="20"/>
          <w:szCs w:val="20"/>
          <w:color w:val="auto"/>
        </w:rPr>
      </w:pPr>
      <w:r>
        <w:rPr>
          <w:rFonts w:ascii="Times New Roman" w:cs="Times New Roman" w:eastAsia="Times New Roman" w:hAnsi="Times New Roman"/>
          <w:sz w:val="18"/>
          <w:szCs w:val="18"/>
          <w:color w:val="auto"/>
        </w:rPr>
        <w:t>Information reporting and, depending on the circumstances, backup withholding will apply to the proceeds of a sale or other disposition of our Class A common stock within the United States or conducted through certain U.S.-related financial intermediaries, unless the beneficial owner certifies under penalty of perjury that it is a non-U.S. holder (and the payor does not have actual knowledge or reason to know that the beneficial owner is a U.S. person as defined under the Code), or such owner otherwise establishes an exemption.</w:t>
      </w:r>
    </w:p>
    <w:p>
      <w:pPr>
        <w:spacing w:after="0" w:line="180" w:lineRule="exact"/>
        <w:rPr>
          <w:sz w:val="20"/>
          <w:szCs w:val="20"/>
          <w:color w:val="auto"/>
        </w:rPr>
      </w:pPr>
    </w:p>
    <w:p>
      <w:pPr>
        <w:ind w:left="160" w:right="140" w:firstLine="436"/>
        <w:spacing w:after="0" w:line="278" w:lineRule="auto"/>
        <w:rPr>
          <w:sz w:val="20"/>
          <w:szCs w:val="20"/>
          <w:color w:val="auto"/>
        </w:rPr>
      </w:pPr>
      <w:r>
        <w:rPr>
          <w:rFonts w:ascii="Times New Roman" w:cs="Times New Roman" w:eastAsia="Times New Roman" w:hAnsi="Times New Roman"/>
          <w:sz w:val="18"/>
          <w:szCs w:val="18"/>
          <w:color w:val="auto"/>
        </w:rPr>
        <w:t>Backup withholding is not an additional tax and any amounts withheld under the backup withholding rules will be allowed as a refund or a credit against a non-U.S. holder’s U.S. federal income tax liability provided the required information is timely furnished to the IRS.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Additional Withholding Requirements</w:t>
      </w:r>
    </w:p>
    <w:p>
      <w:pPr>
        <w:spacing w:after="0" w:line="118"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Under Sections 1471 through 1474 of the Code (such Sections commonly referred to as “FATCA”), a 30% U.S. federal withholding tax may apply to any dividends paid on our common stock to (i) a “foreign financial institution” (as specifically defined in the Code and whether such foreign financial institution is the beneficial owner or an intermediary)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and whether such non-financial foreign entity is the beneficial owner or an intermediary)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“—Dividends,” an applicable withholding agent may credit the withholding under FATCA against, and therefore reduce, such other withholding tax. While withholding under FATCA would also have applied to payments of gross proceeds from the sale or other taxable disposition of our common stock, proposed United States Treasury regulations (upon which taxpayers may rely until final regulations are issued) eliminate FATCA withholding on payments of gross proceeds entirely. You should consult your own tax advisors regarding these requirements and whether they may be relevant to your ownership and disposition of our common stock.</w:t>
      </w:r>
    </w:p>
    <w:p>
      <w:pPr>
        <w:spacing w:after="0" w:line="1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080"/>
          </w:cols>
          <w:pgMar w:left="320" w:top="452" w:right="49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5" w:lineRule="exact"/>
        <w:rPr>
          <w:sz w:val="20"/>
          <w:szCs w:val="20"/>
          <w:color w:val="auto"/>
        </w:rPr>
      </w:pPr>
    </w:p>
    <w:p>
      <w:pPr>
        <w:ind w:left="160" w:right="80" w:firstLine="436"/>
        <w:spacing w:after="0" w:line="274" w:lineRule="auto"/>
        <w:rPr>
          <w:sz w:val="20"/>
          <w:szCs w:val="20"/>
          <w:color w:val="auto"/>
        </w:rPr>
      </w:pPr>
      <w:r>
        <w:rPr>
          <w:rFonts w:ascii="Times New Roman" w:cs="Times New Roman" w:eastAsia="Times New Roman" w:hAnsi="Times New Roman"/>
          <w:sz w:val="17"/>
          <w:szCs w:val="17"/>
          <w:color w:val="auto"/>
        </w:rPr>
        <w:t>We, the selling stockholders, and the underwriters named below will enter into an underwriting agreement with respect to the shares of Class A common stock being offered. Subject to certain conditions, each underwriter has severally agreed to purchase the number of shares of Class A common</w:t>
      </w:r>
    </w:p>
    <w:tbl>
      <w:tblPr>
        <w:tblLayout w:type="fixed"/>
        <w:tblInd w:w="160" w:type="dxa"/>
        <w:tblCellMar>
          <w:top w:w="0" w:type="dxa"/>
          <w:left w:w="0" w:type="dxa"/>
          <w:bottom w:w="0" w:type="dxa"/>
          <w:right w:w="0" w:type="dxa"/>
        </w:tblCellMar>
      </w:tblPr>
      <w:tr>
        <w:trPr>
          <w:trHeight w:val="233"/>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stock indicated in the following table.        </w:t>
            </w:r>
          </w:p>
        </w:tc>
        <w:tc>
          <w:tcPr>
            <w:tcW w:w="59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and             are the representatives of the underwriters.</w:t>
            </w:r>
          </w:p>
        </w:tc>
        <w:tc>
          <w:tcPr>
            <w:tcW w:w="0" w:type="dxa"/>
            <w:vAlign w:val="bottom"/>
          </w:tcPr>
          <w:p>
            <w:pPr>
              <w:spacing w:after="0"/>
              <w:rPr>
                <w:sz w:val="1"/>
                <w:szCs w:val="1"/>
                <w:color w:val="auto"/>
              </w:rPr>
            </w:pPr>
          </w:p>
        </w:tc>
      </w:tr>
      <w:tr>
        <w:trPr>
          <w:trHeight w:val="344"/>
        </w:trPr>
        <w:tc>
          <w:tcPr>
            <w:tcW w:w="3220" w:type="dxa"/>
            <w:vAlign w:val="bottom"/>
            <w:gridSpan w:val="3"/>
            <w:vMerge w:val="restart"/>
          </w:tcPr>
          <w:p>
            <w:pPr>
              <w:ind w:left="1760"/>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4460" w:type="dxa"/>
            <w:vAlign w:val="bottom"/>
          </w:tcPr>
          <w:p>
            <w:pPr>
              <w:spacing w:after="0"/>
              <w:rPr>
                <w:sz w:val="24"/>
                <w:szCs w:val="24"/>
                <w:color w:val="auto"/>
              </w:rPr>
            </w:pPr>
          </w:p>
        </w:tc>
        <w:tc>
          <w:tcPr>
            <w:tcW w:w="14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0" w:type="dxa"/>
            <w:vAlign w:val="bottom"/>
          </w:tcPr>
          <w:p>
            <w:pPr>
              <w:spacing w:after="0"/>
              <w:rPr>
                <w:sz w:val="1"/>
                <w:szCs w:val="1"/>
                <w:color w:val="auto"/>
              </w:rPr>
            </w:pPr>
          </w:p>
        </w:tc>
      </w:tr>
      <w:tr>
        <w:trPr>
          <w:trHeight w:val="158"/>
        </w:trPr>
        <w:tc>
          <w:tcPr>
            <w:tcW w:w="3220" w:type="dxa"/>
            <w:vAlign w:val="bottom"/>
            <w:gridSpan w:val="3"/>
            <w:vMerge w:val="continue"/>
          </w:tcPr>
          <w:p>
            <w:pPr>
              <w:spacing w:after="0"/>
              <w:rPr>
                <w:sz w:val="13"/>
                <w:szCs w:val="13"/>
                <w:color w:val="auto"/>
              </w:rPr>
            </w:pPr>
          </w:p>
        </w:tc>
        <w:tc>
          <w:tcPr>
            <w:tcW w:w="4460" w:type="dxa"/>
            <w:vAlign w:val="bottom"/>
          </w:tcPr>
          <w:p>
            <w:pPr>
              <w:spacing w:after="0"/>
              <w:rPr>
                <w:sz w:val="13"/>
                <w:szCs w:val="13"/>
                <w:color w:val="auto"/>
              </w:rPr>
            </w:pPr>
          </w:p>
        </w:tc>
        <w:tc>
          <w:tcPr>
            <w:tcW w:w="1480" w:type="dxa"/>
            <w:vAlign w:val="bottom"/>
            <w:gridSpan w:val="2"/>
          </w:tcPr>
          <w:p>
            <w:pPr>
              <w:jc w:val="center"/>
              <w:ind w:right="40"/>
              <w:spacing w:after="0" w:line="159"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760" w:type="dxa"/>
            <w:vAlign w:val="bottom"/>
          </w:tcPr>
          <w:p>
            <w:pPr>
              <w:spacing w:after="0"/>
              <w:rPr>
                <w:sz w:val="17"/>
                <w:szCs w:val="17"/>
                <w:color w:val="auto"/>
              </w:rPr>
            </w:pPr>
          </w:p>
        </w:tc>
        <w:tc>
          <w:tcPr>
            <w:tcW w:w="14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 xml:space="preserve">                   </w:t>
            </w:r>
          </w:p>
        </w:tc>
        <w:tc>
          <w:tcPr>
            <w:tcW w:w="4460" w:type="dxa"/>
            <w:vAlign w:val="bottom"/>
            <w:shd w:val="clear" w:color="auto" w:fill="CCEEFF"/>
          </w:tcPr>
          <w:p>
            <w:pPr>
              <w:spacing w:after="0"/>
              <w:rPr>
                <w:sz w:val="17"/>
                <w:szCs w:val="17"/>
                <w:color w:val="auto"/>
              </w:rPr>
            </w:pPr>
          </w:p>
        </w:tc>
        <w:tc>
          <w:tcPr>
            <w:tcW w:w="1440" w:type="dxa"/>
            <w:vAlign w:val="bottom"/>
            <w:shd w:val="clear" w:color="auto" w:fill="CCEEFF"/>
          </w:tcPr>
          <w:p>
            <w:pPr>
              <w:ind w:left="720"/>
              <w:spacing w:after="0" w:line="201" w:lineRule="exact"/>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76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6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60" w:right="260" w:firstLine="436"/>
        <w:spacing w:after="0" w:line="278" w:lineRule="auto"/>
        <w:rPr>
          <w:sz w:val="20"/>
          <w:szCs w:val="20"/>
          <w:color w:val="auto"/>
        </w:rPr>
      </w:pPr>
      <w:r>
        <w:rPr>
          <w:rFonts w:ascii="Times New Roman" w:cs="Times New Roman" w:eastAsia="Times New Roman" w:hAnsi="Times New Roman"/>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62" w:lineRule="exact"/>
        <w:rPr>
          <w:sz w:val="20"/>
          <w:szCs w:val="20"/>
          <w:color w:val="auto"/>
        </w:rPr>
      </w:pPr>
    </w:p>
    <w:p>
      <w:pPr>
        <w:ind w:left="160" w:right="40" w:firstLine="436"/>
        <w:spacing w:after="0" w:line="258" w:lineRule="auto"/>
        <w:rPr>
          <w:sz w:val="20"/>
          <w:szCs w:val="20"/>
          <w:color w:val="auto"/>
        </w:rPr>
      </w:pPr>
      <w:r>
        <w:rPr>
          <w:rFonts w:ascii="Times New Roman" w:cs="Times New Roman" w:eastAsia="Times New Roman" w:hAnsi="Times New Roman"/>
          <w:sz w:val="18"/>
          <w:szCs w:val="18"/>
          <w:color w:val="auto"/>
        </w:rPr>
        <w:t>The underwriters have an option to purchase up to an additional         shares from the selling stockholders at the public offering price less the underwriting discount. They may exercise that option for 30 days. If any shares are purchased pursuant to this option, the underwriters will severally purchase shares in approximately the same proportion as set forth in the table above. The underwriters do not expect sales to discretionary accounts to exceed five percent of the total number of shares of Class A common stock offered.</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shows the per share and total underwriting discounts and commissions to be paid to the underwriters by the selling</w:t>
      </w:r>
    </w:p>
    <w:p>
      <w:pPr>
        <w:spacing w:after="0" w:line="26" w:lineRule="exact"/>
        <w:rPr>
          <w:sz w:val="20"/>
          <w:szCs w:val="20"/>
          <w:color w:val="auto"/>
        </w:rPr>
      </w:pPr>
    </w:p>
    <w:tbl>
      <w:tblPr>
        <w:tblLayout w:type="fixed"/>
        <w:tblInd w:w="160" w:type="dxa"/>
        <w:tblCellMar>
          <w:top w:w="0" w:type="dxa"/>
          <w:left w:w="0" w:type="dxa"/>
          <w:bottom w:w="0" w:type="dxa"/>
          <w:right w:w="0" w:type="dxa"/>
        </w:tblCellMar>
      </w:tblPr>
      <w:tr>
        <w:trPr>
          <w:trHeight w:val="233"/>
        </w:trPr>
        <w:tc>
          <w:tcPr>
            <w:tcW w:w="890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8"/>
              </w:rPr>
              <w:t>stockholders. Such amounts are shown assuming both no exercise and full exercise of the underwriters’ option to purchase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2"/>
              </w:rPr>
              <w:t>   additional shares.</w:t>
            </w:r>
          </w:p>
        </w:tc>
      </w:tr>
      <w:tr>
        <w:trPr>
          <w:trHeight w:val="582"/>
        </w:trPr>
        <w:tc>
          <w:tcPr>
            <w:tcW w:w="13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Paid by Us</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8"/>
        </w:trPr>
        <w:tc>
          <w:tcPr>
            <w:tcW w:w="13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No Exercise</w:t>
            </w:r>
          </w:p>
        </w:tc>
        <w:tc>
          <w:tcPr>
            <w:tcW w:w="540" w:type="dxa"/>
            <w:vAlign w:val="bottom"/>
          </w:tcPr>
          <w:p>
            <w:pPr>
              <w:spacing w:after="0"/>
              <w:rPr>
                <w:sz w:val="24"/>
                <w:szCs w:val="24"/>
                <w:color w:val="auto"/>
              </w:rPr>
            </w:pPr>
          </w:p>
        </w:tc>
        <w:tc>
          <w:tcPr>
            <w:tcW w:w="20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Full Exercise</w:t>
            </w:r>
          </w:p>
        </w:tc>
      </w:tr>
      <w:tr>
        <w:trPr>
          <w:trHeight w:val="207"/>
        </w:trPr>
        <w:tc>
          <w:tcPr>
            <w:tcW w:w="132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8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340" w:type="dxa"/>
            <w:vAlign w:val="bottom"/>
            <w:tcBorders>
              <w:top w:val="single" w:sz="8" w:color="auto"/>
              <w:bottom w:val="single" w:sz="8" w:color="auto"/>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spacing w:after="0"/>
              <w:rPr>
                <w:sz w:val="18"/>
                <w:szCs w:val="18"/>
                <w:color w:val="auto"/>
              </w:rPr>
            </w:pPr>
          </w:p>
        </w:tc>
      </w:tr>
      <w:tr>
        <w:trPr>
          <w:trHeight w:val="221"/>
        </w:trPr>
        <w:tc>
          <w:tcPr>
            <w:tcW w:w="13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Pr>
          <w:p>
            <w:pPr>
              <w:spacing w:after="0"/>
              <w:rPr>
                <w:sz w:val="19"/>
                <w:szCs w:val="19"/>
                <w:color w:val="auto"/>
              </w:rPr>
            </w:pPr>
          </w:p>
        </w:tc>
      </w:tr>
      <w:tr>
        <w:trPr>
          <w:trHeight w:val="20"/>
        </w:trPr>
        <w:tc>
          <w:tcPr>
            <w:tcW w:w="13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Shares of Class A common stock sold by the underwriters to the public will initially be offered at the public offering price set forth on the cover of this prospectus. Any shares sold by the underwriters to securities dealers may be sold at a discount of up to $        per share from the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80" w:lineRule="exact"/>
        <w:rPr>
          <w:sz w:val="20"/>
          <w:szCs w:val="20"/>
          <w:color w:val="auto"/>
        </w:rPr>
      </w:pPr>
    </w:p>
    <w:p>
      <w:pPr>
        <w:ind w:left="160" w:right="40" w:firstLine="436"/>
        <w:spacing w:after="0" w:line="255" w:lineRule="auto"/>
        <w:rPr>
          <w:sz w:val="20"/>
          <w:szCs w:val="20"/>
          <w:color w:val="auto"/>
        </w:rPr>
      </w:pPr>
      <w:r>
        <w:rPr>
          <w:rFonts w:ascii="Times New Roman" w:cs="Times New Roman" w:eastAsia="Times New Roman" w:hAnsi="Times New Roman"/>
          <w:sz w:val="18"/>
          <w:szCs w:val="18"/>
          <w:color w:val="auto"/>
        </w:rPr>
        <w:t>In connection with our IPO, we and our officers and directors and our pre-IPO owners agreed with the underwriters, subject to certain exceptions, not to dispose of or hedge any shares of Class A common stock or securities convertible into or exchangeable for shares of Class A common stock during the period from the date of this prospectus continuing through the date 180 days after December 16, 2025, except with the prior written consent of either Goldman Sachs &amp; Co. LLC or Morgan Stanley &amp; Co. LLC, and one additional representative, on behalf of the underwriters, and the prior written notice to the other representatives.</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040"/>
          </w:cols>
          <w:pgMar w:left="320" w:top="452" w:right="5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600" w:firstLine="436"/>
        <w:spacing w:after="0" w:line="278" w:lineRule="auto"/>
        <w:rPr>
          <w:sz w:val="20"/>
          <w:szCs w:val="20"/>
          <w:color w:val="auto"/>
        </w:rPr>
      </w:pPr>
      <w:r>
        <w:rPr>
          <w:rFonts w:ascii="Times New Roman" w:cs="Times New Roman" w:eastAsia="Times New Roman" w:hAnsi="Times New Roman"/>
          <w:sz w:val="18"/>
          <w:szCs w:val="18"/>
          <w:color w:val="auto"/>
        </w:rPr>
        <w:t>The foregoing restrictions on our officers, directors, our Principal Stockholders, our Other Pre-IPO Investors and certain other individuals (collectively, “security holders”) do not apply to, among other things, and subject in certain cases to various conditions:</w:t>
      </w:r>
    </w:p>
    <w:p>
      <w:pPr>
        <w:spacing w:after="0" w:line="69" w:lineRule="exact"/>
        <w:rPr>
          <w:sz w:val="20"/>
          <w:szCs w:val="20"/>
          <w:color w:val="auto"/>
        </w:rPr>
      </w:pPr>
    </w:p>
    <w:p>
      <w:pPr>
        <w:ind w:left="1140" w:hanging="545"/>
        <w:spacing w:after="0"/>
        <w:tabs>
          <w:tab w:leader="none" w:pos="11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by a security holder of shares or any securities convertible into, exchangeable for, exercisable for, or repayable with shares:</w:t>
      </w:r>
    </w:p>
    <w:p>
      <w:pPr>
        <w:spacing w:after="0" w:line="127" w:lineRule="exact"/>
        <w:rPr>
          <w:rFonts w:ascii="Times New Roman" w:cs="Times New Roman" w:eastAsia="Times New Roman" w:hAnsi="Times New Roman"/>
          <w:sz w:val="18"/>
          <w:szCs w:val="18"/>
          <w:color w:val="auto"/>
        </w:rPr>
      </w:pPr>
    </w:p>
    <w:p>
      <w:pPr>
        <w:ind w:left="1680" w:hanging="536"/>
        <w:spacing w:after="0"/>
        <w:tabs>
          <w:tab w:leader="none" w:pos="168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other testamentary document or intestacy;</w:t>
      </w:r>
    </w:p>
    <w:p>
      <w:pPr>
        <w:spacing w:after="0" w:line="127" w:lineRule="exact"/>
        <w:rPr>
          <w:rFonts w:ascii="Times New Roman" w:cs="Times New Roman" w:eastAsia="Times New Roman" w:hAnsi="Times New Roman"/>
          <w:sz w:val="18"/>
          <w:szCs w:val="18"/>
          <w:color w:val="auto"/>
        </w:rPr>
      </w:pPr>
    </w:p>
    <w:p>
      <w:pPr>
        <w:ind w:left="1680" w:right="320" w:hanging="536"/>
        <w:spacing w:after="0" w:line="278" w:lineRule="auto"/>
        <w:tabs>
          <w:tab w:leader="none" w:pos="168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bona fide gift or gifts, or for bona fide estate planning purposes, including without limitation to charitable organizations or educational institutions;</w:t>
      </w:r>
    </w:p>
    <w:p>
      <w:pPr>
        <w:spacing w:after="0" w:line="68" w:lineRule="exact"/>
        <w:rPr>
          <w:rFonts w:ascii="Times New Roman" w:cs="Times New Roman" w:eastAsia="Times New Roman" w:hAnsi="Times New Roman"/>
          <w:sz w:val="18"/>
          <w:szCs w:val="18"/>
          <w:color w:val="auto"/>
        </w:rPr>
      </w:pPr>
    </w:p>
    <w:p>
      <w:pPr>
        <w:ind w:left="1680" w:hanging="536"/>
        <w:spacing w:after="0" w:line="263" w:lineRule="auto"/>
        <w:tabs>
          <w:tab w:leader="none" w:pos="168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trust, partnership, limited liability company or other entity for the direct or indirect benefit of the security holder or the immediate family of the security holder, or if the security holder is a trust, to a trustor or beneficiary of the trust or to the estate of a beneficiary of such trust;</w:t>
      </w:r>
    </w:p>
    <w:p>
      <w:pPr>
        <w:spacing w:after="0" w:line="81" w:lineRule="exact"/>
        <w:rPr>
          <w:rFonts w:ascii="Times New Roman" w:cs="Times New Roman" w:eastAsia="Times New Roman" w:hAnsi="Times New Roman"/>
          <w:sz w:val="18"/>
          <w:szCs w:val="18"/>
          <w:color w:val="auto"/>
        </w:rPr>
      </w:pPr>
    </w:p>
    <w:p>
      <w:pPr>
        <w:ind w:left="1680" w:hanging="536"/>
        <w:spacing w:after="0"/>
        <w:tabs>
          <w:tab w:leader="none" w:pos="168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immediate family member or other dependent of the security holder;</w:t>
      </w:r>
    </w:p>
    <w:p>
      <w:pPr>
        <w:spacing w:after="0" w:line="127" w:lineRule="exact"/>
        <w:rPr>
          <w:rFonts w:ascii="Times New Roman" w:cs="Times New Roman" w:eastAsia="Times New Roman" w:hAnsi="Times New Roman"/>
          <w:sz w:val="18"/>
          <w:szCs w:val="18"/>
          <w:color w:val="auto"/>
        </w:rPr>
      </w:pPr>
    </w:p>
    <w:p>
      <w:pPr>
        <w:ind w:left="1680" w:right="60" w:hanging="536"/>
        <w:spacing w:after="0" w:line="277" w:lineRule="auto"/>
        <w:tabs>
          <w:tab w:leader="none" w:pos="1680"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distribution, transfer or disposition to limited partners, members, stockholders or other equity holders of the security holder or its affiliates (including a fund managed by the same manager or managing member or general partner or management company or by an entity controlling, controlled by, or under common control with such manager or managing member or general partner or management company as the security holder or who shares a common investment advisor with the security holder);</w:t>
      </w:r>
    </w:p>
    <w:p>
      <w:pPr>
        <w:spacing w:after="0" w:line="73" w:lineRule="exact"/>
        <w:rPr>
          <w:rFonts w:ascii="Times New Roman" w:cs="Times New Roman" w:eastAsia="Times New Roman" w:hAnsi="Times New Roman"/>
          <w:sz w:val="17"/>
          <w:szCs w:val="17"/>
          <w:color w:val="auto"/>
        </w:rPr>
      </w:pPr>
    </w:p>
    <w:p>
      <w:pPr>
        <w:ind w:left="1680" w:hanging="536"/>
        <w:spacing w:after="0" w:line="258" w:lineRule="auto"/>
        <w:tabs>
          <w:tab w:leader="none" w:pos="168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security holder’s affiliates or to any investment fund or other entity controlling, controlled by, managed by or under common control, or common investment management, with the security holder or affiliates of the security holder (including, for the avoidance of doubt, where the security holder is a partnership, to its general partner or a successor partnership or fund, or any other funds managed by such partnership);</w:t>
      </w:r>
    </w:p>
    <w:p>
      <w:pPr>
        <w:spacing w:after="0" w:line="86" w:lineRule="exact"/>
        <w:rPr>
          <w:rFonts w:ascii="Times New Roman" w:cs="Times New Roman" w:eastAsia="Times New Roman" w:hAnsi="Times New Roman"/>
          <w:sz w:val="18"/>
          <w:szCs w:val="18"/>
          <w:color w:val="auto"/>
        </w:rPr>
      </w:pPr>
    </w:p>
    <w:p>
      <w:pPr>
        <w:ind w:left="1680" w:right="240" w:hanging="536"/>
        <w:spacing w:after="0" w:line="278" w:lineRule="auto"/>
        <w:tabs>
          <w:tab w:leader="none" w:pos="168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nominee or custodian of a person or entity to whom a disposition or transfer would be permissible under clauses (i) through (vi) above;</w:t>
      </w:r>
    </w:p>
    <w:p>
      <w:pPr>
        <w:spacing w:after="0" w:line="68" w:lineRule="exact"/>
        <w:rPr>
          <w:rFonts w:ascii="Times New Roman" w:cs="Times New Roman" w:eastAsia="Times New Roman" w:hAnsi="Times New Roman"/>
          <w:sz w:val="18"/>
          <w:szCs w:val="18"/>
          <w:color w:val="auto"/>
        </w:rPr>
      </w:pPr>
    </w:p>
    <w:p>
      <w:pPr>
        <w:ind w:left="1680" w:right="100" w:hanging="536"/>
        <w:spacing w:after="0" w:line="278" w:lineRule="auto"/>
        <w:tabs>
          <w:tab w:leader="none" w:pos="168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including pursuant to an order of a court (including a final domestic order, divorce settlement, divorce decree or separation agreement or other order) or regulatory agency;</w:t>
      </w:r>
    </w:p>
    <w:p>
      <w:pPr>
        <w:spacing w:after="0" w:line="68" w:lineRule="exact"/>
        <w:rPr>
          <w:rFonts w:ascii="Times New Roman" w:cs="Times New Roman" w:eastAsia="Times New Roman" w:hAnsi="Times New Roman"/>
          <w:sz w:val="18"/>
          <w:szCs w:val="18"/>
          <w:color w:val="auto"/>
        </w:rPr>
      </w:pPr>
    </w:p>
    <w:p>
      <w:pPr>
        <w:ind w:left="1680" w:right="80" w:hanging="536"/>
        <w:spacing w:after="0" w:line="278" w:lineRule="auto"/>
        <w:tabs>
          <w:tab w:leader="none" w:pos="168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from the security holder upon death, disability or termination of employment, in each case, of the security holder pursuant to any contractual arrangement that provides us with a right to purchase the security holder’s securities;</w:t>
      </w:r>
    </w:p>
    <w:p>
      <w:pPr>
        <w:spacing w:after="0" w:line="68" w:lineRule="exact"/>
        <w:rPr>
          <w:rFonts w:ascii="Times New Roman" w:cs="Times New Roman" w:eastAsia="Times New Roman" w:hAnsi="Times New Roman"/>
          <w:sz w:val="18"/>
          <w:szCs w:val="18"/>
          <w:color w:val="auto"/>
        </w:rPr>
      </w:pPr>
    </w:p>
    <w:p>
      <w:pPr>
        <w:ind w:left="1680" w:right="60" w:hanging="536"/>
        <w:spacing w:after="0" w:line="255" w:lineRule="auto"/>
        <w:tabs>
          <w:tab w:leader="none" w:pos="168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transactions by any person other than us relating to shares of Class A common stock acquired (A) in open market transactions after the completion of the offering or (B) from the Underwriters in this Offering (for our Other Pre-IPO Investors only), provided that in the case of this clause (x) no public reports or filings (including filings under Section 16(a) of the Exchange Act) reporting a reduction in beneficial ownership of Class A common stock or Class B common stock shall be required or shall be voluntarily made during the lock-up period or any extension thereof;</w:t>
      </w:r>
    </w:p>
    <w:p>
      <w:pPr>
        <w:spacing w:after="0" w:line="90" w:lineRule="exact"/>
        <w:rPr>
          <w:rFonts w:ascii="Times New Roman" w:cs="Times New Roman" w:eastAsia="Times New Roman" w:hAnsi="Times New Roman"/>
          <w:sz w:val="18"/>
          <w:szCs w:val="18"/>
          <w:color w:val="auto"/>
        </w:rPr>
      </w:pPr>
    </w:p>
    <w:p>
      <w:pPr>
        <w:ind w:left="1680" w:right="280" w:hanging="536"/>
        <w:spacing w:after="0" w:line="258" w:lineRule="auto"/>
        <w:tabs>
          <w:tab w:leader="none" w:pos="168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pursuant to the “net” or “cashless” exercise at expiration of options, warrants or other rights to purchase shares of Class A common stock or Class B common stock granted pursuant to any employee equity incentive plan outstanding at or prior to the closing of the offering and referred to herein, provided that any shares of Class A common stock, Class B common stock or Common Units received in connection therewith shall be subject to the terms of the lock-up agreement;</w:t>
      </w:r>
    </w:p>
    <w:p>
      <w:pPr>
        <w:spacing w:after="0" w:line="86" w:lineRule="exact"/>
        <w:rPr>
          <w:rFonts w:ascii="Times New Roman" w:cs="Times New Roman" w:eastAsia="Times New Roman" w:hAnsi="Times New Roman"/>
          <w:sz w:val="18"/>
          <w:szCs w:val="18"/>
          <w:color w:val="auto"/>
        </w:rPr>
      </w:pPr>
    </w:p>
    <w:p>
      <w:pPr>
        <w:ind w:left="1680" w:right="100" w:hanging="536"/>
        <w:spacing w:after="0" w:line="263" w:lineRule="auto"/>
        <w:tabs>
          <w:tab w:leader="none" w:pos="168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tax withholding payments (including estimated taxes) due upon the exercise at expiration of options or the vesting of any awards granted by us pursuant to any of our incentive plans, provided that any filings required to be made with the SEC or other publicity made regarding the same will indicate that such transactions relate to such tax withholding payments;</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040"/>
          </w:cols>
          <w:pgMar w:left="320" w:top="451" w:right="5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80" w:right="20" w:hanging="536"/>
        <w:spacing w:after="0" w:line="278" w:lineRule="auto"/>
        <w:tabs>
          <w:tab w:leader="none" w:pos="16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sale of securities to be sold by the security holder in the manner described in the final prospectus used to sell shares of Class A Common Stock;</w:t>
      </w:r>
    </w:p>
    <w:p>
      <w:pPr>
        <w:spacing w:after="0" w:line="68" w:lineRule="exact"/>
        <w:rPr>
          <w:rFonts w:ascii="Times New Roman" w:cs="Times New Roman" w:eastAsia="Times New Roman" w:hAnsi="Times New Roman"/>
          <w:sz w:val="18"/>
          <w:szCs w:val="18"/>
          <w:color w:val="auto"/>
        </w:rPr>
      </w:pPr>
    </w:p>
    <w:p>
      <w:pPr>
        <w:ind w:left="1680" w:right="160" w:hanging="536"/>
        <w:spacing w:after="0" w:line="258" w:lineRule="auto"/>
        <w:tabs>
          <w:tab w:leader="none" w:pos="16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bona fide third-party tender offer, merger, consolidation or other similar transaction that is approved by our board of directors and made to all holders of the our capital stock involving a change of control; provided that in the event that such tender offer, merger, consolidation or other similar transaction is not completed, the security holder’s shares shall remain subject to the provisions of the lock-up agreement; and/or</w:t>
      </w:r>
    </w:p>
    <w:p>
      <w:pPr>
        <w:spacing w:after="0" w:line="86" w:lineRule="exact"/>
        <w:rPr>
          <w:rFonts w:ascii="Times New Roman" w:cs="Times New Roman" w:eastAsia="Times New Roman" w:hAnsi="Times New Roman"/>
          <w:sz w:val="18"/>
          <w:szCs w:val="18"/>
          <w:color w:val="auto"/>
        </w:rPr>
      </w:pPr>
    </w:p>
    <w:p>
      <w:pPr>
        <w:ind w:left="1680" w:right="220" w:hanging="536"/>
        <w:spacing w:after="0" w:line="263" w:lineRule="auto"/>
        <w:tabs>
          <w:tab w:leader="none" w:pos="16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written consent of either Goldman Sachs &amp; Co. LLC or Morgan Stanley &amp; Co. LLC, and one additional representative, on behalf of the underwriters; provided that we or the security holder shall also provide prior written notice to the other Representatives;</w:t>
      </w:r>
    </w:p>
    <w:p>
      <w:pPr>
        <w:spacing w:after="0" w:line="68" w:lineRule="exact"/>
        <w:rPr>
          <w:sz w:val="20"/>
          <w:szCs w:val="20"/>
          <w:color w:val="auto"/>
        </w:rPr>
      </w:pPr>
    </w:p>
    <w:p>
      <w:pPr>
        <w:ind w:left="1140"/>
        <w:spacing w:after="0" w:line="250" w:lineRule="auto"/>
        <w:rPr>
          <w:sz w:val="20"/>
          <w:szCs w:val="20"/>
          <w:color w:val="auto"/>
        </w:rPr>
      </w:pPr>
      <w:r>
        <w:rPr>
          <w:rFonts w:ascii="Times New Roman" w:cs="Times New Roman" w:eastAsia="Times New Roman" w:hAnsi="Times New Roman"/>
          <w:sz w:val="18"/>
          <w:szCs w:val="18"/>
          <w:color w:val="auto"/>
        </w:rPr>
        <w:t>provided that: (1) (a) in the case of each transfer or distribution pursuant to clauses (ii) through (viii) above, each donee, trustee, distributee or transferee, as the case may be, agrees to be bound in writing by the restrictions described above (and, in the case of clause (viii), the security holder shall use reasonable best efforts to cause the transferee to deliver to the representatives a lock-up letter in the form of the lock-up agreement); and (b) in the case of transfers pursuant to clauses (ii), (iii), (iv), (v) and (vii), any such transfer or distribution shall not involve a disposition for value, other than with respect to any such transfer or distribution for which the transferor or distributor receives (x) equity interests of such transferee or (y) such transferee’s interests in the transferor; (2) in the case of each transfer or distribution pursuant to clauses (ii) through (vii), if any public reports or filings (including filings under Section 16(a) of the Exchange Act) reporting a reduction in beneficial ownership of Class A common stock or Class B common stock shall be required or shall be voluntarily made during the lock-up period or any extension thereof (a) the security holder shall provide the representatives prior written notice informing them of such report or filing and (b) such report or filing shall disclose that such donee, trustee, distributee or transferee, as the case may be, agrees to be bound in writing by the restrictions set forth herein; and (3) in the case of each transfer or distribution pursuant to clauses (viii) and (xii), if any public reports or filings (including filings under Section 16(a) of the Exchange Act) reporting a reduction in beneficial ownership of Class A common stock or Class B common stock shall be required or shall be voluntarily made during the lock-up period or any extension thereof (a) the security holder shall provide the representatives prior written notice informing them of such report or filing and (b) such report or filing shall disclose that such transfer or distributions was made under the circumstances described in clause (viii) or (xii), as applicable;</w:t>
      </w:r>
    </w:p>
    <w:p>
      <w:pPr>
        <w:spacing w:after="0" w:line="94" w:lineRule="exact"/>
        <w:rPr>
          <w:sz w:val="20"/>
          <w:szCs w:val="20"/>
          <w:color w:val="auto"/>
        </w:rPr>
      </w:pPr>
    </w:p>
    <w:p>
      <w:pPr>
        <w:ind w:left="1140" w:right="60" w:hanging="545"/>
        <w:spacing w:after="0" w:line="255" w:lineRule="auto"/>
        <w:tabs>
          <w:tab w:leader="none" w:pos="11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security holder is a corporation, the corporation may transfer the security holder’s shares to any wholly owned subsidiary of such corporation; provided, however, that in any such case, it shall be a condition to the transfer that the transferee execute an agreement stating that the transferee is receiving and holding such shares of Class A common stock, Class B common stock or Common Units subject to the provisions of the lock-up agreement and there shall be no further transfer of such shares of Class A common stock, Class B common stock or Common Units except in accordance with the lock-up agreement;</w:t>
      </w:r>
    </w:p>
    <w:p>
      <w:pPr>
        <w:spacing w:after="0" w:line="90" w:lineRule="exact"/>
        <w:rPr>
          <w:rFonts w:ascii="Times New Roman" w:cs="Times New Roman" w:eastAsia="Times New Roman" w:hAnsi="Times New Roman"/>
          <w:sz w:val="18"/>
          <w:szCs w:val="18"/>
          <w:color w:val="auto"/>
        </w:rPr>
      </w:pPr>
    </w:p>
    <w:p>
      <w:pPr>
        <w:ind w:left="1140" w:right="60" w:hanging="545"/>
        <w:spacing w:after="0" w:line="271" w:lineRule="auto"/>
        <w:tabs>
          <w:tab w:leader="none" w:pos="114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establishment of a trading plan pursuant to Rule 10b5-1 under the Exchange Act, provided that (i) no transfers occur under such plan during the lock-up period and (ii) no public announcement, filing or report under the Exchange Act shall be voluntarily made by any person in connection therewith during the lock-up period (other than general disclosure in the Company’s periodic reports to the effect that our directors and officers may enter into such trading plans from time to time) and, if any announcement, filing or report shall be legally required during the lock-up period, such announcement, filing or report shall clearly indicate therein that none of the securities subject to such plan may be transferred, sold, or otherwise disposed of pursuant to such plan until after expiration of the lock-up period; or</w:t>
      </w:r>
    </w:p>
    <w:p>
      <w:pPr>
        <w:spacing w:after="0" w:line="79" w:lineRule="exact"/>
        <w:rPr>
          <w:rFonts w:ascii="Times New Roman" w:cs="Times New Roman" w:eastAsia="Times New Roman" w:hAnsi="Times New Roman"/>
          <w:sz w:val="17"/>
          <w:szCs w:val="17"/>
          <w:color w:val="auto"/>
        </w:rPr>
      </w:pPr>
    </w:p>
    <w:p>
      <w:pPr>
        <w:ind w:left="1140" w:right="520" w:hanging="545"/>
        <w:spacing w:after="0" w:line="278" w:lineRule="auto"/>
        <w:tabs>
          <w:tab w:leader="none" w:pos="11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our Principal Stockholders and the Other Pre-IPO Investors, any pledge, charge, hypothecation or other granting of a security interest in the Class A common stock, Class B common</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080"/>
          </w:cols>
          <w:pgMar w:left="320" w:top="451" w:right="49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140"/>
        <w:spacing w:after="0" w:line="251" w:lineRule="auto"/>
        <w:rPr>
          <w:sz w:val="20"/>
          <w:szCs w:val="20"/>
          <w:color w:val="auto"/>
        </w:rPr>
      </w:pPr>
      <w:r>
        <w:rPr>
          <w:rFonts w:ascii="Times New Roman" w:cs="Times New Roman" w:eastAsia="Times New Roman" w:hAnsi="Times New Roman"/>
          <w:sz w:val="18"/>
          <w:szCs w:val="18"/>
          <w:color w:val="auto"/>
        </w:rPr>
        <w:t>stock, Common Units or any security convertible into Class A common stock or Class B common stock, to one or more banks, financial or other lending institutions as collateral or security for or in connection with any margin loan or other loans, advances or extensions of credit entered into by the security holder or any of its direct or indirect subsidiaries and any transfers of such Class A common stock, Class B common stock, Common Units or such other securities to the applicable lender(s) or other third parties upon or following foreclosure upon or enforcement of such Class A common stock, Class B common stock, Common Units or such securities in accordance with the terms of the documentation governing any margin loan or other loan, advance, or extension of credit (including, without limitation, pursuant to any agreement or arrangement existing as of the date hereof), provided that the security holder or the Company, as the case may be, shall provide the representatives prior written notice informing them of any public filing, report or announcement with respect to such pledge, hypothecation or other grant of a security interest.</w:t>
      </w:r>
    </w:p>
    <w:p>
      <w:pPr>
        <w:spacing w:after="0" w:line="1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Class A common stock is listed on Nasdaq under the symbol “MDLN.”</w:t>
      </w:r>
    </w:p>
    <w:p>
      <w:pPr>
        <w:spacing w:after="0" w:line="221" w:lineRule="exact"/>
        <w:rPr>
          <w:sz w:val="20"/>
          <w:szCs w:val="20"/>
          <w:color w:val="auto"/>
        </w:rPr>
      </w:pPr>
    </w:p>
    <w:p>
      <w:pPr>
        <w:ind w:left="160" w:right="20" w:firstLine="436"/>
        <w:spacing w:after="0" w:line="250"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shares of Class A common stock in the open market after pricing that could adversely affect investors who purchase in the offering. Stabilizing transactions consist of various bids for or purchases of shares of Class A common stock made by the underwriters in the open market prior to the completion of the offering.</w:t>
      </w:r>
    </w:p>
    <w:p>
      <w:pPr>
        <w:spacing w:after="0" w:line="193" w:lineRule="exact"/>
        <w:rPr>
          <w:sz w:val="20"/>
          <w:szCs w:val="20"/>
          <w:color w:val="auto"/>
        </w:rPr>
      </w:pPr>
    </w:p>
    <w:p>
      <w:pPr>
        <w:ind w:left="160" w:right="60" w:firstLine="436"/>
        <w:spacing w:after="0" w:line="263"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5"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Purchases to cover a short position and stabilizing transactions, as well as other purchases by the underwriters for their own accounts, may have the effect of preventing or retarding a decline in the market price of our Class A common stock, and together with the imposition of the penalty bid, may stabilize, maintain, or otherwise affect the market price of the shares of Class A common stock. As a result, the price of the shares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estimate that our share of the total expenses of the offering, excluding underwriting discounts and commissions, will be approximately</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            million. We have also agreed to reimburse the underwriters for certain FINRA-related expenses incurred by them in connection with the</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offering in an amount up to $            .</w:t>
      </w:r>
    </w:p>
    <w:p>
      <w:pPr>
        <w:spacing w:after="0" w:line="202" w:lineRule="exact"/>
        <w:rPr>
          <w:sz w:val="20"/>
          <w:szCs w:val="20"/>
          <w:color w:val="auto"/>
        </w:rPr>
      </w:pPr>
    </w:p>
    <w:p>
      <w:pPr>
        <w:ind w:left="160" w:right="580" w:firstLine="436"/>
        <w:spacing w:after="0" w:line="278" w:lineRule="auto"/>
        <w:rPr>
          <w:sz w:val="20"/>
          <w:szCs w:val="20"/>
          <w:color w:val="auto"/>
        </w:rPr>
      </w:pPr>
      <w:r>
        <w:rPr>
          <w:rFonts w:ascii="Times New Roman" w:cs="Times New Roman" w:eastAsia="Times New Roman" w:hAnsi="Times New Roman"/>
          <w:sz w:val="18"/>
          <w:szCs w:val="18"/>
          <w:color w:val="auto"/>
        </w:rPr>
        <w:t>We and the selling stockholders have agreed to indemnify the several underwriters against certain liabilities, including liabilities under the Securities Act.</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040"/>
          </w:cols>
          <w:pgMar w:left="320" w:top="451" w:right="5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40" w:firstLine="436"/>
        <w:spacing w:after="0" w:line="258"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underwriters, or selling group members, if any, participating in this offering. The representatives may agree to allocate a number of our shares to underwriters for sale to their online brokerage account holders. Internet distributions will be allocated by the representatives to underwriters that may make Internet distributions on the same basis as other allocations.</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18" w:lineRule="exact"/>
        <w:rPr>
          <w:sz w:val="20"/>
          <w:szCs w:val="20"/>
          <w:color w:val="auto"/>
        </w:rPr>
      </w:pPr>
    </w:p>
    <w:p>
      <w:pPr>
        <w:jc w:val="both"/>
        <w:ind w:left="160" w:right="240" w:firstLine="436"/>
        <w:spacing w:after="0" w:line="278" w:lineRule="auto"/>
        <w:rPr>
          <w:sz w:val="20"/>
          <w:szCs w:val="20"/>
          <w:color w:val="auto"/>
        </w:rPr>
      </w:pPr>
      <w:r>
        <w:rPr>
          <w:rFonts w:ascii="Times New Roman" w:cs="Times New Roman" w:eastAsia="Times New Roman" w:hAnsi="Times New Roman"/>
          <w:sz w:val="17"/>
          <w:szCs w:val="17"/>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our affiliates, for which they received or will receive customary fees and expenses.</w:t>
      </w:r>
    </w:p>
    <w:p>
      <w:pPr>
        <w:spacing w:after="0" w:line="164" w:lineRule="exact"/>
        <w:rPr>
          <w:sz w:val="20"/>
          <w:szCs w:val="20"/>
          <w:color w:val="auto"/>
        </w:rPr>
      </w:pPr>
    </w:p>
    <w:p>
      <w:pPr>
        <w:ind w:left="160" w:right="40" w:firstLine="436"/>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or our affiliates (directly, as collateral securing other obligations or otherwise).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Settlement</w:t>
      </w:r>
    </w:p>
    <w:p>
      <w:pPr>
        <w:spacing w:after="0" w:line="118" w:lineRule="exact"/>
        <w:rPr>
          <w:sz w:val="20"/>
          <w:szCs w:val="20"/>
          <w:color w:val="auto"/>
        </w:rPr>
      </w:pPr>
    </w:p>
    <w:p>
      <w:pPr>
        <w:ind w:left="160" w:right="40" w:firstLine="436"/>
        <w:spacing w:after="0" w:line="253" w:lineRule="auto"/>
        <w:rPr>
          <w:sz w:val="20"/>
          <w:szCs w:val="20"/>
          <w:color w:val="auto"/>
        </w:rPr>
      </w:pPr>
      <w:r>
        <w:rPr>
          <w:rFonts w:ascii="Times New Roman" w:cs="Times New Roman" w:eastAsia="Times New Roman" w:hAnsi="Times New Roman"/>
          <w:sz w:val="18"/>
          <w:szCs w:val="18"/>
          <w:color w:val="auto"/>
        </w:rPr>
        <w:t>We expect that delivery of the shares of Class A common stock will be made against payment therefor on or about the closing date specified on the cover page of this prospectus supplement, which is the        business day following the date of pricing of the shares of Class A common stock (this settlement cycle being referred to as “T+        ”). Under Rule 15c6-1 of the Exchange Act, trades in the secondary market generally are required to settle in one business day, unless the parties to any such trade expressly agree otherwise. Accordingly, purchasers who wish to trade the shares of Class A common stock on the date of pricing will be required, by virtue of the fact that the shares of Class A common stock initially will settle in T+        , to specify an alternate settlement cycle at the time of any such trade to prevent a failed settlement and should consult their own advisors.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8"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European Economic Area</w:t>
      </w:r>
    </w:p>
    <w:p>
      <w:pPr>
        <w:spacing w:after="0" w:line="116" w:lineRule="exact"/>
        <w:rPr>
          <w:sz w:val="20"/>
          <w:szCs w:val="20"/>
          <w:color w:val="auto"/>
        </w:rPr>
      </w:pPr>
    </w:p>
    <w:p>
      <w:pPr>
        <w:ind w:left="160" w:right="500" w:firstLine="436"/>
        <w:spacing w:after="0" w:line="27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shares of Class A common stock have been offered or will be offered pursuant to this offering to the public in that</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040"/>
          </w:cols>
          <w:pgMar w:left="320" w:top="452" w:right="5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80"/>
        <w:spacing w:after="0" w:line="258" w:lineRule="auto"/>
        <w:rPr>
          <w:sz w:val="20"/>
          <w:szCs w:val="20"/>
          <w:color w:val="auto"/>
        </w:rPr>
      </w:pPr>
      <w:r>
        <w:rPr>
          <w:rFonts w:ascii="Times New Roman" w:cs="Times New Roman" w:eastAsia="Times New Roman" w:hAnsi="Times New Roman"/>
          <w:sz w:val="18"/>
          <w:szCs w:val="18"/>
          <w:color w:val="auto"/>
        </w:rPr>
        <w:t>Relevant State prior to the publication of a prospectus in relation to the shares of Class A common stock which has been approved by the competent authority in that Relevant State or, where appropriate, approved in another Relevant State and notified to the competent authority in that Relevant State, all in accordance with the Prospectus Regulation, except that the shares of Class A common stock may be offered to the public in that Relevant State at any time:</w:t>
      </w:r>
    </w:p>
    <w:p>
      <w:pPr>
        <w:spacing w:after="0" w:line="86" w:lineRule="exact"/>
        <w:rPr>
          <w:sz w:val="20"/>
          <w:szCs w:val="20"/>
          <w:color w:val="auto"/>
        </w:rPr>
      </w:pPr>
    </w:p>
    <w:p>
      <w:pPr>
        <w:ind w:left="1140" w:hanging="545"/>
        <w:spacing w:after="0"/>
        <w:tabs>
          <w:tab w:leader="none" w:pos="11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qualified investor as defined under Article 2 of the Prospectus Regulation;</w:t>
      </w:r>
    </w:p>
    <w:p>
      <w:pPr>
        <w:spacing w:after="0" w:line="127" w:lineRule="exact"/>
        <w:rPr>
          <w:rFonts w:ascii="Times New Roman" w:cs="Times New Roman" w:eastAsia="Times New Roman" w:hAnsi="Times New Roman"/>
          <w:sz w:val="18"/>
          <w:szCs w:val="18"/>
          <w:color w:val="auto"/>
        </w:rPr>
      </w:pPr>
    </w:p>
    <w:p>
      <w:pPr>
        <w:ind w:left="1140" w:right="120" w:hanging="545"/>
        <w:spacing w:after="0" w:line="278" w:lineRule="auto"/>
        <w:tabs>
          <w:tab w:leader="none" w:pos="11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underwriters for any such offer; or</w:t>
      </w:r>
    </w:p>
    <w:p>
      <w:pPr>
        <w:spacing w:after="0" w:line="68"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19" w:lineRule="exact"/>
        <w:rPr>
          <w:sz w:val="20"/>
          <w:szCs w:val="20"/>
          <w:color w:val="auto"/>
        </w:rPr>
      </w:pPr>
    </w:p>
    <w:p>
      <w:pPr>
        <w:ind w:left="160" w:firstLine="43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the shares of Class A common stock shall require us or any underwriter to publish a prospectus pursuant to Article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Prospectus Regulation, supplement a prospectus pursuant to Article 23 of the Prospectus Regulation or publish an Annex IX document pursuant to Article 1(4) of the Prospectus Regulation.</w:t>
      </w:r>
    </w:p>
    <w:p>
      <w:pPr>
        <w:spacing w:after="0" w:line="175" w:lineRule="exact"/>
        <w:rPr>
          <w:sz w:val="20"/>
          <w:szCs w:val="20"/>
          <w:color w:val="auto"/>
        </w:rPr>
      </w:pPr>
    </w:p>
    <w:p>
      <w:pPr>
        <w:ind w:left="160" w:right="100" w:firstLine="436"/>
        <w:spacing w:after="0" w:line="258"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of Class A common stock in any Relevant State means the communication in any form and by any means of sufficient information on the terms of the offer and any shares of Class A common stock to be offered so as to enable an investor to decide to purchase any shares of Class A common stock, and the expression “Prospectus Regulation” means Regulation (EU) 2017/1129.</w:t>
      </w:r>
    </w:p>
    <w:p>
      <w:pPr>
        <w:spacing w:after="0" w:line="2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116" w:lineRule="exact"/>
        <w:rPr>
          <w:sz w:val="20"/>
          <w:szCs w:val="20"/>
          <w:color w:val="auto"/>
        </w:rPr>
      </w:pPr>
    </w:p>
    <w:p>
      <w:pPr>
        <w:ind w:left="160" w:right="60" w:firstLine="436"/>
        <w:spacing w:after="0" w:line="278" w:lineRule="auto"/>
        <w:rPr>
          <w:sz w:val="20"/>
          <w:szCs w:val="20"/>
          <w:color w:val="auto"/>
        </w:rPr>
      </w:pPr>
      <w:r>
        <w:rPr>
          <w:rFonts w:ascii="Times New Roman" w:cs="Times New Roman" w:eastAsia="Times New Roman" w:hAnsi="Times New Roman"/>
          <w:sz w:val="18"/>
          <w:szCs w:val="18"/>
          <w:color w:val="auto"/>
        </w:rPr>
        <w:t>No shares of Class A common stock have been offered or will be offered pursuant to this offering to the public in the United Kingdom except that the shares of Class A common stock may be offered to the public in the United Kingdom at any time:</w:t>
      </w:r>
    </w:p>
    <w:p>
      <w:pPr>
        <w:spacing w:after="0" w:line="69" w:lineRule="exact"/>
        <w:rPr>
          <w:sz w:val="20"/>
          <w:szCs w:val="20"/>
          <w:color w:val="auto"/>
        </w:rPr>
      </w:pPr>
    </w:p>
    <w:p>
      <w:pPr>
        <w:ind w:left="1140" w:right="360" w:hanging="545"/>
        <w:spacing w:after="0" w:line="278" w:lineRule="auto"/>
        <w:tabs>
          <w:tab w:leader="none" w:pos="11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offer is conditional on the admission of the shares of Class A common stock to trading on the London Stock Exchange plc’s main market (in reliance on the exception in paragraph 6(a) of Schedule 1 of the POATR);</w:t>
      </w:r>
    </w:p>
    <w:p>
      <w:pPr>
        <w:spacing w:after="0" w:line="68"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qualified investor as defined under paragraph 15 of Schedule 1 of the POATR;</w:t>
      </w:r>
    </w:p>
    <w:p>
      <w:pPr>
        <w:spacing w:after="0" w:line="127" w:lineRule="exact"/>
        <w:rPr>
          <w:rFonts w:ascii="Times New Roman" w:cs="Times New Roman" w:eastAsia="Times New Roman" w:hAnsi="Times New Roman"/>
          <w:sz w:val="18"/>
          <w:szCs w:val="18"/>
          <w:color w:val="auto"/>
        </w:rPr>
      </w:pPr>
    </w:p>
    <w:p>
      <w:pPr>
        <w:ind w:left="1140" w:right="60" w:hanging="545"/>
        <w:spacing w:after="0" w:line="278" w:lineRule="auto"/>
        <w:tabs>
          <w:tab w:leader="none" w:pos="11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persons (other than qualified investors as defined under paragraph 15 of Schedule 1 of the POATR), subject to obtaining the prior consent of the underwriters for any such offer; or</w:t>
      </w:r>
    </w:p>
    <w:p>
      <w:pPr>
        <w:spacing w:after="0" w:line="68"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Part 1 of Schedule 1 of the POATR.</w:t>
      </w:r>
    </w:p>
    <w:p>
      <w:pPr>
        <w:spacing w:after="0" w:line="221" w:lineRule="exact"/>
        <w:rPr>
          <w:sz w:val="20"/>
          <w:szCs w:val="20"/>
          <w:color w:val="auto"/>
        </w:rPr>
      </w:pPr>
    </w:p>
    <w:p>
      <w:pPr>
        <w:ind w:left="160" w:right="140" w:firstLine="436"/>
        <w:spacing w:after="0" w:line="274" w:lineRule="auto"/>
        <w:rPr>
          <w:sz w:val="20"/>
          <w:szCs w:val="20"/>
          <w:color w:val="auto"/>
        </w:rPr>
      </w:pPr>
      <w:r>
        <w:rPr>
          <w:rFonts w:ascii="Times New Roman" w:cs="Times New Roman" w:eastAsia="Times New Roman" w:hAnsi="Times New Roman"/>
          <w:sz w:val="17"/>
          <w:szCs w:val="17"/>
          <w:color w:val="auto"/>
        </w:rPr>
        <w:t>For the purposes of this provision, the expression an “offer to the public” in relation to the shares of Class A common stock in the United Kingdom means the communication to any person which presents sufficient information on: (a) the shares of Class A common stock to be offered; and</w:t>
      </w:r>
    </w:p>
    <w:p>
      <w:pPr>
        <w:ind w:left="160" w:right="580" w:firstLine="7"/>
        <w:spacing w:after="0" w:line="256" w:lineRule="auto"/>
        <w:tabs>
          <w:tab w:leader="none" w:pos="412"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on which they are to be offered, to enable an investor to decide to buy or subscribe for the shares of Class A common stock and the expressions “POATR” means the Public Offers and Admissions to Trading Regulations 2024.</w:t>
      </w:r>
    </w:p>
    <w:p>
      <w:pPr>
        <w:spacing w:after="0" w:line="182" w:lineRule="exact"/>
        <w:rPr>
          <w:sz w:val="20"/>
          <w:szCs w:val="20"/>
          <w:color w:val="auto"/>
        </w:rPr>
      </w:pPr>
    </w:p>
    <w:p>
      <w:pPr>
        <w:ind w:left="160" w:right="140" w:firstLine="436"/>
        <w:spacing w:after="0" w:line="258" w:lineRule="auto"/>
        <w:rPr>
          <w:sz w:val="20"/>
          <w:szCs w:val="20"/>
          <w:color w:val="auto"/>
        </w:rPr>
      </w:pPr>
      <w:r>
        <w:rPr>
          <w:rFonts w:ascii="Times New Roman" w:cs="Times New Roman" w:eastAsia="Times New Roman" w:hAnsi="Times New Roman"/>
          <w:sz w:val="18"/>
          <w:szCs w:val="18"/>
          <w:color w:val="auto"/>
        </w:rPr>
        <w:t>Each person in the United Kingdom who receives any communication in respect of, or who acquires any of our shares of Class A common stock under, the offers to the public contemplated in this prospectus, or to whom our shares of Class A common stock are otherwise made available, will be deemed to have represented, warranted, acknowledged, and agreed to and with us, the underwriters, and their respective affiliates that it meets the criteria outlined in this section.</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060"/>
          </w:cols>
          <w:pgMar w:left="320" w:top="452" w:right="51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116"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The shares of Class A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w:t>
      </w:r>
    </w:p>
    <w:p>
      <w:pPr>
        <w:spacing w:after="0" w:line="184" w:lineRule="exact"/>
        <w:rPr>
          <w:sz w:val="20"/>
          <w:szCs w:val="20"/>
          <w:color w:val="auto"/>
        </w:rPr>
      </w:pPr>
    </w:p>
    <w:p>
      <w:pPr>
        <w:ind w:left="160" w:right="180" w:firstLine="436"/>
        <w:spacing w:after="0" w:line="277" w:lineRule="auto"/>
        <w:rPr>
          <w:sz w:val="20"/>
          <w:szCs w:val="20"/>
          <w:color w:val="auto"/>
        </w:rPr>
      </w:pPr>
      <w:r>
        <w:rPr>
          <w:rFonts w:ascii="Times New Roman" w:cs="Times New Roman" w:eastAsia="Times New Roman" w:hAnsi="Times New Roman"/>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7" w:lineRule="exact"/>
        <w:rPr>
          <w:sz w:val="20"/>
          <w:szCs w:val="20"/>
          <w:color w:val="auto"/>
        </w:rPr>
      </w:pPr>
    </w:p>
    <w:p>
      <w:pPr>
        <w:ind w:left="160" w:right="60" w:firstLine="436"/>
        <w:spacing w:after="0" w:line="278"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Dubai International Financial Centre</w:t>
      </w:r>
    </w:p>
    <w:p>
      <w:pPr>
        <w:spacing w:after="0" w:line="116" w:lineRule="exact"/>
        <w:rPr>
          <w:sz w:val="20"/>
          <w:szCs w:val="20"/>
          <w:color w:val="auto"/>
        </w:rPr>
      </w:pPr>
    </w:p>
    <w:p>
      <w:pPr>
        <w:ind w:left="160" w:right="260" w:firstLine="436"/>
        <w:spacing w:after="0" w:line="253" w:lineRule="auto"/>
        <w:rPr>
          <w:sz w:val="20"/>
          <w:szCs w:val="20"/>
          <w:color w:val="auto"/>
        </w:rPr>
      </w:pPr>
      <w:r>
        <w:rPr>
          <w:rFonts w:ascii="Times New Roman" w:cs="Times New Roman" w:eastAsia="Times New Roman" w:hAnsi="Times New Roman"/>
          <w:sz w:val="18"/>
          <w:szCs w:val="18"/>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of our Class A common stock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Switzerland</w:t>
      </w:r>
    </w:p>
    <w:p>
      <w:pPr>
        <w:spacing w:after="0" w:line="116" w:lineRule="exact"/>
        <w:rPr>
          <w:sz w:val="20"/>
          <w:szCs w:val="20"/>
          <w:color w:val="auto"/>
        </w:rPr>
      </w:pPr>
    </w:p>
    <w:p>
      <w:pPr>
        <w:ind w:left="160" w:right="20" w:firstLine="436"/>
        <w:spacing w:after="0" w:line="255" w:lineRule="auto"/>
        <w:rPr>
          <w:sz w:val="20"/>
          <w:szCs w:val="20"/>
          <w:color w:val="auto"/>
        </w:rPr>
      </w:pPr>
      <w:r>
        <w:rPr>
          <w:rFonts w:ascii="Times New Roman" w:cs="Times New Roman" w:eastAsia="Times New Roman" w:hAnsi="Times New Roman"/>
          <w:sz w:val="18"/>
          <w:szCs w:val="18"/>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84"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Neither this prospectus nor any other offering or marketing material relating to the offering, us, or the shares of Class A common stock have been or will be filed with or approved by any Swiss regulatory authority. In particular, this prospectus will not be filed with, and the offer of shares of Class A common stock will not be supervised by, FINMA, and the offer of shares of Class A common stock has not been and will not be authorized under CISA. The investor protection afforded to acquirers of interests in collective investment schemes under the CISA does not extend to acquirers of shares of Class A common stock.</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116" w:lineRule="exact"/>
        <w:rPr>
          <w:sz w:val="20"/>
          <w:szCs w:val="20"/>
          <w:color w:val="auto"/>
        </w:rPr>
      </w:pPr>
    </w:p>
    <w:p>
      <w:pPr>
        <w:ind w:left="160" w:right="340" w:firstLine="436"/>
        <w:spacing w:after="0" w:line="278" w:lineRule="auto"/>
        <w:rPr>
          <w:sz w:val="20"/>
          <w:szCs w:val="20"/>
          <w:color w:val="auto"/>
        </w:rPr>
      </w:pPr>
      <w:r>
        <w:rPr>
          <w:rFonts w:ascii="Times New Roman" w:cs="Times New Roman" w:eastAsia="Times New Roman" w:hAnsi="Times New Roman"/>
          <w:sz w:val="18"/>
          <w:szCs w:val="18"/>
          <w:color w:val="auto"/>
        </w:rPr>
        <w:t>The shares of Class A common stock have not been offered or sold and will not be offered or sold in Hong Kong, by means of any document, other than (a) to “professional investors” as defined in the Securities and</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040"/>
          </w:cols>
          <w:pgMar w:left="320" w:top="451" w:right="5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20"/>
        <w:spacing w:after="0" w:line="253" w:lineRule="auto"/>
        <w:rPr>
          <w:sz w:val="20"/>
          <w:szCs w:val="20"/>
          <w:color w:val="auto"/>
        </w:rPr>
      </w:pPr>
      <w:r>
        <w:rPr>
          <w:rFonts w:ascii="Times New Roman" w:cs="Times New Roman" w:eastAsia="Times New Roman" w:hAnsi="Times New Roman"/>
          <w:sz w:val="18"/>
          <w:szCs w:val="18"/>
          <w:color w:val="auto"/>
        </w:rPr>
        <w:t>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of Class A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Class A common stock which are or are intended to be disposed of only to persons outside Hong Kong or only to “professional investors” as defined in the Securities and Futures Ordinance and any rules made under that Ordinance.</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Australia</w:t>
      </w:r>
    </w:p>
    <w:p>
      <w:pPr>
        <w:spacing w:after="0" w:line="116" w:lineRule="exact"/>
        <w:rPr>
          <w:sz w:val="20"/>
          <w:szCs w:val="20"/>
          <w:color w:val="auto"/>
        </w:rPr>
      </w:pPr>
    </w:p>
    <w:p>
      <w:pPr>
        <w:ind w:left="160" w:right="180" w:firstLine="436"/>
        <w:spacing w:after="0" w:line="258"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in relation to this offering. This prospectus does not constitute a prospectus, product disclosure statement, or other disclosure document under Chapter 6D.2 of the Corporations Act 2001 (the “Corporations Act”), and does not purport to include the information required for a prospectus, product disclosure statement, or other disclosure document under the Corporations Act.</w:t>
      </w:r>
    </w:p>
    <w:p>
      <w:pPr>
        <w:spacing w:after="0" w:line="180"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0" w:lineRule="exact"/>
        <w:rPr>
          <w:sz w:val="20"/>
          <w:szCs w:val="20"/>
          <w:color w:val="auto"/>
        </w:rPr>
      </w:pPr>
    </w:p>
    <w:p>
      <w:pPr>
        <w:ind w:left="160" w:right="280" w:firstLine="436"/>
        <w:spacing w:after="0" w:line="258" w:lineRule="auto"/>
        <w:rPr>
          <w:sz w:val="20"/>
          <w:szCs w:val="20"/>
          <w:color w:val="auto"/>
        </w:rPr>
      </w:pPr>
      <w:r>
        <w:rPr>
          <w:rFonts w:ascii="Times New Roman" w:cs="Times New Roman" w:eastAsia="Times New Roman" w:hAnsi="Times New Roman"/>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80" w:lineRule="exact"/>
        <w:rPr>
          <w:sz w:val="20"/>
          <w:szCs w:val="20"/>
          <w:color w:val="auto"/>
        </w:rPr>
      </w:pPr>
    </w:p>
    <w:p>
      <w:pPr>
        <w:ind w:left="160" w:right="20" w:firstLine="436"/>
        <w:spacing w:after="0" w:line="258" w:lineRule="auto"/>
        <w:rPr>
          <w:sz w:val="20"/>
          <w:szCs w:val="20"/>
          <w:color w:val="auto"/>
        </w:rPr>
      </w:pPr>
      <w:r>
        <w:rPr>
          <w:rFonts w:ascii="Times New Roman" w:cs="Times New Roman" w:eastAsia="Times New Roman" w:hAnsi="Times New Roman"/>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Israel</w:t>
      </w:r>
    </w:p>
    <w:p>
      <w:pPr>
        <w:spacing w:after="0" w:line="116" w:lineRule="exact"/>
        <w:rPr>
          <w:sz w:val="20"/>
          <w:szCs w:val="20"/>
          <w:color w:val="auto"/>
        </w:rPr>
      </w:pPr>
    </w:p>
    <w:p>
      <w:pPr>
        <w:ind w:left="160" w:right="60" w:firstLine="436"/>
        <w:spacing w:after="0" w:line="251" w:lineRule="auto"/>
        <w:rPr>
          <w:sz w:val="20"/>
          <w:szCs w:val="20"/>
          <w:color w:val="auto"/>
        </w:rPr>
      </w:pPr>
      <w:r>
        <w:rPr>
          <w:rFonts w:ascii="Times New Roman" w:cs="Times New Roman" w:eastAsia="Times New Roman" w:hAnsi="Times New Roman"/>
          <w:sz w:val="18"/>
          <w:szCs w:val="18"/>
          <w:color w:val="auto"/>
        </w:rPr>
        <w:t>In the State of Israel this prospectus shall not be regarded as an offer to the public to purchase shares of Class A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5728—1968. We have not and will not distribute this prospectus or make, distribute, or direct an offer to subscribe for our common stock to any person within the State of Israel, other than to Qualified Investors and up to 35 Addressed Investors.</w:t>
      </w:r>
    </w:p>
    <w:p>
      <w:pPr>
        <w:spacing w:after="0" w:line="1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020"/>
          </w:cols>
          <w:pgMar w:left="320" w:top="451" w:right="55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Qualified Investors may have to submit written evidence that they meet the definitions set out in of the First Addendum to the Israeli Securities Law, 5728—1968.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shares of Class A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Japan</w:t>
      </w:r>
    </w:p>
    <w:p>
      <w:pPr>
        <w:spacing w:after="0" w:line="116" w:lineRule="exact"/>
        <w:rPr>
          <w:sz w:val="20"/>
          <w:szCs w:val="20"/>
          <w:color w:val="auto"/>
        </w:rPr>
      </w:pPr>
    </w:p>
    <w:p>
      <w:pPr>
        <w:ind w:left="160" w:right="60" w:firstLine="436"/>
        <w:spacing w:after="0" w:line="254" w:lineRule="auto"/>
        <w:rPr>
          <w:sz w:val="20"/>
          <w:szCs w:val="20"/>
          <w:color w:val="auto"/>
        </w:rPr>
      </w:pPr>
      <w:r>
        <w:rPr>
          <w:rFonts w:ascii="Times New Roman" w:cs="Times New Roman" w:eastAsia="Times New Roman" w:hAnsi="Times New Roman"/>
          <w:sz w:val="18"/>
          <w:szCs w:val="18"/>
          <w:color w:val="auto"/>
        </w:rPr>
        <w:t>The shares of Class A common stock have not been and will not be registered under the Financial Instruments and Exchange Act of Japan (Act No. 25 of 1948, as amended; the “FIEA”) and no shares of Class A common stock will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FIEA and any other applicable laws, regulations and ministerial guidelines of Japan in effect at the relevant time.</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Singapore</w:t>
      </w:r>
    </w:p>
    <w:p>
      <w:pPr>
        <w:spacing w:after="0" w:line="116" w:lineRule="exact"/>
        <w:rPr>
          <w:sz w:val="20"/>
          <w:szCs w:val="20"/>
          <w:color w:val="auto"/>
        </w:rPr>
      </w:pPr>
    </w:p>
    <w:p>
      <w:pPr>
        <w:ind w:left="160" w:firstLine="436"/>
        <w:spacing w:after="0" w:line="266" w:lineRule="auto"/>
        <w:rPr>
          <w:sz w:val="20"/>
          <w:szCs w:val="20"/>
          <w:color w:val="auto"/>
        </w:rPr>
      </w:pPr>
      <w:r>
        <w:rPr>
          <w:rFonts w:ascii="Times New Roman" w:cs="Times New Roman" w:eastAsia="Times New Roman" w:hAnsi="Times New Roman"/>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w:t>
      </w:r>
    </w:p>
    <w:p>
      <w:pPr>
        <w:spacing w:after="0" w:line="3" w:lineRule="exact"/>
        <w:rPr>
          <w:sz w:val="20"/>
          <w:szCs w:val="20"/>
          <w:color w:val="auto"/>
        </w:rPr>
      </w:pPr>
    </w:p>
    <w:p>
      <w:pPr>
        <w:ind w:left="160" w:right="280" w:firstLine="7"/>
        <w:spacing w:after="0" w:line="256" w:lineRule="auto"/>
        <w:tabs>
          <w:tab w:leader="none" w:pos="47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 in each case subject to conditions set forth in the SFA.</w:t>
      </w:r>
    </w:p>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Where the shares of Class A common stock are subscribed or purchased under Section 275 of the SFA by a relevant person which is:</w:t>
      </w:r>
    </w:p>
    <w:p>
      <w:pPr>
        <w:spacing w:after="0" w:line="127" w:lineRule="exact"/>
        <w:rPr>
          <w:sz w:val="20"/>
          <w:szCs w:val="20"/>
          <w:color w:val="auto"/>
        </w:rPr>
      </w:pPr>
    </w:p>
    <w:p>
      <w:pPr>
        <w:ind w:left="1140" w:right="100" w:hanging="545"/>
        <w:spacing w:after="0" w:line="278" w:lineRule="auto"/>
        <w:tabs>
          <w:tab w:leader="none" w:pos="11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w:t>
      </w:r>
    </w:p>
    <w:p>
      <w:pPr>
        <w:spacing w:after="0" w:line="68" w:lineRule="exact"/>
        <w:rPr>
          <w:rFonts w:ascii="Times New Roman" w:cs="Times New Roman" w:eastAsia="Times New Roman" w:hAnsi="Times New Roman"/>
          <w:sz w:val="18"/>
          <w:szCs w:val="18"/>
          <w:color w:val="auto"/>
        </w:rPr>
      </w:pPr>
    </w:p>
    <w:p>
      <w:pPr>
        <w:ind w:left="1140" w:right="300" w:hanging="545"/>
        <w:spacing w:after="0" w:line="278" w:lineRule="auto"/>
        <w:tabs>
          <w:tab w:leader="none" w:pos="11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left="160" w:right="20"/>
        <w:spacing w:after="0" w:line="278" w:lineRule="auto"/>
        <w:rPr>
          <w:sz w:val="20"/>
          <w:szCs w:val="20"/>
          <w:color w:val="auto"/>
        </w:rPr>
      </w:pPr>
      <w:r>
        <w:rPr>
          <w:rFonts w:ascii="Times New Roman" w:cs="Times New Roman" w:eastAsia="Times New Roman" w:hAnsi="Times New Roman"/>
          <w:sz w:val="18"/>
          <w:szCs w:val="18"/>
          <w:color w:val="auto"/>
        </w:rPr>
        <w:t>the securities (as defined in Section 239(1) of the SFA) of that corporation shall not be transferable for six months after that corporation has acquired the shares under Section 275 of the SFA except:</w:t>
      </w:r>
    </w:p>
    <w:p>
      <w:pPr>
        <w:spacing w:after="0" w:line="69" w:lineRule="exact"/>
        <w:rPr>
          <w:sz w:val="20"/>
          <w:szCs w:val="20"/>
          <w:color w:val="auto"/>
        </w:rPr>
      </w:pPr>
    </w:p>
    <w:p>
      <w:pPr>
        <w:ind w:left="1140" w:hanging="545"/>
        <w:spacing w:after="0"/>
        <w:tabs>
          <w:tab w:leader="none" w:pos="1140"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 institutional investor or to a relevant person, or to any person arising from an offer referred to in Section 275(1A) or Section 276(4)(i)</w:t>
      </w:r>
    </w:p>
    <w:p>
      <w:pPr>
        <w:spacing w:after="0" w:line="37" w:lineRule="exact"/>
        <w:rPr>
          <w:rFonts w:ascii="Times New Roman" w:cs="Times New Roman" w:eastAsia="Times New Roman" w:hAnsi="Times New Roman"/>
          <w:sz w:val="17"/>
          <w:szCs w:val="17"/>
          <w:color w:val="auto"/>
        </w:rPr>
      </w:pPr>
    </w:p>
    <w:p>
      <w:pPr>
        <w:ind w:left="11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of the SFA;</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060"/>
          </w:cols>
          <w:pgMar w:left="320" w:top="452" w:right="51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140" w:hanging="545"/>
        <w:spacing w:after="0"/>
        <w:tabs>
          <w:tab w:leader="none" w:pos="11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 or</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219" w:lineRule="exact"/>
        <w:rPr>
          <w:sz w:val="20"/>
          <w:szCs w:val="20"/>
          <w:color w:val="auto"/>
        </w:rPr>
      </w:pPr>
    </w:p>
    <w:p>
      <w:pPr>
        <w:ind w:left="160" w:right="120" w:firstLine="436"/>
        <w:spacing w:after="0" w:line="256" w:lineRule="auto"/>
        <w:rPr>
          <w:sz w:val="20"/>
          <w:szCs w:val="20"/>
          <w:color w:val="auto"/>
        </w:rPr>
      </w:pPr>
      <w:r>
        <w:rPr>
          <w:rFonts w:ascii="Times New Roman" w:cs="Times New Roman" w:eastAsia="Times New Roman" w:hAnsi="Times New Roman"/>
          <w:sz w:val="18"/>
          <w:szCs w:val="18"/>
          <w:i w:val="1"/>
          <w:iCs w:val="1"/>
          <w:color w:val="auto"/>
        </w:rPr>
        <w:t>Singapore Securities and Futures Act Product Classification</w:t>
      </w:r>
      <w:r>
        <w:rPr>
          <w:rFonts w:ascii="Times New Roman" w:cs="Times New Roman" w:eastAsia="Times New Roman" w:hAnsi="Times New Roman"/>
          <w:sz w:val="18"/>
          <w:szCs w:val="18"/>
          <w:color w:val="auto"/>
        </w:rPr>
        <w:t>—Solely for the purposes of its obligations pursuant to Sections 309B(1)(a)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309B(1)(c) of the SFA, we have determined, and hereby notify all relevant persons (as defined in Section 309A of the SFA) that the shares of Class A common stock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United Arab Emirates</w:t>
      </w:r>
    </w:p>
    <w:p>
      <w:pPr>
        <w:spacing w:after="0" w:line="116"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The shares of Class A common stock have not been, and will not be, publicly offered, sold, promoted or advertised in the United Arab Emirates (including the Dubai International Financial Center) other than in compliance with the laws of the United Arab Emirates (and the Dubai International Financial Center) governing the issue, offering and sale of securities. Further, this prospectus does not constitute a public offer of securities in the United Arab Emirates (including the Dubai International Financial Center) and is not intended to be a public offer. This prospectus has not been approved by or filed with the Central Bank of the United Arab Emirates, the Securities and Commodities Authority, Financial Services Regulatory Authority, or the Dubai Financial Services Authority.</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Brazil</w:t>
      </w:r>
    </w:p>
    <w:p>
      <w:pPr>
        <w:spacing w:after="0" w:line="116"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THE OFFER AND SALE OF THE SHARES OF CLASS A COMMON STOCK HAVE NOT BEEN AND WILL NOT BE REGISTERED WITH THE BRAZILIAN SECURITIES COMMISSION (COMISSÃO DE VALORES MOBILIÁRIOS, OR “CVM”) AND, THEREFORE, WILL NOT BE CARRIED OUT BY ANY MEANS THAT WOULD CONSTITUTE A PUBLIC OFFERING IN BRAZIL UNDER CVM RESOLUTION NO 160, DATED 13 JULY 2022, AS AMENDED (“CVM RESOLUTION 160”) OR UNAUTHORIZED DISTRIBUTION UNDER BRAZILIAN LAWS AND REGULATIONS. THE SHARES OF CLASS A COMMON STOCK WILL BE AUTHORIZED FOR TRADING ON ORGANIZED NON-BRAZILIAN SECURITIES MARKETS AND MAY ONLY BE OFFERED TO BRAZILIAN PROFESSIONAL INVESTORS (AS DEFINED BY APPLICABLE CVM REGULATION), WHO MAY ONLY ACQUIRE THE SHARES OF CLASS A COMMON STOCK THROUGH A NON-BRAZILIAN ACCOUNT, WITH SETTLEMENT OUTSIDE BRAZIL IN NON-BRAZILIAN CURRENCY. THE TRADING OF THESE SECURITIES ON REGULATED SECURITIES MARKETS IN BRAZIL IS PROHIBITED.</w:t>
      </w:r>
    </w:p>
    <w:p>
      <w:pPr>
        <w:spacing w:after="0" w:line="2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Saudi Arabia</w:t>
      </w:r>
    </w:p>
    <w:p>
      <w:pPr>
        <w:spacing w:after="0" w:line="116" w:lineRule="exact"/>
        <w:rPr>
          <w:sz w:val="20"/>
          <w:szCs w:val="20"/>
          <w:color w:val="auto"/>
        </w:rPr>
      </w:pPr>
    </w:p>
    <w:p>
      <w:pPr>
        <w:ind w:left="160" w:right="40" w:firstLine="436"/>
        <w:spacing w:after="0" w:line="254" w:lineRule="auto"/>
        <w:rPr>
          <w:sz w:val="20"/>
          <w:szCs w:val="20"/>
          <w:color w:val="auto"/>
        </w:rPr>
      </w:pPr>
      <w:r>
        <w:rPr>
          <w:rFonts w:ascii="Times New Roman" w:cs="Times New Roman" w:eastAsia="Times New Roman" w:hAnsi="Times New Roman"/>
          <w:sz w:val="18"/>
          <w:szCs w:val="18"/>
          <w:color w:val="auto"/>
        </w:rPr>
        <w:t>This document may not be distributed in the Kingdom of Saudi Arabia except to such persons as are permitted under the Rules on the Offer of Securities and Continuing Obligations Regulations as issued by the board of the Saudi Arabian Capital Market Authority (“CMA”) pursuant to resolution number 3-123-2017 dated 27 December 2017, as amended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authorised financial adviser.</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Qatar</w:t>
      </w:r>
    </w:p>
    <w:p>
      <w:pPr>
        <w:spacing w:after="0" w:line="116"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The shares of Class A common stock described in this prospectus have not been, and will not be, offered, sold or delivered, at any time, directly or indirectly in the State of Qatar in a manner that would constitute a</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060"/>
          </w:cols>
          <w:pgMar w:left="320" w:top="452" w:right="51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160"/>
        <w:spacing w:after="0" w:line="263" w:lineRule="auto"/>
        <w:rPr>
          <w:sz w:val="20"/>
          <w:szCs w:val="20"/>
          <w:color w:val="auto"/>
        </w:rPr>
      </w:pPr>
      <w:r>
        <w:rPr>
          <w:rFonts w:ascii="Times New Roman" w:cs="Times New Roman" w:eastAsia="Times New Roman" w:hAnsi="Times New Roman"/>
          <w:sz w:val="18"/>
          <w:szCs w:val="18"/>
          <w:color w:val="auto"/>
        </w:rPr>
        <w:t>public offering. This prospectus has not been, and will not be, registered with or approved by the Qatar Financial Markets Authority or Qatar Central Bank and may not be publicly distributed. This prospectus is intended for the original recipient only and must not be provided to any other person. It is not for general circulation in the State of Qatar and may not be reproduced or used for any other purpose.</w:t>
      </w:r>
    </w:p>
    <w:p>
      <w:pPr>
        <w:spacing w:after="0" w:line="2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Kuwait</w:t>
      </w:r>
    </w:p>
    <w:p>
      <w:pPr>
        <w:spacing w:after="0" w:line="116"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Unless all necessary approvals from the Kuwait Capital Markets Authority pursuant to Law No. 7/2010, its Executive Regulations and the various Resolutions and Announcements issued pursuant thereto or in connection therewith have been given in relation to the marketing of and sale of the shares of Class A common stock, the shares of Class A common stock may not be offered for sale, nor sold in the State of Kuwait (“Kuwait”). Neither this prospectus nor any of the information contained herein is intended to lead to the conclusion of any contract of whatsoever nature within Kuwait. With regard to the contents of this document, we recommend that you consult a licensee as per the law and specialized in giving advice about the purchase of the shares of Class A common stock and other securities before making the subscription decision.</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Bermuda</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shares of Class A common stock may be offered or sold in Bermuda only in compliance with the provisions of the Investment Business Act of</w:t>
      </w:r>
    </w:p>
    <w:p>
      <w:pPr>
        <w:spacing w:after="0" w:line="37" w:lineRule="exact"/>
        <w:rPr>
          <w:sz w:val="20"/>
          <w:szCs w:val="20"/>
          <w:color w:val="auto"/>
        </w:rPr>
      </w:pPr>
    </w:p>
    <w:p>
      <w:pPr>
        <w:ind w:left="160" w:right="260"/>
        <w:spacing w:after="0" w:line="256" w:lineRule="auto"/>
        <w:rPr>
          <w:sz w:val="20"/>
          <w:szCs w:val="20"/>
          <w:color w:val="auto"/>
        </w:rPr>
      </w:pPr>
      <w:r>
        <w:rPr>
          <w:rFonts w:ascii="Times New Roman" w:cs="Times New Roman" w:eastAsia="Times New Roman" w:hAnsi="Times New Roman"/>
          <w:sz w:val="18"/>
          <w:szCs w:val="18"/>
          <w:color w:val="auto"/>
        </w:rPr>
        <w:t>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British Virgin Islands</w:t>
      </w:r>
    </w:p>
    <w:p>
      <w:pPr>
        <w:spacing w:after="0" w:line="116" w:lineRule="exact"/>
        <w:rPr>
          <w:sz w:val="20"/>
          <w:szCs w:val="20"/>
          <w:color w:val="auto"/>
        </w:rPr>
      </w:pPr>
    </w:p>
    <w:p>
      <w:pPr>
        <w:ind w:left="160" w:right="40" w:firstLine="436"/>
        <w:spacing w:after="0" w:line="258" w:lineRule="auto"/>
        <w:rPr>
          <w:sz w:val="20"/>
          <w:szCs w:val="20"/>
          <w:color w:val="auto"/>
        </w:rPr>
      </w:pPr>
      <w:r>
        <w:rPr>
          <w:rFonts w:ascii="Times New Roman" w:cs="Times New Roman" w:eastAsia="Times New Roman" w:hAnsi="Times New Roman"/>
          <w:sz w:val="18"/>
          <w:szCs w:val="18"/>
          <w:color w:val="auto"/>
        </w:rPr>
        <w:t>The shares of Class A common stock are not being, and may not be offered to the public or to any person in the British Virgin Islands for purchase or subscription by or on our behalf. The shares of Class A common stock may be offered to companies incorporated under the BVI Business Companies Act, 2004 (British Virgin Islands) (“BVI Companies”), but only where the offer will be made to, and received by, the relevant BVI Company entirely outside of the British Virgin Islands.</w:t>
      </w:r>
    </w:p>
    <w:p>
      <w:pPr>
        <w:spacing w:after="0" w:line="2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China</w:t>
      </w:r>
    </w:p>
    <w:p>
      <w:pPr>
        <w:spacing w:after="0" w:line="116" w:lineRule="exact"/>
        <w:rPr>
          <w:sz w:val="20"/>
          <w:szCs w:val="20"/>
          <w:color w:val="auto"/>
        </w:rPr>
      </w:pPr>
    </w:p>
    <w:p>
      <w:pPr>
        <w:ind w:left="160" w:right="160" w:firstLine="436"/>
        <w:spacing w:after="0" w:line="255" w:lineRule="auto"/>
        <w:rPr>
          <w:sz w:val="20"/>
          <w:szCs w:val="20"/>
          <w:color w:val="auto"/>
        </w:rPr>
      </w:pPr>
      <w:r>
        <w:rPr>
          <w:rFonts w:ascii="Times New Roman" w:cs="Times New Roman" w:eastAsia="Times New Roman" w:hAnsi="Times New Roman"/>
          <w:sz w:val="18"/>
          <w:szCs w:val="18"/>
          <w:color w:val="auto"/>
        </w:rPr>
        <w:t>This prospectus will not be circulated or distributed in the People’s Republic of China (“PRC”) and the shares of Class A common stock will not be offered or sold, and will not be offered or sold to any person for re-offering or resale directly or indirectly to any residents of the PRC (for such purposes, not including the Hong Kong and Macau Special Administrative Regions or Taiwan),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Korea</w:t>
      </w:r>
    </w:p>
    <w:p>
      <w:pPr>
        <w:spacing w:after="0" w:line="116" w:lineRule="exact"/>
        <w:rPr>
          <w:sz w:val="20"/>
          <w:szCs w:val="20"/>
          <w:color w:val="auto"/>
        </w:rPr>
      </w:pPr>
    </w:p>
    <w:p>
      <w:pPr>
        <w:ind w:left="160" w:right="20" w:firstLine="436"/>
        <w:spacing w:after="0" w:line="253" w:lineRule="auto"/>
        <w:rPr>
          <w:sz w:val="20"/>
          <w:szCs w:val="20"/>
          <w:color w:val="auto"/>
        </w:rPr>
      </w:pPr>
      <w:r>
        <w:rPr>
          <w:rFonts w:ascii="Times New Roman" w:cs="Times New Roman" w:eastAsia="Times New Roman" w:hAnsi="Times New Roman"/>
          <w:sz w:val="18"/>
          <w:szCs w:val="18"/>
          <w:color w:val="auto"/>
        </w:rPr>
        <w:t>The shares of Class A common stock have not been and will not be registered under the Financial Investments Services and Capital Markets Act of Korea and the decrees and regulations thereunder (the “FSCMA”), and the shares of Class A common stock have been and will be offered in Korea as a private placement under the FSCMA. None of the shares of Class A common stock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The shares of Class A common stock have not been listed on any of securities exchanges in the world including, without limitation, the Korea Exchange in Korea. Furthermore, the purchaser of the shares of Class A common</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080"/>
          </w:cols>
          <w:pgMar w:left="320" w:top="452" w:right="49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40"/>
        <w:spacing w:after="0" w:line="258" w:lineRule="auto"/>
        <w:rPr>
          <w:sz w:val="20"/>
          <w:szCs w:val="20"/>
          <w:color w:val="auto"/>
        </w:rPr>
      </w:pPr>
      <w:r>
        <w:rPr>
          <w:rFonts w:ascii="Times New Roman" w:cs="Times New Roman" w:eastAsia="Times New Roman" w:hAnsi="Times New Roman"/>
          <w:sz w:val="18"/>
          <w:szCs w:val="18"/>
          <w:color w:val="auto"/>
        </w:rPr>
        <w:t>stock shall comply with all applicable regulatory requirements (including but not limited to requirements under the FETL) in connection with the purchase of the shares of Class A common stock. By the purchase of the shares of Class A common stock, the relevant holder thereof will be deemed to represent and warrant that if it is in Korea or is a resident of Korea, it purchased the shares of Class A common stock pursuant to the applicable laws and regulations of Korea.</w:t>
      </w:r>
    </w:p>
    <w:p>
      <w:pPr>
        <w:spacing w:after="0" w:line="2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Malaysia</w:t>
      </w:r>
    </w:p>
    <w:p>
      <w:pPr>
        <w:spacing w:after="0" w:line="116" w:lineRule="exact"/>
        <w:rPr>
          <w:sz w:val="20"/>
          <w:szCs w:val="20"/>
          <w:color w:val="auto"/>
        </w:rPr>
      </w:pPr>
    </w:p>
    <w:p>
      <w:pPr>
        <w:ind w:left="160" w:firstLine="436"/>
        <w:spacing w:after="0" w:line="264" w:lineRule="auto"/>
        <w:rPr>
          <w:sz w:val="20"/>
          <w:szCs w:val="20"/>
          <w:color w:val="auto"/>
        </w:rPr>
      </w:pPr>
      <w:r>
        <w:rPr>
          <w:rFonts w:ascii="Times New Roman" w:cs="Times New Roman" w:eastAsia="Times New Roman" w:hAnsi="Times New Roman"/>
          <w:sz w:val="17"/>
          <w:szCs w:val="17"/>
          <w:color w:val="auto"/>
        </w:rPr>
        <w:t>No prospectus or other offering material or document in connection with the offer and sale of the shares of Class A common stock has been or will be registered with the Securities Commission of Malaysia (“Commission”) for the Commission’s approval pursuant to the Capital Markets and Services Act 2007.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of Class A common stock, as principal, if the offer is on terms that the shares of Class A common stock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w:t>
      </w:r>
    </w:p>
    <w:p>
      <w:pPr>
        <w:spacing w:after="0" w:line="6" w:lineRule="exact"/>
        <w:rPr>
          <w:sz w:val="20"/>
          <w:szCs w:val="20"/>
          <w:color w:val="auto"/>
        </w:rPr>
      </w:pPr>
    </w:p>
    <w:p>
      <w:pPr>
        <w:ind w:left="160" w:right="20" w:firstLine="7"/>
        <w:spacing w:after="0" w:line="249" w:lineRule="auto"/>
        <w:tabs>
          <w:tab w:leader="none" w:pos="561"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of Class A common stock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Taiwan</w:t>
      </w:r>
    </w:p>
    <w:p>
      <w:pPr>
        <w:spacing w:after="0" w:line="116" w:lineRule="exact"/>
        <w:rPr>
          <w:sz w:val="20"/>
          <w:szCs w:val="20"/>
          <w:color w:val="auto"/>
        </w:rPr>
      </w:pPr>
    </w:p>
    <w:p>
      <w:pPr>
        <w:ind w:left="160" w:right="20" w:firstLine="436"/>
        <w:spacing w:after="0" w:line="255" w:lineRule="auto"/>
        <w:rPr>
          <w:sz w:val="20"/>
          <w:szCs w:val="20"/>
          <w:color w:val="auto"/>
        </w:rPr>
      </w:pPr>
      <w:r>
        <w:rPr>
          <w:rFonts w:ascii="Times New Roman" w:cs="Times New Roman" w:eastAsia="Times New Roman" w:hAnsi="Times New Roman"/>
          <w:sz w:val="18"/>
          <w:szCs w:val="18"/>
          <w:color w:val="auto"/>
        </w:rPr>
        <w:t>The shares of Class A common stock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shares of Class A common stock in Taiwan.</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South Africa</w:t>
      </w:r>
    </w:p>
    <w:p>
      <w:pPr>
        <w:spacing w:after="0" w:line="116" w:lineRule="exact"/>
        <w:rPr>
          <w:sz w:val="20"/>
          <w:szCs w:val="20"/>
          <w:color w:val="auto"/>
        </w:rPr>
      </w:pPr>
    </w:p>
    <w:p>
      <w:pPr>
        <w:ind w:left="160" w:right="20" w:firstLine="436"/>
        <w:spacing w:after="0" w:line="258" w:lineRule="auto"/>
        <w:rPr>
          <w:sz w:val="20"/>
          <w:szCs w:val="20"/>
          <w:color w:val="auto"/>
        </w:rPr>
      </w:pPr>
      <w:r>
        <w:rPr>
          <w:rFonts w:ascii="Times New Roman" w:cs="Times New Roman" w:eastAsia="Times New Roman" w:hAnsi="Times New Roman"/>
          <w:sz w:val="18"/>
          <w:szCs w:val="18"/>
          <w:color w:val="auto"/>
        </w:rPr>
        <w:t>Due to restrictions under the securities laws of South Africa, no “offer to the public” (as such term is defined in the South African Companies Act, No. 71 of 2008 (as amended or re-enacted) (the “South African Companies Act”) is being made in connection with the issue of the shares of Class A common stock in South Africa. Accordingly, this document does not, nor is it intended to, constitute a “registered prospectus” (as that term is defined in the South African Companies Act) prepared and registered under the South African Companies</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080"/>
          </w:cols>
          <w:pgMar w:left="320" w:top="452" w:right="49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160"/>
        <w:spacing w:after="0" w:line="263" w:lineRule="auto"/>
        <w:rPr>
          <w:sz w:val="20"/>
          <w:szCs w:val="20"/>
          <w:color w:val="auto"/>
        </w:rPr>
      </w:pPr>
      <w:r>
        <w:rPr>
          <w:rFonts w:ascii="Times New Roman" w:cs="Times New Roman" w:eastAsia="Times New Roman" w:hAnsi="Times New Roman"/>
          <w:sz w:val="18"/>
          <w:szCs w:val="18"/>
          <w:color w:val="auto"/>
        </w:rPr>
        <w:t>Act and has not been approved by, and/or filed with, the South African Companies and Intellectual Property Commission or any other regulatory authority in South Africa. The shares of Class A common stock are not offered, and the offer shall not be transferred, sold, renounced or delivered, in South Africa or to a person with an address in South Africa, unless one or other of the following exemptions stipulated in section 96 (1) applies:</w:t>
      </w:r>
    </w:p>
    <w:p>
      <w:pPr>
        <w:sectPr>
          <w:pgSz w:w="11900" w:h="16838" w:orient="portrait"/>
          <w:cols w:equalWidth="0" w:num="1">
            <w:col w:w="10960"/>
          </w:cols>
          <w:pgMar w:left="320" w:top="451" w:right="619" w:bottom="1440" w:gutter="0" w:footer="0" w:header="0"/>
        </w:sectPr>
      </w:pP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Section 96(1) (a)</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offer, transfer, sale, renunciation or delivery is to:</w:t>
      </w:r>
    </w:p>
    <w:p>
      <w:pPr>
        <w:spacing w:after="0" w:line="139" w:lineRule="exact"/>
        <w:rPr>
          <w:sz w:val="20"/>
          <w:szCs w:val="20"/>
          <w:color w:val="auto"/>
        </w:rPr>
      </w:pPr>
    </w:p>
    <w:p>
      <w:pPr>
        <w:sectPr>
          <w:pgSz w:w="11900" w:h="16838" w:orient="portrait"/>
          <w:cols w:equalWidth="0" w:num="2">
            <w:col w:w="1380" w:space="640"/>
            <w:col w:w="8940"/>
          </w:cols>
          <w:pgMar w:left="320" w:top="451" w:right="619" w:bottom="1440" w:gutter="0" w:footer="0" w:header="0"/>
          <w:type w:val="continuous"/>
        </w:sectPr>
      </w:pPr>
    </w:p>
    <w:p>
      <w:pPr>
        <w:ind w:left="2020"/>
        <w:spacing w:after="0"/>
        <w:rPr>
          <w:sz w:val="20"/>
          <w:szCs w:val="20"/>
          <w:color w:val="auto"/>
        </w:rPr>
      </w:pPr>
      <w:r>
        <w:rPr>
          <w:rFonts w:ascii="Times New Roman" w:cs="Times New Roman" w:eastAsia="Times New Roman" w:hAnsi="Times New Roman"/>
          <w:sz w:val="18"/>
          <w:szCs w:val="18"/>
          <w:color w:val="auto"/>
        </w:rPr>
        <w:t>(i) persons whose ordinary business, or part of whose ordinary business, is to deal in securities, as principal or agent;</w:t>
      </w:r>
    </w:p>
    <w:p>
      <w:pPr>
        <w:spacing w:after="0" w:line="12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(ii) the South African Public Investment Corporation;</w:t>
      </w:r>
    </w:p>
    <w:p>
      <w:pPr>
        <w:spacing w:after="0" w:line="12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(iii) persons or entities regulated by the Reserve Bank of South Africa;</w:t>
      </w:r>
    </w:p>
    <w:p>
      <w:pPr>
        <w:spacing w:after="0" w:line="12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(iv) authorised financial service providers under South African law;</w:t>
      </w:r>
    </w:p>
    <w:p>
      <w:pPr>
        <w:spacing w:after="0" w:line="12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(v) financial institutions recognised as such under South African law;</w:t>
      </w:r>
    </w:p>
    <w:p>
      <w:pPr>
        <w:spacing w:after="0" w:line="127" w:lineRule="exact"/>
        <w:rPr>
          <w:sz w:val="20"/>
          <w:szCs w:val="20"/>
          <w:color w:val="auto"/>
        </w:rPr>
      </w:pPr>
    </w:p>
    <w:p>
      <w:pPr>
        <w:ind w:left="2020" w:right="240"/>
        <w:spacing w:after="0" w:line="263" w:lineRule="auto"/>
        <w:rPr>
          <w:sz w:val="20"/>
          <w:szCs w:val="20"/>
          <w:color w:val="auto"/>
        </w:rPr>
      </w:pPr>
      <w:r>
        <w:rPr>
          <w:rFonts w:ascii="Times New Roman" w:cs="Times New Roman" w:eastAsia="Times New Roman" w:hAnsi="Times New Roman"/>
          <w:sz w:val="18"/>
          <w:szCs w:val="18"/>
          <w:color w:val="auto"/>
        </w:rPr>
        <w:t>(vi) a wholly-owned subsidiary of any person or entity contemplated in (c), (d) or (e), acting as agent in the capacity of an authorised portfolio manager for a pension fund, or as manager for a collective investment scheme (in each case duly registered as such under South African law); or</w:t>
      </w:r>
    </w:p>
    <w:p>
      <w:pPr>
        <w:spacing w:after="0" w:line="8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(vii) any combination of the person in (i) to (vi); or</w:t>
      </w:r>
    </w:p>
    <w:p>
      <w:pPr>
        <w:sectPr>
          <w:pgSz w:w="11900" w:h="16838" w:orient="portrait"/>
          <w:cols w:equalWidth="0" w:num="1">
            <w:col w:w="10960"/>
          </w:cols>
          <w:pgMar w:left="320" w:top="451" w:right="619" w:bottom="1440" w:gutter="0" w:footer="0" w:header="0"/>
          <w:type w:val="continuous"/>
        </w:sectPr>
      </w:pPr>
    </w:p>
    <w:p>
      <w:pPr>
        <w:spacing w:after="0" w:line="1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Section 96(1) (b)</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75" w:lineRule="exact"/>
        <w:rPr>
          <w:sz w:val="20"/>
          <w:szCs w:val="20"/>
          <w:color w:val="auto"/>
        </w:rPr>
      </w:pPr>
    </w:p>
    <w:p>
      <w:pPr>
        <w:sectPr>
          <w:pgSz w:w="11900" w:h="16838" w:orient="portrait"/>
          <w:cols w:equalWidth="0" w:num="2">
            <w:col w:w="1380" w:space="640"/>
            <w:col w:w="8940"/>
          </w:cols>
          <w:pgMar w:left="320" w:top="451" w:right="619" w:bottom="1440" w:gutter="0" w:footer="0" w:header="0"/>
          <w:type w:val="continuous"/>
        </w:sectPr>
      </w:pPr>
    </w:p>
    <w:p>
      <w:pPr>
        <w:ind w:left="160" w:right="440" w:firstLine="436"/>
        <w:spacing w:after="0" w:line="278" w:lineRule="auto"/>
        <w:rPr>
          <w:sz w:val="20"/>
          <w:szCs w:val="20"/>
          <w:color w:val="auto"/>
        </w:rPr>
      </w:pPr>
      <w:r>
        <w:rPr>
          <w:rFonts w:ascii="Times New Roman" w:cs="Times New Roman" w:eastAsia="Times New Roman" w:hAnsi="Times New Roman"/>
          <w:sz w:val="18"/>
          <w:szCs w:val="18"/>
          <w:color w:val="auto"/>
        </w:rPr>
        <w:t>Information made available in this prospectus should not be considered as “advice” as defined in the South African Financial Advisory and Intermediary Services Act, 2002.</w:t>
      </w:r>
    </w:p>
    <w:p>
      <w:pPr>
        <w:spacing w:after="0" w:line="9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0960"/>
          </w:cols>
          <w:pgMar w:left="320" w:top="451" w:right="619" w:bottom="1440" w:gutter="0" w:footer="0" w:header="0"/>
          <w:type w:val="continuous"/>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5" w:lineRule="exact"/>
        <w:rPr>
          <w:sz w:val="20"/>
          <w:szCs w:val="20"/>
          <w:color w:val="auto"/>
        </w:rPr>
      </w:pPr>
    </w:p>
    <w:p>
      <w:pPr>
        <w:ind w:left="160" w:right="320" w:firstLine="436"/>
        <w:spacing w:after="0" w:line="258" w:lineRule="auto"/>
        <w:rPr>
          <w:sz w:val="20"/>
          <w:szCs w:val="20"/>
          <w:color w:val="auto"/>
        </w:rPr>
      </w:pPr>
      <w:r>
        <w:rPr>
          <w:rFonts w:ascii="Times New Roman" w:cs="Times New Roman" w:eastAsia="Times New Roman" w:hAnsi="Times New Roman"/>
          <w:sz w:val="18"/>
          <w:szCs w:val="18"/>
          <w:color w:val="auto"/>
        </w:rPr>
        <w:t>The validity of the shares of Class A common stock will be passed upon for us by Simpson Thacher &amp; Bartlett LLP, Washington, D.C. Certain legal matters in connection with this offering will be passed upon for the underwriters by Latham &amp; Watkins LLP, Washington, D.C. An investment vehicle comprised of selected partners of Simpson Thacher &amp; Bartlett LLP, members of their families, related persons, and others owns an interest representing less than 1% of the capital commitments of certain investment funds affiliated with Blackstone, Carlyle, and H&amp;F.</w:t>
      </w:r>
    </w:p>
    <w:p>
      <w:pPr>
        <w:spacing w:after="0" w:line="3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5" w:lineRule="exact"/>
        <w:rPr>
          <w:sz w:val="20"/>
          <w:szCs w:val="20"/>
          <w:color w:val="auto"/>
        </w:rPr>
      </w:pPr>
    </w:p>
    <w:p>
      <w:pPr>
        <w:ind w:left="160" w:right="200" w:firstLine="436"/>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Medline Holdings, LP at December 31, 2024, and for each of the three years in the period ended December 31, 2024,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5" w:lineRule="exact"/>
        <w:rPr>
          <w:sz w:val="20"/>
          <w:szCs w:val="20"/>
          <w:color w:val="auto"/>
        </w:rPr>
      </w:pPr>
    </w:p>
    <w:p>
      <w:pPr>
        <w:ind w:left="160" w:right="60" w:firstLine="436"/>
        <w:spacing w:after="0" w:line="252" w:lineRule="auto"/>
        <w:rPr>
          <w:sz w:val="20"/>
          <w:szCs w:val="20"/>
          <w:color w:val="auto"/>
        </w:rPr>
      </w:pPr>
      <w:r>
        <w:rPr>
          <w:rFonts w:ascii="Times New Roman" w:cs="Times New Roman" w:eastAsia="Times New Roman" w:hAnsi="Times New Roman"/>
          <w:sz w:val="18"/>
          <w:szCs w:val="18"/>
          <w:color w:val="auto"/>
        </w:rPr>
        <w:t xml:space="preserve">We have filed with the SEC a registration statement on Form S-1 under the Securities Act with respect to the shares of Class A common stock offered by this prospectus. This prospectus,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shares of our Class A common stock, we refer you to the registration statement and to its exhibits and schedules. Statements in this prospectus about the contents of any contract, agreement or other document are not necessarily complete and in each instance we refer you to the copy or form of such contract, agreement or document filed as an exhibit to the registration statement, each statement being qualified in all respects by such reference. You may inspect these reports and other information without charge at a website maintained by the SEC. The address of this site is </w:t>
      </w:r>
      <w:r>
        <w:rPr>
          <w:rFonts w:ascii="Times New Roman" w:cs="Times New Roman" w:eastAsia="Times New Roman" w:hAnsi="Times New Roman"/>
          <w:sz w:val="18"/>
          <w:szCs w:val="18"/>
          <w:i w:val="1"/>
          <w:iCs w:val="1"/>
          <w:color w:val="auto"/>
        </w:rPr>
        <w:t>www.sec.gov.</w:t>
      </w:r>
    </w:p>
    <w:p>
      <w:pPr>
        <w:spacing w:after="0" w:line="185" w:lineRule="exact"/>
        <w:rPr>
          <w:sz w:val="20"/>
          <w:szCs w:val="20"/>
          <w:color w:val="auto"/>
        </w:rPr>
      </w:pPr>
    </w:p>
    <w:p>
      <w:pPr>
        <w:ind w:left="160" w:firstLine="436"/>
        <w:spacing w:after="0" w:line="280" w:lineRule="auto"/>
        <w:rPr>
          <w:sz w:val="20"/>
          <w:szCs w:val="20"/>
          <w:color w:val="auto"/>
        </w:rPr>
      </w:pPr>
      <w:r>
        <w:rPr>
          <w:rFonts w:ascii="Times New Roman" w:cs="Times New Roman" w:eastAsia="Times New Roman" w:hAnsi="Times New Roman"/>
          <w:sz w:val="18"/>
          <w:szCs w:val="18"/>
          <w:color w:val="auto"/>
        </w:rPr>
        <w:t xml:space="preserve">We maintain an internet site at </w:t>
      </w:r>
      <w:r>
        <w:rPr>
          <w:rFonts w:ascii="Times New Roman" w:cs="Times New Roman" w:eastAsia="Times New Roman" w:hAnsi="Times New Roman"/>
          <w:sz w:val="18"/>
          <w:szCs w:val="18"/>
          <w:i w:val="1"/>
          <w:iCs w:val="1"/>
          <w:color w:val="auto"/>
        </w:rPr>
        <w:t>www.medline.com.</w:t>
      </w:r>
      <w:r>
        <w:rPr>
          <w:rFonts w:ascii="Times New Roman" w:cs="Times New Roman" w:eastAsia="Times New Roman" w:hAnsi="Times New Roman"/>
          <w:sz w:val="18"/>
          <w:szCs w:val="18"/>
          <w:color w:val="auto"/>
        </w:rPr>
        <w:t xml:space="preserve"> The information on, or accessible from, our website is not part of this prospectus by reference or otherwise.</w:t>
      </w:r>
    </w:p>
    <w:p>
      <w:pPr>
        <w:spacing w:after="0" w:line="161" w:lineRule="exact"/>
        <w:rPr>
          <w:sz w:val="20"/>
          <w:szCs w:val="20"/>
          <w:color w:val="auto"/>
        </w:rPr>
      </w:pPr>
    </w:p>
    <w:p>
      <w:pPr>
        <w:ind w:left="160" w:right="200" w:firstLine="436"/>
        <w:spacing w:after="0" w:line="278"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and as a result file annual, quarterly and current reports, proxy statements and other information with the SEC. You are able to inspect copies of these materials without charge at the SEC’s website.</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080"/>
          </w:cols>
          <w:pgMar w:left="320" w:top="451" w:right="49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Medline Holdings, LP:</w:t>
      </w:r>
    </w:p>
    <w:p>
      <w:pPr>
        <w:spacing w:after="0" w:line="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Audited Consolidated Financial Statements:</w:t>
      </w:r>
    </w:p>
    <w:tbl>
      <w:tblPr>
        <w:tblLayout w:type="fixed"/>
        <w:tblInd w:w="160" w:type="dxa"/>
        <w:tblCellMar>
          <w:top w:w="0" w:type="dxa"/>
          <w:left w:w="0" w:type="dxa"/>
          <w:bottom w:w="0" w:type="dxa"/>
          <w:right w:w="0" w:type="dxa"/>
        </w:tblCellMar>
      </w:tblPr>
      <w:tr>
        <w:trPr>
          <w:trHeight w:val="179"/>
        </w:trPr>
        <w:tc>
          <w:tcPr>
            <w:tcW w:w="360" w:type="dxa"/>
            <w:vAlign w:val="bottom"/>
          </w:tcPr>
          <w:p>
            <w:pPr>
              <w:spacing w:after="0"/>
              <w:rPr>
                <w:sz w:val="15"/>
                <w:szCs w:val="15"/>
                <w:color w:val="auto"/>
              </w:rPr>
            </w:pPr>
          </w:p>
        </w:tc>
        <w:tc>
          <w:tcPr>
            <w:tcW w:w="10040" w:type="dxa"/>
            <w:vAlign w:val="bottom"/>
            <w:gridSpan w:val="15"/>
          </w:tcPr>
          <w:p>
            <w:pPr>
              <w:spacing w:after="0" w:line="179"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ID-42)</w:t>
            </w:r>
          </w:p>
        </w:tc>
        <w:tc>
          <w:tcPr>
            <w:tcW w:w="460" w:type="dxa"/>
            <w:vAlign w:val="bottom"/>
          </w:tcPr>
          <w:p>
            <w:pPr>
              <w:jc w:val="right"/>
              <w:spacing w:after="0" w:line="179" w:lineRule="exact"/>
              <w:rPr>
                <w:sz w:val="20"/>
                <w:szCs w:val="20"/>
                <w:color w:val="auto"/>
              </w:rPr>
            </w:pPr>
            <w:r>
              <w:rPr>
                <w:rFonts w:ascii="Times New Roman" w:cs="Times New Roman" w:eastAsia="Times New Roman" w:hAnsi="Times New Roman"/>
                <w:sz w:val="18"/>
                <w:szCs w:val="18"/>
                <w:color w:val="auto"/>
              </w:rPr>
              <w:t>F-2</w:t>
            </w:r>
          </w:p>
        </w:tc>
      </w:tr>
      <w:tr>
        <w:trPr>
          <w:trHeight w:val="194"/>
        </w:trPr>
        <w:tc>
          <w:tcPr>
            <w:tcW w:w="360" w:type="dxa"/>
            <w:vAlign w:val="bottom"/>
          </w:tcPr>
          <w:p>
            <w:pPr>
              <w:spacing w:after="0"/>
              <w:rPr>
                <w:sz w:val="16"/>
                <w:szCs w:val="16"/>
                <w:color w:val="auto"/>
              </w:rPr>
            </w:pPr>
          </w:p>
        </w:tc>
        <w:tc>
          <w:tcPr>
            <w:tcW w:w="5400" w:type="dxa"/>
            <w:vAlign w:val="bottom"/>
            <w:tcBorders>
              <w:top w:val="single" w:sz="8" w:color="0000EE"/>
            </w:tcBorders>
            <w:gridSpan w:val="7"/>
          </w:tcPr>
          <w:p>
            <w:pPr>
              <w:spacing w:after="0" w:line="194" w:lineRule="exact"/>
              <w:rPr>
                <w:sz w:val="20"/>
                <w:szCs w:val="20"/>
                <w:color w:val="auto"/>
              </w:rPr>
            </w:pPr>
            <w:r>
              <w:rPr>
                <w:rFonts w:ascii="Times New Roman" w:cs="Times New Roman" w:eastAsia="Times New Roman" w:hAnsi="Times New Roman"/>
                <w:sz w:val="18"/>
                <w:szCs w:val="18"/>
                <w:color w:val="0000EE"/>
              </w:rPr>
              <w:t>Consolidated Balance Sheets as of December 31, 2024 and 2023</w:t>
            </w:r>
          </w:p>
        </w:tc>
        <w:tc>
          <w:tcPr>
            <w:tcW w:w="4640" w:type="dxa"/>
            <w:vAlign w:val="bottom"/>
            <w:gridSpan w:val="8"/>
          </w:tcPr>
          <w:p>
            <w:pPr>
              <w:spacing w:after="0"/>
              <w:rPr>
                <w:sz w:val="16"/>
                <w:szCs w:val="16"/>
                <w:color w:val="auto"/>
              </w:rPr>
            </w:pPr>
          </w:p>
        </w:tc>
        <w:tc>
          <w:tcPr>
            <w:tcW w:w="4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F-4</w:t>
            </w: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4"/>
        </w:trPr>
        <w:tc>
          <w:tcPr>
            <w:tcW w:w="360" w:type="dxa"/>
            <w:vAlign w:val="bottom"/>
          </w:tcPr>
          <w:p>
            <w:pPr>
              <w:spacing w:after="0"/>
              <w:rPr>
                <w:sz w:val="16"/>
                <w:szCs w:val="16"/>
                <w:color w:val="auto"/>
              </w:rPr>
            </w:pPr>
          </w:p>
        </w:tc>
        <w:tc>
          <w:tcPr>
            <w:tcW w:w="1004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EE"/>
              </w:rPr>
              <w:t>Consolidated Statements of Comprehensive Income for the Years Ended December 31, 2024, 2023, and 2022</w:t>
            </w:r>
          </w:p>
        </w:tc>
        <w:tc>
          <w:tcPr>
            <w:tcW w:w="4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F-5</w:t>
            </w: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4"/>
        </w:trPr>
        <w:tc>
          <w:tcPr>
            <w:tcW w:w="360" w:type="dxa"/>
            <w:vAlign w:val="bottom"/>
          </w:tcPr>
          <w:p>
            <w:pPr>
              <w:spacing w:after="0"/>
              <w:rPr>
                <w:sz w:val="16"/>
                <w:szCs w:val="16"/>
                <w:color w:val="auto"/>
              </w:rPr>
            </w:pPr>
          </w:p>
        </w:tc>
        <w:tc>
          <w:tcPr>
            <w:tcW w:w="8960" w:type="dxa"/>
            <w:vAlign w:val="bottom"/>
            <w:tcBorders>
              <w:bottom w:val="single" w:sz="8" w:color="0000EE"/>
            </w:tcBorders>
            <w:gridSpan w:val="12"/>
          </w:tcPr>
          <w:p>
            <w:pPr>
              <w:spacing w:after="0" w:line="194" w:lineRule="exact"/>
              <w:rPr>
                <w:sz w:val="20"/>
                <w:szCs w:val="20"/>
                <w:color w:val="auto"/>
              </w:rPr>
            </w:pPr>
            <w:r>
              <w:rPr>
                <w:rFonts w:ascii="Times New Roman" w:cs="Times New Roman" w:eastAsia="Times New Roman" w:hAnsi="Times New Roman"/>
                <w:sz w:val="18"/>
                <w:szCs w:val="18"/>
                <w:color w:val="0000EE"/>
                <w:w w:val="98"/>
              </w:rPr>
              <w:t>Consolidated Statements of Mezzanine Equity and Partners’ Capital for the Years Ended December 31, 2024, 2023, and 2022</w:t>
            </w:r>
          </w:p>
        </w:tc>
        <w:tc>
          <w:tcPr>
            <w:tcW w:w="1080" w:type="dxa"/>
            <w:vAlign w:val="bottom"/>
            <w:gridSpan w:val="3"/>
          </w:tcPr>
          <w:p>
            <w:pPr>
              <w:spacing w:after="0"/>
              <w:rPr>
                <w:sz w:val="16"/>
                <w:szCs w:val="16"/>
                <w:color w:val="auto"/>
              </w:rPr>
            </w:pPr>
          </w:p>
        </w:tc>
        <w:tc>
          <w:tcPr>
            <w:tcW w:w="4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F-6</w:t>
            </w:r>
          </w:p>
        </w:tc>
      </w:tr>
      <w:tr>
        <w:trPr>
          <w:trHeight w:val="194"/>
        </w:trPr>
        <w:tc>
          <w:tcPr>
            <w:tcW w:w="360" w:type="dxa"/>
            <w:vAlign w:val="bottom"/>
          </w:tcPr>
          <w:p>
            <w:pPr>
              <w:spacing w:after="0"/>
              <w:rPr>
                <w:sz w:val="16"/>
                <w:szCs w:val="16"/>
                <w:color w:val="auto"/>
              </w:rPr>
            </w:pPr>
          </w:p>
        </w:tc>
        <w:tc>
          <w:tcPr>
            <w:tcW w:w="1004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2024, 2023, and 2022</w:t>
            </w:r>
          </w:p>
        </w:tc>
        <w:tc>
          <w:tcPr>
            <w:tcW w:w="4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F-9</w:t>
            </w:r>
          </w:p>
        </w:tc>
      </w:tr>
      <w:tr>
        <w:trPr>
          <w:trHeight w:val="194"/>
        </w:trPr>
        <w:tc>
          <w:tcPr>
            <w:tcW w:w="360" w:type="dxa"/>
            <w:vAlign w:val="bottom"/>
          </w:tcPr>
          <w:p>
            <w:pPr>
              <w:spacing w:after="0"/>
              <w:rPr>
                <w:sz w:val="16"/>
                <w:szCs w:val="16"/>
                <w:color w:val="auto"/>
              </w:rPr>
            </w:pPr>
          </w:p>
        </w:tc>
        <w:tc>
          <w:tcPr>
            <w:tcW w:w="6980" w:type="dxa"/>
            <w:vAlign w:val="bottom"/>
            <w:tcBorders>
              <w:top w:val="single" w:sz="8" w:color="0000EE"/>
            </w:tcBorders>
            <w:gridSpan w:val="9"/>
          </w:tcPr>
          <w:p>
            <w:pPr>
              <w:spacing w:after="0" w:line="194"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3060" w:type="dxa"/>
            <w:vAlign w:val="bottom"/>
            <w:gridSpan w:val="6"/>
          </w:tcPr>
          <w:p>
            <w:pPr>
              <w:spacing w:after="0"/>
              <w:rPr>
                <w:sz w:val="16"/>
                <w:szCs w:val="16"/>
                <w:color w:val="auto"/>
              </w:rPr>
            </w:pPr>
          </w:p>
        </w:tc>
        <w:tc>
          <w:tcPr>
            <w:tcW w:w="4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F-11</w:t>
            </w: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6"/>
        </w:trPr>
        <w:tc>
          <w:tcPr>
            <w:tcW w:w="104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Unaudited Condensed Consolidated Financial Statements:</w:t>
            </w:r>
          </w:p>
        </w:tc>
        <w:tc>
          <w:tcPr>
            <w:tcW w:w="460" w:type="dxa"/>
            <w:vAlign w:val="bottom"/>
          </w:tcPr>
          <w:p>
            <w:pPr>
              <w:spacing w:after="0"/>
              <w:rPr>
                <w:sz w:val="18"/>
                <w:szCs w:val="18"/>
                <w:color w:val="auto"/>
              </w:rPr>
            </w:pPr>
          </w:p>
        </w:tc>
      </w:tr>
      <w:tr>
        <w:trPr>
          <w:trHeight w:val="192"/>
        </w:trPr>
        <w:tc>
          <w:tcPr>
            <w:tcW w:w="360" w:type="dxa"/>
            <w:vAlign w:val="bottom"/>
          </w:tcPr>
          <w:p>
            <w:pPr>
              <w:spacing w:after="0"/>
              <w:rPr>
                <w:sz w:val="16"/>
                <w:szCs w:val="16"/>
                <w:color w:val="auto"/>
              </w:rPr>
            </w:pPr>
          </w:p>
        </w:tc>
        <w:tc>
          <w:tcPr>
            <w:tcW w:w="10040" w:type="dxa"/>
            <w:vAlign w:val="bottom"/>
            <w:gridSpan w:val="15"/>
          </w:tcPr>
          <w:p>
            <w:pPr>
              <w:spacing w:after="0" w:line="192" w:lineRule="exact"/>
              <w:rPr>
                <w:sz w:val="20"/>
                <w:szCs w:val="20"/>
                <w:color w:val="auto"/>
              </w:rPr>
            </w:pPr>
            <w:r>
              <w:rPr>
                <w:rFonts w:ascii="Times New Roman" w:cs="Times New Roman" w:eastAsia="Times New Roman" w:hAnsi="Times New Roman"/>
                <w:sz w:val="18"/>
                <w:szCs w:val="18"/>
                <w:color w:val="0000EE"/>
              </w:rPr>
              <w:t>Condensed Consolidated Balance Sheets as of September 27, 2025 and December 31, 2024</w:t>
            </w:r>
          </w:p>
        </w:tc>
        <w:tc>
          <w:tcPr>
            <w:tcW w:w="46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F-52</w:t>
            </w: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4"/>
        </w:trPr>
        <w:tc>
          <w:tcPr>
            <w:tcW w:w="360" w:type="dxa"/>
            <w:vAlign w:val="bottom"/>
          </w:tcPr>
          <w:p>
            <w:pPr>
              <w:spacing w:after="0"/>
              <w:rPr>
                <w:sz w:val="16"/>
                <w:szCs w:val="16"/>
                <w:color w:val="auto"/>
              </w:rPr>
            </w:pPr>
          </w:p>
        </w:tc>
        <w:tc>
          <w:tcPr>
            <w:tcW w:w="9080" w:type="dxa"/>
            <w:vAlign w:val="bottom"/>
            <w:tcBorders>
              <w:bottom w:val="single" w:sz="8" w:color="0000EE"/>
            </w:tcBorders>
            <w:gridSpan w:val="13"/>
          </w:tcPr>
          <w:p>
            <w:pPr>
              <w:spacing w:after="0" w:line="194" w:lineRule="exact"/>
              <w:rPr>
                <w:sz w:val="20"/>
                <w:szCs w:val="20"/>
                <w:color w:val="auto"/>
              </w:rPr>
            </w:pPr>
            <w:r>
              <w:rPr>
                <w:rFonts w:ascii="Times New Roman" w:cs="Times New Roman" w:eastAsia="Times New Roman" w:hAnsi="Times New Roman"/>
                <w:sz w:val="18"/>
                <w:szCs w:val="18"/>
                <w:color w:val="0000EE"/>
                <w:w w:val="98"/>
              </w:rPr>
              <w:t>Condensed Consolidated Statements of Comprehensive Income for the Three and Nine Months Ended September 27, 2025 and</w:t>
            </w:r>
          </w:p>
        </w:tc>
        <w:tc>
          <w:tcPr>
            <w:tcW w:w="960" w:type="dxa"/>
            <w:vAlign w:val="bottom"/>
            <w:gridSpan w:val="2"/>
          </w:tcPr>
          <w:p>
            <w:pPr>
              <w:spacing w:after="0"/>
              <w:rPr>
                <w:sz w:val="16"/>
                <w:szCs w:val="16"/>
                <w:color w:val="auto"/>
              </w:rPr>
            </w:pPr>
          </w:p>
        </w:tc>
        <w:tc>
          <w:tcPr>
            <w:tcW w:w="460" w:type="dxa"/>
            <w:vAlign w:val="bottom"/>
          </w:tcPr>
          <w:p>
            <w:pPr>
              <w:spacing w:after="0"/>
              <w:rPr>
                <w:sz w:val="16"/>
                <w:szCs w:val="16"/>
                <w:color w:val="auto"/>
              </w:rPr>
            </w:pPr>
          </w:p>
        </w:tc>
      </w:tr>
      <w:tr>
        <w:trPr>
          <w:trHeight w:val="194"/>
        </w:trPr>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8"/>
              </w:rPr>
              <w:t>September 28, 2024</w:t>
            </w:r>
          </w:p>
        </w:tc>
        <w:tc>
          <w:tcPr>
            <w:tcW w:w="8420" w:type="dxa"/>
            <w:vAlign w:val="bottom"/>
            <w:gridSpan w:val="13"/>
          </w:tcPr>
          <w:p>
            <w:pPr>
              <w:spacing w:after="0"/>
              <w:rPr>
                <w:sz w:val="16"/>
                <w:szCs w:val="16"/>
                <w:color w:val="auto"/>
              </w:rPr>
            </w:pPr>
          </w:p>
        </w:tc>
        <w:tc>
          <w:tcPr>
            <w:tcW w:w="4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F-53</w:t>
            </w:r>
          </w:p>
        </w:tc>
      </w:tr>
      <w:tr>
        <w:trPr>
          <w:trHeight w:val="194"/>
        </w:trPr>
        <w:tc>
          <w:tcPr>
            <w:tcW w:w="360" w:type="dxa"/>
            <w:vAlign w:val="bottom"/>
          </w:tcPr>
          <w:p>
            <w:pPr>
              <w:spacing w:after="0"/>
              <w:rPr>
                <w:sz w:val="16"/>
                <w:szCs w:val="16"/>
                <w:color w:val="auto"/>
              </w:rPr>
            </w:pPr>
          </w:p>
        </w:tc>
        <w:tc>
          <w:tcPr>
            <w:tcW w:w="1004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EE"/>
                <w:w w:val="99"/>
              </w:rPr>
              <w:t>Condensed Consolidated Statements of Mezzanine Equity and Partners’ Capital for the Three and Nine Months Ended September 27, 2025</w:t>
            </w:r>
          </w:p>
        </w:tc>
        <w:tc>
          <w:tcPr>
            <w:tcW w:w="460" w:type="dxa"/>
            <w:vAlign w:val="bottom"/>
          </w:tcPr>
          <w:p>
            <w:pPr>
              <w:spacing w:after="0"/>
              <w:rPr>
                <w:sz w:val="16"/>
                <w:szCs w:val="16"/>
                <w:color w:val="auto"/>
              </w:rPr>
            </w:pPr>
          </w:p>
        </w:tc>
      </w:tr>
      <w:tr>
        <w:trPr>
          <w:trHeight w:val="194"/>
        </w:trPr>
        <w:tc>
          <w:tcPr>
            <w:tcW w:w="36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740" w:type="dxa"/>
            <w:vAlign w:val="bottom"/>
            <w:tcBorders>
              <w:top w:val="single" w:sz="8" w:color="0000EE"/>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8"/>
              </w:rPr>
              <w:t>and September 28, 2024</w:t>
            </w:r>
          </w:p>
        </w:tc>
        <w:tc>
          <w:tcPr>
            <w:tcW w:w="8000" w:type="dxa"/>
            <w:vAlign w:val="bottom"/>
            <w:tcBorders>
              <w:top w:val="single" w:sz="8" w:color="0000EE"/>
            </w:tcBorders>
            <w:gridSpan w:val="11"/>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F-54</w:t>
            </w:r>
          </w:p>
        </w:tc>
      </w:tr>
      <w:tr>
        <w:trPr>
          <w:trHeight w:val="194"/>
        </w:trPr>
        <w:tc>
          <w:tcPr>
            <w:tcW w:w="360" w:type="dxa"/>
            <w:vAlign w:val="bottom"/>
          </w:tcPr>
          <w:p>
            <w:pPr>
              <w:spacing w:after="0"/>
              <w:rPr>
                <w:sz w:val="16"/>
                <w:szCs w:val="16"/>
                <w:color w:val="auto"/>
              </w:rPr>
            </w:pPr>
          </w:p>
        </w:tc>
        <w:tc>
          <w:tcPr>
            <w:tcW w:w="1004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 September 27, 2025 and September 28, 2024</w:t>
            </w:r>
          </w:p>
        </w:tc>
        <w:tc>
          <w:tcPr>
            <w:tcW w:w="4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F-56</w:t>
            </w:r>
          </w:p>
        </w:tc>
      </w:tr>
      <w:tr>
        <w:trPr>
          <w:trHeight w:val="194"/>
        </w:trPr>
        <w:tc>
          <w:tcPr>
            <w:tcW w:w="360" w:type="dxa"/>
            <w:vAlign w:val="bottom"/>
          </w:tcPr>
          <w:p>
            <w:pPr>
              <w:spacing w:after="0"/>
              <w:rPr>
                <w:sz w:val="16"/>
                <w:szCs w:val="16"/>
                <w:color w:val="auto"/>
              </w:rPr>
            </w:pPr>
          </w:p>
        </w:tc>
        <w:tc>
          <w:tcPr>
            <w:tcW w:w="8920" w:type="dxa"/>
            <w:vAlign w:val="bottom"/>
            <w:tcBorders>
              <w:top w:val="single" w:sz="8" w:color="0000EE"/>
            </w:tcBorders>
            <w:gridSpan w:val="11"/>
          </w:tcPr>
          <w:p>
            <w:pPr>
              <w:spacing w:after="0" w:line="194"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1120" w:type="dxa"/>
            <w:vAlign w:val="bottom"/>
            <w:gridSpan w:val="4"/>
          </w:tcPr>
          <w:p>
            <w:pPr>
              <w:spacing w:after="0"/>
              <w:rPr>
                <w:sz w:val="16"/>
                <w:szCs w:val="16"/>
                <w:color w:val="auto"/>
              </w:rPr>
            </w:pPr>
          </w:p>
        </w:tc>
        <w:tc>
          <w:tcPr>
            <w:tcW w:w="4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F-58</w:t>
            </w:r>
          </w:p>
        </w:tc>
      </w:tr>
      <w:tr>
        <w:trPr>
          <w:trHeight w:val="382"/>
        </w:trPr>
        <w:tc>
          <w:tcPr>
            <w:tcW w:w="3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5440" w:type="dxa"/>
            <w:vAlign w:val="bottom"/>
            <w:gridSpan w:val="9"/>
          </w:tcPr>
          <w:p>
            <w:pPr>
              <w:ind w:left="380"/>
              <w:spacing w:after="0"/>
              <w:rPr>
                <w:sz w:val="20"/>
                <w:szCs w:val="20"/>
                <w:color w:val="auto"/>
              </w:rPr>
            </w:pPr>
            <w:r>
              <w:rPr>
                <w:rFonts w:ascii="Times New Roman" w:cs="Times New Roman" w:eastAsia="Times New Roman" w:hAnsi="Times New Roman"/>
                <w:sz w:val="18"/>
                <w:szCs w:val="18"/>
                <w:color w:val="auto"/>
              </w:rPr>
              <w:t>F-1</w:t>
            </w:r>
          </w:p>
        </w:tc>
        <w:tc>
          <w:tcPr>
            <w:tcW w:w="460" w:type="dxa"/>
            <w:vAlign w:val="bottom"/>
          </w:tcPr>
          <w:p>
            <w:pPr>
              <w:spacing w:after="0"/>
              <w:rPr>
                <w:sz w:val="24"/>
                <w:szCs w:val="24"/>
                <w:color w:val="auto"/>
              </w:rPr>
            </w:pPr>
          </w:p>
        </w:tc>
      </w:tr>
    </w:tbl>
    <w:p>
      <w:pPr>
        <w:sectPr>
          <w:pgSz w:w="11900" w:h="16838" w:orient="portrait"/>
          <w:cols w:equalWidth="0" w:num="1">
            <w:col w:w="11020"/>
          </w:cols>
          <w:pgMar w:left="320" w:top="451" w:right="5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 the Board of Managers of Medline Holdings, LP</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18" w:lineRule="exact"/>
        <w:rPr>
          <w:sz w:val="20"/>
          <w:szCs w:val="20"/>
          <w:color w:val="auto"/>
        </w:rPr>
      </w:pPr>
    </w:p>
    <w:p>
      <w:pPr>
        <w:ind w:left="160" w:right="40"/>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Medline Holdings, LP and subsidiaries (the Company) as of December 31, 2024 and 2023, the related consolidated statements of comprehensive income, mezzanine equity and partners’ capital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18" w:lineRule="exact"/>
        <w:rPr>
          <w:sz w:val="20"/>
          <w:szCs w:val="20"/>
          <w:color w:val="auto"/>
        </w:rPr>
      </w:pPr>
    </w:p>
    <w:p>
      <w:pPr>
        <w:ind w:left="160" w:right="80"/>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60" w:right="46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4" w:lineRule="exact"/>
        <w:rPr>
          <w:sz w:val="20"/>
          <w:szCs w:val="20"/>
          <w:color w:val="auto"/>
        </w:rPr>
      </w:pPr>
    </w:p>
    <w:p>
      <w:pPr>
        <w:ind w:left="160"/>
        <w:spacing w:after="0" w:line="277"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18" w:lineRule="exact"/>
        <w:rPr>
          <w:sz w:val="20"/>
          <w:szCs w:val="20"/>
          <w:color w:val="auto"/>
        </w:rPr>
      </w:pPr>
    </w:p>
    <w:p>
      <w:pPr>
        <w:ind w:left="160" w:right="340"/>
        <w:spacing w:after="0" w:line="274"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w:t>
      </w:r>
    </w:p>
    <w:p>
      <w:pPr>
        <w:ind w:left="160" w:right="80" w:firstLine="7"/>
        <w:spacing w:after="0" w:line="252" w:lineRule="auto"/>
        <w:tabs>
          <w:tab w:leader="none" w:pos="412"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60"/>
          </w:cols>
          <w:pgMar w:left="320" w:top="452" w:right="51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i w:val="1"/>
          <w:iCs w:val="1"/>
          <w:color w:val="auto"/>
        </w:rPr>
        <w:t>Accrued customer rebates</w:t>
      </w:r>
    </w:p>
    <w:p>
      <w:pPr>
        <w:spacing w:after="0" w:line="183" w:lineRule="exact"/>
        <w:rPr>
          <w:sz w:val="20"/>
          <w:szCs w:val="20"/>
          <w:color w:val="auto"/>
        </w:rPr>
      </w:pPr>
    </w:p>
    <w:p>
      <w:pPr>
        <w:ind w:left="160"/>
        <w:spacing w:after="0"/>
        <w:tabs>
          <w:tab w:leader="none" w:pos="168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7"/>
          <w:szCs w:val="17"/>
          <w:color w:val="auto"/>
        </w:rPr>
        <w:t>As disclosed in Note 1 to the consolidated financial statements under the caption “Revenue Recognition”, the Company’s product</w:t>
      </w:r>
    </w:p>
    <w:p>
      <w:pPr>
        <w:sectPr>
          <w:pgSz w:w="11900" w:h="16838" w:orient="portrait"/>
          <w:cols w:equalWidth="0" w:num="1">
            <w:col w:w="11060"/>
          </w:cols>
          <w:pgMar w:left="320" w:top="452" w:right="519" w:bottom="1440" w:gutter="0" w:footer="0" w:header="0"/>
        </w:sectPr>
      </w:pPr>
    </w:p>
    <w:p>
      <w:pPr>
        <w:spacing w:after="0" w:line="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Matter</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sales to customers are adjusted for variable consideration, including customer rebates, which are estimated at the point revenue is recognized. The Company’s estimate of customer rebates is based upon the contractual rebate terms between the Company and its customers, products subject to a rebate, the lag between the sale and the payment of the rebate, and historical rebate payment trends. At December 31, 2024, the Company had $365 million in customer rebates and distributor chargebacks, of which a large portion relates to customer rebates.</w:t>
      </w:r>
    </w:p>
    <w:p>
      <w:pPr>
        <w:spacing w:after="0" w:line="200" w:lineRule="exact"/>
        <w:rPr>
          <w:sz w:val="20"/>
          <w:szCs w:val="20"/>
          <w:color w:val="auto"/>
        </w:rPr>
      </w:pPr>
    </w:p>
    <w:p>
      <w:pPr>
        <w:sectPr>
          <w:pgSz w:w="11900" w:h="16838" w:orient="portrait"/>
          <w:cols w:equalWidth="0" w:num="2">
            <w:col w:w="980" w:space="720"/>
            <w:col w:w="9360"/>
          </w:cols>
          <w:pgMar w:left="320" w:top="452" w:right="519" w:bottom="1440" w:gutter="0" w:footer="0" w:header="0"/>
          <w:type w:val="continuous"/>
        </w:sectPr>
      </w:pPr>
    </w:p>
    <w:p>
      <w:pPr>
        <w:spacing w:after="0" w:line="14" w:lineRule="exact"/>
        <w:rPr>
          <w:sz w:val="20"/>
          <w:szCs w:val="20"/>
          <w:color w:val="auto"/>
        </w:rPr>
      </w:pPr>
    </w:p>
    <w:p>
      <w:pPr>
        <w:ind w:left="1700" w:right="260"/>
        <w:spacing w:after="0" w:line="308" w:lineRule="auto"/>
        <w:rPr>
          <w:sz w:val="20"/>
          <w:szCs w:val="20"/>
          <w:color w:val="auto"/>
        </w:rPr>
      </w:pPr>
      <w:r>
        <w:rPr>
          <w:rFonts w:ascii="Times New Roman" w:cs="Times New Roman" w:eastAsia="Times New Roman" w:hAnsi="Times New Roman"/>
          <w:sz w:val="17"/>
          <w:szCs w:val="17"/>
          <w:color w:val="auto"/>
        </w:rPr>
        <w:t>Auditing the customer rebates liability was challenging due to the significant volume of transactions and data related to product gross sales, customer rebate rates, as well as historical rebate payments, that are used in determining the accrual balance.</w:t>
      </w:r>
    </w:p>
    <w:p>
      <w:pPr>
        <w:sectPr>
          <w:pgSz w:w="11900" w:h="16838" w:orient="portrait"/>
          <w:cols w:equalWidth="0" w:num="1">
            <w:col w:w="11060"/>
          </w:cols>
          <w:pgMar w:left="320" w:top="452" w:right="519" w:bottom="1440" w:gutter="0" w:footer="0" w:header="0"/>
          <w:type w:val="continuous"/>
        </w:sectPr>
      </w:pPr>
    </w:p>
    <w:p>
      <w:pPr>
        <w:spacing w:after="0" w:line="152" w:lineRule="exact"/>
        <w:rPr>
          <w:sz w:val="20"/>
          <w:szCs w:val="20"/>
          <w:color w:val="auto"/>
        </w:rPr>
      </w:pPr>
    </w:p>
    <w:p>
      <w:pPr>
        <w:ind w:left="160"/>
        <w:spacing w:after="0" w:line="275" w:lineRule="auto"/>
        <w:rPr>
          <w:sz w:val="20"/>
          <w:szCs w:val="20"/>
          <w:color w:val="auto"/>
        </w:rPr>
      </w:pPr>
      <w:r>
        <w:rPr>
          <w:rFonts w:ascii="Times New Roman" w:cs="Times New Roman" w:eastAsia="Times New Roman" w:hAnsi="Times New Roman"/>
          <w:sz w:val="17"/>
          <w:szCs w:val="17"/>
          <w:i w:val="1"/>
          <w:iCs w:val="1"/>
          <w:color w:val="auto"/>
        </w:rPr>
        <w:t>How We Addressed the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To test the Company’s customer rebate liability, our audit procedures included, among others, testing the completeness and accuracy of the underlying data used in the estimate, including, but not limited to, gross sales transactions, customer rebate rates,</w:t>
      </w:r>
    </w:p>
    <w:p>
      <w:pPr>
        <w:spacing w:after="0" w:line="1" w:lineRule="exact"/>
        <w:rPr>
          <w:sz w:val="20"/>
          <w:szCs w:val="20"/>
          <w:color w:val="auto"/>
        </w:rPr>
      </w:pPr>
    </w:p>
    <w:p>
      <w:pPr>
        <w:sectPr>
          <w:pgSz w:w="11900" w:h="16838" w:orient="portrait"/>
          <w:cols w:equalWidth="0" w:num="2">
            <w:col w:w="1160" w:space="540"/>
            <w:col w:w="9360"/>
          </w:cols>
          <w:pgMar w:left="320" w:top="452" w:right="519" w:bottom="1440" w:gutter="0" w:footer="0" w:header="0"/>
          <w:type w:val="continuous"/>
        </w:sectPr>
      </w:pPr>
    </w:p>
    <w:p>
      <w:pPr>
        <w:ind w:left="1700" w:hanging="1537"/>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Matter in Our Audit </w:t>
      </w:r>
      <w:r>
        <w:rPr>
          <w:rFonts w:ascii="Times New Roman" w:cs="Times New Roman" w:eastAsia="Times New Roman" w:hAnsi="Times New Roman"/>
          <w:sz w:val="17"/>
          <w:szCs w:val="17"/>
          <w:color w:val="auto"/>
        </w:rPr>
        <w:t>and historical rebate payments. We assessed the reasonableness of the data by corroborating payments to customer contracts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recalculated the variable consideration recognized based upon gross sales subject to the rebate and the executed rate per the customer contract and evaluated any differences. We recalculated the total variable consideration on gross sales and the related accrual based upon the historical rebates as a percentage of gross sales and an independently calculated lag between rebate recognition and settlement. We evaluated the change in the accrued liability by performing inquiries and analytical procedures considering changes in contractual rebate rates, expected lag, and gross sales performance. We also tested subsequent invoicing received from customers to assess the impact to the accrual at the balance sheet date and compared that to the Company’s estimate.</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Chicago, Illinois</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February 28, 2025</w:t>
      </w:r>
    </w:p>
    <w:p>
      <w:pPr>
        <w:spacing w:after="0" w:line="15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060"/>
          </w:cols>
          <w:pgMar w:left="320" w:top="452" w:right="519" w:bottom="1440" w:gutter="0" w:footer="0" w:header="0"/>
          <w:type w:val="continuous"/>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84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Pr>
          <w:p>
            <w:pPr>
              <w:spacing w:after="0"/>
              <w:rPr>
                <w:sz w:val="12"/>
                <w:szCs w:val="12"/>
                <w:color w:val="auto"/>
              </w:rPr>
            </w:pPr>
          </w:p>
        </w:tc>
        <w:tc>
          <w:tcPr>
            <w:tcW w:w="88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199</w:t>
            </w:r>
          </w:p>
        </w:tc>
        <w:tc>
          <w:tcPr>
            <w:tcW w:w="7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2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Trade accounts receivable, net of allowance for credit losses of $108 and $58 as of December 31, 2024 and</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6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1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3,219</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4,456</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4,595</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8,065</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14,559</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14,788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23,111</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22,812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35,978</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vMerge w:val="restart"/>
          </w:tcPr>
          <w:p>
            <w:pPr>
              <w:spacing w:after="0"/>
              <w:rPr>
                <w:sz w:val="8"/>
                <w:szCs w:val="8"/>
                <w:color w:val="auto"/>
              </w:rPr>
            </w:pPr>
          </w:p>
        </w:tc>
        <w:tc>
          <w:tcPr>
            <w:tcW w:w="8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EQUITY AND PARTNERS’ CAPITAL</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borrowings and other short-term borrowings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7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869</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1,489</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borrowings, less current portion</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16,416</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16,442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17,014</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17,014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19,454</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Mezzanine equity</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2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Class A Units, no par value; 128 units issued and outstanding as of December 31, 2024 and December 31,</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w:t>
            </w:r>
          </w:p>
        </w:tc>
        <w:tc>
          <w:tcPr>
            <w:tcW w:w="7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2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Stock-based compensation, no par value; 106 and 82 units outstanding as of December 31, 2024 and</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6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mezzanine equity</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366</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Partners’ capital</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2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Class A Units, no par value; 16,723 units issued and outstanding as of December 31, 2024 and</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December 31, 2023</w:t>
            </w: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15,976</w:t>
            </w: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2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Class B Units, no par value; 721 and 754 units issued and outstanding as of December 31, 2024 and</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6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1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2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Class B CUPI Units, no par value; 23 units issued and outstanding as of December 31, 2024 and</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December 31, 2023</w:t>
            </w: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partners’ capital</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16,158</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16,744</w:t>
            </w:r>
          </w:p>
        </w:tc>
        <w:tc>
          <w:tcPr>
            <w:tcW w:w="0" w:type="dxa"/>
            <w:vAlign w:val="bottom"/>
          </w:tcPr>
          <w:p>
            <w:pPr>
              <w:spacing w:after="0"/>
              <w:rPr>
                <w:sz w:val="1"/>
                <w:szCs w:val="1"/>
                <w:color w:val="auto"/>
              </w:rPr>
            </w:pPr>
          </w:p>
        </w:tc>
      </w:tr>
      <w:tr>
        <w:trPr>
          <w:trHeight w:val="221"/>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mezzanine equity and partners’ capital</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35,978</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080"/>
          </w:cols>
          <w:pgMar w:left="320" w:top="451" w:right="49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4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7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4"/>
                <w:szCs w:val="14"/>
                <w:color w:val="auto"/>
              </w:rPr>
              <w:t>Year Ended</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7200" w:type="dxa"/>
            <w:vAlign w:val="bottom"/>
          </w:tcPr>
          <w:p>
            <w:pPr>
              <w:spacing w:after="0"/>
              <w:rPr>
                <w:sz w:val="10"/>
                <w:szCs w:val="10"/>
                <w:color w:val="auto"/>
              </w:rPr>
            </w:pPr>
          </w:p>
        </w:tc>
        <w:tc>
          <w:tcPr>
            <w:tcW w:w="11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260" w:type="dxa"/>
            <w:vAlign w:val="bottom"/>
          </w:tcPr>
          <w:p>
            <w:pPr>
              <w:spacing w:after="0"/>
              <w:rPr>
                <w:sz w:val="10"/>
                <w:szCs w:val="10"/>
                <w:color w:val="auto"/>
              </w:rPr>
            </w:pPr>
          </w:p>
        </w:tc>
        <w:tc>
          <w:tcPr>
            <w:tcW w:w="14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8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7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2024</w:t>
            </w:r>
          </w:p>
        </w:tc>
        <w:tc>
          <w:tcPr>
            <w:tcW w:w="3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2023</w:t>
            </w:r>
          </w:p>
        </w:tc>
        <w:tc>
          <w:tcPr>
            <w:tcW w:w="6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23,231</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18,531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17,346</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16,231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5,885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5,217</w:t>
            </w:r>
          </w:p>
        </w:tc>
        <w:tc>
          <w:tcPr>
            <w:tcW w:w="0" w:type="dxa"/>
            <w:vAlign w:val="bottom"/>
          </w:tcPr>
          <w:p>
            <w:pPr>
              <w:spacing w:after="0"/>
              <w:rPr>
                <w:sz w:val="1"/>
                <w:szCs w:val="1"/>
                <w:color w:val="auto"/>
              </w:rPr>
            </w:pPr>
          </w:p>
        </w:tc>
      </w:tr>
      <w:tr>
        <w:trPr>
          <w:trHeight w:val="214"/>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3,867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3,676</w:t>
            </w:r>
          </w:p>
        </w:tc>
        <w:tc>
          <w:tcPr>
            <w:tcW w:w="0" w:type="dxa"/>
            <w:vAlign w:val="bottom"/>
          </w:tcPr>
          <w:p>
            <w:pPr>
              <w:spacing w:after="0"/>
              <w:rPr>
                <w:sz w:val="1"/>
                <w:szCs w:val="1"/>
                <w:color w:val="auto"/>
              </w:rPr>
            </w:pPr>
          </w:p>
        </w:tc>
      </w:tr>
      <w:tr>
        <w:trPr>
          <w:trHeight w:val="214"/>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685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662</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14"/>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7"/>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w:t>
            </w: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6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1,250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21"/>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(976)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14"/>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4"/>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7"/>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expense</w:t>
            </w: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6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1"/>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4"/>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Retirement plan, net of tax</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4"/>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unrealized (loss) gain on derivative instruments</w:t>
            </w: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4"/>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7"/>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comprehensive (loss) income, net of tax</w:t>
            </w: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ind w:left="380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7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7200" w:type="dxa"/>
            <w:vAlign w:val="bottom"/>
          </w:tcPr>
          <w:p>
            <w:pPr>
              <w:ind w:left="5340"/>
              <w:spacing w:after="0"/>
              <w:rPr>
                <w:sz w:val="20"/>
                <w:szCs w:val="20"/>
                <w:color w:val="auto"/>
              </w:rPr>
            </w:pPr>
            <w:r>
              <w:rPr>
                <w:rFonts w:ascii="Times New Roman" w:cs="Times New Roman" w:eastAsia="Times New Roman" w:hAnsi="Times New Roman"/>
                <w:sz w:val="18"/>
                <w:szCs w:val="18"/>
                <w:color w:val="auto"/>
              </w:rPr>
              <w:t>F-5</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MEZZANINE EQUITY AND PARTNERS’ CAPITAL</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152"/>
        </w:trPr>
        <w:tc>
          <w:tcPr>
            <w:tcW w:w="33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9"/>
          </w:tcPr>
          <w:p>
            <w:pPr>
              <w:ind w:left="220"/>
              <w:spacing w:after="0"/>
              <w:rPr>
                <w:sz w:val="20"/>
                <w:szCs w:val="20"/>
                <w:color w:val="auto"/>
              </w:rPr>
            </w:pPr>
            <w:r>
              <w:rPr>
                <w:rFonts w:ascii="Times New Roman" w:cs="Times New Roman" w:eastAsia="Times New Roman" w:hAnsi="Times New Roman"/>
                <w:sz w:val="12"/>
                <w:szCs w:val="12"/>
                <w:color w:val="auto"/>
              </w:rPr>
              <w:t>Year ended December 31, 2024</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3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6"/>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Mezzanine Equity</w:t>
            </w: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6"/>
          </w:tcPr>
          <w:p>
            <w:pPr>
              <w:jc w:val="right"/>
              <w:ind w:right="22"/>
              <w:spacing w:after="0" w:line="128" w:lineRule="exact"/>
              <w:rPr>
                <w:sz w:val="20"/>
                <w:szCs w:val="20"/>
                <w:color w:val="auto"/>
              </w:rPr>
            </w:pPr>
            <w:r>
              <w:rPr>
                <w:rFonts w:ascii="Times New Roman" w:cs="Times New Roman" w:eastAsia="Times New Roman" w:hAnsi="Times New Roman"/>
                <w:sz w:val="12"/>
                <w:szCs w:val="12"/>
                <w:color w:val="auto"/>
              </w:rPr>
              <w:t>Partners’ Capital</w:t>
            </w:r>
          </w:p>
        </w:tc>
        <w:tc>
          <w:tcPr>
            <w:tcW w:w="2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3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center"/>
              <w:spacing w:after="0" w:line="114" w:lineRule="exact"/>
              <w:rPr>
                <w:sz w:val="20"/>
                <w:szCs w:val="20"/>
                <w:color w:val="auto"/>
              </w:rPr>
            </w:pPr>
            <w:r>
              <w:rPr>
                <w:rFonts w:ascii="Times New Roman" w:cs="Times New Roman" w:eastAsia="Times New Roman" w:hAnsi="Times New Roman"/>
                <w:sz w:val="12"/>
                <w:szCs w:val="12"/>
                <w:color w:val="auto"/>
              </w:rPr>
              <w:t>Total</w:t>
            </w:r>
          </w:p>
        </w:tc>
        <w:tc>
          <w:tcPr>
            <w:tcW w:w="1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gridSpan w:val="3"/>
          </w:tcPr>
          <w:p>
            <w:pPr>
              <w:jc w:val="center"/>
              <w:ind w:right="140"/>
              <w:spacing w:after="0" w:line="114" w:lineRule="exact"/>
              <w:rPr>
                <w:sz w:val="20"/>
                <w:szCs w:val="20"/>
                <w:color w:val="auto"/>
              </w:rPr>
            </w:pPr>
            <w:r>
              <w:rPr>
                <w:rFonts w:ascii="Times New Roman" w:cs="Times New Roman" w:eastAsia="Times New Roman" w:hAnsi="Times New Roman"/>
                <w:sz w:val="12"/>
                <w:szCs w:val="12"/>
                <w:color w:val="auto"/>
              </w:rPr>
              <w:t>Accumulated</w:t>
            </w: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3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5"/>
          </w:tcPr>
          <w:p>
            <w:pPr>
              <w:ind w:left="140"/>
              <w:spacing w:after="0" w:line="134" w:lineRule="exact"/>
              <w:rPr>
                <w:sz w:val="20"/>
                <w:szCs w:val="20"/>
                <w:color w:val="auto"/>
              </w:rPr>
            </w:pPr>
            <w:r>
              <w:rPr>
                <w:rFonts w:ascii="Times New Roman" w:cs="Times New Roman" w:eastAsia="Times New Roman" w:hAnsi="Times New Roman"/>
                <w:sz w:val="12"/>
                <w:szCs w:val="12"/>
                <w:color w:val="auto"/>
              </w:rPr>
              <w:t>Stock-based</w:t>
            </w:r>
          </w:p>
        </w:tc>
        <w:tc>
          <w:tcPr>
            <w:tcW w:w="40" w:type="dxa"/>
            <w:vAlign w:val="bottom"/>
          </w:tcPr>
          <w:p>
            <w:pPr>
              <w:spacing w:after="0"/>
              <w:rPr>
                <w:sz w:val="11"/>
                <w:szCs w:val="11"/>
                <w:color w:val="auto"/>
              </w:rPr>
            </w:pPr>
          </w:p>
        </w:tc>
        <w:tc>
          <w:tcPr>
            <w:tcW w:w="680" w:type="dxa"/>
            <w:vAlign w:val="bottom"/>
            <w:tcBorders>
              <w:right w:val="single" w:sz="8" w:color="auto"/>
            </w:tcBorders>
            <w:gridSpan w:val="3"/>
          </w:tcPr>
          <w:p>
            <w:pPr>
              <w:jc w:val="center"/>
              <w:ind w:right="140"/>
              <w:spacing w:after="0" w:line="134" w:lineRule="exact"/>
              <w:rPr>
                <w:sz w:val="20"/>
                <w:szCs w:val="20"/>
                <w:color w:val="auto"/>
              </w:rPr>
            </w:pPr>
            <w:r>
              <w:rPr>
                <w:rFonts w:ascii="Times New Roman" w:cs="Times New Roman" w:eastAsia="Times New Roman" w:hAnsi="Times New Roman"/>
                <w:sz w:val="12"/>
                <w:szCs w:val="12"/>
                <w:color w:val="auto"/>
              </w:rPr>
              <w:t>Mezzanine</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2"/>
                <w:szCs w:val="12"/>
                <w:color w:val="auto"/>
              </w:rPr>
              <w:t>other</w:t>
            </w:r>
          </w:p>
        </w:tc>
        <w:tc>
          <w:tcPr>
            <w:tcW w:w="60" w:type="dxa"/>
            <w:vAlign w:val="bottom"/>
          </w:tcPr>
          <w:p>
            <w:pPr>
              <w:spacing w:after="0"/>
              <w:rPr>
                <w:sz w:val="11"/>
                <w:szCs w:val="11"/>
                <w:color w:val="auto"/>
              </w:rPr>
            </w:pPr>
          </w:p>
        </w:tc>
        <w:tc>
          <w:tcPr>
            <w:tcW w:w="58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color w:val="auto"/>
              </w:rPr>
              <w:t>Total</w:t>
            </w:r>
          </w:p>
        </w:tc>
        <w:tc>
          <w:tcPr>
            <w:tcW w:w="0" w:type="dxa"/>
            <w:vAlign w:val="bottom"/>
          </w:tcPr>
          <w:p>
            <w:pPr>
              <w:spacing w:after="0"/>
              <w:rPr>
                <w:sz w:val="1"/>
                <w:szCs w:val="1"/>
                <w:color w:val="auto"/>
              </w:rPr>
            </w:pPr>
          </w:p>
        </w:tc>
      </w:tr>
      <w:tr>
        <w:trPr>
          <w:trHeight w:val="147"/>
        </w:trPr>
        <w:tc>
          <w:tcPr>
            <w:tcW w:w="3300" w:type="dxa"/>
            <w:vAlign w:val="bottom"/>
          </w:tcPr>
          <w:p>
            <w:pPr>
              <w:spacing w:after="0"/>
              <w:rPr>
                <w:sz w:val="12"/>
                <w:szCs w:val="12"/>
                <w:color w:val="auto"/>
              </w:rPr>
            </w:pPr>
          </w:p>
        </w:tc>
        <w:tc>
          <w:tcPr>
            <w:tcW w:w="600" w:type="dxa"/>
            <w:vAlign w:val="bottom"/>
            <w:gridSpan w:val="4"/>
          </w:tcPr>
          <w:p>
            <w:pPr>
              <w:ind w:left="220"/>
              <w:spacing w:after="0"/>
              <w:rPr>
                <w:sz w:val="20"/>
                <w:szCs w:val="20"/>
                <w:color w:val="auto"/>
              </w:rPr>
            </w:pPr>
            <w:r>
              <w:rPr>
                <w:rFonts w:ascii="Times New Roman" w:cs="Times New Roman" w:eastAsia="Times New Roman" w:hAnsi="Times New Roman"/>
                <w:sz w:val="12"/>
                <w:szCs w:val="12"/>
                <w:color w:val="auto"/>
                <w:w w:val="95"/>
              </w:rPr>
              <w:t>Class A</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2"/>
                <w:szCs w:val="12"/>
                <w:color w:val="auto"/>
              </w:rPr>
              <w:t>Compensation</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color w:val="auto"/>
              </w:rPr>
              <w:t>Equity</w:t>
            </w:r>
          </w:p>
        </w:tc>
        <w:tc>
          <w:tcPr>
            <w:tcW w:w="60" w:type="dxa"/>
            <w:vAlign w:val="bottom"/>
          </w:tcPr>
          <w:p>
            <w:pPr>
              <w:spacing w:after="0"/>
              <w:rPr>
                <w:sz w:val="12"/>
                <w:szCs w:val="12"/>
                <w:color w:val="auto"/>
              </w:rPr>
            </w:pPr>
          </w:p>
        </w:tc>
        <w:tc>
          <w:tcPr>
            <w:tcW w:w="1240" w:type="dxa"/>
            <w:vAlign w:val="bottom"/>
            <w:gridSpan w:val="5"/>
          </w:tcPr>
          <w:p>
            <w:pPr>
              <w:ind w:left="340"/>
              <w:spacing w:after="0"/>
              <w:rPr>
                <w:sz w:val="20"/>
                <w:szCs w:val="20"/>
                <w:color w:val="auto"/>
              </w:rPr>
            </w:pPr>
            <w:r>
              <w:rPr>
                <w:rFonts w:ascii="Times New Roman" w:cs="Times New Roman" w:eastAsia="Times New Roman" w:hAnsi="Times New Roman"/>
                <w:sz w:val="12"/>
                <w:szCs w:val="12"/>
                <w:color w:val="auto"/>
              </w:rPr>
              <w:t>Class A</w:t>
            </w:r>
          </w:p>
        </w:tc>
        <w:tc>
          <w:tcPr>
            <w:tcW w:w="660" w:type="dxa"/>
            <w:vAlign w:val="bottom"/>
            <w:gridSpan w:val="4"/>
          </w:tcPr>
          <w:p>
            <w:pPr>
              <w:ind w:left="260"/>
              <w:spacing w:after="0"/>
              <w:rPr>
                <w:sz w:val="20"/>
                <w:szCs w:val="20"/>
                <w:color w:val="auto"/>
              </w:rPr>
            </w:pPr>
            <w:r>
              <w:rPr>
                <w:rFonts w:ascii="Times New Roman" w:cs="Times New Roman" w:eastAsia="Times New Roman" w:hAnsi="Times New Roman"/>
                <w:sz w:val="12"/>
                <w:szCs w:val="12"/>
                <w:color w:val="auto"/>
              </w:rPr>
              <w:t>Class B</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6"/>
          </w:tcPr>
          <w:p>
            <w:pPr>
              <w:ind w:left="60"/>
              <w:spacing w:after="0"/>
              <w:rPr>
                <w:sz w:val="20"/>
                <w:szCs w:val="20"/>
                <w:color w:val="auto"/>
              </w:rPr>
            </w:pPr>
            <w:r>
              <w:rPr>
                <w:rFonts w:ascii="Times New Roman" w:cs="Times New Roman" w:eastAsia="Times New Roman" w:hAnsi="Times New Roman"/>
                <w:sz w:val="12"/>
                <w:szCs w:val="12"/>
                <w:color w:val="auto"/>
              </w:rPr>
              <w:t>Class B CUPI</w:t>
            </w: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rPr>
              <w:t>comprehensive</w:t>
            </w:r>
          </w:p>
        </w:tc>
        <w:tc>
          <w:tcPr>
            <w:tcW w:w="60" w:type="dxa"/>
            <w:vAlign w:val="bottom"/>
          </w:tcPr>
          <w:p>
            <w:pPr>
              <w:spacing w:after="0"/>
              <w:rPr>
                <w:sz w:val="12"/>
                <w:szCs w:val="12"/>
                <w:color w:val="auto"/>
              </w:rPr>
            </w:pP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partners’</w:t>
            </w:r>
          </w:p>
        </w:tc>
        <w:tc>
          <w:tcPr>
            <w:tcW w:w="0" w:type="dxa"/>
            <w:vAlign w:val="bottom"/>
          </w:tcPr>
          <w:p>
            <w:pPr>
              <w:spacing w:after="0"/>
              <w:rPr>
                <w:sz w:val="1"/>
                <w:szCs w:val="1"/>
                <w:color w:val="auto"/>
              </w:rPr>
            </w:pPr>
          </w:p>
        </w:tc>
      </w:tr>
      <w:tr>
        <w:trPr>
          <w:trHeight w:val="127"/>
        </w:trPr>
        <w:tc>
          <w:tcPr>
            <w:tcW w:w="3300" w:type="dxa"/>
            <w:vAlign w:val="bottom"/>
          </w:tcPr>
          <w:p>
            <w:pPr>
              <w:spacing w:after="0"/>
              <w:rPr>
                <w:sz w:val="11"/>
                <w:szCs w:val="11"/>
                <w:color w:val="auto"/>
              </w:rPr>
            </w:pPr>
          </w:p>
        </w:tc>
        <w:tc>
          <w:tcPr>
            <w:tcW w:w="300" w:type="dxa"/>
            <w:vAlign w:val="bottom"/>
            <w:tcBorders>
              <w:top w:val="single" w:sz="8" w:color="auto"/>
            </w:tcBorders>
            <w:gridSpan w:val="2"/>
          </w:tcPr>
          <w:p>
            <w:pPr>
              <w:spacing w:after="0" w:line="128" w:lineRule="exact"/>
              <w:rPr>
                <w:sz w:val="20"/>
                <w:szCs w:val="20"/>
                <w:color w:val="auto"/>
              </w:rPr>
            </w:pPr>
            <w:r>
              <w:rPr>
                <w:rFonts w:ascii="Times New Roman" w:cs="Times New Roman" w:eastAsia="Times New Roman" w:hAnsi="Times New Roman"/>
                <w:sz w:val="12"/>
                <w:szCs w:val="12"/>
                <w:color w:val="auto"/>
              </w:rPr>
              <w:t>Units</w:t>
            </w: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gridSpan w:val="2"/>
          </w:tcPr>
          <w:p>
            <w:pPr>
              <w:spacing w:after="0" w:line="128" w:lineRule="exact"/>
              <w:rPr>
                <w:sz w:val="20"/>
                <w:szCs w:val="20"/>
                <w:color w:val="auto"/>
              </w:rPr>
            </w:pPr>
            <w:r>
              <w:rPr>
                <w:rFonts w:ascii="Times New Roman" w:cs="Times New Roman" w:eastAsia="Times New Roman" w:hAnsi="Times New Roman"/>
                <w:sz w:val="12"/>
                <w:szCs w:val="12"/>
                <w:color w:val="auto"/>
              </w:rPr>
              <w:t>Amount</w:t>
            </w:r>
          </w:p>
        </w:tc>
        <w:tc>
          <w:tcPr>
            <w:tcW w:w="180" w:type="dxa"/>
            <w:vAlign w:val="bottom"/>
          </w:tcPr>
          <w:p>
            <w:pPr>
              <w:spacing w:after="0"/>
              <w:rPr>
                <w:sz w:val="11"/>
                <w:szCs w:val="11"/>
                <w:color w:val="auto"/>
              </w:rPr>
            </w:pPr>
          </w:p>
        </w:tc>
        <w:tc>
          <w:tcPr>
            <w:tcW w:w="460" w:type="dxa"/>
            <w:vAlign w:val="bottom"/>
            <w:tcBorders>
              <w:top w:val="single" w:sz="8" w:color="auto"/>
            </w:tcBorders>
            <w:gridSpan w:val="2"/>
          </w:tcPr>
          <w:p>
            <w:pPr>
              <w:spacing w:after="0" w:line="128" w:lineRule="exact"/>
              <w:rPr>
                <w:sz w:val="20"/>
                <w:szCs w:val="20"/>
                <w:color w:val="auto"/>
              </w:rPr>
            </w:pPr>
            <w:r>
              <w:rPr>
                <w:rFonts w:ascii="Times New Roman" w:cs="Times New Roman" w:eastAsia="Times New Roman" w:hAnsi="Times New Roman"/>
                <w:sz w:val="12"/>
                <w:szCs w:val="12"/>
                <w:color w:val="auto"/>
              </w:rPr>
              <w:t>Units</w:t>
            </w:r>
          </w:p>
        </w:tc>
        <w:tc>
          <w:tcPr>
            <w:tcW w:w="420" w:type="dxa"/>
            <w:vAlign w:val="bottom"/>
            <w:tcBorders>
              <w:top w:val="single" w:sz="8" w:color="auto"/>
            </w:tcBorders>
            <w:gridSpan w:val="2"/>
          </w:tcPr>
          <w:p>
            <w:pPr>
              <w:ind w:left="20"/>
              <w:spacing w:after="0" w:line="128" w:lineRule="exact"/>
              <w:rPr>
                <w:sz w:val="20"/>
                <w:szCs w:val="20"/>
                <w:color w:val="auto"/>
              </w:rPr>
            </w:pPr>
            <w:r>
              <w:rPr>
                <w:rFonts w:ascii="Times New Roman" w:cs="Times New Roman" w:eastAsia="Times New Roman" w:hAnsi="Times New Roman"/>
                <w:sz w:val="12"/>
                <w:szCs w:val="12"/>
                <w:color w:val="auto"/>
                <w:w w:val="96"/>
              </w:rPr>
              <w:t>Amount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color w:val="auto"/>
              </w:rPr>
              <w:t>Amount</w:t>
            </w: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top w:val="single" w:sz="8" w:color="auto"/>
            </w:tcBorders>
            <w:gridSpan w:val="2"/>
          </w:tcPr>
          <w:p>
            <w:pPr>
              <w:ind w:left="100"/>
              <w:spacing w:after="0" w:line="128" w:lineRule="exact"/>
              <w:rPr>
                <w:sz w:val="20"/>
                <w:szCs w:val="20"/>
                <w:color w:val="auto"/>
              </w:rPr>
            </w:pPr>
            <w:r>
              <w:rPr>
                <w:rFonts w:ascii="Times New Roman" w:cs="Times New Roman" w:eastAsia="Times New Roman" w:hAnsi="Times New Roman"/>
                <w:sz w:val="12"/>
                <w:szCs w:val="12"/>
                <w:color w:val="auto"/>
              </w:rPr>
              <w:t>Units</w:t>
            </w: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2"/>
                <w:szCs w:val="12"/>
                <w:color w:val="auto"/>
              </w:rPr>
              <w:t>Amount</w:t>
            </w:r>
          </w:p>
        </w:tc>
        <w:tc>
          <w:tcPr>
            <w:tcW w:w="180" w:type="dxa"/>
            <w:vAlign w:val="bottom"/>
          </w:tcPr>
          <w:p>
            <w:pPr>
              <w:spacing w:after="0"/>
              <w:rPr>
                <w:sz w:val="11"/>
                <w:szCs w:val="11"/>
                <w:color w:val="auto"/>
              </w:rPr>
            </w:pPr>
          </w:p>
        </w:tc>
        <w:tc>
          <w:tcPr>
            <w:tcW w:w="400" w:type="dxa"/>
            <w:vAlign w:val="bottom"/>
            <w:tcBorders>
              <w:top w:val="single" w:sz="8" w:color="auto"/>
            </w:tcBorders>
            <w:gridSpan w:val="2"/>
          </w:tcPr>
          <w:p>
            <w:pPr>
              <w:ind w:left="20"/>
              <w:spacing w:after="0" w:line="128" w:lineRule="exact"/>
              <w:rPr>
                <w:sz w:val="20"/>
                <w:szCs w:val="20"/>
                <w:color w:val="auto"/>
              </w:rPr>
            </w:pPr>
            <w:r>
              <w:rPr>
                <w:rFonts w:ascii="Times New Roman" w:cs="Times New Roman" w:eastAsia="Times New Roman" w:hAnsi="Times New Roman"/>
                <w:sz w:val="12"/>
                <w:szCs w:val="12"/>
                <w:color w:val="auto"/>
              </w:rPr>
              <w:t>Units</w:t>
            </w: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gridSpan w:val="2"/>
          </w:tcPr>
          <w:p>
            <w:pPr>
              <w:spacing w:after="0" w:line="128" w:lineRule="exact"/>
              <w:rPr>
                <w:sz w:val="20"/>
                <w:szCs w:val="20"/>
                <w:color w:val="auto"/>
              </w:rPr>
            </w:pPr>
            <w:r>
              <w:rPr>
                <w:rFonts w:ascii="Times New Roman" w:cs="Times New Roman" w:eastAsia="Times New Roman" w:hAnsi="Times New Roman"/>
                <w:sz w:val="12"/>
                <w:szCs w:val="12"/>
                <w:color w:val="auto"/>
              </w:rPr>
              <w:t>Amount</w:t>
            </w:r>
          </w:p>
        </w:tc>
        <w:tc>
          <w:tcPr>
            <w:tcW w:w="180" w:type="dxa"/>
            <w:vAlign w:val="bottom"/>
          </w:tcPr>
          <w:p>
            <w:pPr>
              <w:spacing w:after="0"/>
              <w:rPr>
                <w:sz w:val="11"/>
                <w:szCs w:val="11"/>
                <w:color w:val="auto"/>
              </w:rPr>
            </w:pPr>
          </w:p>
        </w:tc>
        <w:tc>
          <w:tcPr>
            <w:tcW w:w="340" w:type="dxa"/>
            <w:vAlign w:val="bottom"/>
            <w:tcBorders>
              <w:top w:val="single" w:sz="8" w:color="auto"/>
            </w:tcBorders>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w w:val="99"/>
              </w:rPr>
              <w:t>Units</w:t>
            </w: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w w:val="96"/>
              </w:rPr>
              <w:t>Amount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2"/>
                <w:szCs w:val="12"/>
                <w:color w:val="auto"/>
              </w:rPr>
              <w:t>income</w:t>
            </w:r>
          </w:p>
        </w:tc>
        <w:tc>
          <w:tcPr>
            <w:tcW w:w="60" w:type="dxa"/>
            <w:vAlign w:val="bottom"/>
          </w:tcPr>
          <w:p>
            <w:pPr>
              <w:spacing w:after="0"/>
              <w:rPr>
                <w:sz w:val="11"/>
                <w:szCs w:val="11"/>
                <w:color w:val="auto"/>
              </w:rPr>
            </w:pPr>
          </w:p>
        </w:tc>
        <w:tc>
          <w:tcPr>
            <w:tcW w:w="58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2"/>
                <w:szCs w:val="12"/>
                <w:color w:val="auto"/>
              </w:rPr>
              <w:t>capital</w:t>
            </w:r>
          </w:p>
        </w:tc>
        <w:tc>
          <w:tcPr>
            <w:tcW w:w="0" w:type="dxa"/>
            <w:vAlign w:val="bottom"/>
          </w:tcPr>
          <w:p>
            <w:pPr>
              <w:spacing w:after="0"/>
              <w:rPr>
                <w:sz w:val="1"/>
                <w:szCs w:val="1"/>
                <w:color w:val="auto"/>
              </w:rPr>
            </w:pPr>
          </w:p>
        </w:tc>
      </w:tr>
      <w:tr>
        <w:trPr>
          <w:trHeight w:val="140"/>
        </w:trPr>
        <w:tc>
          <w:tcPr>
            <w:tcW w:w="330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Balance, January 1, 2024</w:t>
            </w:r>
          </w:p>
        </w:tc>
        <w:tc>
          <w:tcPr>
            <w:tcW w:w="280" w:type="dxa"/>
            <w:vAlign w:val="bottom"/>
            <w:tcBorders>
              <w:top w:val="single" w:sz="8" w:color="auto"/>
            </w:tcBorders>
            <w:shd w:val="clear" w:color="auto" w:fill="CCEEFF"/>
          </w:tcPr>
          <w:p>
            <w:pPr>
              <w:ind w:left="60"/>
              <w:spacing w:after="0" w:line="141" w:lineRule="exact"/>
              <w:rPr>
                <w:sz w:val="20"/>
                <w:szCs w:val="20"/>
                <w:color w:val="auto"/>
              </w:rPr>
            </w:pPr>
            <w:r>
              <w:rPr>
                <w:rFonts w:ascii="Times New Roman" w:cs="Times New Roman" w:eastAsia="Times New Roman" w:hAnsi="Times New Roman"/>
                <w:sz w:val="14"/>
                <w:szCs w:val="14"/>
                <w:color w:val="auto"/>
                <w:w w:val="95"/>
              </w:rPr>
              <w:t>128</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w w:val="95"/>
              </w:rPr>
              <w:t>178</w:t>
            </w:r>
          </w:p>
        </w:tc>
        <w:tc>
          <w:tcPr>
            <w:tcW w:w="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82</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233</w:t>
            </w:r>
          </w:p>
        </w:tc>
        <w:tc>
          <w:tcPr>
            <w:tcW w:w="14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ind w:left="60"/>
              <w:spacing w:after="0" w:line="141" w:lineRule="exact"/>
              <w:rPr>
                <w:sz w:val="20"/>
                <w:szCs w:val="20"/>
                <w:color w:val="auto"/>
              </w:rPr>
            </w:pPr>
            <w:r>
              <w:rPr>
                <w:rFonts w:ascii="Times New Roman" w:cs="Times New Roman" w:eastAsia="Times New Roman" w:hAnsi="Times New Roman"/>
                <w:sz w:val="14"/>
                <w:szCs w:val="14"/>
                <w:color w:val="auto"/>
                <w:w w:val="93"/>
              </w:rPr>
              <w:t>16,723</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93"/>
              </w:rPr>
              <w:t>$ 16,422</w:t>
            </w:r>
          </w:p>
        </w:tc>
        <w:tc>
          <w:tcPr>
            <w:tcW w:w="1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ind w:left="80"/>
              <w:spacing w:after="0" w:line="141" w:lineRule="exact"/>
              <w:rPr>
                <w:sz w:val="20"/>
                <w:szCs w:val="20"/>
                <w:color w:val="auto"/>
              </w:rPr>
            </w:pPr>
            <w:r>
              <w:rPr>
                <w:rFonts w:ascii="Times New Roman" w:cs="Times New Roman" w:eastAsia="Times New Roman" w:hAnsi="Times New Roman"/>
                <w:sz w:val="14"/>
                <w:szCs w:val="14"/>
                <w:color w:val="auto"/>
                <w:w w:val="95"/>
              </w:rPr>
              <w:t>754</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108</w:t>
            </w:r>
          </w:p>
        </w:tc>
        <w:tc>
          <w:tcPr>
            <w:tcW w:w="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23</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26</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ind w:left="400"/>
              <w:spacing w:after="0" w:line="141" w:lineRule="exact"/>
              <w:rPr>
                <w:sz w:val="20"/>
                <w:szCs w:val="20"/>
                <w:color w:val="auto"/>
              </w:rPr>
            </w:pPr>
            <w:r>
              <w:rPr>
                <w:rFonts w:ascii="Times New Roman" w:cs="Times New Roman" w:eastAsia="Times New Roman" w:hAnsi="Times New Roman"/>
                <w:sz w:val="14"/>
                <w:szCs w:val="14"/>
                <w:color w:val="auto"/>
                <w:w w:val="95"/>
              </w:rPr>
              <w:t>188</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93"/>
              </w:rPr>
              <w:t>$ 16,744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3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10</w:t>
            </w:r>
          </w:p>
        </w:tc>
        <w:tc>
          <w:tcPr>
            <w:tcW w:w="180" w:type="dxa"/>
            <w:vAlign w:val="bottom"/>
          </w:tcPr>
          <w:p>
            <w:pPr>
              <w:spacing w:after="0"/>
              <w:rPr>
                <w:sz w:val="12"/>
                <w:szCs w:val="12"/>
                <w:color w:val="auto"/>
              </w:rPr>
            </w:pPr>
          </w:p>
        </w:tc>
        <w:tc>
          <w:tcPr>
            <w:tcW w:w="46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38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27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37</w:t>
            </w: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ind w:left="2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1,104</w:t>
            </w:r>
          </w:p>
        </w:tc>
        <w:tc>
          <w:tcPr>
            <w:tcW w:w="40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35</w:t>
            </w:r>
          </w:p>
        </w:tc>
        <w:tc>
          <w:tcPr>
            <w:tcW w:w="180" w:type="dxa"/>
            <w:vAlign w:val="bottom"/>
          </w:tcPr>
          <w:p>
            <w:pPr>
              <w:spacing w:after="0"/>
              <w:rPr>
                <w:sz w:val="12"/>
                <w:szCs w:val="12"/>
                <w:color w:val="auto"/>
              </w:rPr>
            </w:pPr>
          </w:p>
        </w:tc>
        <w:tc>
          <w:tcPr>
            <w:tcW w:w="34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ind w:left="4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1,163</w:t>
            </w:r>
          </w:p>
        </w:tc>
        <w:tc>
          <w:tcPr>
            <w:tcW w:w="0" w:type="dxa"/>
            <w:vAlign w:val="bottom"/>
          </w:tcPr>
          <w:p>
            <w:pPr>
              <w:spacing w:after="0"/>
              <w:rPr>
                <w:sz w:val="1"/>
                <w:szCs w:val="1"/>
                <w:color w:val="auto"/>
              </w:rPr>
            </w:pPr>
          </w:p>
        </w:tc>
      </w:tr>
      <w:tr>
        <w:trPr>
          <w:trHeight w:val="147"/>
        </w:trPr>
        <w:tc>
          <w:tcPr>
            <w:tcW w:w="33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Other comprehensive loss</w:t>
            </w:r>
          </w:p>
        </w:tc>
        <w:tc>
          <w:tcPr>
            <w:tcW w:w="30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34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(177)</w:t>
            </w:r>
          </w:p>
        </w:tc>
        <w:tc>
          <w:tcPr>
            <w:tcW w:w="640" w:type="dxa"/>
            <w:vAlign w:val="bottom"/>
            <w:gridSpan w:val="3"/>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47"/>
        </w:trPr>
        <w:tc>
          <w:tcPr>
            <w:tcW w:w="33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Reclass from liability-classified units</w:t>
            </w:r>
          </w:p>
        </w:tc>
        <w:tc>
          <w:tcPr>
            <w:tcW w:w="30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38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520" w:type="dxa"/>
            <w:vAlign w:val="bottom"/>
            <w:gridSpan w:val="2"/>
          </w:tcPr>
          <w:p>
            <w:pPr>
              <w:ind w:left="2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6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w:t>
            </w:r>
          </w:p>
        </w:tc>
        <w:tc>
          <w:tcPr>
            <w:tcW w:w="180" w:type="dxa"/>
            <w:vAlign w:val="bottom"/>
          </w:tcPr>
          <w:p>
            <w:pPr>
              <w:spacing w:after="0"/>
              <w:rPr>
                <w:sz w:val="12"/>
                <w:szCs w:val="12"/>
                <w:color w:val="auto"/>
              </w:rPr>
            </w:pPr>
          </w:p>
        </w:tc>
        <w:tc>
          <w:tcPr>
            <w:tcW w:w="34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740" w:type="dxa"/>
            <w:vAlign w:val="bottom"/>
            <w:gridSpan w:val="2"/>
          </w:tcPr>
          <w:p>
            <w:pPr>
              <w:ind w:left="4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47"/>
        </w:trPr>
        <w:tc>
          <w:tcPr>
            <w:tcW w:w="33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Units repurchased</w:t>
            </w:r>
          </w:p>
        </w:tc>
        <w:tc>
          <w:tcPr>
            <w:tcW w:w="30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(5)</w:t>
            </w:r>
          </w:p>
        </w:tc>
        <w:tc>
          <w:tcPr>
            <w:tcW w:w="1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(2)</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(18)</w:t>
            </w:r>
          </w:p>
        </w:tc>
        <w:tc>
          <w:tcPr>
            <w:tcW w:w="34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7"/>
        </w:trPr>
        <w:tc>
          <w:tcPr>
            <w:tcW w:w="33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Compensation expense</w:t>
            </w:r>
          </w:p>
        </w:tc>
        <w:tc>
          <w:tcPr>
            <w:tcW w:w="30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29</w:t>
            </w:r>
          </w:p>
        </w:tc>
        <w:tc>
          <w:tcPr>
            <w:tcW w:w="140" w:type="dxa"/>
            <w:vAlign w:val="bottom"/>
          </w:tcPr>
          <w:p>
            <w:pPr>
              <w:spacing w:after="0"/>
              <w:rPr>
                <w:sz w:val="12"/>
                <w:szCs w:val="12"/>
                <w:color w:val="auto"/>
              </w:rPr>
            </w:pPr>
          </w:p>
        </w:tc>
        <w:tc>
          <w:tcPr>
            <w:tcW w:w="38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520" w:type="dxa"/>
            <w:vAlign w:val="bottom"/>
            <w:gridSpan w:val="2"/>
          </w:tcPr>
          <w:p>
            <w:pPr>
              <w:ind w:left="2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6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53</w:t>
            </w:r>
          </w:p>
        </w:tc>
        <w:tc>
          <w:tcPr>
            <w:tcW w:w="180" w:type="dxa"/>
            <w:vAlign w:val="bottom"/>
          </w:tcPr>
          <w:p>
            <w:pPr>
              <w:spacing w:after="0"/>
              <w:rPr>
                <w:sz w:val="12"/>
                <w:szCs w:val="12"/>
                <w:color w:val="auto"/>
              </w:rPr>
            </w:pPr>
          </w:p>
        </w:tc>
        <w:tc>
          <w:tcPr>
            <w:tcW w:w="34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740" w:type="dxa"/>
            <w:vAlign w:val="bottom"/>
            <w:gridSpan w:val="2"/>
          </w:tcPr>
          <w:p>
            <w:pPr>
              <w:ind w:left="4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24"/>
        </w:trPr>
        <w:tc>
          <w:tcPr>
            <w:tcW w:w="33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Adjustment of puttable common units to redemption</w:t>
            </w:r>
          </w:p>
        </w:tc>
        <w:tc>
          <w:tcPr>
            <w:tcW w:w="3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4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(58)</w:t>
            </w:r>
          </w:p>
        </w:tc>
        <w:tc>
          <w:tcPr>
            <w:tcW w:w="4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85"/>
              </w:rPr>
              <w:t>— </w:t>
            </w:r>
          </w:p>
        </w:tc>
        <w:tc>
          <w:tcPr>
            <w:tcW w:w="3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70"/>
        </w:trPr>
        <w:tc>
          <w:tcPr>
            <w:tcW w:w="3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value</w:t>
            </w:r>
          </w:p>
        </w:tc>
        <w:tc>
          <w:tcPr>
            <w:tcW w:w="3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4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30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Adjustment of stock-based compensation to redemption</w:t>
            </w:r>
          </w:p>
        </w:tc>
        <w:tc>
          <w:tcPr>
            <w:tcW w:w="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0"/>
                <w:szCs w:val="10"/>
                <w:color w:val="auto"/>
              </w:rPr>
            </w:pPr>
          </w:p>
        </w:tc>
        <w:tc>
          <w:tcPr>
            <w:tcW w:w="3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57</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(57)</w:t>
            </w:r>
          </w:p>
        </w:tc>
        <w:tc>
          <w:tcPr>
            <w:tcW w:w="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w w:val="85"/>
              </w:rPr>
              <w:t>— </w:t>
            </w:r>
          </w:p>
        </w:tc>
        <w:tc>
          <w:tcPr>
            <w:tcW w:w="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0"/>
                <w:szCs w:val="10"/>
                <w:color w:val="auto"/>
              </w:rPr>
            </w:pPr>
          </w:p>
        </w:tc>
        <w:tc>
          <w:tcPr>
            <w:tcW w:w="7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70"/>
        </w:trPr>
        <w:tc>
          <w:tcPr>
            <w:tcW w:w="3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value</w:t>
            </w:r>
          </w:p>
        </w:tc>
        <w:tc>
          <w:tcPr>
            <w:tcW w:w="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3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Distribution to partners</w:t>
            </w:r>
          </w:p>
        </w:tc>
        <w:tc>
          <w:tcPr>
            <w:tcW w:w="30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78"/>
              <w:spacing w:after="0" w:line="147" w:lineRule="exact"/>
              <w:rPr>
                <w:sz w:val="20"/>
                <w:szCs w:val="20"/>
                <w:color w:val="auto"/>
              </w:rPr>
            </w:pPr>
            <w:r>
              <w:rPr>
                <w:rFonts w:ascii="Times New Roman" w:cs="Times New Roman" w:eastAsia="Times New Roman" w:hAnsi="Times New Roman"/>
                <w:sz w:val="14"/>
                <w:szCs w:val="14"/>
                <w:color w:val="auto"/>
              </w:rPr>
              <w:t>(9)</w:t>
            </w:r>
          </w:p>
        </w:tc>
        <w:tc>
          <w:tcPr>
            <w:tcW w:w="46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(8)</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(17)</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(1,435)</w:t>
            </w:r>
          </w:p>
        </w:tc>
        <w:tc>
          <w:tcPr>
            <w:tcW w:w="40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(64)</w:t>
            </w:r>
          </w:p>
        </w:tc>
        <w:tc>
          <w:tcPr>
            <w:tcW w:w="34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60"/>
              <w:spacing w:after="0" w:line="147"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(1,501)</w:t>
            </w:r>
          </w:p>
        </w:tc>
        <w:tc>
          <w:tcPr>
            <w:tcW w:w="0" w:type="dxa"/>
            <w:vAlign w:val="bottom"/>
          </w:tcPr>
          <w:p>
            <w:pPr>
              <w:spacing w:after="0"/>
              <w:rPr>
                <w:sz w:val="1"/>
                <w:szCs w:val="1"/>
                <w:color w:val="auto"/>
              </w:rPr>
            </w:pPr>
          </w:p>
        </w:tc>
      </w:tr>
      <w:tr>
        <w:trPr>
          <w:trHeight w:val="154"/>
        </w:trPr>
        <w:tc>
          <w:tcPr>
            <w:tcW w:w="330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Balance, December 31, 2024</w:t>
            </w:r>
          </w:p>
        </w:tc>
        <w:tc>
          <w:tcPr>
            <w:tcW w:w="280" w:type="dxa"/>
            <w:vAlign w:val="bottom"/>
            <w:tcBorders>
              <w:top w:val="single" w:sz="8" w:color="auto"/>
              <w:bottom w:val="single" w:sz="8" w:color="auto"/>
            </w:tcBorders>
          </w:tcPr>
          <w:p>
            <w:pPr>
              <w:ind w:left="60"/>
              <w:spacing w:after="0" w:line="154" w:lineRule="exact"/>
              <w:rPr>
                <w:sz w:val="20"/>
                <w:szCs w:val="20"/>
                <w:color w:val="auto"/>
              </w:rPr>
            </w:pPr>
            <w:r>
              <w:rPr>
                <w:rFonts w:ascii="Times New Roman" w:cs="Times New Roman" w:eastAsia="Times New Roman" w:hAnsi="Times New Roman"/>
                <w:sz w:val="14"/>
                <w:szCs w:val="14"/>
                <w:color w:val="auto"/>
                <w:w w:val="95"/>
              </w:rPr>
              <w:t>128</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spacing w:after="0" w:line="154" w:lineRule="exact"/>
              <w:rPr>
                <w:sz w:val="20"/>
                <w:szCs w:val="20"/>
                <w:color w:val="auto"/>
              </w:rPr>
            </w:pPr>
            <w:r>
              <w:rPr>
                <w:rFonts w:ascii="Times New Roman" w:cs="Times New Roman" w:eastAsia="Times New Roman" w:hAnsi="Times New Roman"/>
                <w:sz w:val="14"/>
                <w:szCs w:val="14"/>
                <w:color w:val="auto"/>
                <w:w w:val="95"/>
              </w:rPr>
              <w:t>237</w:t>
            </w:r>
          </w:p>
        </w:tc>
        <w:tc>
          <w:tcPr>
            <w:tcW w:w="180" w:type="dxa"/>
            <w:vAlign w:val="bottom"/>
          </w:tcPr>
          <w:p>
            <w:pPr>
              <w:spacing w:after="0"/>
              <w:rPr>
                <w:sz w:val="13"/>
                <w:szCs w:val="13"/>
                <w:color w:val="auto"/>
              </w:rPr>
            </w:pPr>
          </w:p>
        </w:tc>
        <w:tc>
          <w:tcPr>
            <w:tcW w:w="280" w:type="dxa"/>
            <w:vAlign w:val="bottom"/>
            <w:tcBorders>
              <w:top w:val="single" w:sz="8" w:color="auto"/>
              <w:bottom w:val="single" w:sz="8" w:color="auto"/>
            </w:tcBorders>
          </w:tcPr>
          <w:p>
            <w:pPr>
              <w:ind w:left="60"/>
              <w:spacing w:after="0" w:line="154" w:lineRule="exact"/>
              <w:rPr>
                <w:sz w:val="20"/>
                <w:szCs w:val="20"/>
                <w:color w:val="auto"/>
              </w:rPr>
            </w:pPr>
            <w:r>
              <w:rPr>
                <w:rFonts w:ascii="Times New Roman" w:cs="Times New Roman" w:eastAsia="Times New Roman" w:hAnsi="Times New Roman"/>
                <w:sz w:val="14"/>
                <w:szCs w:val="14"/>
                <w:color w:val="auto"/>
                <w:w w:val="95"/>
              </w:rPr>
              <w:t>106</w:t>
            </w: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366</w:t>
            </w: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top w:val="single" w:sz="8" w:color="auto"/>
              <w:bottom w:val="single" w:sz="8" w:color="auto"/>
            </w:tcBorders>
          </w:tcPr>
          <w:p>
            <w:pPr>
              <w:ind w:left="60"/>
              <w:spacing w:after="0" w:line="154" w:lineRule="exact"/>
              <w:rPr>
                <w:sz w:val="20"/>
                <w:szCs w:val="20"/>
                <w:color w:val="auto"/>
              </w:rPr>
            </w:pPr>
            <w:r>
              <w:rPr>
                <w:rFonts w:ascii="Times New Roman" w:cs="Times New Roman" w:eastAsia="Times New Roman" w:hAnsi="Times New Roman"/>
                <w:sz w:val="14"/>
                <w:szCs w:val="14"/>
                <w:color w:val="auto"/>
                <w:w w:val="93"/>
              </w:rPr>
              <w:t>16,723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u w:val="single" w:color="auto"/>
                <w:color w:val="auto"/>
                <w:w w:val="93"/>
              </w:rPr>
              <w:t>$</w:t>
            </w:r>
            <w:r>
              <w:rPr>
                <w:rFonts w:ascii="Times New Roman" w:cs="Times New Roman" w:eastAsia="Times New Roman" w:hAnsi="Times New Roman"/>
                <w:sz w:val="14"/>
                <w:szCs w:val="14"/>
                <w:color w:val="auto"/>
                <w:w w:val="93"/>
              </w:rPr>
              <w:t xml:space="preserve"> 15,976</w:t>
            </w:r>
          </w:p>
        </w:tc>
        <w:tc>
          <w:tcPr>
            <w:tcW w:w="180" w:type="dxa"/>
            <w:vAlign w:val="bottom"/>
          </w:tcPr>
          <w:p>
            <w:pPr>
              <w:spacing w:after="0"/>
              <w:rPr>
                <w:sz w:val="13"/>
                <w:szCs w:val="13"/>
                <w:color w:val="auto"/>
              </w:rPr>
            </w:pPr>
          </w:p>
        </w:tc>
        <w:tc>
          <w:tcPr>
            <w:tcW w:w="300" w:type="dxa"/>
            <w:vAlign w:val="bottom"/>
            <w:tcBorders>
              <w:top w:val="single" w:sz="8" w:color="auto"/>
              <w:bottom w:val="single" w:sz="8" w:color="auto"/>
            </w:tcBorders>
          </w:tcPr>
          <w:p>
            <w:pPr>
              <w:ind w:left="80"/>
              <w:spacing w:after="0" w:line="154" w:lineRule="exact"/>
              <w:rPr>
                <w:sz w:val="20"/>
                <w:szCs w:val="20"/>
                <w:color w:val="auto"/>
              </w:rPr>
            </w:pPr>
            <w:r>
              <w:rPr>
                <w:rFonts w:ascii="Times New Roman" w:cs="Times New Roman" w:eastAsia="Times New Roman" w:hAnsi="Times New Roman"/>
                <w:sz w:val="14"/>
                <w:szCs w:val="14"/>
                <w:color w:val="auto"/>
                <w:w w:val="95"/>
              </w:rPr>
              <w:t>721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123</w:t>
            </w:r>
          </w:p>
        </w:tc>
        <w:tc>
          <w:tcPr>
            <w:tcW w:w="18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23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48</w:t>
            </w: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u w:val="single" w:color="auto"/>
                <w:color w:val="auto"/>
                <w:w w:val="93"/>
              </w:rPr>
              <w:t>$</w:t>
            </w:r>
            <w:r>
              <w:rPr>
                <w:rFonts w:ascii="Times New Roman" w:cs="Times New Roman" w:eastAsia="Times New Roman" w:hAnsi="Times New Roman"/>
                <w:sz w:val="14"/>
                <w:szCs w:val="14"/>
                <w:color w:val="auto"/>
                <w:w w:val="93"/>
              </w:rPr>
              <w:t xml:space="preserve"> 16,158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080"/>
          </w:cols>
          <w:pgMar w:left="320" w:top="452" w:right="49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MEZZANINE EQUITY AND PARTNERS’ CAPITAL</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8"/>
          </w:tcPr>
          <w:p>
            <w:pPr>
              <w:ind w:left="240"/>
              <w:spacing w:after="0"/>
              <w:rPr>
                <w:sz w:val="20"/>
                <w:szCs w:val="20"/>
                <w:color w:val="auto"/>
              </w:rPr>
            </w:pPr>
            <w:r>
              <w:rPr>
                <w:rFonts w:ascii="Times New Roman" w:cs="Times New Roman" w:eastAsia="Times New Roman" w:hAnsi="Times New Roman"/>
                <w:sz w:val="12"/>
                <w:szCs w:val="12"/>
                <w:color w:val="auto"/>
              </w:rPr>
              <w:t>Year ended December 31, 2023</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7"/>
          </w:tcPr>
          <w:p>
            <w:pPr>
              <w:ind w:left="140"/>
              <w:spacing w:after="0" w:line="128" w:lineRule="exact"/>
              <w:rPr>
                <w:sz w:val="20"/>
                <w:szCs w:val="20"/>
                <w:color w:val="auto"/>
              </w:rPr>
            </w:pPr>
            <w:r>
              <w:rPr>
                <w:rFonts w:ascii="Times New Roman" w:cs="Times New Roman" w:eastAsia="Times New Roman" w:hAnsi="Times New Roman"/>
                <w:sz w:val="12"/>
                <w:szCs w:val="12"/>
                <w:color w:val="auto"/>
              </w:rPr>
              <w:t>Mezzanine Equity</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5"/>
          </w:tcPr>
          <w:p>
            <w:pPr>
              <w:jc w:val="right"/>
              <w:spacing w:after="0" w:line="128" w:lineRule="exact"/>
              <w:rPr>
                <w:sz w:val="20"/>
                <w:szCs w:val="20"/>
                <w:color w:val="auto"/>
              </w:rPr>
            </w:pPr>
            <w:r>
              <w:rPr>
                <w:rFonts w:ascii="Times New Roman" w:cs="Times New Roman" w:eastAsia="Times New Roman" w:hAnsi="Times New Roman"/>
                <w:sz w:val="12"/>
                <w:szCs w:val="12"/>
                <w:color w:val="auto"/>
              </w:rPr>
              <w:t>Partners’ Capital</w:t>
            </w:r>
          </w:p>
        </w:tc>
        <w:tc>
          <w:tcPr>
            <w:tcW w:w="2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center"/>
              <w:ind w:right="10"/>
              <w:spacing w:after="0" w:line="114" w:lineRule="exact"/>
              <w:rPr>
                <w:sz w:val="20"/>
                <w:szCs w:val="20"/>
                <w:color w:val="auto"/>
              </w:rPr>
            </w:pPr>
            <w:r>
              <w:rPr>
                <w:rFonts w:ascii="Times New Roman" w:cs="Times New Roman" w:eastAsia="Times New Roman" w:hAnsi="Times New Roman"/>
                <w:sz w:val="12"/>
                <w:szCs w:val="12"/>
                <w:color w:val="auto"/>
              </w:rPr>
              <w:t>Total</w:t>
            </w:r>
          </w:p>
        </w:tc>
        <w:tc>
          <w:tcPr>
            <w:tcW w:w="1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3"/>
          </w:tcPr>
          <w:p>
            <w:pPr>
              <w:jc w:val="center"/>
              <w:ind w:right="140"/>
              <w:spacing w:after="0" w:line="114" w:lineRule="exact"/>
              <w:rPr>
                <w:sz w:val="20"/>
                <w:szCs w:val="20"/>
                <w:color w:val="auto"/>
              </w:rPr>
            </w:pPr>
            <w:r>
              <w:rPr>
                <w:rFonts w:ascii="Times New Roman" w:cs="Times New Roman" w:eastAsia="Times New Roman" w:hAnsi="Times New Roman"/>
                <w:sz w:val="12"/>
                <w:szCs w:val="12"/>
                <w:color w:val="auto"/>
              </w:rPr>
              <w:t>Accumulated</w:t>
            </w: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5"/>
          </w:tcPr>
          <w:p>
            <w:pPr>
              <w:ind w:left="120"/>
              <w:spacing w:after="0" w:line="134" w:lineRule="exact"/>
              <w:rPr>
                <w:sz w:val="20"/>
                <w:szCs w:val="20"/>
                <w:color w:val="auto"/>
              </w:rPr>
            </w:pPr>
            <w:r>
              <w:rPr>
                <w:rFonts w:ascii="Times New Roman" w:cs="Times New Roman" w:eastAsia="Times New Roman" w:hAnsi="Times New Roman"/>
                <w:sz w:val="12"/>
                <w:szCs w:val="12"/>
                <w:color w:val="auto"/>
              </w:rPr>
              <w:t>Stock-based</w:t>
            </w:r>
          </w:p>
        </w:tc>
        <w:tc>
          <w:tcPr>
            <w:tcW w:w="80" w:type="dxa"/>
            <w:vAlign w:val="bottom"/>
          </w:tcPr>
          <w:p>
            <w:pPr>
              <w:spacing w:after="0"/>
              <w:rPr>
                <w:sz w:val="11"/>
                <w:szCs w:val="11"/>
                <w:color w:val="auto"/>
              </w:rPr>
            </w:pPr>
          </w:p>
        </w:tc>
        <w:tc>
          <w:tcPr>
            <w:tcW w:w="660" w:type="dxa"/>
            <w:vAlign w:val="bottom"/>
            <w:tcBorders>
              <w:right w:val="single" w:sz="8" w:color="auto"/>
            </w:tcBorders>
            <w:gridSpan w:val="3"/>
          </w:tcPr>
          <w:p>
            <w:pPr>
              <w:jc w:val="center"/>
              <w:ind w:right="120"/>
              <w:spacing w:after="0" w:line="134" w:lineRule="exact"/>
              <w:rPr>
                <w:sz w:val="20"/>
                <w:szCs w:val="20"/>
                <w:color w:val="auto"/>
              </w:rPr>
            </w:pPr>
            <w:r>
              <w:rPr>
                <w:rFonts w:ascii="Times New Roman" w:cs="Times New Roman" w:eastAsia="Times New Roman" w:hAnsi="Times New Roman"/>
                <w:sz w:val="12"/>
                <w:szCs w:val="12"/>
                <w:color w:val="auto"/>
              </w:rPr>
              <w:t>Mezzanine</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2"/>
                <w:szCs w:val="12"/>
                <w:color w:val="auto"/>
              </w:rPr>
              <w:t>other</w:t>
            </w:r>
          </w:p>
        </w:tc>
        <w:tc>
          <w:tcPr>
            <w:tcW w:w="60" w:type="dxa"/>
            <w:vAlign w:val="bottom"/>
          </w:tcPr>
          <w:p>
            <w:pPr>
              <w:spacing w:after="0"/>
              <w:rPr>
                <w:sz w:val="11"/>
                <w:szCs w:val="11"/>
                <w:color w:val="auto"/>
              </w:rPr>
            </w:pPr>
          </w:p>
        </w:tc>
        <w:tc>
          <w:tcPr>
            <w:tcW w:w="58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color w:val="auto"/>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620" w:type="dxa"/>
            <w:vAlign w:val="bottom"/>
            <w:gridSpan w:val="3"/>
          </w:tcPr>
          <w:p>
            <w:pPr>
              <w:ind w:left="220"/>
              <w:spacing w:after="0"/>
              <w:rPr>
                <w:sz w:val="20"/>
                <w:szCs w:val="20"/>
                <w:color w:val="auto"/>
              </w:rPr>
            </w:pPr>
            <w:r>
              <w:rPr>
                <w:rFonts w:ascii="Times New Roman" w:cs="Times New Roman" w:eastAsia="Times New Roman" w:hAnsi="Times New Roman"/>
                <w:sz w:val="12"/>
                <w:szCs w:val="12"/>
                <w:color w:val="auto"/>
              </w:rPr>
              <w:t>Class A</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5"/>
          </w:tcPr>
          <w:p>
            <w:pPr>
              <w:ind w:left="60"/>
              <w:spacing w:after="0"/>
              <w:rPr>
                <w:sz w:val="20"/>
                <w:szCs w:val="20"/>
                <w:color w:val="auto"/>
              </w:rPr>
            </w:pPr>
            <w:r>
              <w:rPr>
                <w:rFonts w:ascii="Times New Roman" w:cs="Times New Roman" w:eastAsia="Times New Roman" w:hAnsi="Times New Roman"/>
                <w:sz w:val="12"/>
                <w:szCs w:val="12"/>
                <w:color w:val="auto"/>
              </w:rPr>
              <w:t>Compensation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color w:val="auto"/>
              </w:rPr>
              <w:t>Equity</w:t>
            </w:r>
          </w:p>
        </w:tc>
        <w:tc>
          <w:tcPr>
            <w:tcW w:w="80" w:type="dxa"/>
            <w:vAlign w:val="bottom"/>
          </w:tcPr>
          <w:p>
            <w:pPr>
              <w:spacing w:after="0"/>
              <w:rPr>
                <w:sz w:val="12"/>
                <w:szCs w:val="12"/>
                <w:color w:val="auto"/>
              </w:rPr>
            </w:pPr>
          </w:p>
        </w:tc>
        <w:tc>
          <w:tcPr>
            <w:tcW w:w="1240" w:type="dxa"/>
            <w:vAlign w:val="bottom"/>
            <w:gridSpan w:val="5"/>
          </w:tcPr>
          <w:p>
            <w:pPr>
              <w:ind w:left="320"/>
              <w:spacing w:after="0"/>
              <w:rPr>
                <w:sz w:val="20"/>
                <w:szCs w:val="20"/>
                <w:color w:val="auto"/>
              </w:rPr>
            </w:pPr>
            <w:r>
              <w:rPr>
                <w:rFonts w:ascii="Times New Roman" w:cs="Times New Roman" w:eastAsia="Times New Roman" w:hAnsi="Times New Roman"/>
                <w:sz w:val="12"/>
                <w:szCs w:val="12"/>
                <w:color w:val="auto"/>
              </w:rPr>
              <w:t>Class A</w:t>
            </w:r>
          </w:p>
        </w:tc>
        <w:tc>
          <w:tcPr>
            <w:tcW w:w="600" w:type="dxa"/>
            <w:vAlign w:val="bottom"/>
            <w:gridSpan w:val="3"/>
          </w:tcPr>
          <w:p>
            <w:pPr>
              <w:ind w:left="220"/>
              <w:spacing w:after="0"/>
              <w:rPr>
                <w:sz w:val="20"/>
                <w:szCs w:val="20"/>
                <w:color w:val="auto"/>
              </w:rPr>
            </w:pPr>
            <w:r>
              <w:rPr>
                <w:rFonts w:ascii="Times New Roman" w:cs="Times New Roman" w:eastAsia="Times New Roman" w:hAnsi="Times New Roman"/>
                <w:sz w:val="12"/>
                <w:szCs w:val="12"/>
                <w:color w:val="auto"/>
                <w:w w:val="97"/>
              </w:rPr>
              <w:t>Class B</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5"/>
          </w:tcPr>
          <w:p>
            <w:pPr>
              <w:jc w:val="right"/>
              <w:ind w:right="220"/>
              <w:spacing w:after="0"/>
              <w:rPr>
                <w:sz w:val="20"/>
                <w:szCs w:val="20"/>
                <w:color w:val="auto"/>
              </w:rPr>
            </w:pPr>
            <w:r>
              <w:rPr>
                <w:rFonts w:ascii="Times New Roman" w:cs="Times New Roman" w:eastAsia="Times New Roman" w:hAnsi="Times New Roman"/>
                <w:sz w:val="12"/>
                <w:szCs w:val="12"/>
                <w:color w:val="auto"/>
              </w:rPr>
              <w:t>Class B CUPI</w:t>
            </w: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rPr>
              <w:t>comprehensive</w:t>
            </w:r>
          </w:p>
        </w:tc>
        <w:tc>
          <w:tcPr>
            <w:tcW w:w="60" w:type="dxa"/>
            <w:vAlign w:val="bottom"/>
          </w:tcPr>
          <w:p>
            <w:pPr>
              <w:spacing w:after="0"/>
              <w:rPr>
                <w:sz w:val="12"/>
                <w:szCs w:val="12"/>
                <w:color w:val="auto"/>
              </w:rPr>
            </w:pP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partners’</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420" w:type="dxa"/>
            <w:vAlign w:val="bottom"/>
            <w:tcBorders>
              <w:top w:val="single" w:sz="8" w:color="auto"/>
            </w:tcBorders>
            <w:gridSpan w:val="2"/>
          </w:tcPr>
          <w:p>
            <w:pPr>
              <w:ind w:left="20"/>
              <w:spacing w:after="0" w:line="128" w:lineRule="exact"/>
              <w:rPr>
                <w:sz w:val="20"/>
                <w:szCs w:val="20"/>
                <w:color w:val="auto"/>
              </w:rPr>
            </w:pPr>
            <w:r>
              <w:rPr>
                <w:rFonts w:ascii="Times New Roman" w:cs="Times New Roman" w:eastAsia="Times New Roman" w:hAnsi="Times New Roman"/>
                <w:sz w:val="12"/>
                <w:szCs w:val="12"/>
                <w:color w:val="auto"/>
              </w:rPr>
              <w:t>Units</w:t>
            </w:r>
          </w:p>
        </w:tc>
        <w:tc>
          <w:tcPr>
            <w:tcW w:w="420" w:type="dxa"/>
            <w:vAlign w:val="bottom"/>
            <w:tcBorders>
              <w:top w:val="single" w:sz="8" w:color="auto"/>
            </w:tcBorders>
            <w:gridSpan w:val="2"/>
          </w:tcPr>
          <w:p>
            <w:pPr>
              <w:spacing w:after="0" w:line="128" w:lineRule="exact"/>
              <w:rPr>
                <w:sz w:val="20"/>
                <w:szCs w:val="20"/>
                <w:color w:val="auto"/>
              </w:rPr>
            </w:pPr>
            <w:r>
              <w:rPr>
                <w:rFonts w:ascii="Times New Roman" w:cs="Times New Roman" w:eastAsia="Times New Roman" w:hAnsi="Times New Roman"/>
                <w:sz w:val="12"/>
                <w:szCs w:val="12"/>
                <w:color w:val="auto"/>
              </w:rPr>
              <w:t>Amount</w:t>
            </w:r>
          </w:p>
        </w:tc>
        <w:tc>
          <w:tcPr>
            <w:tcW w:w="120" w:type="dxa"/>
            <w:vAlign w:val="bottom"/>
          </w:tcPr>
          <w:p>
            <w:pPr>
              <w:spacing w:after="0"/>
              <w:rPr>
                <w:sz w:val="11"/>
                <w:szCs w:val="11"/>
                <w:color w:val="auto"/>
              </w:rPr>
            </w:pPr>
          </w:p>
        </w:tc>
        <w:tc>
          <w:tcPr>
            <w:tcW w:w="840" w:type="dxa"/>
            <w:vAlign w:val="bottom"/>
            <w:tcBorders>
              <w:top w:val="single" w:sz="8" w:color="auto"/>
            </w:tcBorders>
            <w:gridSpan w:val="5"/>
          </w:tcPr>
          <w:p>
            <w:pPr>
              <w:jc w:val="right"/>
              <w:spacing w:after="0" w:line="128" w:lineRule="exact"/>
              <w:rPr>
                <w:sz w:val="20"/>
                <w:szCs w:val="20"/>
                <w:color w:val="auto"/>
              </w:rPr>
            </w:pPr>
            <w:r>
              <w:rPr>
                <w:rFonts w:ascii="Times New Roman" w:cs="Times New Roman" w:eastAsia="Times New Roman" w:hAnsi="Times New Roman"/>
                <w:sz w:val="12"/>
                <w:szCs w:val="12"/>
                <w:color w:val="auto"/>
              </w:rPr>
              <w:t>Units  Amount</w:t>
            </w:r>
          </w:p>
        </w:tc>
        <w:tc>
          <w:tcPr>
            <w:tcW w:w="80" w:type="dxa"/>
            <w:vAlign w:val="bottom"/>
          </w:tcPr>
          <w:p>
            <w:pPr>
              <w:spacing w:after="0"/>
              <w:rPr>
                <w:sz w:val="11"/>
                <w:szCs w:val="11"/>
                <w:color w:val="auto"/>
              </w:rPr>
            </w:pPr>
          </w:p>
        </w:tc>
        <w:tc>
          <w:tcPr>
            <w:tcW w:w="540" w:type="dxa"/>
            <w:vAlign w:val="bottom"/>
            <w:tcBorders>
              <w:top w:val="single" w:sz="8" w:color="auto"/>
            </w:tcBorders>
            <w:gridSpan w:val="2"/>
          </w:tcPr>
          <w:p>
            <w:pPr>
              <w:jc w:val="center"/>
              <w:spacing w:after="0" w:line="128" w:lineRule="exact"/>
              <w:rPr>
                <w:sz w:val="20"/>
                <w:szCs w:val="20"/>
                <w:color w:val="auto"/>
              </w:rPr>
            </w:pPr>
            <w:r>
              <w:rPr>
                <w:rFonts w:ascii="Times New Roman" w:cs="Times New Roman" w:eastAsia="Times New Roman" w:hAnsi="Times New Roman"/>
                <w:sz w:val="12"/>
                <w:szCs w:val="12"/>
                <w:color w:val="auto"/>
              </w:rPr>
              <w:t>Amount</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tcBorders>
            <w:gridSpan w:val="2"/>
          </w:tcPr>
          <w:p>
            <w:pPr>
              <w:ind w:left="80"/>
              <w:spacing w:after="0" w:line="128" w:lineRule="exact"/>
              <w:rPr>
                <w:sz w:val="20"/>
                <w:szCs w:val="20"/>
                <w:color w:val="auto"/>
              </w:rPr>
            </w:pPr>
            <w:r>
              <w:rPr>
                <w:rFonts w:ascii="Times New Roman" w:cs="Times New Roman" w:eastAsia="Times New Roman" w:hAnsi="Times New Roman"/>
                <w:sz w:val="12"/>
                <w:szCs w:val="12"/>
                <w:color w:val="auto"/>
              </w:rPr>
              <w:t>Units</w:t>
            </w: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2"/>
                <w:szCs w:val="12"/>
                <w:color w:val="auto"/>
              </w:rPr>
              <w:t>Amount</w:t>
            </w:r>
          </w:p>
        </w:tc>
        <w:tc>
          <w:tcPr>
            <w:tcW w:w="200" w:type="dxa"/>
            <w:vAlign w:val="bottom"/>
          </w:tcPr>
          <w:p>
            <w:pPr>
              <w:spacing w:after="0"/>
              <w:rPr>
                <w:sz w:val="11"/>
                <w:szCs w:val="11"/>
                <w:color w:val="auto"/>
              </w:rPr>
            </w:pPr>
          </w:p>
        </w:tc>
        <w:tc>
          <w:tcPr>
            <w:tcW w:w="28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2"/>
                <w:szCs w:val="12"/>
                <w:color w:val="auto"/>
                <w:w w:val="99"/>
              </w:rPr>
              <w:t>Units</w:t>
            </w:r>
          </w:p>
        </w:tc>
        <w:tc>
          <w:tcPr>
            <w:tcW w:w="1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w w:val="96"/>
              </w:rPr>
              <w:t>Amount</w:t>
            </w:r>
          </w:p>
        </w:tc>
        <w:tc>
          <w:tcPr>
            <w:tcW w:w="140" w:type="dxa"/>
            <w:vAlign w:val="bottom"/>
          </w:tcPr>
          <w:p>
            <w:pPr>
              <w:spacing w:after="0"/>
              <w:rPr>
                <w:sz w:val="11"/>
                <w:szCs w:val="11"/>
                <w:color w:val="auto"/>
              </w:rPr>
            </w:pPr>
          </w:p>
        </w:tc>
        <w:tc>
          <w:tcPr>
            <w:tcW w:w="460" w:type="dxa"/>
            <w:vAlign w:val="bottom"/>
            <w:tcBorders>
              <w:top w:val="single" w:sz="8" w:color="auto"/>
            </w:tcBorders>
            <w:gridSpan w:val="2"/>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w w:val="99"/>
              </w:rPr>
              <w:t>Units</w:t>
            </w:r>
          </w:p>
        </w:tc>
        <w:tc>
          <w:tcPr>
            <w:tcW w:w="420" w:type="dxa"/>
            <w:vAlign w:val="bottom"/>
            <w:tcBorders>
              <w:top w:val="single" w:sz="8" w:color="auto"/>
            </w:tcBorders>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Amount</w:t>
            </w:r>
          </w:p>
        </w:tc>
        <w:tc>
          <w:tcPr>
            <w:tcW w:w="140" w:type="dxa"/>
            <w:vAlign w:val="bottom"/>
          </w:tcPr>
          <w:p>
            <w:pPr>
              <w:spacing w:after="0"/>
              <w:rPr>
                <w:sz w:val="11"/>
                <w:szCs w:val="11"/>
                <w:color w:val="auto"/>
              </w:rPr>
            </w:pPr>
          </w:p>
        </w:tc>
        <w:tc>
          <w:tcPr>
            <w:tcW w:w="880" w:type="dxa"/>
            <w:vAlign w:val="bottom"/>
            <w:gridSpan w:val="3"/>
          </w:tcPr>
          <w:p>
            <w:pPr>
              <w:jc w:val="center"/>
              <w:ind w:right="120"/>
              <w:spacing w:after="0" w:line="128" w:lineRule="exact"/>
              <w:rPr>
                <w:sz w:val="20"/>
                <w:szCs w:val="20"/>
                <w:color w:val="auto"/>
              </w:rPr>
            </w:pPr>
            <w:r>
              <w:rPr>
                <w:rFonts w:ascii="Times New Roman" w:cs="Times New Roman" w:eastAsia="Times New Roman" w:hAnsi="Times New Roman"/>
                <w:sz w:val="12"/>
                <w:szCs w:val="12"/>
                <w:color w:val="auto"/>
              </w:rPr>
              <w:t>income (loss)</w:t>
            </w:r>
          </w:p>
        </w:tc>
        <w:tc>
          <w:tcPr>
            <w:tcW w:w="60" w:type="dxa"/>
            <w:vAlign w:val="bottom"/>
          </w:tcPr>
          <w:p>
            <w:pPr>
              <w:spacing w:after="0"/>
              <w:rPr>
                <w:sz w:val="11"/>
                <w:szCs w:val="11"/>
                <w:color w:val="auto"/>
              </w:rPr>
            </w:pPr>
          </w:p>
        </w:tc>
        <w:tc>
          <w:tcPr>
            <w:tcW w:w="58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2"/>
                <w:szCs w:val="12"/>
                <w:color w:val="auto"/>
              </w:rPr>
              <w:t>capital</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54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Balance, January 1, 2023</w:t>
            </w:r>
          </w:p>
        </w:tc>
        <w:tc>
          <w:tcPr>
            <w:tcW w:w="280" w:type="dxa"/>
            <w:vAlign w:val="bottom"/>
            <w:tcBorders>
              <w:top w:val="single" w:sz="8" w:color="auto"/>
            </w:tcBorders>
            <w:shd w:val="clear" w:color="auto" w:fill="CCEEFF"/>
          </w:tcPr>
          <w:p>
            <w:pPr>
              <w:ind w:left="80"/>
              <w:spacing w:after="0" w:line="141" w:lineRule="exact"/>
              <w:rPr>
                <w:sz w:val="20"/>
                <w:szCs w:val="20"/>
                <w:color w:val="auto"/>
              </w:rPr>
            </w:pPr>
            <w:r>
              <w:rPr>
                <w:rFonts w:ascii="Times New Roman" w:cs="Times New Roman" w:eastAsia="Times New Roman" w:hAnsi="Times New Roman"/>
                <w:sz w:val="14"/>
                <w:szCs w:val="14"/>
                <w:color w:val="auto"/>
                <w:w w:val="85"/>
              </w:rPr>
              <w:t>128</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w w:val="95"/>
              </w:rPr>
              <w:t>138</w:t>
            </w: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w w:val="85"/>
              </w:rPr>
              <w:t>48</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w w:val="85"/>
              </w:rPr>
              <w:t>156</w:t>
            </w: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ind w:left="40"/>
              <w:spacing w:after="0" w:line="141" w:lineRule="exact"/>
              <w:rPr>
                <w:sz w:val="20"/>
                <w:szCs w:val="20"/>
                <w:color w:val="auto"/>
              </w:rPr>
            </w:pPr>
            <w:r>
              <w:rPr>
                <w:rFonts w:ascii="Times New Roman" w:cs="Times New Roman" w:eastAsia="Times New Roman" w:hAnsi="Times New Roman"/>
                <w:sz w:val="14"/>
                <w:szCs w:val="14"/>
                <w:color w:val="auto"/>
                <w:w w:val="98"/>
              </w:rPr>
              <w:t>16,723</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93"/>
              </w:rPr>
              <w:t>$ 16,290</w:t>
            </w:r>
          </w:p>
        </w:tc>
        <w:tc>
          <w:tcPr>
            <w:tcW w:w="2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ind w:left="60"/>
              <w:spacing w:after="0" w:line="141" w:lineRule="exact"/>
              <w:rPr>
                <w:sz w:val="20"/>
                <w:szCs w:val="20"/>
                <w:color w:val="auto"/>
              </w:rPr>
            </w:pPr>
            <w:r>
              <w:rPr>
                <w:rFonts w:ascii="Times New Roman" w:cs="Times New Roman" w:eastAsia="Times New Roman" w:hAnsi="Times New Roman"/>
                <w:sz w:val="14"/>
                <w:szCs w:val="14"/>
                <w:color w:val="auto"/>
                <w:w w:val="95"/>
              </w:rPr>
              <w:t>680</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54</w:t>
            </w:r>
          </w:p>
        </w:tc>
        <w:tc>
          <w:tcPr>
            <w:tcW w:w="1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32</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15</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ind w:left="380"/>
              <w:spacing w:after="0" w:line="141" w:lineRule="exact"/>
              <w:rPr>
                <w:sz w:val="20"/>
                <w:szCs w:val="20"/>
                <w:color w:val="auto"/>
              </w:rPr>
            </w:pPr>
            <w:r>
              <w:rPr>
                <w:rFonts w:ascii="Times New Roman" w:cs="Times New Roman" w:eastAsia="Times New Roman" w:hAnsi="Times New Roman"/>
                <w:sz w:val="14"/>
                <w:szCs w:val="14"/>
                <w:color w:val="auto"/>
                <w:w w:val="95"/>
              </w:rPr>
              <w:t>262</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93"/>
              </w:rPr>
              <w:t>$ 16,621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2"/>
                <w:szCs w:val="12"/>
                <w:color w:val="auto"/>
              </w:rPr>
            </w:pPr>
          </w:p>
        </w:tc>
        <w:tc>
          <w:tcPr>
            <w:tcW w:w="34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right w:val="single" w:sz="8" w:color="auto"/>
            </w:tcBorders>
            <w:gridSpan w:val="2"/>
          </w:tcPr>
          <w:p>
            <w:pPr>
              <w:ind w:left="2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500" w:type="dxa"/>
            <w:vAlign w:val="bottom"/>
            <w:gridSpan w:val="2"/>
          </w:tcPr>
          <w:p>
            <w:pPr>
              <w:ind w:lef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3"/>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234</w:t>
            </w: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4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720" w:type="dxa"/>
            <w:vAlign w:val="bottom"/>
            <w:gridSpan w:val="2"/>
          </w:tcPr>
          <w:p>
            <w:pPr>
              <w:ind w:left="3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Other comprehensive loss</w:t>
            </w:r>
          </w:p>
        </w:tc>
        <w:tc>
          <w:tcPr>
            <w:tcW w:w="42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right w:val="single" w:sz="8" w:color="auto"/>
            </w:tcBorders>
            <w:gridSpan w:val="2"/>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280" w:type="dxa"/>
            <w:vAlign w:val="bottom"/>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0"/>
              <w:spacing w:after="0" w:line="147" w:lineRule="exact"/>
              <w:rPr>
                <w:sz w:val="20"/>
                <w:szCs w:val="20"/>
                <w:color w:val="auto"/>
              </w:rPr>
            </w:pPr>
            <w:r>
              <w:rPr>
                <w:rFonts w:ascii="Times New Roman" w:cs="Times New Roman" w:eastAsia="Times New Roman" w:hAnsi="Times New Roman"/>
                <w:sz w:val="14"/>
                <w:szCs w:val="14"/>
                <w:color w:val="auto"/>
              </w:rPr>
              <w:t>(74)</w:t>
            </w:r>
          </w:p>
        </w:tc>
        <w:tc>
          <w:tcPr>
            <w:tcW w:w="640" w:type="dxa"/>
            <w:vAlign w:val="bottom"/>
            <w:gridSpan w:val="3"/>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Capital contribution</w:t>
            </w:r>
          </w:p>
        </w:tc>
        <w:tc>
          <w:tcPr>
            <w:tcW w:w="42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2"/>
                <w:szCs w:val="12"/>
                <w:color w:val="auto"/>
              </w:rPr>
            </w:pPr>
          </w:p>
        </w:tc>
        <w:tc>
          <w:tcPr>
            <w:tcW w:w="34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right w:val="single" w:sz="8" w:color="auto"/>
            </w:tcBorders>
            <w:gridSpan w:val="2"/>
          </w:tcPr>
          <w:p>
            <w:pPr>
              <w:ind w:left="2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500" w:type="dxa"/>
            <w:vAlign w:val="bottom"/>
            <w:gridSpan w:val="2"/>
          </w:tcPr>
          <w:p>
            <w:pPr>
              <w:ind w:lef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3"/>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84</w:t>
            </w: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4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720" w:type="dxa"/>
            <w:vAlign w:val="bottom"/>
            <w:gridSpan w:val="2"/>
          </w:tcPr>
          <w:p>
            <w:pPr>
              <w:ind w:left="3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Compensation expense</w:t>
            </w:r>
          </w:p>
        </w:tc>
        <w:tc>
          <w:tcPr>
            <w:tcW w:w="42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2"/>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34</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right w:val="single" w:sz="8" w:color="auto"/>
            </w:tcBorders>
            <w:gridSpan w:val="2"/>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3"/>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5</w:t>
            </w:r>
          </w:p>
        </w:tc>
        <w:tc>
          <w:tcPr>
            <w:tcW w:w="2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74</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54</w:t>
            </w:r>
          </w:p>
        </w:tc>
        <w:tc>
          <w:tcPr>
            <w:tcW w:w="46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(9)</w:t>
            </w: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11</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Adjustment of puttable common units to redemption value</w:t>
            </w:r>
          </w:p>
        </w:tc>
        <w:tc>
          <w:tcPr>
            <w:tcW w:w="42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2"/>
                <w:szCs w:val="12"/>
                <w:color w:val="auto"/>
              </w:rPr>
            </w:pPr>
          </w:p>
        </w:tc>
        <w:tc>
          <w:tcPr>
            <w:tcW w:w="34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40</w:t>
            </w:r>
          </w:p>
        </w:tc>
        <w:tc>
          <w:tcPr>
            <w:tcW w:w="36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right w:val="single" w:sz="8" w:color="auto"/>
            </w:tcBorders>
            <w:gridSpan w:val="2"/>
          </w:tcPr>
          <w:p>
            <w:pPr>
              <w:ind w:left="320"/>
              <w:spacing w:after="0" w:line="147" w:lineRule="exact"/>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2"/>
                <w:szCs w:val="12"/>
                <w:color w:val="auto"/>
              </w:rPr>
            </w:pPr>
          </w:p>
        </w:tc>
        <w:tc>
          <w:tcPr>
            <w:tcW w:w="500" w:type="dxa"/>
            <w:vAlign w:val="bottom"/>
            <w:gridSpan w:val="2"/>
          </w:tcPr>
          <w:p>
            <w:pPr>
              <w:ind w:lef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3"/>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(40)</w:t>
            </w: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4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720" w:type="dxa"/>
            <w:vAlign w:val="bottom"/>
            <w:gridSpan w:val="2"/>
          </w:tcPr>
          <w:p>
            <w:pPr>
              <w:ind w:left="3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54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Adjustment of stock-based compensation to redemption</w:t>
            </w:r>
          </w:p>
        </w:tc>
        <w:tc>
          <w:tcPr>
            <w:tcW w:w="4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tcBorders>
              <w:right w:val="single" w:sz="8" w:color="auto"/>
            </w:tcBorders>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(37)</w:t>
            </w:r>
          </w:p>
        </w:tc>
        <w:tc>
          <w:tcPr>
            <w:tcW w:w="2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value</w:t>
            </w:r>
          </w:p>
        </w:tc>
        <w:tc>
          <w:tcPr>
            <w:tcW w:w="4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auto"/>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4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Distribution to partners</w:t>
            </w:r>
          </w:p>
        </w:tc>
        <w:tc>
          <w:tcPr>
            <w:tcW w:w="280" w:type="dxa"/>
            <w:vAlign w:val="bottom"/>
          </w:tcPr>
          <w:p>
            <w:pPr>
              <w:ind w:left="8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2"/>
                <w:szCs w:val="12"/>
                <w:color w:val="auto"/>
              </w:rPr>
            </w:pPr>
          </w:p>
        </w:tc>
        <w:tc>
          <w:tcPr>
            <w:tcW w:w="280" w:type="dxa"/>
            <w:vAlign w:val="bottom"/>
          </w:tcPr>
          <w:p>
            <w:pPr>
              <w:ind w:left="8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ind w:left="26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22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(114)</w:t>
            </w: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4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720" w:type="dxa"/>
            <w:vAlign w:val="bottom"/>
            <w:gridSpan w:val="2"/>
          </w:tcPr>
          <w:p>
            <w:pPr>
              <w:ind w:left="3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35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Balance, December 31, 2023</w:t>
            </w:r>
          </w:p>
        </w:tc>
        <w:tc>
          <w:tcPr>
            <w:tcW w:w="42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128</w:t>
            </w:r>
          </w:p>
        </w:tc>
        <w:tc>
          <w:tcPr>
            <w:tcW w:w="2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178</w:t>
            </w:r>
          </w:p>
        </w:tc>
        <w:tc>
          <w:tcPr>
            <w:tcW w:w="360" w:type="dxa"/>
            <w:vAlign w:val="bottom"/>
            <w:gridSpan w:val="2"/>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82</w:t>
            </w:r>
          </w:p>
        </w:tc>
        <w:tc>
          <w:tcPr>
            <w:tcW w:w="20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55</w:t>
            </w:r>
          </w:p>
        </w:tc>
        <w:tc>
          <w:tcPr>
            <w:tcW w:w="1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auto"/>
            </w:tcBorders>
            <w:gridSpan w:val="2"/>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rPr>
              <w:t>233</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40"/>
              <w:spacing w:after="0" w:line="147" w:lineRule="exact"/>
              <w:rPr>
                <w:sz w:val="20"/>
                <w:szCs w:val="20"/>
                <w:color w:val="auto"/>
              </w:rPr>
            </w:pPr>
            <w:r>
              <w:rPr>
                <w:rFonts w:ascii="Times New Roman" w:cs="Times New Roman" w:eastAsia="Times New Roman" w:hAnsi="Times New Roman"/>
                <w:sz w:val="14"/>
                <w:szCs w:val="14"/>
                <w:color w:val="auto"/>
              </w:rPr>
              <w:t>16,723</w:t>
            </w:r>
          </w:p>
        </w:tc>
        <w:tc>
          <w:tcPr>
            <w:tcW w:w="740" w:type="dxa"/>
            <w:vAlign w:val="bottom"/>
            <w:gridSpan w:val="3"/>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16,422</w:t>
            </w:r>
          </w:p>
        </w:tc>
        <w:tc>
          <w:tcPr>
            <w:tcW w:w="280" w:type="dxa"/>
            <w:vAlign w:val="bottom"/>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754</w:t>
            </w:r>
          </w:p>
        </w:tc>
        <w:tc>
          <w:tcPr>
            <w:tcW w:w="320" w:type="dxa"/>
            <w:vAlign w:val="bottom"/>
            <w:gridSpan w:val="2"/>
            <w:shd w:val="clear" w:color="auto" w:fill="CCEEFF"/>
          </w:tcPr>
          <w:p>
            <w:pPr>
              <w:jc w:val="right"/>
              <w:ind w:right="61"/>
              <w:spacing w:after="0" w:line="147"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108</w:t>
            </w:r>
          </w:p>
        </w:tc>
        <w:tc>
          <w:tcPr>
            <w:tcW w:w="46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23</w:t>
            </w:r>
          </w:p>
        </w:tc>
        <w:tc>
          <w:tcPr>
            <w:tcW w:w="1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26</w:t>
            </w:r>
          </w:p>
        </w:tc>
        <w:tc>
          <w:tcPr>
            <w:tcW w:w="1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ind w:left="380"/>
              <w:spacing w:after="0" w:line="147" w:lineRule="exact"/>
              <w:rPr>
                <w:sz w:val="20"/>
                <w:szCs w:val="20"/>
                <w:color w:val="auto"/>
              </w:rPr>
            </w:pPr>
            <w:r>
              <w:rPr>
                <w:rFonts w:ascii="Times New Roman" w:cs="Times New Roman" w:eastAsia="Times New Roman" w:hAnsi="Times New Roman"/>
                <w:sz w:val="14"/>
                <w:szCs w:val="14"/>
                <w:color w:val="auto"/>
                <w:w w:val="95"/>
              </w:rPr>
              <w:t>188</w:t>
            </w:r>
          </w:p>
        </w:tc>
        <w:tc>
          <w:tcPr>
            <w:tcW w:w="1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16,744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080"/>
          </w:cols>
          <w:pgMar w:left="320" w:top="452" w:right="49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MEZZANINE EQUITY AND PARTNERS’ CAPITAL</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152"/>
        </w:trPr>
        <w:tc>
          <w:tcPr>
            <w:tcW w:w="33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7"/>
          </w:tcPr>
          <w:p>
            <w:pPr>
              <w:ind w:left="180"/>
              <w:spacing w:after="0"/>
              <w:rPr>
                <w:sz w:val="20"/>
                <w:szCs w:val="20"/>
                <w:color w:val="auto"/>
              </w:rPr>
            </w:pPr>
            <w:r>
              <w:rPr>
                <w:rFonts w:ascii="Times New Roman" w:cs="Times New Roman" w:eastAsia="Times New Roman" w:hAnsi="Times New Roman"/>
                <w:sz w:val="12"/>
                <w:szCs w:val="12"/>
                <w:color w:val="auto"/>
              </w:rPr>
              <w:t>Year ended December 31, 2022</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3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7"/>
          </w:tcPr>
          <w:p>
            <w:pPr>
              <w:ind w:left="180"/>
              <w:spacing w:after="0" w:line="128" w:lineRule="exact"/>
              <w:rPr>
                <w:sz w:val="20"/>
                <w:szCs w:val="20"/>
                <w:color w:val="auto"/>
              </w:rPr>
            </w:pPr>
            <w:r>
              <w:rPr>
                <w:rFonts w:ascii="Times New Roman" w:cs="Times New Roman" w:eastAsia="Times New Roman" w:hAnsi="Times New Roman"/>
                <w:sz w:val="12"/>
                <w:szCs w:val="12"/>
                <w:color w:val="auto"/>
              </w:rPr>
              <w:t>Mezzanine Equity</w:t>
            </w: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5"/>
          </w:tcPr>
          <w:p>
            <w:pPr>
              <w:ind w:left="40"/>
              <w:spacing w:after="0" w:line="128" w:lineRule="exact"/>
              <w:rPr>
                <w:sz w:val="20"/>
                <w:szCs w:val="20"/>
                <w:color w:val="auto"/>
              </w:rPr>
            </w:pPr>
            <w:r>
              <w:rPr>
                <w:rFonts w:ascii="Times New Roman" w:cs="Times New Roman" w:eastAsia="Times New Roman" w:hAnsi="Times New Roman"/>
                <w:sz w:val="12"/>
                <w:szCs w:val="12"/>
                <w:color w:val="auto"/>
              </w:rPr>
              <w:t>Partners’ Capital</w:t>
            </w:r>
          </w:p>
        </w:tc>
        <w:tc>
          <w:tcPr>
            <w:tcW w:w="2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3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right w:val="single" w:sz="8" w:color="auto"/>
            </w:tcBorders>
          </w:tcPr>
          <w:p>
            <w:pPr>
              <w:jc w:val="center"/>
              <w:ind w:right="71"/>
              <w:spacing w:after="0" w:line="114" w:lineRule="exact"/>
              <w:rPr>
                <w:sz w:val="20"/>
                <w:szCs w:val="20"/>
                <w:color w:val="auto"/>
              </w:rPr>
            </w:pPr>
            <w:r>
              <w:rPr>
                <w:rFonts w:ascii="Times New Roman" w:cs="Times New Roman" w:eastAsia="Times New Roman" w:hAnsi="Times New Roman"/>
                <w:sz w:val="12"/>
                <w:szCs w:val="12"/>
                <w:color w:val="auto"/>
                <w:w w:val="94"/>
              </w:rPr>
              <w:t>Total</w:t>
            </w: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3"/>
          </w:tcPr>
          <w:p>
            <w:pPr>
              <w:jc w:val="center"/>
              <w:ind w:right="140"/>
              <w:spacing w:after="0" w:line="114" w:lineRule="exact"/>
              <w:rPr>
                <w:sz w:val="20"/>
                <w:szCs w:val="20"/>
                <w:color w:val="auto"/>
              </w:rPr>
            </w:pPr>
            <w:r>
              <w:rPr>
                <w:rFonts w:ascii="Times New Roman" w:cs="Times New Roman" w:eastAsia="Times New Roman" w:hAnsi="Times New Roman"/>
                <w:sz w:val="12"/>
                <w:szCs w:val="12"/>
                <w:color w:val="auto"/>
              </w:rPr>
              <w:t>Accumulated</w:t>
            </w: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3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5"/>
          </w:tcPr>
          <w:p>
            <w:pPr>
              <w:jc w:val="center"/>
              <w:spacing w:after="0" w:line="134" w:lineRule="exact"/>
              <w:rPr>
                <w:sz w:val="20"/>
                <w:szCs w:val="20"/>
                <w:color w:val="auto"/>
              </w:rPr>
            </w:pPr>
            <w:r>
              <w:rPr>
                <w:rFonts w:ascii="Times New Roman" w:cs="Times New Roman" w:eastAsia="Times New Roman" w:hAnsi="Times New Roman"/>
                <w:sz w:val="12"/>
                <w:szCs w:val="12"/>
                <w:color w:val="auto"/>
              </w:rPr>
              <w:t>Stock-based</w:t>
            </w:r>
          </w:p>
        </w:tc>
        <w:tc>
          <w:tcPr>
            <w:tcW w:w="140" w:type="dxa"/>
            <w:vAlign w:val="bottom"/>
          </w:tcPr>
          <w:p>
            <w:pPr>
              <w:spacing w:after="0"/>
              <w:rPr>
                <w:sz w:val="11"/>
                <w:szCs w:val="11"/>
                <w:color w:val="auto"/>
              </w:rPr>
            </w:pPr>
          </w:p>
        </w:tc>
        <w:tc>
          <w:tcPr>
            <w:tcW w:w="620" w:type="dxa"/>
            <w:vAlign w:val="bottom"/>
            <w:tcBorders>
              <w:right w:val="single" w:sz="8" w:color="auto"/>
            </w:tcBorders>
            <w:gridSpan w:val="2"/>
          </w:tcPr>
          <w:p>
            <w:pPr>
              <w:jc w:val="center"/>
              <w:spacing w:after="0" w:line="134" w:lineRule="exact"/>
              <w:rPr>
                <w:sz w:val="20"/>
                <w:szCs w:val="20"/>
                <w:color w:val="auto"/>
              </w:rPr>
            </w:pPr>
            <w:r>
              <w:rPr>
                <w:rFonts w:ascii="Times New Roman" w:cs="Times New Roman" w:eastAsia="Times New Roman" w:hAnsi="Times New Roman"/>
                <w:sz w:val="12"/>
                <w:szCs w:val="12"/>
                <w:color w:val="auto"/>
              </w:rPr>
              <w:t>Mezzanine</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2"/>
                <w:szCs w:val="12"/>
                <w:color w:val="auto"/>
              </w:rPr>
              <w:t>other</w:t>
            </w:r>
          </w:p>
        </w:tc>
        <w:tc>
          <w:tcPr>
            <w:tcW w:w="60" w:type="dxa"/>
            <w:vAlign w:val="bottom"/>
          </w:tcPr>
          <w:p>
            <w:pPr>
              <w:spacing w:after="0"/>
              <w:rPr>
                <w:sz w:val="11"/>
                <w:szCs w:val="11"/>
                <w:color w:val="auto"/>
              </w:rPr>
            </w:pPr>
          </w:p>
        </w:tc>
        <w:tc>
          <w:tcPr>
            <w:tcW w:w="58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color w:val="auto"/>
              </w:rPr>
              <w:t>Total</w:t>
            </w:r>
          </w:p>
        </w:tc>
        <w:tc>
          <w:tcPr>
            <w:tcW w:w="0" w:type="dxa"/>
            <w:vAlign w:val="bottom"/>
          </w:tcPr>
          <w:p>
            <w:pPr>
              <w:spacing w:after="0"/>
              <w:rPr>
                <w:sz w:val="1"/>
                <w:szCs w:val="1"/>
                <w:color w:val="auto"/>
              </w:rPr>
            </w:pPr>
          </w:p>
        </w:tc>
      </w:tr>
      <w:tr>
        <w:trPr>
          <w:trHeight w:val="147"/>
        </w:trPr>
        <w:tc>
          <w:tcPr>
            <w:tcW w:w="3340" w:type="dxa"/>
            <w:vAlign w:val="bottom"/>
          </w:tcPr>
          <w:p>
            <w:pPr>
              <w:spacing w:after="0"/>
              <w:rPr>
                <w:sz w:val="12"/>
                <w:szCs w:val="12"/>
                <w:color w:val="auto"/>
              </w:rPr>
            </w:pPr>
          </w:p>
        </w:tc>
        <w:tc>
          <w:tcPr>
            <w:tcW w:w="600" w:type="dxa"/>
            <w:vAlign w:val="bottom"/>
            <w:gridSpan w:val="3"/>
          </w:tcPr>
          <w:p>
            <w:pPr>
              <w:ind w:left="220"/>
              <w:spacing w:after="0"/>
              <w:rPr>
                <w:sz w:val="20"/>
                <w:szCs w:val="20"/>
                <w:color w:val="auto"/>
              </w:rPr>
            </w:pPr>
            <w:r>
              <w:rPr>
                <w:rFonts w:ascii="Times New Roman" w:cs="Times New Roman" w:eastAsia="Times New Roman" w:hAnsi="Times New Roman"/>
                <w:sz w:val="12"/>
                <w:szCs w:val="12"/>
                <w:color w:val="auto"/>
                <w:w w:val="95"/>
              </w:rPr>
              <w:t>Class A</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5"/>
          </w:tcPr>
          <w:p>
            <w:pPr>
              <w:jc w:val="center"/>
              <w:spacing w:after="0"/>
              <w:rPr>
                <w:sz w:val="20"/>
                <w:szCs w:val="20"/>
                <w:color w:val="auto"/>
              </w:rPr>
            </w:pPr>
            <w:r>
              <w:rPr>
                <w:rFonts w:ascii="Times New Roman" w:cs="Times New Roman" w:eastAsia="Times New Roman" w:hAnsi="Times New Roman"/>
                <w:sz w:val="12"/>
                <w:szCs w:val="12"/>
                <w:color w:val="auto"/>
              </w:rPr>
              <w:t>Compensation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right w:val="single" w:sz="8" w:color="auto"/>
            </w:tcBorders>
          </w:tcPr>
          <w:p>
            <w:pPr>
              <w:jc w:val="center"/>
              <w:ind w:right="71"/>
              <w:spacing w:after="0"/>
              <w:rPr>
                <w:sz w:val="20"/>
                <w:szCs w:val="20"/>
                <w:color w:val="auto"/>
              </w:rPr>
            </w:pPr>
            <w:r>
              <w:rPr>
                <w:rFonts w:ascii="Times New Roman" w:cs="Times New Roman" w:eastAsia="Times New Roman" w:hAnsi="Times New Roman"/>
                <w:sz w:val="12"/>
                <w:szCs w:val="12"/>
                <w:color w:val="auto"/>
                <w:w w:val="99"/>
              </w:rPr>
              <w:t>Equity</w:t>
            </w:r>
          </w:p>
        </w:tc>
        <w:tc>
          <w:tcPr>
            <w:tcW w:w="240" w:type="dxa"/>
            <w:vAlign w:val="bottom"/>
          </w:tcPr>
          <w:p>
            <w:pPr>
              <w:spacing w:after="0"/>
              <w:rPr>
                <w:sz w:val="12"/>
                <w:szCs w:val="12"/>
                <w:color w:val="auto"/>
              </w:rPr>
            </w:pPr>
          </w:p>
        </w:tc>
        <w:tc>
          <w:tcPr>
            <w:tcW w:w="1240" w:type="dxa"/>
            <w:vAlign w:val="bottom"/>
            <w:gridSpan w:val="4"/>
          </w:tcPr>
          <w:p>
            <w:pPr>
              <w:ind w:left="340"/>
              <w:spacing w:after="0"/>
              <w:rPr>
                <w:sz w:val="20"/>
                <w:szCs w:val="20"/>
                <w:color w:val="auto"/>
              </w:rPr>
            </w:pPr>
            <w:r>
              <w:rPr>
                <w:rFonts w:ascii="Times New Roman" w:cs="Times New Roman" w:eastAsia="Times New Roman" w:hAnsi="Times New Roman"/>
                <w:sz w:val="12"/>
                <w:szCs w:val="12"/>
                <w:color w:val="auto"/>
              </w:rPr>
              <w:t>Class A</w:t>
            </w:r>
          </w:p>
        </w:tc>
        <w:tc>
          <w:tcPr>
            <w:tcW w:w="660" w:type="dxa"/>
            <w:vAlign w:val="bottom"/>
            <w:gridSpan w:val="3"/>
          </w:tcPr>
          <w:p>
            <w:pPr>
              <w:ind w:left="260"/>
              <w:spacing w:after="0"/>
              <w:rPr>
                <w:sz w:val="20"/>
                <w:szCs w:val="20"/>
                <w:color w:val="auto"/>
              </w:rPr>
            </w:pPr>
            <w:r>
              <w:rPr>
                <w:rFonts w:ascii="Times New Roman" w:cs="Times New Roman" w:eastAsia="Times New Roman" w:hAnsi="Times New Roman"/>
                <w:sz w:val="12"/>
                <w:szCs w:val="12"/>
                <w:color w:val="auto"/>
              </w:rPr>
              <w:t>Class B</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5"/>
          </w:tcPr>
          <w:p>
            <w:pPr>
              <w:jc w:val="right"/>
              <w:ind w:right="220"/>
              <w:spacing w:after="0"/>
              <w:rPr>
                <w:sz w:val="20"/>
                <w:szCs w:val="20"/>
                <w:color w:val="auto"/>
              </w:rPr>
            </w:pPr>
            <w:r>
              <w:rPr>
                <w:rFonts w:ascii="Times New Roman" w:cs="Times New Roman" w:eastAsia="Times New Roman" w:hAnsi="Times New Roman"/>
                <w:sz w:val="12"/>
                <w:szCs w:val="12"/>
                <w:color w:val="auto"/>
              </w:rPr>
              <w:t>Class B CUPI</w:t>
            </w: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rPr>
              <w:t>comprehensive</w:t>
            </w:r>
          </w:p>
        </w:tc>
        <w:tc>
          <w:tcPr>
            <w:tcW w:w="60" w:type="dxa"/>
            <w:vAlign w:val="bottom"/>
          </w:tcPr>
          <w:p>
            <w:pPr>
              <w:spacing w:after="0"/>
              <w:rPr>
                <w:sz w:val="12"/>
                <w:szCs w:val="12"/>
                <w:color w:val="auto"/>
              </w:rPr>
            </w:pP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partners’</w:t>
            </w:r>
          </w:p>
        </w:tc>
        <w:tc>
          <w:tcPr>
            <w:tcW w:w="0" w:type="dxa"/>
            <w:vAlign w:val="bottom"/>
          </w:tcPr>
          <w:p>
            <w:pPr>
              <w:spacing w:after="0"/>
              <w:rPr>
                <w:sz w:val="1"/>
                <w:szCs w:val="1"/>
                <w:color w:val="auto"/>
              </w:rPr>
            </w:pPr>
          </w:p>
        </w:tc>
      </w:tr>
      <w:tr>
        <w:trPr>
          <w:trHeight w:val="127"/>
        </w:trPr>
        <w:tc>
          <w:tcPr>
            <w:tcW w:w="3340" w:type="dxa"/>
            <w:vAlign w:val="bottom"/>
          </w:tcPr>
          <w:p>
            <w:pPr>
              <w:spacing w:after="0"/>
              <w:rPr>
                <w:sz w:val="11"/>
                <w:szCs w:val="11"/>
                <w:color w:val="auto"/>
              </w:rPr>
            </w:pPr>
          </w:p>
        </w:tc>
        <w:tc>
          <w:tcPr>
            <w:tcW w:w="280" w:type="dxa"/>
            <w:vAlign w:val="bottom"/>
            <w:tcBorders>
              <w:top w:val="single" w:sz="8" w:color="auto"/>
            </w:tcBorders>
          </w:tcPr>
          <w:p>
            <w:pPr>
              <w:spacing w:after="0" w:line="128" w:lineRule="exact"/>
              <w:rPr>
                <w:sz w:val="20"/>
                <w:szCs w:val="20"/>
                <w:color w:val="auto"/>
              </w:rPr>
            </w:pPr>
            <w:r>
              <w:rPr>
                <w:rFonts w:ascii="Times New Roman" w:cs="Times New Roman" w:eastAsia="Times New Roman" w:hAnsi="Times New Roman"/>
                <w:sz w:val="12"/>
                <w:szCs w:val="12"/>
                <w:color w:val="auto"/>
                <w:w w:val="99"/>
              </w:rPr>
              <w:t>Units</w:t>
            </w:r>
          </w:p>
        </w:tc>
        <w:tc>
          <w:tcPr>
            <w:tcW w:w="1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gridSpan w:val="2"/>
          </w:tcPr>
          <w:p>
            <w:pPr>
              <w:spacing w:after="0" w:line="128" w:lineRule="exact"/>
              <w:rPr>
                <w:sz w:val="20"/>
                <w:szCs w:val="20"/>
                <w:color w:val="auto"/>
              </w:rPr>
            </w:pPr>
            <w:r>
              <w:rPr>
                <w:rFonts w:ascii="Times New Roman" w:cs="Times New Roman" w:eastAsia="Times New Roman" w:hAnsi="Times New Roman"/>
                <w:sz w:val="12"/>
                <w:szCs w:val="12"/>
                <w:color w:val="auto"/>
                <w:w w:val="96"/>
              </w:rPr>
              <w:t>Amount</w:t>
            </w:r>
          </w:p>
        </w:tc>
        <w:tc>
          <w:tcPr>
            <w:tcW w:w="140" w:type="dxa"/>
            <w:vAlign w:val="bottom"/>
          </w:tcPr>
          <w:p>
            <w:pPr>
              <w:spacing w:after="0"/>
              <w:rPr>
                <w:sz w:val="11"/>
                <w:szCs w:val="11"/>
                <w:color w:val="auto"/>
              </w:rPr>
            </w:pPr>
          </w:p>
        </w:tc>
        <w:tc>
          <w:tcPr>
            <w:tcW w:w="340" w:type="dxa"/>
            <w:vAlign w:val="bottom"/>
            <w:tcBorders>
              <w:top w:val="single" w:sz="8" w:color="auto"/>
            </w:tcBorders>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w w:val="99"/>
              </w:rPr>
              <w:t>Units</w:t>
            </w: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gridSpan w:val="2"/>
          </w:tcPr>
          <w:p>
            <w:pPr>
              <w:spacing w:after="0" w:line="128" w:lineRule="exact"/>
              <w:rPr>
                <w:sz w:val="20"/>
                <w:szCs w:val="20"/>
                <w:color w:val="auto"/>
              </w:rPr>
            </w:pPr>
            <w:r>
              <w:rPr>
                <w:rFonts w:ascii="Times New Roman" w:cs="Times New Roman" w:eastAsia="Times New Roman" w:hAnsi="Times New Roman"/>
                <w:sz w:val="12"/>
                <w:szCs w:val="12"/>
                <w:color w:val="auto"/>
                <w:w w:val="96"/>
              </w:rPr>
              <w:t>Amount</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right w:val="single" w:sz="8" w:color="auto"/>
            </w:tcBorders>
          </w:tcPr>
          <w:p>
            <w:pPr>
              <w:jc w:val="center"/>
              <w:ind w:right="71"/>
              <w:spacing w:after="0" w:line="128" w:lineRule="exact"/>
              <w:rPr>
                <w:sz w:val="20"/>
                <w:szCs w:val="20"/>
                <w:color w:val="auto"/>
              </w:rPr>
            </w:pPr>
            <w:r>
              <w:rPr>
                <w:rFonts w:ascii="Times New Roman" w:cs="Times New Roman" w:eastAsia="Times New Roman" w:hAnsi="Times New Roman"/>
                <w:sz w:val="12"/>
                <w:szCs w:val="12"/>
                <w:color w:val="auto"/>
              </w:rPr>
              <w:t>Amount</w:t>
            </w:r>
          </w:p>
        </w:tc>
        <w:tc>
          <w:tcPr>
            <w:tcW w:w="240" w:type="dxa"/>
            <w:vAlign w:val="bottom"/>
          </w:tcPr>
          <w:p>
            <w:pPr>
              <w:spacing w:after="0"/>
              <w:rPr>
                <w:sz w:val="11"/>
                <w:szCs w:val="11"/>
                <w:color w:val="auto"/>
              </w:rPr>
            </w:pPr>
          </w:p>
        </w:tc>
        <w:tc>
          <w:tcPr>
            <w:tcW w:w="580" w:type="dxa"/>
            <w:vAlign w:val="bottom"/>
            <w:tcBorders>
              <w:top w:val="single" w:sz="8" w:color="auto"/>
            </w:tcBorders>
            <w:gridSpan w:val="2"/>
          </w:tcPr>
          <w:p>
            <w:pPr>
              <w:ind w:left="80"/>
              <w:spacing w:after="0" w:line="128" w:lineRule="exact"/>
              <w:rPr>
                <w:sz w:val="20"/>
                <w:szCs w:val="20"/>
                <w:color w:val="auto"/>
              </w:rPr>
            </w:pPr>
            <w:r>
              <w:rPr>
                <w:rFonts w:ascii="Times New Roman" w:cs="Times New Roman" w:eastAsia="Times New Roman" w:hAnsi="Times New Roman"/>
                <w:sz w:val="12"/>
                <w:szCs w:val="12"/>
                <w:color w:val="auto"/>
              </w:rPr>
              <w:t>Units</w:t>
            </w:r>
          </w:p>
        </w:tc>
        <w:tc>
          <w:tcPr>
            <w:tcW w:w="48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2"/>
                <w:szCs w:val="12"/>
                <w:color w:val="auto"/>
              </w:rPr>
              <w:t>Amount</w:t>
            </w:r>
          </w:p>
        </w:tc>
        <w:tc>
          <w:tcPr>
            <w:tcW w:w="180" w:type="dxa"/>
            <w:vAlign w:val="bottom"/>
          </w:tcPr>
          <w:p>
            <w:pPr>
              <w:spacing w:after="0"/>
              <w:rPr>
                <w:sz w:val="11"/>
                <w:szCs w:val="11"/>
                <w:color w:val="auto"/>
              </w:rPr>
            </w:pPr>
          </w:p>
        </w:tc>
        <w:tc>
          <w:tcPr>
            <w:tcW w:w="480" w:type="dxa"/>
            <w:vAlign w:val="bottom"/>
            <w:tcBorders>
              <w:top w:val="single" w:sz="8" w:color="auto"/>
            </w:tcBorders>
            <w:gridSpan w:val="2"/>
          </w:tcPr>
          <w:p>
            <w:pPr>
              <w:spacing w:after="0" w:line="128" w:lineRule="exact"/>
              <w:rPr>
                <w:sz w:val="20"/>
                <w:szCs w:val="20"/>
                <w:color w:val="auto"/>
              </w:rPr>
            </w:pPr>
            <w:r>
              <w:rPr>
                <w:rFonts w:ascii="Times New Roman" w:cs="Times New Roman" w:eastAsia="Times New Roman" w:hAnsi="Times New Roman"/>
                <w:sz w:val="12"/>
                <w:szCs w:val="12"/>
                <w:color w:val="auto"/>
              </w:rPr>
              <w:t>Units</w:t>
            </w:r>
          </w:p>
        </w:tc>
        <w:tc>
          <w:tcPr>
            <w:tcW w:w="400" w:type="dxa"/>
            <w:vAlign w:val="bottom"/>
            <w:tcBorders>
              <w:top w:val="single" w:sz="8" w:color="auto"/>
            </w:tcBorders>
            <w:gridSpan w:val="2"/>
          </w:tcPr>
          <w:p>
            <w:pPr>
              <w:spacing w:after="0" w:line="128" w:lineRule="exact"/>
              <w:rPr>
                <w:sz w:val="20"/>
                <w:szCs w:val="20"/>
                <w:color w:val="auto"/>
              </w:rPr>
            </w:pPr>
            <w:r>
              <w:rPr>
                <w:rFonts w:ascii="Times New Roman" w:cs="Times New Roman" w:eastAsia="Times New Roman" w:hAnsi="Times New Roman"/>
                <w:sz w:val="12"/>
                <w:szCs w:val="12"/>
                <w:color w:val="auto"/>
                <w:w w:val="96"/>
              </w:rPr>
              <w:t>Amount</w:t>
            </w:r>
          </w:p>
        </w:tc>
        <w:tc>
          <w:tcPr>
            <w:tcW w:w="140" w:type="dxa"/>
            <w:vAlign w:val="bottom"/>
          </w:tcPr>
          <w:p>
            <w:pPr>
              <w:spacing w:after="0"/>
              <w:rPr>
                <w:sz w:val="11"/>
                <w:szCs w:val="11"/>
                <w:color w:val="auto"/>
              </w:rPr>
            </w:pPr>
          </w:p>
        </w:tc>
        <w:tc>
          <w:tcPr>
            <w:tcW w:w="460" w:type="dxa"/>
            <w:vAlign w:val="bottom"/>
            <w:tcBorders>
              <w:top w:val="single" w:sz="8" w:color="auto"/>
            </w:tcBorders>
            <w:gridSpan w:val="2"/>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w w:val="99"/>
              </w:rPr>
              <w:t>Units</w:t>
            </w:r>
          </w:p>
        </w:tc>
        <w:tc>
          <w:tcPr>
            <w:tcW w:w="420" w:type="dxa"/>
            <w:vAlign w:val="bottom"/>
            <w:tcBorders>
              <w:top w:val="single" w:sz="8" w:color="auto"/>
            </w:tcBorders>
            <w:gridSpan w:val="2"/>
          </w:tcPr>
          <w:p>
            <w:pPr>
              <w:ind w:left="20"/>
              <w:spacing w:after="0" w:line="128" w:lineRule="exact"/>
              <w:rPr>
                <w:sz w:val="20"/>
                <w:szCs w:val="20"/>
                <w:color w:val="auto"/>
              </w:rPr>
            </w:pPr>
            <w:r>
              <w:rPr>
                <w:rFonts w:ascii="Times New Roman" w:cs="Times New Roman" w:eastAsia="Times New Roman" w:hAnsi="Times New Roman"/>
                <w:sz w:val="12"/>
                <w:szCs w:val="12"/>
                <w:color w:val="auto"/>
                <w:w w:val="96"/>
              </w:rPr>
              <w:t>Amount</w:t>
            </w:r>
          </w:p>
        </w:tc>
        <w:tc>
          <w:tcPr>
            <w:tcW w:w="140" w:type="dxa"/>
            <w:vAlign w:val="bottom"/>
          </w:tcPr>
          <w:p>
            <w:pPr>
              <w:spacing w:after="0"/>
              <w:rPr>
                <w:sz w:val="11"/>
                <w:szCs w:val="11"/>
                <w:color w:val="auto"/>
              </w:rPr>
            </w:pPr>
          </w:p>
        </w:tc>
        <w:tc>
          <w:tcPr>
            <w:tcW w:w="880" w:type="dxa"/>
            <w:vAlign w:val="bottom"/>
            <w:gridSpan w:val="3"/>
          </w:tcPr>
          <w:p>
            <w:pPr>
              <w:jc w:val="center"/>
              <w:ind w:right="120"/>
              <w:spacing w:after="0" w:line="128" w:lineRule="exact"/>
              <w:rPr>
                <w:sz w:val="20"/>
                <w:szCs w:val="20"/>
                <w:color w:val="auto"/>
              </w:rPr>
            </w:pPr>
            <w:r>
              <w:rPr>
                <w:rFonts w:ascii="Times New Roman" w:cs="Times New Roman" w:eastAsia="Times New Roman" w:hAnsi="Times New Roman"/>
                <w:sz w:val="12"/>
                <w:szCs w:val="12"/>
                <w:color w:val="auto"/>
              </w:rPr>
              <w:t>income (loss)</w:t>
            </w:r>
          </w:p>
        </w:tc>
        <w:tc>
          <w:tcPr>
            <w:tcW w:w="60" w:type="dxa"/>
            <w:vAlign w:val="bottom"/>
          </w:tcPr>
          <w:p>
            <w:pPr>
              <w:spacing w:after="0"/>
              <w:rPr>
                <w:sz w:val="11"/>
                <w:szCs w:val="11"/>
                <w:color w:val="auto"/>
              </w:rPr>
            </w:pPr>
          </w:p>
        </w:tc>
        <w:tc>
          <w:tcPr>
            <w:tcW w:w="58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2"/>
                <w:szCs w:val="12"/>
                <w:color w:val="auto"/>
              </w:rPr>
              <w:t>capital</w:t>
            </w:r>
          </w:p>
        </w:tc>
        <w:tc>
          <w:tcPr>
            <w:tcW w:w="0" w:type="dxa"/>
            <w:vAlign w:val="bottom"/>
          </w:tcPr>
          <w:p>
            <w:pPr>
              <w:spacing w:after="0"/>
              <w:rPr>
                <w:sz w:val="1"/>
                <w:szCs w:val="1"/>
                <w:color w:val="auto"/>
              </w:rPr>
            </w:pPr>
          </w:p>
        </w:tc>
      </w:tr>
      <w:tr>
        <w:trPr>
          <w:trHeight w:val="140"/>
        </w:trPr>
        <w:tc>
          <w:tcPr>
            <w:tcW w:w="334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Balance, January 1, 2022</w:t>
            </w:r>
          </w:p>
        </w:tc>
        <w:tc>
          <w:tcPr>
            <w:tcW w:w="280" w:type="dxa"/>
            <w:vAlign w:val="bottom"/>
            <w:tcBorders>
              <w:top w:val="single" w:sz="8" w:color="auto"/>
            </w:tcBorders>
            <w:shd w:val="clear" w:color="auto" w:fill="CCEEFF"/>
          </w:tcPr>
          <w:p>
            <w:pPr>
              <w:ind w:left="60"/>
              <w:spacing w:after="0" w:line="141" w:lineRule="exact"/>
              <w:rPr>
                <w:sz w:val="20"/>
                <w:szCs w:val="20"/>
                <w:color w:val="auto"/>
              </w:rPr>
            </w:pPr>
            <w:r>
              <w:rPr>
                <w:rFonts w:ascii="Times New Roman" w:cs="Times New Roman" w:eastAsia="Times New Roman" w:hAnsi="Times New Roman"/>
                <w:sz w:val="14"/>
                <w:szCs w:val="14"/>
                <w:color w:val="auto"/>
                <w:w w:val="95"/>
              </w:rPr>
              <w:t>128</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w w:val="85"/>
              </w:rPr>
              <w:t>128</w:t>
            </w:r>
          </w:p>
        </w:tc>
        <w:tc>
          <w:tcPr>
            <w:tcW w:w="1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8</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shd w:val="clear" w:color="auto" w:fill="CCEEFF"/>
          </w:tcPr>
          <w:p>
            <w:pPr>
              <w:ind w:left="60"/>
              <w:spacing w:after="0" w:line="141"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right w:val="single" w:sz="8" w:color="auto"/>
            </w:tcBorders>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128</w:t>
            </w:r>
          </w:p>
        </w:tc>
        <w:tc>
          <w:tcPr>
            <w:tcW w:w="2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ind w:left="40"/>
              <w:spacing w:after="0" w:line="141" w:lineRule="exact"/>
              <w:rPr>
                <w:sz w:val="20"/>
                <w:szCs w:val="20"/>
                <w:color w:val="auto"/>
              </w:rPr>
            </w:pPr>
            <w:r>
              <w:rPr>
                <w:rFonts w:ascii="Times New Roman" w:cs="Times New Roman" w:eastAsia="Times New Roman" w:hAnsi="Times New Roman"/>
                <w:sz w:val="14"/>
                <w:szCs w:val="14"/>
                <w:color w:val="auto"/>
                <w:w w:val="98"/>
              </w:rPr>
              <w:t>16,723</w:t>
            </w:r>
          </w:p>
        </w:tc>
        <w:tc>
          <w:tcPr>
            <w:tcW w:w="1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93"/>
              </w:rPr>
              <w:t>$ 16,285</w:t>
            </w:r>
          </w:p>
        </w:tc>
        <w:tc>
          <w:tcPr>
            <w:tcW w:w="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ind w:left="80"/>
              <w:spacing w:after="0" w:line="141" w:lineRule="exact"/>
              <w:rPr>
                <w:sz w:val="20"/>
                <w:szCs w:val="20"/>
                <w:color w:val="auto"/>
              </w:rPr>
            </w:pPr>
            <w:r>
              <w:rPr>
                <w:rFonts w:ascii="Times New Roman" w:cs="Times New Roman" w:eastAsia="Times New Roman" w:hAnsi="Times New Roman"/>
                <w:sz w:val="14"/>
                <w:szCs w:val="14"/>
                <w:color w:val="auto"/>
                <w:w w:val="85"/>
              </w:rPr>
              <w:t>717</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9</w:t>
            </w:r>
          </w:p>
        </w:tc>
        <w:tc>
          <w:tcPr>
            <w:tcW w:w="1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44</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ind w:left="400"/>
              <w:spacing w:after="0" w:line="141" w:lineRule="exact"/>
              <w:rPr>
                <w:sz w:val="20"/>
                <w:szCs w:val="20"/>
                <w:color w:val="auto"/>
              </w:rPr>
            </w:pPr>
            <w:r>
              <w:rPr>
                <w:rFonts w:ascii="Times New Roman" w:cs="Times New Roman" w:eastAsia="Times New Roman" w:hAnsi="Times New Roman"/>
                <w:sz w:val="14"/>
                <w:szCs w:val="14"/>
                <w:color w:val="auto"/>
                <w:w w:val="76"/>
              </w:rPr>
              <w:t>(34)</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93"/>
              </w:rPr>
              <w:t>$ 16,262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3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Adoption of new accounting standard (Topic 326)</w:t>
            </w: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34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right w:val="single" w:sz="8" w:color="auto"/>
            </w:tcBorders>
          </w:tcPr>
          <w:p>
            <w:pPr>
              <w:ind w:left="2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2"/>
                <w:szCs w:val="12"/>
                <w:color w:val="auto"/>
              </w:rPr>
            </w:pPr>
          </w:p>
        </w:tc>
        <w:tc>
          <w:tcPr>
            <w:tcW w:w="580" w:type="dxa"/>
            <w:vAlign w:val="bottom"/>
            <w:gridSpan w:val="2"/>
          </w:tcPr>
          <w:p>
            <w:pPr>
              <w:ind w:lef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(10)</w:t>
            </w:r>
          </w:p>
        </w:tc>
        <w:tc>
          <w:tcPr>
            <w:tcW w:w="48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36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46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42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720" w:type="dxa"/>
            <w:vAlign w:val="bottom"/>
            <w:gridSpan w:val="2"/>
          </w:tcPr>
          <w:p>
            <w:pPr>
              <w:ind w:left="3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7"/>
        </w:trPr>
        <w:tc>
          <w:tcPr>
            <w:tcW w:w="33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Net loss</w:t>
            </w:r>
          </w:p>
        </w:tc>
        <w:tc>
          <w:tcPr>
            <w:tcW w:w="280" w:type="dxa"/>
            <w:vAlign w:val="bottom"/>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3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(25)</w:t>
            </w:r>
          </w:p>
        </w:tc>
        <w:tc>
          <w:tcPr>
            <w:tcW w:w="48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46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7"/>
        </w:trPr>
        <w:tc>
          <w:tcPr>
            <w:tcW w:w="33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Other comprehensive income</w:t>
            </w: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34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right w:val="single" w:sz="8" w:color="auto"/>
            </w:tcBorders>
          </w:tcPr>
          <w:p>
            <w:pPr>
              <w:ind w:left="2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2"/>
                <w:szCs w:val="12"/>
                <w:color w:val="auto"/>
              </w:rPr>
            </w:pPr>
          </w:p>
        </w:tc>
        <w:tc>
          <w:tcPr>
            <w:tcW w:w="580" w:type="dxa"/>
            <w:vAlign w:val="bottom"/>
            <w:gridSpan w:val="2"/>
          </w:tcPr>
          <w:p>
            <w:pPr>
              <w:ind w:lef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8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36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46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42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600" w:type="dxa"/>
            <w:vAlign w:val="bottom"/>
          </w:tcPr>
          <w:p>
            <w:pPr>
              <w:ind w:left="380"/>
              <w:spacing w:after="0" w:line="147" w:lineRule="exact"/>
              <w:rPr>
                <w:sz w:val="20"/>
                <w:szCs w:val="20"/>
                <w:color w:val="auto"/>
              </w:rPr>
            </w:pPr>
            <w:r>
              <w:rPr>
                <w:rFonts w:ascii="Times New Roman" w:cs="Times New Roman" w:eastAsia="Times New Roman" w:hAnsi="Times New Roman"/>
                <w:sz w:val="14"/>
                <w:szCs w:val="14"/>
                <w:color w:val="auto"/>
                <w:w w:val="95"/>
              </w:rPr>
              <w:t>296</w:t>
            </w:r>
          </w:p>
        </w:tc>
        <w:tc>
          <w:tcPr>
            <w:tcW w:w="120" w:type="dxa"/>
            <w:vAlign w:val="bottom"/>
          </w:tcPr>
          <w:p>
            <w:pPr>
              <w:spacing w:after="0"/>
              <w:rPr>
                <w:sz w:val="12"/>
                <w:szCs w:val="12"/>
                <w:color w:val="auto"/>
              </w:rPr>
            </w:pPr>
          </w:p>
        </w:tc>
        <w:tc>
          <w:tcPr>
            <w:tcW w:w="640" w:type="dxa"/>
            <w:vAlign w:val="bottom"/>
            <w:gridSpan w:val="3"/>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296</w:t>
            </w:r>
          </w:p>
        </w:tc>
        <w:tc>
          <w:tcPr>
            <w:tcW w:w="0" w:type="dxa"/>
            <w:vAlign w:val="bottom"/>
          </w:tcPr>
          <w:p>
            <w:pPr>
              <w:spacing w:after="0"/>
              <w:rPr>
                <w:sz w:val="1"/>
                <w:szCs w:val="1"/>
                <w:color w:val="auto"/>
              </w:rPr>
            </w:pPr>
          </w:p>
        </w:tc>
      </w:tr>
      <w:tr>
        <w:trPr>
          <w:trHeight w:val="147"/>
        </w:trPr>
        <w:tc>
          <w:tcPr>
            <w:tcW w:w="33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Capital contribution</w:t>
            </w:r>
          </w:p>
        </w:tc>
        <w:tc>
          <w:tcPr>
            <w:tcW w:w="280" w:type="dxa"/>
            <w:vAlign w:val="bottom"/>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3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85</w:t>
            </w: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46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47"/>
        </w:trPr>
        <w:tc>
          <w:tcPr>
            <w:tcW w:w="33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Compensation expense</w:t>
            </w: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34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right w:val="single" w:sz="8" w:color="auto"/>
            </w:tcBorders>
          </w:tcPr>
          <w:p>
            <w:pPr>
              <w:ind w:left="2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2"/>
                <w:szCs w:val="12"/>
                <w:color w:val="auto"/>
              </w:rPr>
            </w:pPr>
          </w:p>
        </w:tc>
        <w:tc>
          <w:tcPr>
            <w:tcW w:w="580" w:type="dxa"/>
            <w:vAlign w:val="bottom"/>
            <w:gridSpan w:val="2"/>
          </w:tcPr>
          <w:p>
            <w:pPr>
              <w:ind w:lef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w:t>
            </w:r>
          </w:p>
        </w:tc>
        <w:tc>
          <w:tcPr>
            <w:tcW w:w="180" w:type="dxa"/>
            <w:vAlign w:val="bottom"/>
          </w:tcPr>
          <w:p>
            <w:pPr>
              <w:spacing w:after="0"/>
              <w:rPr>
                <w:sz w:val="12"/>
                <w:szCs w:val="12"/>
                <w:color w:val="auto"/>
              </w:rPr>
            </w:pPr>
          </w:p>
        </w:tc>
        <w:tc>
          <w:tcPr>
            <w:tcW w:w="480" w:type="dxa"/>
            <w:vAlign w:val="bottom"/>
            <w:gridSpan w:val="2"/>
          </w:tcPr>
          <w:p>
            <w:pPr>
              <w:ind w:left="100"/>
              <w:spacing w:after="0" w:line="147" w:lineRule="exact"/>
              <w:rPr>
                <w:sz w:val="20"/>
                <w:szCs w:val="20"/>
                <w:color w:val="auto"/>
              </w:rPr>
            </w:pPr>
            <w:r>
              <w:rPr>
                <w:rFonts w:ascii="Times New Roman" w:cs="Times New Roman" w:eastAsia="Times New Roman" w:hAnsi="Times New Roman"/>
                <w:sz w:val="14"/>
                <w:szCs w:val="14"/>
                <w:color w:val="auto"/>
              </w:rPr>
              <w:t>(37)</w:t>
            </w:r>
          </w:p>
        </w:tc>
        <w:tc>
          <w:tcPr>
            <w:tcW w:w="180" w:type="dxa"/>
            <w:vAlign w:val="bottom"/>
          </w:tcPr>
          <w:p>
            <w:pPr>
              <w:spacing w:after="0"/>
              <w:rPr>
                <w:sz w:val="12"/>
                <w:szCs w:val="12"/>
                <w:color w:val="auto"/>
              </w:rPr>
            </w:pPr>
          </w:p>
        </w:tc>
        <w:tc>
          <w:tcPr>
            <w:tcW w:w="36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45</w:t>
            </w:r>
          </w:p>
        </w:tc>
        <w:tc>
          <w:tcPr>
            <w:tcW w:w="46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spacing w:after="0"/>
              <w:rPr>
                <w:sz w:val="12"/>
                <w:szCs w:val="12"/>
                <w:color w:val="auto"/>
              </w:rPr>
            </w:pPr>
          </w:p>
        </w:tc>
        <w:tc>
          <w:tcPr>
            <w:tcW w:w="42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13</w:t>
            </w:r>
          </w:p>
        </w:tc>
        <w:tc>
          <w:tcPr>
            <w:tcW w:w="160" w:type="dxa"/>
            <w:vAlign w:val="bottom"/>
          </w:tcPr>
          <w:p>
            <w:pPr>
              <w:spacing w:after="0"/>
              <w:rPr>
                <w:sz w:val="12"/>
                <w:szCs w:val="12"/>
                <w:color w:val="auto"/>
              </w:rPr>
            </w:pPr>
          </w:p>
        </w:tc>
        <w:tc>
          <w:tcPr>
            <w:tcW w:w="720" w:type="dxa"/>
            <w:vAlign w:val="bottom"/>
            <w:gridSpan w:val="2"/>
          </w:tcPr>
          <w:p>
            <w:pPr>
              <w:ind w:left="3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24"/>
        </w:trPr>
        <w:tc>
          <w:tcPr>
            <w:tcW w:w="334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Adjustment of puttable common units to redemption</w:t>
            </w:r>
          </w:p>
        </w:tc>
        <w:tc>
          <w:tcPr>
            <w:tcW w:w="2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10</w:t>
            </w:r>
          </w:p>
        </w:tc>
        <w:tc>
          <w:tcPr>
            <w:tcW w:w="3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right w:val="single" w:sz="8" w:color="auto"/>
            </w:tcBorders>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w:t>
            </w:r>
          </w:p>
        </w:tc>
        <w:tc>
          <w:tcPr>
            <w:tcW w:w="4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— </w:t>
            </w:r>
          </w:p>
        </w:tc>
        <w:tc>
          <w:tcPr>
            <w:tcW w:w="4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0"/>
        </w:trPr>
        <w:tc>
          <w:tcPr>
            <w:tcW w:w="3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value</w:t>
            </w:r>
          </w:p>
        </w:tc>
        <w:tc>
          <w:tcPr>
            <w:tcW w:w="2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right w:val="single" w:sz="8" w:color="auto"/>
            </w:tcBorders>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4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34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Adjustment of stock-based compensation to redemption</w:t>
            </w: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w w:val="85"/>
              </w:rPr>
              <w:t>18</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right w:val="single" w:sz="8" w:color="auto"/>
            </w:tcBorders>
            <w:vMerge w:val="restart"/>
          </w:tcPr>
          <w:p>
            <w:pPr>
              <w:ind w:left="320"/>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Pr>
          <w:p>
            <w:pPr>
              <w:spacing w:after="0"/>
              <w:rPr>
                <w:sz w:val="10"/>
                <w:szCs w:val="10"/>
                <w:color w:val="auto"/>
              </w:rPr>
            </w:pPr>
          </w:p>
        </w:tc>
        <w:tc>
          <w:tcPr>
            <w:tcW w:w="5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(18)</w:t>
            </w:r>
          </w:p>
        </w:tc>
        <w:tc>
          <w:tcPr>
            <w:tcW w:w="4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0"/>
                <w:szCs w:val="10"/>
                <w:color w:val="auto"/>
              </w:rPr>
            </w:pP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85"/>
              </w:rPr>
              <w:t>— </w:t>
            </w:r>
          </w:p>
        </w:tc>
        <w:tc>
          <w:tcPr>
            <w:tcW w:w="4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0"/>
                <w:szCs w:val="10"/>
                <w:color w:val="auto"/>
              </w:rPr>
            </w:pPr>
          </w:p>
        </w:tc>
        <w:tc>
          <w:tcPr>
            <w:tcW w:w="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0"/>
                <w:szCs w:val="10"/>
                <w:color w:val="auto"/>
              </w:rPr>
            </w:pPr>
          </w:p>
        </w:tc>
        <w:tc>
          <w:tcPr>
            <w:tcW w:w="7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70"/>
        </w:trPr>
        <w:tc>
          <w:tcPr>
            <w:tcW w:w="3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value</w:t>
            </w:r>
          </w:p>
        </w:tc>
        <w:tc>
          <w:tcPr>
            <w:tcW w:w="2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right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3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Distribution to partners</w:t>
            </w:r>
          </w:p>
        </w:tc>
        <w:tc>
          <w:tcPr>
            <w:tcW w:w="280" w:type="dxa"/>
            <w:vAlign w:val="bottom"/>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3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(23)</w:t>
            </w:r>
          </w:p>
        </w:tc>
        <w:tc>
          <w:tcPr>
            <w:tcW w:w="48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46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54"/>
        </w:trPr>
        <w:tc>
          <w:tcPr>
            <w:tcW w:w="334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Balance, December 31, 2022</w:t>
            </w:r>
          </w:p>
        </w:tc>
        <w:tc>
          <w:tcPr>
            <w:tcW w:w="280" w:type="dxa"/>
            <w:vAlign w:val="bottom"/>
            <w:tcBorders>
              <w:top w:val="single" w:sz="8" w:color="auto"/>
              <w:bottom w:val="single" w:sz="8" w:color="auto"/>
            </w:tcBorders>
          </w:tcPr>
          <w:p>
            <w:pPr>
              <w:ind w:left="60"/>
              <w:spacing w:after="0" w:line="154" w:lineRule="exact"/>
              <w:rPr>
                <w:sz w:val="20"/>
                <w:szCs w:val="20"/>
                <w:color w:val="auto"/>
              </w:rPr>
            </w:pPr>
            <w:r>
              <w:rPr>
                <w:rFonts w:ascii="Times New Roman" w:cs="Times New Roman" w:eastAsia="Times New Roman" w:hAnsi="Times New Roman"/>
                <w:sz w:val="14"/>
                <w:szCs w:val="14"/>
                <w:color w:val="auto"/>
                <w:w w:val="95"/>
              </w:rPr>
              <w:t>128</w:t>
            </w:r>
          </w:p>
        </w:tc>
        <w:tc>
          <w:tcPr>
            <w:tcW w:w="1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ind w:left="20"/>
              <w:spacing w:after="0" w:line="154" w:lineRule="exact"/>
              <w:rPr>
                <w:sz w:val="20"/>
                <w:szCs w:val="20"/>
                <w:color w:val="auto"/>
              </w:rPr>
            </w:pPr>
            <w:r>
              <w:rPr>
                <w:rFonts w:ascii="Times New Roman" w:cs="Times New Roman" w:eastAsia="Times New Roman" w:hAnsi="Times New Roman"/>
                <w:sz w:val="14"/>
                <w:szCs w:val="14"/>
                <w:color w:val="auto"/>
                <w:w w:val="85"/>
              </w:rPr>
              <w:t>138</w:t>
            </w:r>
          </w:p>
        </w:tc>
        <w:tc>
          <w:tcPr>
            <w:tcW w:w="14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tcPr>
          <w:p>
            <w:pPr>
              <w:ind w:left="120"/>
              <w:spacing w:after="0" w:line="154" w:lineRule="exact"/>
              <w:rPr>
                <w:sz w:val="20"/>
                <w:szCs w:val="20"/>
                <w:color w:val="auto"/>
              </w:rPr>
            </w:pPr>
            <w:r>
              <w:rPr>
                <w:rFonts w:ascii="Times New Roman" w:cs="Times New Roman" w:eastAsia="Times New Roman" w:hAnsi="Times New Roman"/>
                <w:sz w:val="14"/>
                <w:szCs w:val="14"/>
                <w:color w:val="auto"/>
                <w:w w:val="85"/>
              </w:rPr>
              <w:t>18</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right w:val="single" w:sz="8" w:color="auto"/>
            </w:tcBorders>
          </w:tcPr>
          <w:p>
            <w:pPr>
              <w:ind w:left="260"/>
              <w:spacing w:after="0" w:line="154" w:lineRule="exact"/>
              <w:rPr>
                <w:sz w:val="20"/>
                <w:szCs w:val="20"/>
                <w:color w:val="auto"/>
              </w:rPr>
            </w:pPr>
            <w:r>
              <w:rPr>
                <w:rFonts w:ascii="Times New Roman" w:cs="Times New Roman" w:eastAsia="Times New Roman" w:hAnsi="Times New Roman"/>
                <w:sz w:val="14"/>
                <w:szCs w:val="14"/>
                <w:color w:val="auto"/>
              </w:rPr>
              <w:t>156</w:t>
            </w:r>
          </w:p>
        </w:tc>
        <w:tc>
          <w:tcPr>
            <w:tcW w:w="240" w:type="dxa"/>
            <w:vAlign w:val="bottom"/>
          </w:tcPr>
          <w:p>
            <w:pPr>
              <w:spacing w:after="0"/>
              <w:rPr>
                <w:sz w:val="13"/>
                <w:szCs w:val="13"/>
                <w:color w:val="auto"/>
              </w:rPr>
            </w:pPr>
          </w:p>
        </w:tc>
        <w:tc>
          <w:tcPr>
            <w:tcW w:w="440" w:type="dxa"/>
            <w:vAlign w:val="bottom"/>
            <w:tcBorders>
              <w:top w:val="single" w:sz="8" w:color="auto"/>
              <w:bottom w:val="single" w:sz="8" w:color="auto"/>
            </w:tcBorders>
          </w:tcPr>
          <w:p>
            <w:pPr>
              <w:ind w:left="40"/>
              <w:spacing w:after="0" w:line="154" w:lineRule="exact"/>
              <w:rPr>
                <w:sz w:val="20"/>
                <w:szCs w:val="20"/>
                <w:color w:val="auto"/>
              </w:rPr>
            </w:pPr>
            <w:r>
              <w:rPr>
                <w:rFonts w:ascii="Times New Roman" w:cs="Times New Roman" w:eastAsia="Times New Roman" w:hAnsi="Times New Roman"/>
                <w:sz w:val="14"/>
                <w:szCs w:val="14"/>
                <w:color w:val="auto"/>
                <w:w w:val="98"/>
              </w:rPr>
              <w:t>16,723</w:t>
            </w:r>
          </w:p>
        </w:tc>
        <w:tc>
          <w:tcPr>
            <w:tcW w:w="14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u w:val="single" w:color="auto"/>
                <w:color w:val="auto"/>
                <w:w w:val="93"/>
              </w:rPr>
              <w:t>$</w:t>
            </w:r>
            <w:r>
              <w:rPr>
                <w:rFonts w:ascii="Times New Roman" w:cs="Times New Roman" w:eastAsia="Times New Roman" w:hAnsi="Times New Roman"/>
                <w:sz w:val="14"/>
                <w:szCs w:val="14"/>
                <w:color w:val="auto"/>
                <w:w w:val="93"/>
              </w:rPr>
              <w:t xml:space="preserve"> 16,290</w:t>
            </w:r>
          </w:p>
        </w:tc>
        <w:tc>
          <w:tcPr>
            <w:tcW w:w="180" w:type="dxa"/>
            <w:vAlign w:val="bottom"/>
          </w:tcPr>
          <w:p>
            <w:pPr>
              <w:spacing w:after="0"/>
              <w:rPr>
                <w:sz w:val="13"/>
                <w:szCs w:val="13"/>
                <w:color w:val="auto"/>
              </w:rPr>
            </w:pPr>
          </w:p>
        </w:tc>
        <w:tc>
          <w:tcPr>
            <w:tcW w:w="280" w:type="dxa"/>
            <w:vAlign w:val="bottom"/>
            <w:tcBorders>
              <w:top w:val="single" w:sz="8" w:color="auto"/>
              <w:bottom w:val="single" w:sz="8" w:color="auto"/>
            </w:tcBorders>
          </w:tcPr>
          <w:p>
            <w:pPr>
              <w:ind w:left="80"/>
              <w:spacing w:after="0" w:line="154" w:lineRule="exact"/>
              <w:rPr>
                <w:sz w:val="20"/>
                <w:szCs w:val="20"/>
                <w:color w:val="auto"/>
              </w:rPr>
            </w:pPr>
            <w:r>
              <w:rPr>
                <w:rFonts w:ascii="Times New Roman" w:cs="Times New Roman" w:eastAsia="Times New Roman" w:hAnsi="Times New Roman"/>
                <w:sz w:val="14"/>
                <w:szCs w:val="14"/>
                <w:color w:val="auto"/>
                <w:w w:val="85"/>
              </w:rPr>
              <w:t>680</w:t>
            </w:r>
          </w:p>
        </w:tc>
        <w:tc>
          <w:tcPr>
            <w:tcW w:w="2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54</w:t>
            </w:r>
          </w:p>
        </w:tc>
        <w:tc>
          <w:tcPr>
            <w:tcW w:w="14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32</w:t>
            </w: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15</w:t>
            </w: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ind w:left="380"/>
              <w:spacing w:after="0" w:line="154" w:lineRule="exact"/>
              <w:rPr>
                <w:sz w:val="20"/>
                <w:szCs w:val="20"/>
                <w:color w:val="auto"/>
              </w:rPr>
            </w:pPr>
            <w:r>
              <w:rPr>
                <w:rFonts w:ascii="Times New Roman" w:cs="Times New Roman" w:eastAsia="Times New Roman" w:hAnsi="Times New Roman"/>
                <w:sz w:val="14"/>
                <w:szCs w:val="14"/>
                <w:color w:val="auto"/>
                <w:w w:val="95"/>
              </w:rPr>
              <w:t>262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u w:val="single" w:color="auto"/>
                <w:color w:val="auto"/>
                <w:w w:val="93"/>
              </w:rPr>
              <w:t>$</w:t>
            </w:r>
            <w:r>
              <w:rPr>
                <w:rFonts w:ascii="Times New Roman" w:cs="Times New Roman" w:eastAsia="Times New Roman" w:hAnsi="Times New Roman"/>
                <w:sz w:val="14"/>
                <w:szCs w:val="14"/>
                <w:color w:val="auto"/>
                <w:w w:val="93"/>
              </w:rPr>
              <w:t xml:space="preserve"> 16,621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080"/>
          </w:cols>
          <w:pgMar w:left="320" w:top="452" w:right="49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4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740"/>
              <w:spacing w:after="0"/>
              <w:rPr>
                <w:sz w:val="20"/>
                <w:szCs w:val="20"/>
                <w:color w:val="auto"/>
              </w:rPr>
            </w:pPr>
            <w:r>
              <w:rPr>
                <w:rFonts w:ascii="Times New Roman" w:cs="Times New Roman" w:eastAsia="Times New Roman" w:hAnsi="Times New Roman"/>
                <w:sz w:val="14"/>
                <w:szCs w:val="14"/>
                <w:color w:val="auto"/>
              </w:rPr>
              <w:t>Year ended</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14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8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5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2024</w:t>
            </w:r>
          </w:p>
        </w:tc>
        <w:tc>
          <w:tcPr>
            <w:tcW w:w="6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2023</w:t>
            </w:r>
          </w:p>
        </w:tc>
        <w:tc>
          <w:tcPr>
            <w:tcW w:w="6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5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6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1,200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8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5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activities:</w:t>
            </w: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977</w:t>
            </w:r>
          </w:p>
        </w:tc>
        <w:tc>
          <w:tcPr>
            <w:tcW w:w="1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951</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Deferred taxes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Credit losses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Loss on disposition of property and equipment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Unrealized foreign exchange (gain) loss, net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Amortization of inventory step-up</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Non cash lease expense</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Other non-cash adjustments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Inventories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(545)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444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Other assets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Other liabilities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 net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(354)</w:t>
            </w: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 proceeds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payments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(1,126)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for asset acquisitions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long-term borrowings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15,932</w:t>
            </w:r>
          </w:p>
        </w:tc>
        <w:tc>
          <w:tcPr>
            <w:tcW w:w="16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 for long-term borrowings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(15,995)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Repayments under lines of credit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lines of credit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 for debt issuance cost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 towards Class B unit repurchases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Distributions to partners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(1,518)</w:t>
            </w: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(1,613)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 and restricted cash</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(1,335)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1,186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beginning of year</w:t>
            </w: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year</w:t>
            </w:r>
          </w:p>
        </w:tc>
        <w:tc>
          <w:tcPr>
            <w:tcW w:w="6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1,585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080"/>
          </w:cols>
          <w:pgMar w:left="320" w:top="451" w:right="49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24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72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620"/>
              <w:spacing w:after="0"/>
              <w:rPr>
                <w:sz w:val="20"/>
                <w:szCs w:val="20"/>
                <w:color w:val="auto"/>
              </w:rPr>
            </w:pPr>
            <w:r>
              <w:rPr>
                <w:rFonts w:ascii="Times New Roman" w:cs="Times New Roman" w:eastAsia="Times New Roman" w:hAnsi="Times New Roman"/>
                <w:sz w:val="14"/>
                <w:szCs w:val="14"/>
                <w:color w:val="auto"/>
                <w:w w:val="99"/>
              </w:rPr>
              <w:t>Year ended</w:t>
            </w: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8"/>
        </w:trPr>
        <w:tc>
          <w:tcPr>
            <w:tcW w:w="7200" w:type="dxa"/>
            <w:vAlign w:val="bottom"/>
          </w:tcPr>
          <w:p>
            <w:pPr>
              <w:spacing w:after="0"/>
              <w:rPr>
                <w:sz w:val="10"/>
                <w:szCs w:val="10"/>
                <w:color w:val="auto"/>
              </w:rPr>
            </w:pPr>
          </w:p>
        </w:tc>
        <w:tc>
          <w:tcPr>
            <w:tcW w:w="1440" w:type="dxa"/>
            <w:vAlign w:val="bottom"/>
            <w:gridSpan w:val="2"/>
          </w:tcPr>
          <w:p>
            <w:pPr>
              <w:jc w:val="right"/>
              <w:ind w:right="640"/>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1420" w:type="dxa"/>
            <w:vAlign w:val="bottom"/>
            <w:gridSpan w:val="2"/>
          </w:tcPr>
          <w:p>
            <w:pPr>
              <w:jc w:val="center"/>
              <w:ind w:right="620"/>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8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60" w:type="dxa"/>
            <w:vAlign w:val="bottom"/>
          </w:tcPr>
          <w:p>
            <w:pPr>
              <w:spacing w:after="0"/>
              <w:rPr>
                <w:sz w:val="10"/>
                <w:szCs w:val="10"/>
                <w:color w:val="auto"/>
              </w:rPr>
            </w:pPr>
          </w:p>
        </w:tc>
      </w:tr>
      <w:tr>
        <w:trPr>
          <w:trHeight w:val="170"/>
        </w:trPr>
        <w:tc>
          <w:tcPr>
            <w:tcW w:w="72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color w:val="auto"/>
              </w:rPr>
              <w:t>2024</w:t>
            </w:r>
          </w:p>
        </w:tc>
        <w:tc>
          <w:tcPr>
            <w:tcW w:w="6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6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color w:val="auto"/>
              </w:rPr>
              <w:t>2022</w:t>
            </w:r>
          </w:p>
        </w:tc>
        <w:tc>
          <w:tcPr>
            <w:tcW w:w="60" w:type="dxa"/>
            <w:vAlign w:val="bottom"/>
            <w:tcBorders>
              <w:bottom w:val="single" w:sz="8" w:color="CCEEFF"/>
            </w:tcBorders>
          </w:tcPr>
          <w:p>
            <w:pPr>
              <w:spacing w:after="0"/>
              <w:rPr>
                <w:sz w:val="14"/>
                <w:szCs w:val="14"/>
                <w:color w:val="auto"/>
              </w:rPr>
            </w:pPr>
          </w:p>
        </w:tc>
      </w:tr>
      <w:tr>
        <w:trPr>
          <w:trHeight w:val="194"/>
        </w:trPr>
        <w:tc>
          <w:tcPr>
            <w:tcW w:w="72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8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4"/>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payments for interest on borrowings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6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w:t>
            </w:r>
          </w:p>
        </w:tc>
      </w:tr>
      <w:tr>
        <w:trPr>
          <w:trHeight w:val="214"/>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received from interest rate hedging activities</w:t>
            </w: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170</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170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shd w:val="clear" w:color="auto" w:fill="CCEEFF"/>
          </w:tcPr>
          <w:p>
            <w:pPr>
              <w:spacing w:after="0"/>
              <w:rPr>
                <w:sz w:val="18"/>
                <w:szCs w:val="18"/>
                <w:color w:val="auto"/>
              </w:rPr>
            </w:pPr>
          </w:p>
        </w:tc>
      </w:tr>
      <w:tr>
        <w:trPr>
          <w:trHeight w:val="214"/>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payments for income taxes, net</w:t>
            </w: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101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18"/>
                <w:szCs w:val="18"/>
                <w:color w:val="auto"/>
              </w:rPr>
            </w:pPr>
          </w:p>
        </w:tc>
      </w:tr>
      <w:tr>
        <w:trPr>
          <w:trHeight w:val="214"/>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cash flows paid for operating leases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shd w:val="clear" w:color="auto" w:fill="CCEEFF"/>
          </w:tcPr>
          <w:p>
            <w:pPr>
              <w:spacing w:after="0"/>
              <w:rPr>
                <w:sz w:val="18"/>
                <w:szCs w:val="18"/>
                <w:color w:val="auto"/>
              </w:rPr>
            </w:pPr>
          </w:p>
        </w:tc>
      </w:tr>
      <w:tr>
        <w:trPr>
          <w:trHeight w:val="214"/>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operating lease assets obtained in exchange for lease obligations</w:t>
            </w: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143</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145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18"/>
                <w:szCs w:val="18"/>
                <w:color w:val="auto"/>
              </w:rPr>
            </w:pPr>
          </w:p>
        </w:tc>
      </w:tr>
      <w:tr>
        <w:trPr>
          <w:trHeight w:val="214"/>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capital contribution</w:t>
            </w:r>
          </w:p>
        </w:tc>
        <w:tc>
          <w:tcPr>
            <w:tcW w:w="14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shd w:val="clear" w:color="auto" w:fill="CCEEFF"/>
          </w:tcPr>
          <w:p>
            <w:pPr>
              <w:spacing w:after="0"/>
              <w:rPr>
                <w:sz w:val="18"/>
                <w:szCs w:val="18"/>
                <w:color w:val="auto"/>
              </w:rPr>
            </w:pPr>
          </w:p>
        </w:tc>
      </w:tr>
    </w:tbl>
    <w:p>
      <w:pPr>
        <w:spacing w:after="0" w:line="196" w:lineRule="exact"/>
        <w:rPr>
          <w:sz w:val="20"/>
          <w:szCs w:val="20"/>
          <w:color w:val="auto"/>
        </w:rPr>
      </w:pPr>
    </w:p>
    <w:p>
      <w:pPr>
        <w:ind w:left="160" w:right="280"/>
        <w:spacing w:after="0" w:line="278" w:lineRule="auto"/>
        <w:rPr>
          <w:sz w:val="20"/>
          <w:szCs w:val="20"/>
          <w:color w:val="auto"/>
        </w:rPr>
      </w:pPr>
      <w:r>
        <w:rPr>
          <w:rFonts w:ascii="Times New Roman" w:cs="Times New Roman" w:eastAsia="Times New Roman" w:hAnsi="Times New Roman"/>
          <w:sz w:val="18"/>
          <w:szCs w:val="18"/>
          <w:color w:val="auto"/>
        </w:rPr>
        <w:t>The following table provides reconciliation of cash, cash equivalent and restricted cash shown above to the amounts reported within the consolidated balance sheets as of December 31, 2024 and December 31, 2023:</w:t>
      </w:r>
    </w:p>
    <w:p>
      <w:pPr>
        <w:spacing w:after="0" w:line="185"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Year ended</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500" w:type="dxa"/>
            <w:vAlign w:val="bottom"/>
          </w:tcPr>
          <w:p>
            <w:pPr>
              <w:spacing w:after="0"/>
              <w:rPr>
                <w:sz w:val="10"/>
                <w:szCs w:val="10"/>
                <w:color w:val="auto"/>
              </w:rPr>
            </w:pPr>
          </w:p>
        </w:tc>
        <w:tc>
          <w:tcPr>
            <w:tcW w:w="8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800" w:type="dxa"/>
            <w:vAlign w:val="bottom"/>
          </w:tcPr>
          <w:p>
            <w:pPr>
              <w:spacing w:after="0"/>
              <w:rPr>
                <w:sz w:val="10"/>
                <w:szCs w:val="10"/>
                <w:color w:val="auto"/>
              </w:rPr>
            </w:pPr>
          </w:p>
        </w:tc>
        <w:tc>
          <w:tcPr>
            <w:tcW w:w="8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5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2024</w:t>
            </w:r>
          </w:p>
        </w:tc>
        <w:tc>
          <w:tcPr>
            <w:tcW w:w="6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2023</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080"/>
          </w:cols>
          <w:pgMar w:left="320" w:top="452" w:right="49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 — NATURE OF BUSINESS AND SIGNIFICANT ACCOUNTING POLICIES</w:t>
      </w:r>
    </w:p>
    <w:p>
      <w:pPr>
        <w:spacing w:after="0" w:line="118" w:lineRule="exact"/>
        <w:rPr>
          <w:sz w:val="20"/>
          <w:szCs w:val="20"/>
          <w:color w:val="auto"/>
        </w:rPr>
      </w:pPr>
    </w:p>
    <w:p>
      <w:pPr>
        <w:ind w:left="160" w:right="80"/>
        <w:spacing w:after="0" w:line="255" w:lineRule="auto"/>
        <w:rPr>
          <w:sz w:val="20"/>
          <w:szCs w:val="20"/>
          <w:color w:val="auto"/>
        </w:rPr>
      </w:pPr>
      <w:r>
        <w:rPr>
          <w:rFonts w:ascii="Times New Roman" w:cs="Times New Roman" w:eastAsia="Times New Roman" w:hAnsi="Times New Roman"/>
          <w:sz w:val="18"/>
          <w:szCs w:val="18"/>
          <w:u w:val="single" w:color="auto"/>
          <w:color w:val="auto"/>
        </w:rPr>
        <w:t>Nature of Business</w:t>
      </w:r>
      <w:r>
        <w:rPr>
          <w:rFonts w:ascii="Times New Roman" w:cs="Times New Roman" w:eastAsia="Times New Roman" w:hAnsi="Times New Roman"/>
          <w:sz w:val="18"/>
          <w:szCs w:val="18"/>
          <w:color w:val="auto"/>
        </w:rPr>
        <w:t>: Mozart Holdings, LP (“Mozart Holdings”), the indirect parent of Medline Industries, LP (formally known as Medline Industries, Inc.) (“Medline”), and its subsidiaries (together, the “Company”) are a medical-surgical products and supply chain company, serving healthcare providers across the continuum of care. Its customers are primarily composed of hospitals, nursing homes and other health care providers located in the United States of America, Canada, Europe, Asia-Pacific (which includes Southeast Asia, Japan and Australia), Latin America (which includes Mexico), the Middle East and Africa.</w:t>
      </w:r>
    </w:p>
    <w:p>
      <w:pPr>
        <w:spacing w:after="0" w:line="184" w:lineRule="exact"/>
        <w:rPr>
          <w:sz w:val="20"/>
          <w:szCs w:val="20"/>
          <w:color w:val="auto"/>
        </w:rPr>
      </w:pPr>
    </w:p>
    <w:p>
      <w:pPr>
        <w:ind w:left="160" w:right="120"/>
        <w:spacing w:after="0" w:line="263" w:lineRule="auto"/>
        <w:rPr>
          <w:sz w:val="20"/>
          <w:szCs w:val="20"/>
          <w:color w:val="auto"/>
        </w:rPr>
      </w:pPr>
      <w:r>
        <w:rPr>
          <w:rFonts w:ascii="Times New Roman" w:cs="Times New Roman" w:eastAsia="Times New Roman" w:hAnsi="Times New Roman"/>
          <w:sz w:val="18"/>
          <w:szCs w:val="18"/>
          <w:color w:val="auto"/>
        </w:rPr>
        <w:t>On June 5, 2021, the owners of Medline agreed to sell a majority ownership in the Company to a private equity consortium led by Blackstone Inc., The Carlyle Group Inc. and Hellman &amp; Friedman LLC (the private equity consortium described herein is referred to as the “Sponsors” and the transaction described herein is referred to as the “Transaction” or the “Acquisition”).</w:t>
      </w:r>
    </w:p>
    <w:p>
      <w:pPr>
        <w:spacing w:after="0" w:line="175" w:lineRule="exact"/>
        <w:rPr>
          <w:sz w:val="20"/>
          <w:szCs w:val="20"/>
          <w:color w:val="auto"/>
        </w:rPr>
      </w:pPr>
    </w:p>
    <w:p>
      <w:pPr>
        <w:ind w:left="160" w:right="340"/>
        <w:spacing w:after="0" w:line="263" w:lineRule="auto"/>
        <w:rPr>
          <w:sz w:val="20"/>
          <w:szCs w:val="20"/>
          <w:color w:val="auto"/>
        </w:rPr>
      </w:pPr>
      <w:r>
        <w:rPr>
          <w:rFonts w:ascii="Times New Roman" w:cs="Times New Roman" w:eastAsia="Times New Roman" w:hAnsi="Times New Roman"/>
          <w:sz w:val="18"/>
          <w:szCs w:val="18"/>
          <w:color w:val="auto"/>
        </w:rPr>
        <w:t>In December 2024, the Company changed the name of Mozart Holdings, LP to Medline Holdings, LP (“Medline Holdings”). The Company will not distinguish between the prior and current name of Medline Holdings and will refer to the current name of Medline Holdings throughout these consolidated financial statements.</w:t>
      </w:r>
    </w:p>
    <w:p>
      <w:pPr>
        <w:spacing w:after="0" w:line="175" w:lineRule="exact"/>
        <w:rPr>
          <w:sz w:val="20"/>
          <w:szCs w:val="20"/>
          <w:color w:val="auto"/>
        </w:rPr>
      </w:pPr>
    </w:p>
    <w:p>
      <w:pPr>
        <w:ind w:left="160" w:right="380"/>
        <w:spacing w:after="0" w:line="278" w:lineRule="auto"/>
        <w:rPr>
          <w:sz w:val="20"/>
          <w:szCs w:val="20"/>
          <w:color w:val="auto"/>
        </w:rPr>
      </w:pPr>
      <w:r>
        <w:rPr>
          <w:rFonts w:ascii="Times New Roman" w:cs="Times New Roman" w:eastAsia="Times New Roman" w:hAnsi="Times New Roman"/>
          <w:sz w:val="18"/>
          <w:szCs w:val="18"/>
          <w:u w:val="single" w:color="auto"/>
          <w:color w:val="auto"/>
        </w:rPr>
        <w:t>Principles of Consolidation</w:t>
      </w:r>
      <w:r>
        <w:rPr>
          <w:rFonts w:ascii="Times New Roman" w:cs="Times New Roman" w:eastAsia="Times New Roman" w:hAnsi="Times New Roman"/>
          <w:sz w:val="18"/>
          <w:szCs w:val="18"/>
          <w:color w:val="auto"/>
        </w:rPr>
        <w:t>: The consolidated financial statements include the accounts of Medline Holdings and its wholly owned subsidiaries. All intercompany transactions and balances have been eliminated in consolidation.</w:t>
      </w:r>
    </w:p>
    <w:p>
      <w:pPr>
        <w:spacing w:after="0" w:line="162" w:lineRule="exact"/>
        <w:rPr>
          <w:sz w:val="20"/>
          <w:szCs w:val="20"/>
          <w:color w:val="auto"/>
        </w:rPr>
      </w:pPr>
    </w:p>
    <w:p>
      <w:pPr>
        <w:jc w:val="both"/>
        <w:ind w:left="160" w:right="100"/>
        <w:spacing w:after="0" w:line="258" w:lineRule="auto"/>
        <w:rPr>
          <w:sz w:val="20"/>
          <w:szCs w:val="20"/>
          <w:color w:val="auto"/>
        </w:rPr>
      </w:pPr>
      <w:r>
        <w:rPr>
          <w:rFonts w:ascii="Times New Roman" w:cs="Times New Roman" w:eastAsia="Times New Roman" w:hAnsi="Times New Roman"/>
          <w:sz w:val="18"/>
          <w:szCs w:val="18"/>
          <w:u w:val="single" w:color="auto"/>
          <w:color w:val="auto"/>
        </w:rPr>
        <w:t>Basis of Presentation</w:t>
      </w:r>
      <w:r>
        <w:rPr>
          <w:rFonts w:ascii="Times New Roman" w:cs="Times New Roman" w:eastAsia="Times New Roman" w:hAnsi="Times New Roman"/>
          <w:sz w:val="18"/>
          <w:szCs w:val="18"/>
          <w:color w:val="auto"/>
        </w:rPr>
        <w:t>: The consolidated financial statements and accompanying notes are prepared in accordance with United States (“U.S.”) generally accepted accounting principles (“GAAP”). The results of businesses acquired or disposed of are included in the consolidated financial statements from the date of the acquisition or up to the date of disposal, respectively. All adjustments, in the opinion of management, necessary to a fair statement of the results for the annual periods presented have been made.</w:t>
      </w:r>
    </w:p>
    <w:p>
      <w:pPr>
        <w:spacing w:after="0" w:line="180" w:lineRule="exact"/>
        <w:rPr>
          <w:sz w:val="20"/>
          <w:szCs w:val="20"/>
          <w:color w:val="auto"/>
        </w:rPr>
      </w:pPr>
    </w:p>
    <w:p>
      <w:pPr>
        <w:ind w:left="160"/>
        <w:spacing w:after="0" w:line="258" w:lineRule="auto"/>
        <w:rPr>
          <w:sz w:val="20"/>
          <w:szCs w:val="20"/>
          <w:color w:val="auto"/>
        </w:rPr>
      </w:pPr>
      <w:r>
        <w:rPr>
          <w:rFonts w:ascii="Times New Roman" w:cs="Times New Roman" w:eastAsia="Times New Roman" w:hAnsi="Times New Roman"/>
          <w:sz w:val="18"/>
          <w:szCs w:val="18"/>
          <w:color w:val="auto"/>
        </w:rPr>
        <w:t>The Company reports its financial results in two reportable segments: Medline Brand and Supply Chain Solutions. The Medline Brand segment procures and manufactures products from three product categories — Surgical Solutions, Front Line Care, and Laboratory &amp; Diagnostics. The Supply Chain Solutions segment distributes a variety of third-party products from national brands and also provides tailored logistics and supply chain optimization services to domestic and international consumers. See “Note 18 — Segment Information” for additional details.</w:t>
      </w:r>
    </w:p>
    <w:p>
      <w:pPr>
        <w:spacing w:after="0" w:line="180" w:lineRule="exact"/>
        <w:rPr>
          <w:sz w:val="20"/>
          <w:szCs w:val="20"/>
          <w:color w:val="auto"/>
        </w:rPr>
      </w:pPr>
    </w:p>
    <w:p>
      <w:pPr>
        <w:ind w:left="160" w:right="120"/>
        <w:spacing w:after="0" w:line="278" w:lineRule="auto"/>
        <w:rPr>
          <w:sz w:val="20"/>
          <w:szCs w:val="20"/>
          <w:color w:val="auto"/>
        </w:rPr>
      </w:pPr>
      <w:r>
        <w:rPr>
          <w:rFonts w:ascii="Times New Roman" w:cs="Times New Roman" w:eastAsia="Times New Roman" w:hAnsi="Times New Roman"/>
          <w:sz w:val="18"/>
          <w:szCs w:val="18"/>
          <w:color w:val="auto"/>
        </w:rPr>
        <w:t>The Company reclassified certain prior period amounts to make them comparable to the current period. The changes relate to presenting operating cash flows for leases gross rather than net with supplemental disclosures</w:t>
      </w:r>
    </w:p>
    <w:p>
      <w:pPr>
        <w:spacing w:after="0" w:line="162" w:lineRule="exact"/>
        <w:rPr>
          <w:sz w:val="20"/>
          <w:szCs w:val="20"/>
          <w:color w:val="auto"/>
        </w:rPr>
      </w:pPr>
    </w:p>
    <w:p>
      <w:pPr>
        <w:ind w:left="160" w:right="340"/>
        <w:spacing w:after="0" w:line="263" w:lineRule="auto"/>
        <w:rPr>
          <w:sz w:val="20"/>
          <w:szCs w:val="20"/>
          <w:color w:val="auto"/>
        </w:rPr>
      </w:pPr>
      <w:r>
        <w:rPr>
          <w:rFonts w:ascii="Times New Roman" w:cs="Times New Roman" w:eastAsia="Times New Roman" w:hAnsi="Times New Roman"/>
          <w:sz w:val="18"/>
          <w:szCs w:val="18"/>
          <w:u w:val="single" w:color="auto"/>
          <w:color w:val="auto"/>
        </w:rPr>
        <w:t>Fiscal Periods</w:t>
      </w:r>
      <w:r>
        <w:rPr>
          <w:rFonts w:ascii="Times New Roman" w:cs="Times New Roman" w:eastAsia="Times New Roman" w:hAnsi="Times New Roman"/>
          <w:sz w:val="18"/>
          <w:szCs w:val="18"/>
          <w:color w:val="auto"/>
        </w:rPr>
        <w:t>: The Company’s fiscal year begins on January 1 and ends on December 31. The fiscal quarters are based on a four-four-five-week calendar with periods ending on the Saturday of the last week in the quarter, with the exception of December 31, which is always the fiscal year-end date.</w:t>
      </w:r>
    </w:p>
    <w:p>
      <w:pPr>
        <w:spacing w:after="0" w:line="175" w:lineRule="exact"/>
        <w:rPr>
          <w:sz w:val="20"/>
          <w:szCs w:val="20"/>
          <w:color w:val="auto"/>
        </w:rPr>
      </w:pPr>
    </w:p>
    <w:p>
      <w:pPr>
        <w:ind w:left="160" w:right="140"/>
        <w:spacing w:after="0" w:line="254" w:lineRule="auto"/>
        <w:rPr>
          <w:sz w:val="20"/>
          <w:szCs w:val="20"/>
          <w:color w:val="auto"/>
        </w:rPr>
      </w:pPr>
      <w:r>
        <w:rPr>
          <w:rFonts w:ascii="Times New Roman" w:cs="Times New Roman" w:eastAsia="Times New Roman" w:hAnsi="Times New Roman"/>
          <w:sz w:val="18"/>
          <w:szCs w:val="18"/>
          <w:u w:val="single" w:color="auto"/>
          <w:color w:val="auto"/>
        </w:rPr>
        <w:t>Use of Estimates</w:t>
      </w:r>
      <w:r>
        <w:rPr>
          <w:rFonts w:ascii="Times New Roman" w:cs="Times New Roman" w:eastAsia="Times New Roman" w:hAnsi="Times New Roman"/>
          <w:sz w:val="18"/>
          <w:szCs w:val="18"/>
          <w:color w:val="auto"/>
        </w:rPr>
        <w:t>: 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Such estimates include, but are not limited to, allowance for credit losses, inventory valuation reserves, fair value of financial instruments, impairment of long-lived assets and goodwill, deferred tax valuations, depreciation and amortization, actuarial assumptions and fair value allocations related to business combinations. Actual results could differ from those estimates.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080"/>
          </w:cols>
          <w:pgMar w:left="320" w:top="452" w:right="49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ind w:left="160" w:right="40"/>
        <w:spacing w:after="0" w:line="251" w:lineRule="auto"/>
        <w:rPr>
          <w:sz w:val="20"/>
          <w:szCs w:val="20"/>
          <w:color w:val="auto"/>
        </w:rPr>
      </w:pPr>
      <w:r>
        <w:rPr>
          <w:rFonts w:ascii="Times New Roman" w:cs="Times New Roman" w:eastAsia="Times New Roman" w:hAnsi="Times New Roman"/>
          <w:sz w:val="18"/>
          <w:szCs w:val="18"/>
          <w:u w:val="single" w:color="auto"/>
          <w:color w:val="auto"/>
        </w:rPr>
        <w:t>Cash and Cash Equivalents</w:t>
      </w:r>
      <w:r>
        <w:rPr>
          <w:rFonts w:ascii="Times New Roman" w:cs="Times New Roman" w:eastAsia="Times New Roman" w:hAnsi="Times New Roman"/>
          <w:sz w:val="18"/>
          <w:szCs w:val="18"/>
          <w:color w:val="auto"/>
        </w:rPr>
        <w:t>: The Company considers all highly liquid financial instruments with an original maturity of 90 days or less to be cash equivalents. Due to the short-term nature of these instruments, the carrying values approximate the fair market value. The Company presents its cash and cash equivalents under the liability extinguishment approach and, as a result, classifies its book overdrafts independent of deposit accounts as current liabilities. Of the cash held on deposit, essentially all of the cash balances were in excess of amounts insured by the Federal Deposit Insurance Corporation or other foreign provided bank insurance. The Company performs periodic evaluations of these institutions for relative credit standing and has not experienced any losses as a result of its cash concentration. The Company had $115 and $222 of cash held in foreign bank accounts as of December 31, 2024 and December 31, 2023, respectively. Restricted cash represents cash balances restricted as to withdrawal or use and are included in other current assets on the consolidated balance sheets. As of December 31, 2024, restricted cash includes $47 held in an escrow account related to settlement for ethylene oxide sterilization (“EtO”) litigation. See “Note 12 — Commitments and Contingencies” for additional information on EtO related claims and litigation.</w:t>
      </w:r>
    </w:p>
    <w:p>
      <w:pPr>
        <w:spacing w:after="0" w:line="189" w:lineRule="exact"/>
        <w:rPr>
          <w:sz w:val="20"/>
          <w:szCs w:val="20"/>
          <w:color w:val="auto"/>
        </w:rPr>
      </w:pPr>
    </w:p>
    <w:p>
      <w:pPr>
        <w:ind w:left="160" w:right="40"/>
        <w:spacing w:after="0" w:line="253" w:lineRule="auto"/>
        <w:rPr>
          <w:sz w:val="20"/>
          <w:szCs w:val="20"/>
          <w:color w:val="auto"/>
        </w:rPr>
      </w:pPr>
      <w:r>
        <w:rPr>
          <w:rFonts w:ascii="Times New Roman" w:cs="Times New Roman" w:eastAsia="Times New Roman" w:hAnsi="Times New Roman"/>
          <w:sz w:val="18"/>
          <w:szCs w:val="18"/>
          <w:u w:val="single" w:color="auto"/>
          <w:color w:val="auto"/>
        </w:rPr>
        <w:t>Equity Method Investments</w:t>
      </w:r>
      <w:r>
        <w:rPr>
          <w:rFonts w:ascii="Times New Roman" w:cs="Times New Roman" w:eastAsia="Times New Roman" w:hAnsi="Times New Roman"/>
          <w:sz w:val="18"/>
          <w:szCs w:val="18"/>
          <w:color w:val="auto"/>
        </w:rPr>
        <w:t>: Investments in business entities in which the Company does not have control, but instead has the ability to exercise significant influence over operating and financial policies, are accounted for using the equity method. The Company records these investments initially at cost and adjusts the carrying amount to reflect its proportional share of the earnings or losses of the investee. The Company evaluates its equity method investments for impairment whenever an event or change in circumstances occurs that could have a significant adverse impact on the carrying value of the investment. If a loss in value has occurred that is deemed to be other-than-temporary, an impairment loss is recorded. The Company records its share of the earnings and losses from the equity method investments in other (expense) income, net in the consolidated statements of comprehensive income.</w:t>
      </w:r>
    </w:p>
    <w:p>
      <w:pPr>
        <w:spacing w:after="0" w:line="184" w:lineRule="exact"/>
        <w:rPr>
          <w:sz w:val="20"/>
          <w:szCs w:val="20"/>
          <w:color w:val="auto"/>
        </w:rPr>
      </w:pPr>
    </w:p>
    <w:p>
      <w:pPr>
        <w:ind w:left="160"/>
        <w:spacing w:after="0" w:line="251" w:lineRule="auto"/>
        <w:rPr>
          <w:sz w:val="20"/>
          <w:szCs w:val="20"/>
          <w:color w:val="auto"/>
        </w:rPr>
      </w:pPr>
      <w:r>
        <w:rPr>
          <w:rFonts w:ascii="Times New Roman" w:cs="Times New Roman" w:eastAsia="Times New Roman" w:hAnsi="Times New Roman"/>
          <w:sz w:val="18"/>
          <w:szCs w:val="18"/>
          <w:u w:val="single" w:color="auto"/>
          <w:color w:val="auto"/>
        </w:rPr>
        <w:t>Inventories</w:t>
      </w:r>
      <w:r>
        <w:rPr>
          <w:rFonts w:ascii="Times New Roman" w:cs="Times New Roman" w:eastAsia="Times New Roman" w:hAnsi="Times New Roman"/>
          <w:sz w:val="18"/>
          <w:szCs w:val="18"/>
          <w:color w:val="auto"/>
        </w:rPr>
        <w:t>: Inventories are stated at the lower of cost or net realizable value. Cost is determined primarily by the last-in, first-out (“LIFO”) method. The LIFO method presumes that the most recent inventory purchases are the first items sold and the inventory cost under LIFO approximates market. A LIFO charge is recognized when the net effect of price increases on products held in inventory exceeds the impact of price declines, including the effect of products that have lost market exclusivity. A LIFO credit is recognized when the net effect of price declines exceeds the impact of price increases on products held in inventory. The Company recognized LIFO charges of $53, $61, and $154 in the years ended December 31, 2024, December 31, 2023, and December 31, 2022, respectively, all within Cost of goods sold in the consolidated statements of comprehensive income. For certain foreign subsidiaries, cost is determined using the first-in, first-out (“FIFO”) method. The LIFO method was used to value approximately 89% and 91% of the Company’s inventories at December 31, 2024 and December 31, 2023, respectively. Estimated provisions are established for slow-moving and obsolete inventory. Rebates received from vendors relating to the purchase or distribution of inventory are considered product discounts and are accounted for as a reduction in the cost of inventory and are recognized when the inventory is sold.</w:t>
      </w:r>
    </w:p>
    <w:p>
      <w:pPr>
        <w:spacing w:after="0" w:line="189" w:lineRule="exact"/>
        <w:rPr>
          <w:sz w:val="20"/>
          <w:szCs w:val="20"/>
          <w:color w:val="auto"/>
        </w:rPr>
      </w:pPr>
    </w:p>
    <w:p>
      <w:pPr>
        <w:ind w:left="160" w:right="60"/>
        <w:spacing w:after="0" w:line="253" w:lineRule="auto"/>
        <w:rPr>
          <w:sz w:val="20"/>
          <w:szCs w:val="20"/>
          <w:color w:val="auto"/>
        </w:rPr>
      </w:pPr>
      <w:r>
        <w:rPr>
          <w:rFonts w:ascii="Times New Roman" w:cs="Times New Roman" w:eastAsia="Times New Roman" w:hAnsi="Times New Roman"/>
          <w:sz w:val="18"/>
          <w:szCs w:val="18"/>
          <w:u w:val="single" w:color="auto"/>
          <w:color w:val="auto"/>
        </w:rPr>
        <w:t>Accounts Receivable, Net of Allowance for Credit Losses</w:t>
      </w:r>
      <w:r>
        <w:rPr>
          <w:rFonts w:ascii="Times New Roman" w:cs="Times New Roman" w:eastAsia="Times New Roman" w:hAnsi="Times New Roman"/>
          <w:sz w:val="18"/>
          <w:szCs w:val="18"/>
          <w:color w:val="auto"/>
        </w:rPr>
        <w:t>: Accounts receivable are carried at amortized cost less an allowance for credit losses. The determination of the allowance for credit losses is discussed in Recently Adopted Accounting Standards: ASU 2016-13. The Company charges interest on overdue receivables and evaluates the collection of this interest. Net interest on overdue receivables was not material as of December 31, 2024, December 31, 2023, and December 31, 2022. Accounts receivable are written off when deemed uncollectible. Recoveries of accounts receivable previously written off are recorded when received. The Company does not reduce customer rebates from accounts receivable as right of set-off does not exist, we classify it separately under Accrued expenses and Other Current Liabilities (for more details please refer to “Note 6 — Accrued expenses and Other Current Liabilities”).</w:t>
      </w:r>
    </w:p>
    <w:p>
      <w:pPr>
        <w:spacing w:after="0" w:line="184" w:lineRule="exact"/>
        <w:rPr>
          <w:sz w:val="20"/>
          <w:szCs w:val="20"/>
          <w:color w:val="auto"/>
        </w:rPr>
      </w:pPr>
    </w:p>
    <w:p>
      <w:pPr>
        <w:ind w:left="160" w:right="580"/>
        <w:spacing w:after="0" w:line="278" w:lineRule="auto"/>
        <w:rPr>
          <w:sz w:val="20"/>
          <w:szCs w:val="20"/>
          <w:color w:val="auto"/>
        </w:rPr>
      </w:pPr>
      <w:r>
        <w:rPr>
          <w:rFonts w:ascii="Times New Roman" w:cs="Times New Roman" w:eastAsia="Times New Roman" w:hAnsi="Times New Roman"/>
          <w:sz w:val="18"/>
          <w:szCs w:val="18"/>
          <w:u w:val="single" w:color="auto"/>
          <w:color w:val="auto"/>
        </w:rPr>
        <w:t>Concentrations of Credit Risk</w:t>
      </w:r>
      <w:r>
        <w:rPr>
          <w:rFonts w:ascii="Times New Roman" w:cs="Times New Roman" w:eastAsia="Times New Roman" w:hAnsi="Times New Roman"/>
          <w:sz w:val="18"/>
          <w:szCs w:val="18"/>
          <w:color w:val="auto"/>
        </w:rPr>
        <w:t>: The Company diversifies the concentration of its cash by maintaining deposits with a number of major banks and investing in money market funds. The Company’s customers are primarily in</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060"/>
          </w:cols>
          <w:pgMar w:left="320" w:top="451" w:right="51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ind w:left="160" w:right="80"/>
        <w:spacing w:after="0" w:line="258" w:lineRule="auto"/>
        <w:rPr>
          <w:sz w:val="20"/>
          <w:szCs w:val="20"/>
          <w:color w:val="auto"/>
        </w:rPr>
      </w:pPr>
      <w:r>
        <w:rPr>
          <w:rFonts w:ascii="Times New Roman" w:cs="Times New Roman" w:eastAsia="Times New Roman" w:hAnsi="Times New Roman"/>
          <w:sz w:val="18"/>
          <w:szCs w:val="18"/>
          <w:color w:val="auto"/>
        </w:rPr>
        <w:t>the healthcare industry. Economic factors may affect the healthcare industry as a whole and result in wide-spread delays in collection of receivables and credit losses. Generally, the Company does not require collateral from its customers. The Company performs regular credit evaluations of our customers’ financial conditions and maintains reserves for expected losses through the established allowance for credit losses. Refer to the “Accounts Receivable” section within this Note for additional information on the accounting treatment of reserves for allowance for credit losses.</w:t>
      </w:r>
    </w:p>
    <w:p>
      <w:pPr>
        <w:spacing w:after="0" w:line="180" w:lineRule="exact"/>
        <w:rPr>
          <w:sz w:val="20"/>
          <w:szCs w:val="20"/>
          <w:color w:val="auto"/>
        </w:rPr>
      </w:pPr>
    </w:p>
    <w:p>
      <w:pPr>
        <w:ind w:left="160" w:right="80"/>
        <w:spacing w:after="0" w:line="278" w:lineRule="auto"/>
        <w:rPr>
          <w:sz w:val="20"/>
          <w:szCs w:val="20"/>
          <w:color w:val="auto"/>
        </w:rPr>
      </w:pPr>
      <w:r>
        <w:rPr>
          <w:rFonts w:ascii="Times New Roman" w:cs="Times New Roman" w:eastAsia="Times New Roman" w:hAnsi="Times New Roman"/>
          <w:sz w:val="18"/>
          <w:szCs w:val="18"/>
          <w:u w:val="single" w:color="auto"/>
          <w:color w:val="auto"/>
        </w:rPr>
        <w:t>Research and Development Expenses:</w:t>
      </w:r>
      <w:r>
        <w:rPr>
          <w:rFonts w:ascii="Times New Roman" w:cs="Times New Roman" w:eastAsia="Times New Roman" w:hAnsi="Times New Roman"/>
          <w:sz w:val="18"/>
          <w:szCs w:val="18"/>
          <w:color w:val="auto"/>
        </w:rPr>
        <w:t xml:space="preserve"> Research and development expenses are charged to earnings as incurred. Research and development costs for the years ended December 31, 2024, December 31, 2023, and December 31, 2022 were $67, $60, and $58, respectively.</w:t>
      </w:r>
    </w:p>
    <w:p>
      <w:pPr>
        <w:spacing w:after="0" w:line="162" w:lineRule="exact"/>
        <w:rPr>
          <w:sz w:val="20"/>
          <w:szCs w:val="20"/>
          <w:color w:val="auto"/>
        </w:rPr>
      </w:pPr>
    </w:p>
    <w:p>
      <w:pPr>
        <w:ind w:left="160" w:right="40"/>
        <w:spacing w:after="0" w:line="253" w:lineRule="auto"/>
        <w:rPr>
          <w:sz w:val="20"/>
          <w:szCs w:val="20"/>
          <w:color w:val="auto"/>
        </w:rPr>
      </w:pPr>
      <w:r>
        <w:rPr>
          <w:rFonts w:ascii="Times New Roman" w:cs="Times New Roman" w:eastAsia="Times New Roman" w:hAnsi="Times New Roman"/>
          <w:sz w:val="18"/>
          <w:szCs w:val="18"/>
          <w:u w:val="single" w:color="auto"/>
          <w:color w:val="auto"/>
        </w:rPr>
        <w:t>Property, Plant, and Equipment</w:t>
      </w:r>
      <w:r>
        <w:rPr>
          <w:rFonts w:ascii="Times New Roman" w:cs="Times New Roman" w:eastAsia="Times New Roman" w:hAnsi="Times New Roman"/>
          <w:sz w:val="18"/>
          <w:szCs w:val="18"/>
          <w:color w:val="auto"/>
        </w:rPr>
        <w:t>: Property, plant, and equipment are stated at cost less accumulated depreciation and amortization. Depreciation and amortization are provided over the estimated useful lives, using straight-line method. Fully depreciated assets are retained in property, plant, and equipment and accumulated depreciation accounts until disposal. Upon sale, retirement, or disposal of property, plant, and equipment, the costs and related accumulated depreciation are removed from the applicable accounts. The resulting gains or losses, if any, between the net asset value and the proceeds from disposal are recognized in the consolidated statements of comprehensive income. The cost of maintenance and repairs is charged to income as incurred; significant renewals and betterment are capitalized. Amortization of leasehold improvements is based on the estimated useful life or the term of the lease, whichever is shorter.</w:t>
      </w:r>
    </w:p>
    <w:p>
      <w:pPr>
        <w:spacing w:after="0" w:line="205" w:lineRule="exact"/>
        <w:rPr>
          <w:sz w:val="20"/>
          <w:szCs w:val="20"/>
          <w:color w:val="auto"/>
        </w:rPr>
      </w:pPr>
    </w:p>
    <w:tbl>
      <w:tblPr>
        <w:tblLayout w:type="fixed"/>
        <w:tblInd w:w="160" w:type="dxa"/>
        <w:tblCellMar>
          <w:top w:w="0" w:type="dxa"/>
          <w:left w:w="0" w:type="dxa"/>
          <w:bottom w:w="0" w:type="dxa"/>
          <w:right w:w="0" w:type="dxa"/>
        </w:tblCellMar>
      </w:tblPr>
      <w:tr>
        <w:trPr>
          <w:trHeight w:val="185"/>
        </w:trPr>
        <w:tc>
          <w:tcPr>
            <w:tcW w:w="5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5140" w:type="dxa"/>
            <w:vAlign w:val="bottom"/>
            <w:gridSpan w:val="2"/>
          </w:tcPr>
          <w:p>
            <w:pPr>
              <w:jc w:val="right"/>
              <w:ind w:right="2240"/>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189"/>
        </w:trPr>
        <w:tc>
          <w:tcPr>
            <w:tcW w:w="20" w:type="dxa"/>
            <w:vAlign w:val="bottom"/>
          </w:tcPr>
          <w:p>
            <w:pPr>
              <w:spacing w:after="0"/>
              <w:rPr>
                <w:sz w:val="16"/>
                <w:szCs w:val="16"/>
                <w:color w:val="auto"/>
              </w:rPr>
            </w:pPr>
          </w:p>
        </w:tc>
        <w:tc>
          <w:tcPr>
            <w:tcW w:w="55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Buildings and Improvements - Owned</w:t>
            </w:r>
          </w:p>
        </w:tc>
        <w:tc>
          <w:tcPr>
            <w:tcW w:w="220" w:type="dxa"/>
            <w:vAlign w:val="bottom"/>
          </w:tcPr>
          <w:p>
            <w:pPr>
              <w:spacing w:after="0"/>
              <w:rPr>
                <w:sz w:val="16"/>
                <w:szCs w:val="16"/>
                <w:color w:val="auto"/>
              </w:rPr>
            </w:pPr>
          </w:p>
        </w:tc>
        <w:tc>
          <w:tcPr>
            <w:tcW w:w="51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15-40 years</w:t>
            </w:r>
          </w:p>
        </w:tc>
        <w:tc>
          <w:tcPr>
            <w:tcW w:w="20" w:type="dxa"/>
            <w:vAlign w:val="bottom"/>
          </w:tcPr>
          <w:p>
            <w:pPr>
              <w:spacing w:after="0"/>
              <w:rPr>
                <w:sz w:val="16"/>
                <w:szCs w:val="16"/>
                <w:color w:val="auto"/>
              </w:rPr>
            </w:pPr>
          </w:p>
        </w:tc>
      </w:tr>
      <w:tr>
        <w:trPr>
          <w:trHeight w:val="214"/>
        </w:trPr>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Building Improvements - Leased</w:t>
            </w:r>
          </w:p>
        </w:tc>
        <w:tc>
          <w:tcPr>
            <w:tcW w:w="5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Shorter of 10 years/Remaining lease term</w:t>
            </w:r>
          </w:p>
        </w:tc>
      </w:tr>
      <w:tr>
        <w:trPr>
          <w:trHeight w:val="214"/>
        </w:trPr>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5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 years</w:t>
            </w:r>
          </w:p>
        </w:tc>
      </w:tr>
      <w:tr>
        <w:trPr>
          <w:trHeight w:val="214"/>
        </w:trPr>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5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3-20 years</w:t>
            </w:r>
          </w:p>
        </w:tc>
      </w:tr>
      <w:tr>
        <w:trPr>
          <w:trHeight w:val="214"/>
        </w:trPr>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5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 years</w:t>
            </w:r>
          </w:p>
        </w:tc>
      </w:tr>
      <w:tr>
        <w:trPr>
          <w:trHeight w:val="214"/>
        </w:trPr>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 years</w:t>
            </w:r>
          </w:p>
        </w:tc>
      </w:tr>
      <w:tr>
        <w:trPr>
          <w:trHeight w:val="233"/>
        </w:trPr>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Auto and Trucks</w:t>
            </w:r>
          </w:p>
        </w:tc>
        <w:tc>
          <w:tcPr>
            <w:tcW w:w="5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 years</w:t>
            </w:r>
          </w:p>
        </w:tc>
      </w:tr>
    </w:tbl>
    <w:p>
      <w:pPr>
        <w:spacing w:after="0" w:line="195" w:lineRule="exact"/>
        <w:rPr>
          <w:sz w:val="20"/>
          <w:szCs w:val="20"/>
          <w:color w:val="auto"/>
        </w:rPr>
      </w:pPr>
    </w:p>
    <w:p>
      <w:pPr>
        <w:ind w:left="160" w:right="40"/>
        <w:spacing w:after="0" w:line="254" w:lineRule="auto"/>
        <w:rPr>
          <w:sz w:val="20"/>
          <w:szCs w:val="20"/>
          <w:color w:val="auto"/>
        </w:rPr>
      </w:pPr>
      <w:r>
        <w:rPr>
          <w:rFonts w:ascii="Times New Roman" w:cs="Times New Roman" w:eastAsia="Times New Roman" w:hAnsi="Times New Roman"/>
          <w:sz w:val="18"/>
          <w:szCs w:val="18"/>
          <w:u w:val="single" w:color="auto"/>
          <w:color w:val="auto"/>
        </w:rPr>
        <w:t>Impairment of Long-Lived Assets</w:t>
      </w:r>
      <w:r>
        <w:rPr>
          <w:rFonts w:ascii="Times New Roman" w:cs="Times New Roman" w:eastAsia="Times New Roman" w:hAnsi="Times New Roman"/>
          <w:sz w:val="18"/>
          <w:szCs w:val="18"/>
          <w:color w:val="auto"/>
        </w:rPr>
        <w:t>: The Company reviews long-lived assets, including property, plant, and equipment, definite-lived intangible assets and right-of-use assets, for impairment whenever events or changes in business circumstances indicate that the carrying amount of an asset or asset group may not be fully recoverable. An impairment loss would be recognized when the estimated undiscounted future cash flow from use of the asset and its eventual disposition is less than the carrying amount of that asset. The amount of the impairment loss recorded is calculated by the excess of the asset’s carrying value over its fair value. Fair value is generally determined using a discounted cash flow analysis if market value is not readily available or attainable. No material impairment was recorded for the years ended December 31, 2024, December 31, 2023, and December 31, 2022.</w:t>
      </w:r>
    </w:p>
    <w:p>
      <w:pPr>
        <w:spacing w:after="0" w:line="184" w:lineRule="exact"/>
        <w:rPr>
          <w:sz w:val="20"/>
          <w:szCs w:val="20"/>
          <w:color w:val="auto"/>
        </w:rPr>
      </w:pPr>
    </w:p>
    <w:p>
      <w:pPr>
        <w:ind w:left="160" w:right="580"/>
        <w:spacing w:after="0" w:line="278" w:lineRule="auto"/>
        <w:rPr>
          <w:sz w:val="20"/>
          <w:szCs w:val="20"/>
          <w:color w:val="auto"/>
        </w:rPr>
      </w:pPr>
      <w:r>
        <w:rPr>
          <w:rFonts w:ascii="Times New Roman" w:cs="Times New Roman" w:eastAsia="Times New Roman" w:hAnsi="Times New Roman"/>
          <w:sz w:val="18"/>
          <w:szCs w:val="18"/>
          <w:u w:val="single" w:color="auto"/>
          <w:color w:val="auto"/>
        </w:rPr>
        <w:t>Goodwill</w:t>
      </w:r>
      <w:r>
        <w:rPr>
          <w:rFonts w:ascii="Times New Roman" w:cs="Times New Roman" w:eastAsia="Times New Roman" w:hAnsi="Times New Roman"/>
          <w:sz w:val="18"/>
          <w:szCs w:val="18"/>
          <w:color w:val="auto"/>
        </w:rPr>
        <w:t>: Goodwill represents the excess of the purchase price over the fair value of the identifiable assets acquired and liabilities assumed for a business combination.</w:t>
      </w:r>
    </w:p>
    <w:p>
      <w:pPr>
        <w:spacing w:after="0" w:line="162" w:lineRule="exact"/>
        <w:rPr>
          <w:sz w:val="20"/>
          <w:szCs w:val="20"/>
          <w:color w:val="auto"/>
        </w:rPr>
      </w:pPr>
    </w:p>
    <w:p>
      <w:pPr>
        <w:ind w:left="160" w:right="20"/>
        <w:spacing w:after="0" w:line="255" w:lineRule="auto"/>
        <w:rPr>
          <w:sz w:val="20"/>
          <w:szCs w:val="20"/>
          <w:color w:val="auto"/>
        </w:rPr>
      </w:pPr>
      <w:r>
        <w:rPr>
          <w:rFonts w:ascii="Times New Roman" w:cs="Times New Roman" w:eastAsia="Times New Roman" w:hAnsi="Times New Roman"/>
          <w:sz w:val="18"/>
          <w:szCs w:val="18"/>
          <w:color w:val="auto"/>
        </w:rPr>
        <w:t>The Company performs its annual goodwill impairment test in October and monitors for interim indicators of impairment on an ongoing basis. Goodwill is tested for impairment at the reporting unit level. When performing the annual goodwill impairment assessment, the Company has the option to first assess qualitative factors to determine whether it is more likely than not that the fair value of a reporting unit is less than its carrying amount, including goodwill. If management concludes that it is more likely than not that the fair value of a reporting unit is less than its carrying amount, the Company conducts a quantitative goodwill impairment test; otherwise, no further analysis is required.</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080"/>
          </w:cols>
          <w:pgMar w:left="320" w:top="451" w:right="49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jc w:val="both"/>
        <w:ind w:left="160" w:right="520"/>
        <w:spacing w:after="0" w:line="263" w:lineRule="auto"/>
        <w:rPr>
          <w:sz w:val="20"/>
          <w:szCs w:val="20"/>
          <w:color w:val="auto"/>
        </w:rPr>
      </w:pPr>
      <w:r>
        <w:rPr>
          <w:rFonts w:ascii="Times New Roman" w:cs="Times New Roman" w:eastAsia="Times New Roman" w:hAnsi="Times New Roman"/>
          <w:sz w:val="18"/>
          <w:szCs w:val="18"/>
          <w:color w:val="auto"/>
        </w:rPr>
        <w:t>The quantitative goodwill impairment test compares the estimated fair value of each reporting unit to its carrying value. If the carrying value of a reporting unit exceeds its estimated fair value, an impairment charge is recognized in an amount equal to that excess, limited to the total goodwill allocated to that reporting unit. If the estimated fair value of a reporting unit exceeds the carrying value, goodwill is not impaired.</w:t>
      </w:r>
    </w:p>
    <w:p>
      <w:pPr>
        <w:spacing w:after="0" w:line="175" w:lineRule="exact"/>
        <w:rPr>
          <w:sz w:val="20"/>
          <w:szCs w:val="20"/>
          <w:color w:val="auto"/>
        </w:rPr>
      </w:pPr>
    </w:p>
    <w:p>
      <w:pPr>
        <w:ind w:left="160" w:right="20"/>
        <w:spacing w:after="0" w:line="258" w:lineRule="auto"/>
        <w:rPr>
          <w:sz w:val="20"/>
          <w:szCs w:val="20"/>
          <w:color w:val="auto"/>
        </w:rPr>
      </w:pP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xml:space="preserve"> The Company enters into operating leases primarily for corporate offices, manufacturing and distribution facilities, vehicles and equipment. The Company determines if an arrangement is a lease at inception by evaluating whether the arrangement conveys the right to use an identifiable asset and whether the Company obtains substantially all of the economic benefits from and has the ability to direct the use of the asset. The Company’s lease agreements generally do not contain any material residual value guarantees or material restrictive covenants.</w:t>
      </w:r>
    </w:p>
    <w:p>
      <w:pPr>
        <w:spacing w:after="0" w:line="180" w:lineRule="exact"/>
        <w:rPr>
          <w:sz w:val="20"/>
          <w:szCs w:val="20"/>
          <w:color w:val="auto"/>
        </w:rPr>
      </w:pPr>
    </w:p>
    <w:p>
      <w:pPr>
        <w:ind w:left="160"/>
        <w:spacing w:after="0" w:line="253" w:lineRule="auto"/>
        <w:rPr>
          <w:sz w:val="20"/>
          <w:szCs w:val="20"/>
          <w:color w:val="auto"/>
        </w:rPr>
      </w:pPr>
      <w:r>
        <w:rPr>
          <w:rFonts w:ascii="Times New Roman" w:cs="Times New Roman" w:eastAsia="Times New Roman" w:hAnsi="Times New Roman"/>
          <w:sz w:val="18"/>
          <w:szCs w:val="18"/>
          <w:color w:val="auto"/>
        </w:rPr>
        <w:t>Operating lease right-of-use assets and corresponding operating lease liabilities are recognized in the Company’s consolidated balance sheets at lease commencement date based on the present value of lease payments over the lease term. Operating lease expense for operating lease assets is recognized on a straight-line basis over the lease term. Some lease arrangements include payments that are adjusted periodically based on actual charges incurred for common area maintenance, utilities, taxes and insurance, or changes in an index or rate referenced in the lease. The fixed portion of these payments is included in the measurement of right-of-use assets and lease liabilities at lease commencement, while the variable portion is recorded as variable lease expense. As most of the leases do not provide an implicit rate, the Company uses incremental borrowing rate based on the information available at the lease commencement date in determining the present value of lease payments.</w:t>
      </w:r>
    </w:p>
    <w:p>
      <w:pPr>
        <w:spacing w:after="0" w:line="184" w:lineRule="exact"/>
        <w:rPr>
          <w:sz w:val="20"/>
          <w:szCs w:val="20"/>
          <w:color w:val="auto"/>
        </w:rPr>
      </w:pPr>
    </w:p>
    <w:p>
      <w:pPr>
        <w:ind w:left="160" w:right="140"/>
        <w:spacing w:after="0" w:line="255" w:lineRule="auto"/>
        <w:rPr>
          <w:sz w:val="20"/>
          <w:szCs w:val="20"/>
          <w:color w:val="auto"/>
        </w:rPr>
      </w:pPr>
      <w:r>
        <w:rPr>
          <w:rFonts w:ascii="Times New Roman" w:cs="Times New Roman" w:eastAsia="Times New Roman" w:hAnsi="Times New Roman"/>
          <w:sz w:val="18"/>
          <w:szCs w:val="18"/>
          <w:color w:val="auto"/>
        </w:rPr>
        <w:t>The Company’s lease agreements contain lease components and non-lease components. The Company elected the practical expedient to combine lease and non-lease components into one single lease component for all asset classes other than certain arrangements with embedded lease assets. For embedded lease assets, the Company accounts for the lease components and non-lease components separately. The Company, from time to time, subleases certain portions of real estate property, resulting in sublease income. The Company does not recognize lease liabilities or right-of-use assets for short-term leases with a term of less than 12 months.</w:t>
      </w:r>
    </w:p>
    <w:p>
      <w:pPr>
        <w:spacing w:after="0" w:line="184" w:lineRule="exact"/>
        <w:rPr>
          <w:sz w:val="20"/>
          <w:szCs w:val="20"/>
          <w:color w:val="auto"/>
        </w:rPr>
      </w:pPr>
    </w:p>
    <w:p>
      <w:pPr>
        <w:ind w:left="160" w:right="80"/>
        <w:spacing w:after="0" w:line="278" w:lineRule="auto"/>
        <w:rPr>
          <w:sz w:val="20"/>
          <w:szCs w:val="20"/>
          <w:color w:val="auto"/>
        </w:rPr>
      </w:pPr>
      <w:r>
        <w:rPr>
          <w:rFonts w:ascii="Times New Roman" w:cs="Times New Roman" w:eastAsia="Times New Roman" w:hAnsi="Times New Roman"/>
          <w:sz w:val="18"/>
          <w:szCs w:val="18"/>
          <w:color w:val="auto"/>
        </w:rPr>
        <w:t>The Company’s leases have remaining lease terms ranging from less than 12 months to approximately 15 years. The lease terms may include options to extend or terminate the lease when it is reasonably certain and there is a significant economic incentive to exercise that option.</w:t>
      </w:r>
    </w:p>
    <w:p>
      <w:pPr>
        <w:spacing w:after="0" w:line="162" w:lineRule="exact"/>
        <w:rPr>
          <w:sz w:val="20"/>
          <w:szCs w:val="20"/>
          <w:color w:val="auto"/>
        </w:rPr>
      </w:pPr>
    </w:p>
    <w:p>
      <w:pPr>
        <w:ind w:left="160" w:right="160"/>
        <w:spacing w:after="0" w:line="255" w:lineRule="auto"/>
        <w:rPr>
          <w:sz w:val="20"/>
          <w:szCs w:val="20"/>
          <w:color w:val="auto"/>
        </w:rPr>
      </w:pPr>
      <w:r>
        <w:rPr>
          <w:rFonts w:ascii="Times New Roman" w:cs="Times New Roman" w:eastAsia="Times New Roman" w:hAnsi="Times New Roman"/>
          <w:sz w:val="18"/>
          <w:szCs w:val="18"/>
          <w:color w:val="auto"/>
        </w:rPr>
        <w:t>As a lessor, the Company enters into operating leases primarily for corporate offices and distribution facilities. The terms of the related contracts, including options to shorten or extend the lease term or to purchase the underlying assets, vary by contract. The contracts generally also include non-lease components such as utilities, maintenance, and other services, for which payments are variable and immaterial to the Company. For all asset classes, the Company elected the practical expedient to account for the lease and non-lease components as a single lease component under Topic 842 Leases.</w:t>
      </w:r>
    </w:p>
    <w:p>
      <w:pPr>
        <w:spacing w:after="0" w:line="1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Refer to “Note 9 — Leases” for additional information on the Company’s leases.</w:t>
      </w:r>
    </w:p>
    <w:p>
      <w:pPr>
        <w:spacing w:after="0" w:line="221" w:lineRule="exact"/>
        <w:rPr>
          <w:sz w:val="20"/>
          <w:szCs w:val="20"/>
          <w:color w:val="auto"/>
        </w:rPr>
      </w:pPr>
    </w:p>
    <w:p>
      <w:pPr>
        <w:ind w:left="160" w:right="280"/>
        <w:spacing w:after="0" w:line="308" w:lineRule="auto"/>
        <w:rPr>
          <w:sz w:val="20"/>
          <w:szCs w:val="20"/>
          <w:color w:val="auto"/>
        </w:rPr>
      </w:pPr>
      <w:r>
        <w:rPr>
          <w:rFonts w:ascii="Times New Roman" w:cs="Times New Roman" w:eastAsia="Times New Roman" w:hAnsi="Times New Roman"/>
          <w:sz w:val="17"/>
          <w:szCs w:val="17"/>
          <w:u w:val="single" w:color="auto"/>
          <w:color w:val="auto"/>
        </w:rPr>
        <w:t>Intangible Assets</w:t>
      </w:r>
      <w:r>
        <w:rPr>
          <w:rFonts w:ascii="Times New Roman" w:cs="Times New Roman" w:eastAsia="Times New Roman" w:hAnsi="Times New Roman"/>
          <w:sz w:val="17"/>
          <w:szCs w:val="17"/>
          <w:color w:val="auto"/>
        </w:rPr>
        <w:t>: Intangible assets are initially measured at fair value and consist of trade names, customer relationships and developed technology from acquisitions by the Company. The definite-lived intangible assets are amortized using the straight-line method over their estimated useful lives.</w:t>
      </w:r>
    </w:p>
    <w:p>
      <w:pPr>
        <w:spacing w:after="0" w:line="140" w:lineRule="exact"/>
        <w:rPr>
          <w:sz w:val="20"/>
          <w:szCs w:val="20"/>
          <w:color w:val="auto"/>
        </w:rPr>
      </w:pPr>
    </w:p>
    <w:p>
      <w:pPr>
        <w:ind w:left="160" w:right="20"/>
        <w:spacing w:after="0" w:line="263" w:lineRule="auto"/>
        <w:rPr>
          <w:sz w:val="20"/>
          <w:szCs w:val="20"/>
          <w:color w:val="auto"/>
        </w:rPr>
      </w:pPr>
      <w:r>
        <w:rPr>
          <w:rFonts w:ascii="Times New Roman" w:cs="Times New Roman" w:eastAsia="Times New Roman" w:hAnsi="Times New Roman"/>
          <w:sz w:val="18"/>
          <w:szCs w:val="18"/>
          <w:color w:val="auto"/>
        </w:rPr>
        <w:t>The Company performs its annual indefinite-lived assets impairment test in October and monitors for interim indicators of impairment on an ongoing basis. The impairment test for indefinite-lived intangibles involves first assessing qualitative factors to determine if it is more likely than not that the fair value of the indefinite-lived intangible asset is less than its carrying amount. To perform the qualitative review, the Company uses estimates</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060"/>
          </w:cols>
          <w:pgMar w:left="320" w:top="451" w:right="51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ind w:left="160"/>
        <w:spacing w:after="0" w:line="254" w:lineRule="auto"/>
        <w:rPr>
          <w:sz w:val="20"/>
          <w:szCs w:val="20"/>
          <w:color w:val="auto"/>
        </w:rPr>
      </w:pPr>
      <w:r>
        <w:rPr>
          <w:rFonts w:ascii="Times New Roman" w:cs="Times New Roman" w:eastAsia="Times New Roman" w:hAnsi="Times New Roman"/>
          <w:sz w:val="18"/>
          <w:szCs w:val="18"/>
          <w:color w:val="auto"/>
        </w:rPr>
        <w:t>and significant judgements and considers the weight of evidence and significance of all identified events and circumstances and most relevant drivers of fair value, both positive and negative, in determining whether it is more likely than not that the fair value of the indefinite-lived intangible asset is less than its carrying amount. If so, then a quantitative test is performed to compare the estimated fair value of the indefinite-lived intangible asset to the respective asset’s carrying amount. If the carrying value of the indefinite-lived intangible exceeds its estimated fair value, an impairment charge is recognized in an amount equal to that excess. If the estimated fair value of the indefinite-lived intangible exceeds the carrying value, the asset is not impaired.</w:t>
      </w:r>
    </w:p>
    <w:p>
      <w:pPr>
        <w:spacing w:after="0" w:line="184" w:lineRule="exact"/>
        <w:rPr>
          <w:sz w:val="20"/>
          <w:szCs w:val="20"/>
          <w:color w:val="auto"/>
        </w:rPr>
      </w:pPr>
    </w:p>
    <w:p>
      <w:pPr>
        <w:ind w:left="160"/>
        <w:spacing w:after="0" w:line="251" w:lineRule="auto"/>
        <w:rPr>
          <w:sz w:val="20"/>
          <w:szCs w:val="20"/>
          <w:color w:val="auto"/>
        </w:rPr>
      </w:pPr>
      <w:r>
        <w:rPr>
          <w:rFonts w:ascii="Times New Roman" w:cs="Times New Roman" w:eastAsia="Times New Roman" w:hAnsi="Times New Roman"/>
          <w:sz w:val="18"/>
          <w:szCs w:val="18"/>
          <w:u w:val="single" w:color="auto"/>
          <w:color w:val="auto"/>
        </w:rPr>
        <w:t>Revenue Recognition</w:t>
      </w:r>
      <w:r>
        <w:rPr>
          <w:rFonts w:ascii="Times New Roman" w:cs="Times New Roman" w:eastAsia="Times New Roman" w:hAnsi="Times New Roman"/>
          <w:sz w:val="18"/>
          <w:szCs w:val="18"/>
          <w:color w:val="auto"/>
        </w:rPr>
        <w:t>: The Company’s revenues are generated principally from the sale of products. The majority of the sales transactions are supported by an underlying agreement or a formal purchase order. Revenue is recognized as performance obligations under the terms of the contract are satisfied, which generally occurs with the transfer of control. The Company transfers control and recognizes revenue when product is shipped to customers or when product arrives at destination, depending on the shipping term; customers have legal title to the product; and the Company has a right to payment for such product. Significant judgement is generally not required to determine the timing of satisfying the performance obligation. Revenue is measured as the amount of consideration the Company expects to receive in exchange for those products. Shipping and handling costs are treated as fulfillment costs and are included in selling, general and administrative expenses. Since the Company typically invoices customers when performance obligations are satisfied, the Company does not have material contract assets or contract liabilities. The Company’s credit terms typically range from net 30 to 60 days from the invoice date and do not contain significant financing components that extend beyond one year of fulfillment of performance obligations. Sales taxes collected from customers and remitted to governmental authorities are excluded from revenues.</w:t>
      </w:r>
    </w:p>
    <w:p>
      <w:pPr>
        <w:spacing w:after="0" w:line="189" w:lineRule="exact"/>
        <w:rPr>
          <w:sz w:val="20"/>
          <w:szCs w:val="20"/>
          <w:color w:val="auto"/>
        </w:rPr>
      </w:pPr>
    </w:p>
    <w:p>
      <w:pPr>
        <w:ind w:left="160" w:right="40"/>
        <w:spacing w:after="0" w:line="258" w:lineRule="auto"/>
        <w:rPr>
          <w:sz w:val="20"/>
          <w:szCs w:val="20"/>
          <w:color w:val="auto"/>
        </w:rPr>
      </w:pPr>
      <w:r>
        <w:rPr>
          <w:rFonts w:ascii="Times New Roman" w:cs="Times New Roman" w:eastAsia="Times New Roman" w:hAnsi="Times New Roman"/>
          <w:sz w:val="18"/>
          <w:szCs w:val="18"/>
          <w:color w:val="auto"/>
        </w:rPr>
        <w:t>The Company generally warrants that its products will conform to pre-established specifications and that its products will be free from material defects for a limited time. The Company limits its warranty to the replacement of defective parts, or a refund or credit of the price of the defective product. The Company does not account for these warranties as separate performance obligations. Warranty claims are not material as a majority of the Company’s products are consumables.</w:t>
      </w:r>
    </w:p>
    <w:p>
      <w:pPr>
        <w:spacing w:after="0" w:line="180" w:lineRule="exact"/>
        <w:rPr>
          <w:sz w:val="20"/>
          <w:szCs w:val="20"/>
          <w:color w:val="auto"/>
        </w:rPr>
      </w:pPr>
    </w:p>
    <w:p>
      <w:pPr>
        <w:ind w:left="160" w:right="40"/>
        <w:spacing w:after="0" w:line="270" w:lineRule="auto"/>
        <w:rPr>
          <w:sz w:val="20"/>
          <w:szCs w:val="20"/>
          <w:color w:val="auto"/>
        </w:rPr>
      </w:pPr>
      <w:r>
        <w:rPr>
          <w:rFonts w:ascii="Times New Roman" w:cs="Times New Roman" w:eastAsia="Times New Roman" w:hAnsi="Times New Roman"/>
          <w:sz w:val="17"/>
          <w:szCs w:val="17"/>
          <w:color w:val="auto"/>
        </w:rPr>
        <w:t>Although products are generally sold at fixed prices, certain customers receive cash discounts, customer rebates, distributor chargebacks, return allowances, scrap allowances, and other rights, which are accounted for as variable consideration and may require significant judgement in determining the amounts by which to reduce revenue. The Company estimates these amounts at the point that revenue is recognized based on the expected value to be provided to the customer and reduces revenue accordingly. The amount of variable consideration recognized as revenue is limited to the amount for which it is probable that a significant reversal in revenue will not occur when the related uncertainty is resolved. The Company’s estimate of variable consideration and ultimate determination of the estimated amounts to include in the transaction price are based upon the contractual terms between the Company and its customers, products subject to a rebate, the lag between the sale and the payment of the rebate, and historical rebate payment trends.</w:t>
      </w:r>
    </w:p>
    <w:p>
      <w:pPr>
        <w:spacing w:after="0" w:line="172" w:lineRule="exact"/>
        <w:rPr>
          <w:sz w:val="20"/>
          <w:szCs w:val="20"/>
          <w:color w:val="auto"/>
        </w:rPr>
      </w:pPr>
    </w:p>
    <w:p>
      <w:pPr>
        <w:ind w:left="160" w:right="80"/>
        <w:spacing w:after="0" w:line="278" w:lineRule="auto"/>
        <w:rPr>
          <w:sz w:val="20"/>
          <w:szCs w:val="20"/>
          <w:color w:val="auto"/>
        </w:rPr>
      </w:pPr>
      <w:r>
        <w:rPr>
          <w:rFonts w:ascii="Times New Roman" w:cs="Times New Roman" w:eastAsia="Times New Roman" w:hAnsi="Times New Roman"/>
          <w:sz w:val="18"/>
          <w:szCs w:val="18"/>
          <w:color w:val="auto"/>
        </w:rPr>
        <w:t>See “Note 18 — Segment Information” for disaggregation of net sales by product line, geography, and sales office as the Company believes that it best depicts how the nature, amount, timing and uncertainty of net sales and cash flows are affected by economic factors.</w:t>
      </w:r>
    </w:p>
    <w:p>
      <w:pPr>
        <w:spacing w:after="0" w:line="162" w:lineRule="exact"/>
        <w:rPr>
          <w:sz w:val="20"/>
          <w:szCs w:val="20"/>
          <w:color w:val="auto"/>
        </w:rPr>
      </w:pPr>
    </w:p>
    <w:p>
      <w:pPr>
        <w:ind w:left="160"/>
        <w:spacing w:after="0" w:line="258" w:lineRule="auto"/>
        <w:rPr>
          <w:sz w:val="20"/>
          <w:szCs w:val="20"/>
          <w:color w:val="auto"/>
        </w:rPr>
      </w:pPr>
      <w:r>
        <w:rPr>
          <w:rFonts w:ascii="Times New Roman" w:cs="Times New Roman" w:eastAsia="Times New Roman" w:hAnsi="Times New Roman"/>
          <w:sz w:val="18"/>
          <w:szCs w:val="18"/>
          <w:u w:val="single" w:color="auto"/>
          <w:color w:val="auto"/>
        </w:rPr>
        <w:t>Cost of Goods Sold:</w:t>
      </w:r>
      <w:r>
        <w:rPr>
          <w:rFonts w:ascii="Times New Roman" w:cs="Times New Roman" w:eastAsia="Times New Roman" w:hAnsi="Times New Roman"/>
          <w:sz w:val="18"/>
          <w:szCs w:val="18"/>
          <w:color w:val="auto"/>
        </w:rPr>
        <w:t xml:space="preserve"> The primary components of cost of goods sold include the cost of the product (net of purchase discounts, supplier rebates), direct and certain indirect labor, overhead cost, including depreciation and freight incurred to transport inventories from a supplier location or in between Company locations. Costs related to purchasing, receiving, inspections, warehousing, and other costs of our distribution network are included in selling, general and administrative (“SG&amp;A”) expenses.</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020"/>
          </w:cols>
          <w:pgMar w:left="320" w:top="451" w:right="55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ind w:left="160" w:right="20"/>
        <w:spacing w:after="0" w:line="278" w:lineRule="auto"/>
        <w:rPr>
          <w:sz w:val="20"/>
          <w:szCs w:val="20"/>
          <w:color w:val="auto"/>
        </w:rPr>
      </w:pPr>
      <w:r>
        <w:rPr>
          <w:rFonts w:ascii="Times New Roman" w:cs="Times New Roman" w:eastAsia="Times New Roman" w:hAnsi="Times New Roman"/>
          <w:sz w:val="18"/>
          <w:szCs w:val="18"/>
          <w:u w:val="single" w:color="auto"/>
          <w:color w:val="auto"/>
        </w:rPr>
        <w:t>Shipping and Handling:</w:t>
      </w:r>
      <w:r>
        <w:rPr>
          <w:rFonts w:ascii="Times New Roman" w:cs="Times New Roman" w:eastAsia="Times New Roman" w:hAnsi="Times New Roman"/>
          <w:sz w:val="18"/>
          <w:szCs w:val="18"/>
          <w:color w:val="auto"/>
        </w:rPr>
        <w:t xml:space="preserve"> Shipping and handling costs are primarily included in SG&amp;A expenses in our consolidated statements of comprehensive income and include all delivery expenses as well as all costs to prepare the product for shipment to the customer.</w:t>
      </w:r>
    </w:p>
    <w:p>
      <w:pPr>
        <w:spacing w:after="0" w:line="162" w:lineRule="exact"/>
        <w:rPr>
          <w:sz w:val="20"/>
          <w:szCs w:val="20"/>
          <w:color w:val="auto"/>
        </w:rPr>
      </w:pPr>
    </w:p>
    <w:p>
      <w:pPr>
        <w:ind w:left="160" w:right="20"/>
        <w:spacing w:after="0" w:line="251" w:lineRule="auto"/>
        <w:rPr>
          <w:sz w:val="20"/>
          <w:szCs w:val="20"/>
          <w:color w:val="auto"/>
        </w:rPr>
      </w:pPr>
      <w:r>
        <w:rPr>
          <w:rFonts w:ascii="Times New Roman" w:cs="Times New Roman" w:eastAsia="Times New Roman" w:hAnsi="Times New Roman"/>
          <w:sz w:val="18"/>
          <w:szCs w:val="18"/>
          <w:u w:val="single" w:color="auto"/>
          <w:color w:val="auto"/>
        </w:rPr>
        <w:t>Stock-based Compensation</w:t>
      </w:r>
      <w:r>
        <w:rPr>
          <w:rFonts w:ascii="Times New Roman" w:cs="Times New Roman" w:eastAsia="Times New Roman" w:hAnsi="Times New Roman"/>
          <w:sz w:val="18"/>
          <w:szCs w:val="18"/>
          <w:color w:val="auto"/>
        </w:rPr>
        <w:t>: The Company measures the cost of employee services received in exchange for an award of equity instruments based on the grant-date fair value of the award. The Company records liability awards at fair value each reporting period, and the change in fair value is reflected as stock-based compensation expense. These costs are recognized in the consolidated statements of comprehensive income over the period during which an employee is required to provide service in exchange for the award. Equity-based compensation awards which ultimately settle in cash are accounted for as liabilities, and awards which are contingently settled in cash or units of the Company are accounted for as mezzanine equity. For the periods that management determined it was probable that the units would become redeemable, the Company had elected to carry the shares at the maximum redemption value, or fair value, in mezzanine equity on the consolidated balance sheets. The mezzanine equity is initially measured based on the intrinsic value as determined on grant date and subsequently updated as of each reporting date, so long as the redemption is concluded to be probable. During the fourth quarter of 2024, management determined it was not probable that the mezzanine equity would become redeemable, and therefore no changes in redemption value were recorded prospectively.</w:t>
      </w:r>
    </w:p>
    <w:p>
      <w:pPr>
        <w:spacing w:after="0" w:line="189" w:lineRule="exact"/>
        <w:rPr>
          <w:sz w:val="20"/>
          <w:szCs w:val="20"/>
          <w:color w:val="auto"/>
        </w:rPr>
      </w:pPr>
    </w:p>
    <w:p>
      <w:pPr>
        <w:jc w:val="both"/>
        <w:ind w:left="160" w:right="120"/>
        <w:spacing w:after="0" w:line="258" w:lineRule="auto"/>
        <w:rPr>
          <w:sz w:val="20"/>
          <w:szCs w:val="20"/>
          <w:color w:val="auto"/>
        </w:rPr>
      </w:pPr>
      <w:r>
        <w:rPr>
          <w:rFonts w:ascii="Times New Roman" w:cs="Times New Roman" w:eastAsia="Times New Roman" w:hAnsi="Times New Roman"/>
          <w:sz w:val="18"/>
          <w:szCs w:val="18"/>
          <w:u w:val="single" w:color="auto"/>
          <w:color w:val="auto"/>
        </w:rPr>
        <w:t>Income Taxes</w:t>
      </w:r>
      <w:r>
        <w:rPr>
          <w:rFonts w:ascii="Times New Roman" w:cs="Times New Roman" w:eastAsia="Times New Roman" w:hAnsi="Times New Roman"/>
          <w:sz w:val="18"/>
          <w:szCs w:val="18"/>
          <w:color w:val="auto"/>
        </w:rPr>
        <w:t>: Medline Holdings, with the consent of its partners, is taxed under sections of the U.S. federal and state income tax laws, which provide that the partners separately account for their pro rata shares of the Company’s items of income, deductions, losses and credits. Income taxes under this election generally relate to certain state income, franchise and minimum taxes where the Company is required to pay taxes at an entity level under state statutes.</w:t>
      </w:r>
    </w:p>
    <w:p>
      <w:pPr>
        <w:spacing w:after="0" w:line="180" w:lineRule="exact"/>
        <w:rPr>
          <w:sz w:val="20"/>
          <w:szCs w:val="20"/>
          <w:color w:val="auto"/>
        </w:rPr>
      </w:pPr>
    </w:p>
    <w:p>
      <w:pPr>
        <w:ind w:left="160"/>
        <w:spacing w:after="0" w:line="253" w:lineRule="auto"/>
        <w:rPr>
          <w:sz w:val="20"/>
          <w:szCs w:val="20"/>
          <w:color w:val="auto"/>
        </w:rPr>
      </w:pPr>
      <w:r>
        <w:rPr>
          <w:rFonts w:ascii="Times New Roman" w:cs="Times New Roman" w:eastAsia="Times New Roman" w:hAnsi="Times New Roman"/>
          <w:sz w:val="18"/>
          <w:szCs w:val="18"/>
          <w:color w:val="auto"/>
        </w:rPr>
        <w:t>Certain of the Company’s wholly owned domestic subsidiaries are taxed as a C Corporation under state and federal laws. Certain of the Company’s wholly owned foreign subsidiaries provide for local and deferred income taxes. These domestic and foreign subsidiaries record income tax expense based on the amount of taxes due on their tax return, plus deferred taxes computed based on expected future tax consequences of temporary differences between the carrying amounts and the tax bases of assets and liabilities, using enacted tax rates. Deferred tax assets are reduced by a valuation allowance if it is deemed more likely than not that some or all of the deferred tax assets will not be realized. The net deferred income tax asset and liability consists primarily of intangibles, property, plant &amp; equipment, other accruals and expenses, and the impact of temporary differences related to accrued pension obligations. The Company also pays certain foreign branch taxes for subsidiaries located in foreign jurisdictions.</w:t>
      </w:r>
    </w:p>
    <w:p>
      <w:pPr>
        <w:spacing w:after="0" w:line="184" w:lineRule="exact"/>
        <w:rPr>
          <w:sz w:val="20"/>
          <w:szCs w:val="20"/>
          <w:color w:val="auto"/>
        </w:rPr>
      </w:pPr>
    </w:p>
    <w:p>
      <w:pPr>
        <w:ind w:left="160" w:right="180"/>
        <w:spacing w:after="0" w:line="278" w:lineRule="auto"/>
        <w:rPr>
          <w:sz w:val="20"/>
          <w:szCs w:val="20"/>
          <w:color w:val="auto"/>
        </w:rPr>
      </w:pPr>
      <w:r>
        <w:rPr>
          <w:rFonts w:ascii="Times New Roman" w:cs="Times New Roman" w:eastAsia="Times New Roman" w:hAnsi="Times New Roman"/>
          <w:sz w:val="18"/>
          <w:szCs w:val="18"/>
          <w:color w:val="auto"/>
        </w:rPr>
        <w:t>The Company recognizes Global Intangible Low Taxed Income (“GILTI”) charge as a period cost when incurred for wholly owned subsidiaries which are taxed as C Corporation under state and federal laws.</w:t>
      </w:r>
    </w:p>
    <w:p>
      <w:pPr>
        <w:spacing w:after="0" w:line="162" w:lineRule="exact"/>
        <w:rPr>
          <w:sz w:val="20"/>
          <w:szCs w:val="20"/>
          <w:color w:val="auto"/>
        </w:rPr>
      </w:pPr>
    </w:p>
    <w:p>
      <w:pPr>
        <w:ind w:left="160" w:right="120"/>
        <w:spacing w:after="0" w:line="258" w:lineRule="auto"/>
        <w:rPr>
          <w:sz w:val="20"/>
          <w:szCs w:val="20"/>
          <w:color w:val="auto"/>
        </w:rPr>
      </w:pPr>
      <w:r>
        <w:rPr>
          <w:rFonts w:ascii="Times New Roman" w:cs="Times New Roman" w:eastAsia="Times New Roman" w:hAnsi="Times New Roman"/>
          <w:sz w:val="18"/>
          <w:szCs w:val="18"/>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upon examination. For tax positions not meeting the more likely than not test, no tax benefit is recorded. As of December 31, 2024 and December 31, 2023, the Company did not have any material uncertain tax positions.</w:t>
      </w:r>
    </w:p>
    <w:p>
      <w:pPr>
        <w:spacing w:after="0" w:line="180" w:lineRule="exact"/>
        <w:rPr>
          <w:sz w:val="20"/>
          <w:szCs w:val="20"/>
          <w:color w:val="auto"/>
        </w:rPr>
      </w:pPr>
    </w:p>
    <w:p>
      <w:pPr>
        <w:jc w:val="both"/>
        <w:ind w:left="160" w:right="60"/>
        <w:spacing w:after="0" w:line="258"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in interest and income tax expense, respectively. The Company had no amounts accrued for interest or penalties related to unrecognized tax benefits as of December 31, 2024 and December 31, 2023. The Company does not expect the total amount of unrecognized tax benefits to substantially change in the next 12 months. As of December 31, 2024, the tax years of 2014-2023 remain subject to examination by major tax jurisdictions.</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080"/>
          </w:cols>
          <w:pgMar w:left="320" w:top="451" w:right="49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ind w:left="160"/>
        <w:spacing w:after="0" w:line="251" w:lineRule="auto"/>
        <w:rPr>
          <w:sz w:val="20"/>
          <w:szCs w:val="20"/>
          <w:color w:val="auto"/>
        </w:rPr>
      </w:pPr>
      <w:r>
        <w:rPr>
          <w:rFonts w:ascii="Times New Roman" w:cs="Times New Roman" w:eastAsia="Times New Roman" w:hAnsi="Times New Roman"/>
          <w:sz w:val="18"/>
          <w:szCs w:val="18"/>
          <w:u w:val="single" w:color="auto"/>
          <w:color w:val="auto"/>
        </w:rPr>
        <w:t>Loss contingencies:</w:t>
      </w:r>
      <w:r>
        <w:rPr>
          <w:rFonts w:ascii="Times New Roman" w:cs="Times New Roman" w:eastAsia="Times New Roman" w:hAnsi="Times New Roman"/>
          <w:sz w:val="18"/>
          <w:szCs w:val="18"/>
          <w:color w:val="auto"/>
        </w:rPr>
        <w:t xml:space="preserve"> The Company is subject to various legal actions that are ordinary course and incidental to the business, including contract disputes, employment, workers’ compensation, product liability, auto liability, regulatory and other matters. The Company maintains insurance coverage for employment, product liability, workers’ compensation and other personal injury litigation matters, subject to policy limits, applicable deductibles and insurer solvency. When a loss is considered probable and reasonably estimable, the Company records a liability in the amount of the best estimate for the ultimate loss. However, the likelihood of a loss with respect to a particular contingency is often difficult to predict, and determining a meaningful estimate of the loss or a range of loss may not be practicable based on the information available and the potential effect of future events and decisions by third parties that will determine the ultimate resolution of the contingency. The Company adjusts the recorded contingent liability from time to time based upon periodic assessment of the potential outcomes of the pending matters. Refer to “Note 12 — Commitments and Contingencies,” for additional information.</w:t>
      </w:r>
    </w:p>
    <w:p>
      <w:pPr>
        <w:spacing w:after="0" w:line="192" w:lineRule="exact"/>
        <w:rPr>
          <w:sz w:val="20"/>
          <w:szCs w:val="20"/>
          <w:color w:val="auto"/>
        </w:rPr>
      </w:pPr>
    </w:p>
    <w:p>
      <w:pPr>
        <w:jc w:val="both"/>
        <w:ind w:left="160" w:right="240"/>
        <w:spacing w:after="0" w:line="263" w:lineRule="auto"/>
        <w:rPr>
          <w:sz w:val="20"/>
          <w:szCs w:val="20"/>
          <w:color w:val="auto"/>
        </w:rPr>
      </w:pPr>
      <w:r>
        <w:rPr>
          <w:rFonts w:ascii="Times New Roman" w:cs="Times New Roman" w:eastAsia="Times New Roman" w:hAnsi="Times New Roman"/>
          <w:sz w:val="18"/>
          <w:szCs w:val="18"/>
          <w:u w:val="single" w:color="auto"/>
          <w:color w:val="auto"/>
        </w:rPr>
        <w:t>Interest expense, net:</w:t>
      </w:r>
      <w:r>
        <w:rPr>
          <w:rFonts w:ascii="Times New Roman" w:cs="Times New Roman" w:eastAsia="Times New Roman" w:hAnsi="Times New Roman"/>
          <w:sz w:val="18"/>
          <w:szCs w:val="18"/>
          <w:color w:val="auto"/>
        </w:rPr>
        <w:t xml:space="preserve"> Interest expense, net primarily consists of interest expense of the Company’s borrowings, net interest settlements of interest rate derivatives, amortization of deferred finance costs including original issue discounts on debt, reduced by interest income on bank deposits and liquid financial instruments, customer interest income and other interest income.</w:t>
      </w:r>
    </w:p>
    <w:p>
      <w:pPr>
        <w:spacing w:after="0" w:line="175" w:lineRule="exact"/>
        <w:rPr>
          <w:sz w:val="20"/>
          <w:szCs w:val="20"/>
          <w:color w:val="auto"/>
        </w:rPr>
      </w:pPr>
    </w:p>
    <w:p>
      <w:pPr>
        <w:ind w:left="160" w:right="60"/>
        <w:spacing w:after="0" w:line="251" w:lineRule="auto"/>
        <w:rPr>
          <w:sz w:val="20"/>
          <w:szCs w:val="20"/>
          <w:color w:val="auto"/>
        </w:rPr>
      </w:pPr>
      <w:r>
        <w:rPr>
          <w:rFonts w:ascii="Times New Roman" w:cs="Times New Roman" w:eastAsia="Times New Roman" w:hAnsi="Times New Roman"/>
          <w:sz w:val="18"/>
          <w:szCs w:val="18"/>
          <w:u w:val="single" w:color="auto"/>
          <w:color w:val="auto"/>
        </w:rPr>
        <w:t>Defined Benefit Pension Plans</w:t>
      </w:r>
      <w:r>
        <w:rPr>
          <w:rFonts w:ascii="Times New Roman" w:cs="Times New Roman" w:eastAsia="Times New Roman" w:hAnsi="Times New Roman"/>
          <w:sz w:val="18"/>
          <w:szCs w:val="18"/>
          <w:color w:val="auto"/>
        </w:rPr>
        <w:t>: The Company uses appropriate actuarial methods and assumptions in accounting for its defined benefit pension plans. Actual results that differ from assumptions used are accumulated and amortized over future periods and, accordingly, generally affect recognized expense and the recorded obligation in future periods. Therefore, assumptions used to calculate benefit obligations as of the end of a fiscal year directly impact the expense to be recognized in future periods. Pension expense on the defined benefit plans is based on management’s assumptions and consists of the actuarially computed costs of pension benefits in respect of the current year’s service, expected return on plan assets, interest on pension obligations, amortization of net gains or losses, and amortization of prior service costs or credits. In addition, the Company is required to recognize as a component of other comprehensive income (loss) the actuarial gains or losses and the prior service costs or credits that arise during the year but are not immediately recognized as components of net periodic benefit costs. The amortization of net gains or losses is based on a straight-line amortization of net gains or losses.</w:t>
      </w:r>
    </w:p>
    <w:p>
      <w:pPr>
        <w:spacing w:after="0" w:line="192" w:lineRule="exact"/>
        <w:rPr>
          <w:sz w:val="20"/>
          <w:szCs w:val="20"/>
          <w:color w:val="auto"/>
        </w:rPr>
      </w:pPr>
    </w:p>
    <w:p>
      <w:pPr>
        <w:ind w:left="160" w:right="200"/>
        <w:spacing w:after="0" w:line="258" w:lineRule="auto"/>
        <w:rPr>
          <w:sz w:val="20"/>
          <w:szCs w:val="20"/>
          <w:color w:val="auto"/>
        </w:rPr>
      </w:pPr>
      <w:r>
        <w:rPr>
          <w:rFonts w:ascii="Times New Roman" w:cs="Times New Roman" w:eastAsia="Times New Roman" w:hAnsi="Times New Roman"/>
          <w:sz w:val="18"/>
          <w:szCs w:val="18"/>
          <w:color w:val="auto"/>
        </w:rPr>
        <w:t>The Company accounts for its defined benefit pension plans in conformity with sections of ASC 715 “Compensation — Retirement Benefits.” This guidance requires an employer to recognize the funded status of its defined benefit pension plans as a net asset or liability in its statement of financial position, with an offsetting amount in accumulated other comprehensive income (loss), net of tax and to recognize changes in that funded status in the year in which changes occur through comprehensive (loss) income.</w:t>
      </w:r>
    </w:p>
    <w:p>
      <w:pPr>
        <w:spacing w:after="0" w:line="180" w:lineRule="exact"/>
        <w:rPr>
          <w:sz w:val="20"/>
          <w:szCs w:val="20"/>
          <w:color w:val="auto"/>
        </w:rPr>
      </w:pPr>
    </w:p>
    <w:p>
      <w:pPr>
        <w:jc w:val="both"/>
        <w:ind w:left="160" w:right="240"/>
        <w:spacing w:after="0" w:line="258" w:lineRule="auto"/>
        <w:rPr>
          <w:sz w:val="20"/>
          <w:szCs w:val="20"/>
          <w:color w:val="auto"/>
        </w:rPr>
      </w:pPr>
      <w:r>
        <w:rPr>
          <w:rFonts w:ascii="Times New Roman" w:cs="Times New Roman" w:eastAsia="Times New Roman" w:hAnsi="Times New Roman"/>
          <w:sz w:val="18"/>
          <w:szCs w:val="18"/>
          <w:u w:val="single" w:color="auto"/>
          <w:color w:val="auto"/>
        </w:rPr>
        <w:t>Translation of Financial Statements of Foreign Subsidiaries</w:t>
      </w:r>
      <w:r>
        <w:rPr>
          <w:rFonts w:ascii="Times New Roman" w:cs="Times New Roman" w:eastAsia="Times New Roman" w:hAnsi="Times New Roman"/>
          <w:sz w:val="18"/>
          <w:szCs w:val="18"/>
          <w:color w:val="auto"/>
        </w:rPr>
        <w:t>: The Company’s foreign subsidiaries typically use the local currency as their functional currency. The consolidated assets and liabilities of the foreign subsidiaries are translated at exchange rates in effect at the balance sheet date. Income statement activity with respect to the operations of these subsidiaries is converted at the average rate for the period. The effect of the foreign currency translation is recorded in accumulated other comprehensive income (loss).</w:t>
      </w:r>
    </w:p>
    <w:p>
      <w:pPr>
        <w:spacing w:after="0" w:line="180" w:lineRule="exact"/>
        <w:rPr>
          <w:sz w:val="20"/>
          <w:szCs w:val="20"/>
          <w:color w:val="auto"/>
        </w:rPr>
      </w:pPr>
    </w:p>
    <w:p>
      <w:pPr>
        <w:ind w:left="160" w:right="120"/>
        <w:spacing w:after="0" w:line="278" w:lineRule="auto"/>
        <w:rPr>
          <w:sz w:val="20"/>
          <w:szCs w:val="20"/>
          <w:color w:val="auto"/>
        </w:rPr>
      </w:pPr>
      <w:r>
        <w:rPr>
          <w:rFonts w:ascii="Times New Roman" w:cs="Times New Roman" w:eastAsia="Times New Roman" w:hAnsi="Times New Roman"/>
          <w:sz w:val="18"/>
          <w:szCs w:val="18"/>
          <w:u w:val="single" w:color="auto"/>
          <w:color w:val="auto"/>
        </w:rPr>
        <w:t>Derivative Financial Instruments:</w:t>
      </w:r>
      <w:r>
        <w:rPr>
          <w:rFonts w:ascii="Times New Roman" w:cs="Times New Roman" w:eastAsia="Times New Roman" w:hAnsi="Times New Roman"/>
          <w:sz w:val="18"/>
          <w:szCs w:val="18"/>
          <w:color w:val="auto"/>
        </w:rPr>
        <w:t xml:space="preserve"> Derivative financial instruments are used primarily to manage interest rate and foreign currency exchange exposures, and are recorded at fair value in the Company’s consolidated balance sheets.</w:t>
      </w:r>
    </w:p>
    <w:p>
      <w:pPr>
        <w:spacing w:after="0" w:line="162" w:lineRule="exact"/>
        <w:rPr>
          <w:sz w:val="20"/>
          <w:szCs w:val="20"/>
          <w:color w:val="auto"/>
        </w:rPr>
      </w:pPr>
    </w:p>
    <w:p>
      <w:pPr>
        <w:ind w:left="160" w:right="40"/>
        <w:spacing w:after="0" w:line="278" w:lineRule="auto"/>
        <w:rPr>
          <w:sz w:val="20"/>
          <w:szCs w:val="20"/>
          <w:color w:val="auto"/>
        </w:rPr>
      </w:pPr>
      <w:r>
        <w:rPr>
          <w:rFonts w:ascii="Times New Roman" w:cs="Times New Roman" w:eastAsia="Times New Roman" w:hAnsi="Times New Roman"/>
          <w:sz w:val="18"/>
          <w:szCs w:val="18"/>
          <w:color w:val="auto"/>
        </w:rPr>
        <w:t>The Company uses interest rate derivatives such as interest rate swaps and caps to add stability to interest expense and to manage its exposure to interest rate movements. The Company designates certain of its interest</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080"/>
          </w:cols>
          <w:pgMar w:left="320" w:top="452" w:right="49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ind w:left="160" w:right="180"/>
        <w:spacing w:after="0" w:line="274" w:lineRule="auto"/>
        <w:rPr>
          <w:sz w:val="20"/>
          <w:szCs w:val="20"/>
          <w:color w:val="auto"/>
        </w:rPr>
      </w:pPr>
      <w:r>
        <w:rPr>
          <w:rFonts w:ascii="Times New Roman" w:cs="Times New Roman" w:eastAsia="Times New Roman" w:hAnsi="Times New Roman"/>
          <w:sz w:val="17"/>
          <w:szCs w:val="17"/>
          <w:color w:val="auto"/>
        </w:rPr>
        <w:t>rate derivatives as hedging instruments in cash flow. A derivative qualifies for hedge accounting if, at inception, it is expected to be highly effective in offsetting the underlying hedged cash flows and the Company formally designates and documents the hedging relationship in accordance with Topic</w:t>
      </w:r>
    </w:p>
    <w:p>
      <w:pPr>
        <w:ind w:left="160" w:right="160" w:firstLine="7"/>
        <w:spacing w:after="0" w:line="249" w:lineRule="auto"/>
        <w:tabs>
          <w:tab w:leader="none" w:pos="51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derivatives designated and qualified as cash flow hedges of interest rate risk, the gain or loss from the fair value change of the derivative is recorded in accumulated other comprehensive income (loss) and subsequently reclassified into interest expense in the same period(s) during which the hedged transaction affects earnings. Gains and losses on the derivative instruments representing hedge components excluded from the assessment of effectiveness are recognized over the life of the hedge on a systematic and rational basis through an amortization approach. The Company evaluates hedge effectiveness of the derivative instruments at inception and on an ongoing basis, and ineffective portions of the fair value change of the derivatives are recognized in earnings following the date when ineffectiveness was identified. Derivatives not designated as hedges are marked-to-market at the end of each reporting period with the fair value change included in earnings. Refer to “Note 14 — Derivatives and Hedging Activities Risk Management,” for additional information.</w:t>
      </w:r>
    </w:p>
    <w:p>
      <w:pPr>
        <w:spacing w:after="0" w:line="189" w:lineRule="exact"/>
        <w:rPr>
          <w:sz w:val="20"/>
          <w:szCs w:val="20"/>
          <w:color w:val="auto"/>
        </w:rPr>
      </w:pPr>
    </w:p>
    <w:p>
      <w:pPr>
        <w:ind w:left="160" w:right="60"/>
        <w:spacing w:after="0" w:line="258" w:lineRule="auto"/>
        <w:rPr>
          <w:sz w:val="20"/>
          <w:szCs w:val="20"/>
          <w:color w:val="auto"/>
        </w:rPr>
      </w:pPr>
      <w:r>
        <w:rPr>
          <w:rFonts w:ascii="Times New Roman" w:cs="Times New Roman" w:eastAsia="Times New Roman" w:hAnsi="Times New Roman"/>
          <w:sz w:val="18"/>
          <w:szCs w:val="18"/>
          <w:color w:val="auto"/>
        </w:rPr>
        <w:t>The Company uses foreign currency derivatives such as forward contracts to lock in a fixed foreign currency exchange rate for the expected cash payment on an acquisition closed in the subsequent period and to manage exposure to foreign currency exchange rate movements. The foreign currency derivatives are not designated for hedge accounting under Topic 815 and is marked-to-market at the end of each reporting period with the fair value changes recorded in other (expense) income, net of the Company’s consolidated statements of comprehensive income.</w:t>
      </w:r>
    </w:p>
    <w:p>
      <w:pPr>
        <w:spacing w:after="0" w:line="180" w:lineRule="exact"/>
        <w:rPr>
          <w:sz w:val="20"/>
          <w:szCs w:val="20"/>
          <w:color w:val="auto"/>
        </w:rPr>
      </w:pPr>
    </w:p>
    <w:p>
      <w:pPr>
        <w:jc w:val="both"/>
        <w:ind w:left="160" w:right="200"/>
        <w:spacing w:after="0" w:line="263" w:lineRule="auto"/>
        <w:rPr>
          <w:sz w:val="20"/>
          <w:szCs w:val="20"/>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The Company is required to estimate fair value using a three-tiered hierarchy, which prioritizes the inputs used in measuring fair value. Level 1 provides the most reliable measure of fair value; whereas, Level 3 generally requires significant management judgment. The three levels are defined as follows.</w:t>
      </w:r>
    </w:p>
    <w:p>
      <w:pPr>
        <w:spacing w:after="0" w:line="68" w:lineRule="exact"/>
        <w:rPr>
          <w:sz w:val="20"/>
          <w:szCs w:val="20"/>
          <w:color w:val="auto"/>
        </w:rPr>
      </w:pPr>
    </w:p>
    <w:p>
      <w:pPr>
        <w:ind w:left="600" w:right="680"/>
        <w:spacing w:after="0" w:line="278" w:lineRule="auto"/>
        <w:rPr>
          <w:sz w:val="20"/>
          <w:szCs w:val="20"/>
          <w:color w:val="auto"/>
        </w:rPr>
      </w:pPr>
      <w:r>
        <w:rPr>
          <w:rFonts w:ascii="Times New Roman" w:cs="Times New Roman" w:eastAsia="Times New Roman" w:hAnsi="Times New Roman"/>
          <w:sz w:val="18"/>
          <w:szCs w:val="18"/>
          <w:color w:val="auto"/>
        </w:rPr>
        <w:t>Level 1: Quoted prices (unadjusted) for identical assets or liabilities in active markets that the Company has the ability to access as of the measurement date.</w:t>
      </w:r>
    </w:p>
    <w:p>
      <w:pPr>
        <w:spacing w:after="0" w:line="55" w:lineRule="exact"/>
        <w:rPr>
          <w:sz w:val="20"/>
          <w:szCs w:val="20"/>
          <w:color w:val="auto"/>
        </w:rPr>
      </w:pPr>
    </w:p>
    <w:p>
      <w:pPr>
        <w:ind w:left="600" w:right="520"/>
        <w:spacing w:after="0" w:line="278" w:lineRule="auto"/>
        <w:rPr>
          <w:sz w:val="20"/>
          <w:szCs w:val="20"/>
          <w:color w:val="auto"/>
        </w:rPr>
      </w:pPr>
      <w:r>
        <w:rPr>
          <w:rFonts w:ascii="Times New Roman" w:cs="Times New Roman" w:eastAsia="Times New Roman" w:hAnsi="Times New Roman"/>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55" w:lineRule="exact"/>
        <w:rPr>
          <w:sz w:val="20"/>
          <w:szCs w:val="20"/>
          <w:color w:val="auto"/>
        </w:rPr>
      </w:pPr>
    </w:p>
    <w:p>
      <w:pPr>
        <w:ind w:left="600" w:right="40"/>
        <w:spacing w:after="0" w:line="278" w:lineRule="auto"/>
        <w:rPr>
          <w:sz w:val="20"/>
          <w:szCs w:val="20"/>
          <w:color w:val="auto"/>
        </w:rPr>
      </w:pPr>
      <w:r>
        <w:rPr>
          <w:rFonts w:ascii="Times New Roman" w:cs="Times New Roman" w:eastAsia="Times New Roman" w:hAnsi="Times New Roman"/>
          <w:sz w:val="18"/>
          <w:szCs w:val="18"/>
          <w:color w:val="auto"/>
        </w:rPr>
        <w:t>Level 3: Significant unobservable inputs that reflect the Company’s own assumptions about the assumptions that market participants would use in pricing an asset or liability.</w:t>
      </w:r>
    </w:p>
    <w:p>
      <w:pPr>
        <w:spacing w:after="0" w:line="162" w:lineRule="exact"/>
        <w:rPr>
          <w:sz w:val="20"/>
          <w:szCs w:val="20"/>
          <w:color w:val="auto"/>
        </w:rPr>
      </w:pPr>
    </w:p>
    <w:p>
      <w:pPr>
        <w:ind w:left="160" w:right="400"/>
        <w:spacing w:after="0" w:line="278" w:lineRule="auto"/>
        <w:rPr>
          <w:sz w:val="20"/>
          <w:szCs w:val="20"/>
          <w:color w:val="auto"/>
        </w:rPr>
      </w:pPr>
      <w:r>
        <w:rPr>
          <w:rFonts w:ascii="Times New Roman" w:cs="Times New Roman" w:eastAsia="Times New Roman" w:hAnsi="Times New Roman"/>
          <w:sz w:val="18"/>
          <w:szCs w:val="18"/>
          <w:color w:val="auto"/>
        </w:rPr>
        <w:t>In many cases, a valuation technique used to measure fair value includes inputs from multiple levels of the fair value hierarchy. The lowest level of significant input determines the placement of the entire fair value measurement in the hierarchy.</w:t>
      </w:r>
    </w:p>
    <w:p>
      <w:pPr>
        <w:spacing w:after="0" w:line="162" w:lineRule="exact"/>
        <w:rPr>
          <w:sz w:val="20"/>
          <w:szCs w:val="20"/>
          <w:color w:val="auto"/>
        </w:rPr>
      </w:pPr>
    </w:p>
    <w:p>
      <w:pPr>
        <w:ind w:left="160" w:right="680"/>
        <w:spacing w:after="0" w:line="278" w:lineRule="auto"/>
        <w:rPr>
          <w:sz w:val="20"/>
          <w:szCs w:val="20"/>
          <w:color w:val="auto"/>
        </w:rPr>
      </w:pPr>
      <w:r>
        <w:rPr>
          <w:rFonts w:ascii="Times New Roman" w:cs="Times New Roman" w:eastAsia="Times New Roman" w:hAnsi="Times New Roman"/>
          <w:sz w:val="18"/>
          <w:szCs w:val="18"/>
          <w:color w:val="auto"/>
        </w:rPr>
        <w:t>The carrying amount of financial instruments, including cash and cash equivalents, accounts receivable, notes receivable and accounts payable, approximates fair value due to the short maturities of these instruments.</w:t>
      </w:r>
    </w:p>
    <w:p>
      <w:pPr>
        <w:spacing w:after="0" w:line="162" w:lineRule="exact"/>
        <w:rPr>
          <w:sz w:val="20"/>
          <w:szCs w:val="20"/>
          <w:color w:val="auto"/>
        </w:rPr>
      </w:pPr>
    </w:p>
    <w:p>
      <w:pPr>
        <w:ind w:left="160"/>
        <w:spacing w:after="0" w:line="254" w:lineRule="auto"/>
        <w:rPr>
          <w:sz w:val="20"/>
          <w:szCs w:val="20"/>
          <w:color w:val="auto"/>
        </w:rPr>
      </w:pPr>
      <w:r>
        <w:rPr>
          <w:rFonts w:ascii="Times New Roman" w:cs="Times New Roman" w:eastAsia="Times New Roman" w:hAnsi="Times New Roman"/>
          <w:sz w:val="18"/>
          <w:szCs w:val="18"/>
          <w:u w:val="single" w:color="auto"/>
          <w:color w:val="auto"/>
        </w:rPr>
        <w:t>Recently Adopted Accounting Standards</w:t>
      </w:r>
      <w:r>
        <w:rPr>
          <w:rFonts w:ascii="Times New Roman" w:cs="Times New Roman" w:eastAsia="Times New Roman" w:hAnsi="Times New Roman"/>
          <w:sz w:val="18"/>
          <w:szCs w:val="18"/>
          <w:color w:val="auto"/>
        </w:rPr>
        <w:t>: In November 2023, the Financial Accounting Standards Board (“FASB”) issued ASU 2023-07, Segment Reporting (Topic 280): Improvements to Segment Reporting. ASU 2023-07 requires disclosures to include significant segment expenses that are regularly provided to the chief operating decision maker (“CODM”), a description of other segment items by reportable segment, and any additional measures of a segment’s profit or loss used by the CODM when deciding to allocate resources. The Company adopted this standard retrospectively to all prior periods presented in the financial statements. For further information regarding the Company’s Business Segments, see “Note 18 — Segment Information.”</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060"/>
          </w:cols>
          <w:pgMar w:left="320" w:top="452" w:right="51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ind w:left="160" w:right="140"/>
        <w:spacing w:after="0" w:line="278" w:lineRule="auto"/>
        <w:rPr>
          <w:sz w:val="20"/>
          <w:szCs w:val="20"/>
          <w:color w:val="auto"/>
        </w:rPr>
      </w:pPr>
      <w:r>
        <w:rPr>
          <w:rFonts w:ascii="Times New Roman" w:cs="Times New Roman" w:eastAsia="Times New Roman" w:hAnsi="Times New Roman"/>
          <w:sz w:val="17"/>
          <w:szCs w:val="17"/>
          <w:color w:val="auto"/>
        </w:rPr>
        <w:t>In June 2022, the FASB issued ASU No. 2022-03, Fair Value Measurement (Topic 820): Fair Value Measurement of Equity Securities Subject to Contractual Sales Restrictions, which (1) clarifies the guidance in Topic 820 on the fair value measurement of an equity security that is subject to contractual restrictions that prohibit the sale of an equity security and (2) requires specific disclosures related to such an equity security. The Company adopted this standard on a prospective basis in 2024. The adoption did not have a material impact on the Company’s consolidated financial statements.</w:t>
      </w:r>
    </w:p>
    <w:p>
      <w:pPr>
        <w:spacing w:after="0" w:line="164" w:lineRule="exact"/>
        <w:rPr>
          <w:sz w:val="20"/>
          <w:szCs w:val="20"/>
          <w:color w:val="auto"/>
        </w:rPr>
      </w:pPr>
    </w:p>
    <w:p>
      <w:pPr>
        <w:ind w:left="160"/>
        <w:spacing w:after="0" w:line="253" w:lineRule="auto"/>
        <w:rPr>
          <w:sz w:val="20"/>
          <w:szCs w:val="20"/>
          <w:color w:val="auto"/>
        </w:rPr>
      </w:pPr>
      <w:r>
        <w:rPr>
          <w:rFonts w:ascii="Times New Roman" w:cs="Times New Roman" w:eastAsia="Times New Roman" w:hAnsi="Times New Roman"/>
          <w:sz w:val="18"/>
          <w:szCs w:val="18"/>
          <w:color w:val="auto"/>
        </w:rPr>
        <w:t>In October 2021, the FASB issued ASU No. 2021-08, Business Combinations (Topic 805): Accounting for Contract Assets and Contract Liabilities from Contracts with Customers. ASU 2021-08 requires an acquirer, at the acquisition date, to recognize and measure contract assets and contract liabilities acquired in a business combination in accordance with Topic 606 as if it had originated the contracts rather than at fair value that would otherwise be required under Topic 805. To achieve this, an acquirer may assess how the acquiree applied Topic 606 to determine what to record for the acquired revenue contracts. Generally, this should result in an acquirer recognizing and measuring the acquired contract assets and contract liabilities consistent with how they were recognized and measured in the acquiree’s financial statements. The Company adopted this standard on a prospective basis in 2023. The adoption did not have an impact on the Company’s consolidated financial statements.</w:t>
      </w:r>
    </w:p>
    <w:p>
      <w:pPr>
        <w:spacing w:after="0" w:line="184" w:lineRule="exact"/>
        <w:rPr>
          <w:sz w:val="20"/>
          <w:szCs w:val="20"/>
          <w:color w:val="auto"/>
        </w:rPr>
      </w:pPr>
    </w:p>
    <w:p>
      <w:pPr>
        <w:ind w:left="160" w:right="160"/>
        <w:spacing w:after="0" w:line="253"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Accounting Standards Update (ASU) No. 2016-13, Financial Instruments — Credit Losses (Topic 326). The standard, later modified by ASU Nos. 2018-19 and 2019-04 — Codification Improvements to Topic 326, ASU No. 2019-05 — Topic 326 Targeted Transition Relief, and ASU No. 2019-10 — Topic 326 Effective Dates (collectively “ASC 326”), changes how credit losses are measured for most financial assets and certain other instruments. For trade and other receivables, held-to-maturity debt securities, loans and other financial instruments, the standard requires the use of a new forward-looking “expected credit loss” model that generally will result in the earlier recognition of allowances for losses. The Company adopted the standard in the first quarter of 2022. The adoption resulted in an increase of allowance for doubtful accounts by $10, which the Company recorded to the partners’ capital directly as of January 1, 2022.</w:t>
      </w:r>
    </w:p>
    <w:p>
      <w:pPr>
        <w:spacing w:after="0" w:line="184" w:lineRule="exact"/>
        <w:rPr>
          <w:sz w:val="20"/>
          <w:szCs w:val="20"/>
          <w:color w:val="auto"/>
        </w:rPr>
      </w:pPr>
    </w:p>
    <w:p>
      <w:pPr>
        <w:ind w:left="160" w:right="60"/>
        <w:spacing w:after="0" w:line="255" w:lineRule="auto"/>
        <w:rPr>
          <w:sz w:val="20"/>
          <w:szCs w:val="20"/>
          <w:color w:val="auto"/>
        </w:rPr>
      </w:pPr>
      <w:r>
        <w:rPr>
          <w:rFonts w:ascii="Times New Roman" w:cs="Times New Roman" w:eastAsia="Times New Roman" w:hAnsi="Times New Roman"/>
          <w:sz w:val="18"/>
          <w:szCs w:val="18"/>
          <w:color w:val="auto"/>
        </w:rPr>
        <w:t>Upon adoption of the standard, accounts receivable are stated at amortized cost less allowance for credit losses. The allowance for credit losses reflects the best estimate of future losses over the contractual life of outstanding accounts receivable and is determined on the basis of historical experience, specific allowances for known troubled accounts, other currently available information including customer’s financial condition, and both current and forecasted economic conditions. The allowance for credit losses was $54 as of December 31, 2022. There were no significant changes in credit loss risk factors that impacted the Company’s recorded allowance during the years ended December 31, 2024 and December 31, 2023.</w:t>
      </w:r>
    </w:p>
    <w:p>
      <w:pPr>
        <w:spacing w:after="0" w:line="184" w:lineRule="exact"/>
        <w:rPr>
          <w:sz w:val="20"/>
          <w:szCs w:val="20"/>
          <w:color w:val="auto"/>
        </w:rPr>
      </w:pPr>
    </w:p>
    <w:p>
      <w:pPr>
        <w:ind w:left="160" w:right="100"/>
        <w:spacing w:after="0" w:line="258" w:lineRule="auto"/>
        <w:rPr>
          <w:sz w:val="20"/>
          <w:szCs w:val="20"/>
          <w:color w:val="auto"/>
        </w:rPr>
      </w:pPr>
      <w:r>
        <w:rPr>
          <w:rFonts w:ascii="Times New Roman" w:cs="Times New Roman" w:eastAsia="Times New Roman" w:hAnsi="Times New Roman"/>
          <w:sz w:val="18"/>
          <w:szCs w:val="18"/>
          <w:color w:val="auto"/>
        </w:rPr>
        <w:t>The Company charges interest on certain past-due trade receivable balances; for the accrued interest that is included in the amortized cost basis of trade receivables, the Company elects not to measure an allowance for credit losses and to timely write off the interest deemed uncollectible by reversing interest income. The amounts of interest written off for the years ended December 31, 2024, December 31, 2023, and December 31, 2022 were immaterial.</w:t>
      </w:r>
    </w:p>
    <w:p>
      <w:pPr>
        <w:spacing w:after="0" w:line="180" w:lineRule="exact"/>
        <w:rPr>
          <w:sz w:val="20"/>
          <w:szCs w:val="20"/>
          <w:color w:val="auto"/>
        </w:rPr>
      </w:pPr>
    </w:p>
    <w:p>
      <w:pPr>
        <w:ind w:left="160" w:right="80"/>
        <w:spacing w:after="0" w:line="255" w:lineRule="auto"/>
        <w:rPr>
          <w:sz w:val="20"/>
          <w:szCs w:val="20"/>
          <w:color w:val="auto"/>
        </w:rPr>
      </w:pPr>
      <w:r>
        <w:rPr>
          <w:rFonts w:ascii="Times New Roman" w:cs="Times New Roman" w:eastAsia="Times New Roman" w:hAnsi="Times New Roman"/>
          <w:sz w:val="18"/>
          <w:szCs w:val="18"/>
          <w:u w:val="single" w:color="auto"/>
          <w:color w:val="auto"/>
        </w:rPr>
        <w:t>Recently Issued Accounting Standards Not Yet Adopted:</w:t>
      </w:r>
      <w:r>
        <w:rPr>
          <w:rFonts w:ascii="Times New Roman" w:cs="Times New Roman" w:eastAsia="Times New Roman" w:hAnsi="Times New Roman"/>
          <w:sz w:val="18"/>
          <w:szCs w:val="18"/>
          <w:color w:val="auto"/>
        </w:rPr>
        <w:t xml:space="preserve"> In December 2023, the FASB issued ASU 2023-09, Income Taxes (Topic 740): Improvements to Income Tax Disclosures. ASU 2023-09 requires enhanced income tax disclosures, including specific categories and disaggregation of information in the effective tax rate reconciliation, disaggregated amounts by certain jurisdictions related to income taxes paid, income or loss from continuing operations before income tax expense or benefit, and income tax expense or benefit from continuing operations. The standard will be effective for the Company in 2025 and should be applied on a prospective basis,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060"/>
          </w:cols>
          <w:pgMar w:left="320" w:top="452" w:right="51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ind w:left="160" w:right="540"/>
        <w:spacing w:after="0" w:line="278" w:lineRule="auto"/>
        <w:rPr>
          <w:sz w:val="20"/>
          <w:szCs w:val="20"/>
          <w:color w:val="auto"/>
        </w:rPr>
      </w:pPr>
      <w:r>
        <w:rPr>
          <w:rFonts w:ascii="Times New Roman" w:cs="Times New Roman" w:eastAsia="Times New Roman" w:hAnsi="Times New Roman"/>
          <w:sz w:val="18"/>
          <w:szCs w:val="18"/>
          <w:color w:val="auto"/>
        </w:rPr>
        <w:t>with retrospective application permitted. Early adoption is permitted. The Company is currently evaluating the impact of this ASU on the related disclosures.</w:t>
      </w:r>
    </w:p>
    <w:p>
      <w:pPr>
        <w:spacing w:after="0" w:line="162" w:lineRule="exact"/>
        <w:rPr>
          <w:sz w:val="20"/>
          <w:szCs w:val="20"/>
          <w:color w:val="auto"/>
        </w:rPr>
      </w:pPr>
    </w:p>
    <w:p>
      <w:pPr>
        <w:ind w:left="160" w:right="140"/>
        <w:spacing w:after="0" w:line="268"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 — Reporting Comprehensive Income — Expense Disaggregation Disclosures (Subtopic 220-40): Disaggregation of Income Statement Expenses. The standard, later clarified by ASU No. 2025-01, requires public business entities to, among other things, 1) disclose disaggregated information about certain income statement line items into one or more of the natural expense categories such as purchases of inventory; employee compensation, depreciation, and intangible asset amortization, where such expenses are included;</w:t>
      </w:r>
    </w:p>
    <w:p>
      <w:pPr>
        <w:spacing w:after="0" w:line="2" w:lineRule="exact"/>
        <w:rPr>
          <w:sz w:val="20"/>
          <w:szCs w:val="20"/>
          <w:color w:val="auto"/>
        </w:rPr>
      </w:pPr>
    </w:p>
    <w:p>
      <w:pPr>
        <w:ind w:left="160" w:firstLine="7"/>
        <w:spacing w:after="0" w:line="268" w:lineRule="auto"/>
        <w:tabs>
          <w:tab w:leader="none" w:pos="353"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present certain other expenses and gains or losses that must be disclosed under existing U.S. GAAP in tabular disclosure on an annual and, when applicable, interim basis; and 3) disclose the total amount of selling expenses and, in annual reporting periods, an entity’s definition of selling expenses. The standard is effective for fiscal years beginning after December 15, 2026, and interim periods within fiscal years beginning after December 15, 2027. Early adoption is permitted. Upon adoption, the amendments may be applied prospectively to reporting periods after the effective date or retrospectively to all periods presented in the financial statements. The Company is currently evaluating the impact that this guidance will have on its disclosures.</w:t>
      </w:r>
    </w:p>
    <w:p>
      <w:pPr>
        <w:spacing w:after="0" w:line="2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2 — ACQUISITIONS AND EQUITY INVESTMENT</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Microtek</w:t>
      </w:r>
    </w:p>
    <w:p>
      <w:pPr>
        <w:spacing w:after="0" w:line="118" w:lineRule="exact"/>
        <w:rPr>
          <w:sz w:val="20"/>
          <w:szCs w:val="20"/>
          <w:color w:val="auto"/>
        </w:rPr>
      </w:pPr>
    </w:p>
    <w:p>
      <w:pPr>
        <w:ind w:left="160" w:right="260"/>
        <w:spacing w:after="0" w:line="270" w:lineRule="auto"/>
        <w:rPr>
          <w:sz w:val="20"/>
          <w:szCs w:val="20"/>
          <w:color w:val="auto"/>
        </w:rPr>
      </w:pPr>
      <w:r>
        <w:rPr>
          <w:rFonts w:ascii="Times New Roman" w:cs="Times New Roman" w:eastAsia="Times New Roman" w:hAnsi="Times New Roman"/>
          <w:sz w:val="17"/>
          <w:szCs w:val="17"/>
          <w:color w:val="auto"/>
        </w:rPr>
        <w:t>On August 1, 2024, the Company acquired all of the outstanding shares of the global surgical solutions business of Ecolab (the “Microtek” business) pursuant to a share purchase agreement for $911 cash consideration. The primary purpose of the business combination to expand Medline Brand business (defined in “Note 18 — Segment Information”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by creating synergies based on Ecolab’s expertise in innovative sterile drape solutions for patients and operating room equipment, while also bolstering a capability for temperature management systems used in the operating room. This acquisition also creates an opportunity for the Company to add design and development capabilities to support original equipment manufacturer (“OEM”) customers. With these new capabilities, the Company will be able to support cutting edge medical device companies to bring innovative solutions to healthcare customers. The Company will also use its existing platform to expand margins on acquired Microtek contracts.</w:t>
      </w:r>
    </w:p>
    <w:p>
      <w:pPr>
        <w:spacing w:after="0" w:line="172" w:lineRule="exact"/>
        <w:rPr>
          <w:sz w:val="20"/>
          <w:szCs w:val="20"/>
          <w:color w:val="auto"/>
        </w:rPr>
      </w:pPr>
    </w:p>
    <w:p>
      <w:pPr>
        <w:ind w:left="160" w:right="100"/>
        <w:spacing w:after="0" w:line="252" w:lineRule="auto"/>
        <w:rPr>
          <w:sz w:val="20"/>
          <w:szCs w:val="20"/>
          <w:color w:val="auto"/>
        </w:rPr>
      </w:pPr>
      <w:r>
        <w:rPr>
          <w:rFonts w:ascii="Times New Roman" w:cs="Times New Roman" w:eastAsia="Times New Roman" w:hAnsi="Times New Roman"/>
          <w:sz w:val="18"/>
          <w:szCs w:val="18"/>
          <w:color w:val="auto"/>
        </w:rPr>
        <w:t>The acquisition met the requirements to be considered a business combination under Accounting Standards Codification 805 Business Combinations (“ASC 805”) and was accounted for using the acquisition method of accounting. The assets acquired and liabilities assumed, affected for preliminary adjustments to reflect fair market values assigned to assets acquired and liabilities assumed, and results of operations, are included in the Company’s consolidated financial statements from the acquisition date. The Microtek acquisition contributed $127 of net sales for the year ended December 31, 2024. The net income from the Microtek acquisition was immaterial for the year ended December 31, 2024. The Company has preliminarily allocated the purchase price to the tangible and identifiable intangible assets acquired and liabilities assumed based on their estimated fair market values at the acquisition date as required under ASC 805. The fair value determinations of other assets, other liabilities, income taxes payable and deferred taxes are ongoing and will be finalized within the one-year measurement period.</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040"/>
          </w:cols>
          <w:pgMar w:left="320" w:top="451" w:right="5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18"/>
          <w:szCs w:val="18"/>
          <w:color w:val="auto"/>
        </w:rPr>
        <w:t>The Company has allocated the preliminary purchase price to the assets acquired and the liabilities assumed based on their estimated fair values as of the date of acquisition as below:</w:t>
      </w:r>
    </w:p>
    <w:p>
      <w:pPr>
        <w:spacing w:after="0" w:line="169"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Estimated Fair</w:t>
            </w:r>
          </w:p>
        </w:tc>
      </w:tr>
      <w:tr>
        <w:trPr>
          <w:trHeight w:val="172"/>
        </w:trPr>
        <w:tc>
          <w:tcPr>
            <w:tcW w:w="6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07"/>
        </w:trPr>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8"/>
                <w:szCs w:val="18"/>
                <w:color w:val="auto"/>
              </w:rPr>
            </w:pPr>
          </w:p>
        </w:tc>
      </w:tr>
      <w:tr>
        <w:trPr>
          <w:trHeight w:val="214"/>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r>
      <w:tr>
        <w:trPr>
          <w:trHeight w:val="21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8"/>
                <w:szCs w:val="18"/>
                <w:color w:val="auto"/>
              </w:rPr>
            </w:pPr>
          </w:p>
        </w:tc>
      </w:tr>
      <w:tr>
        <w:trPr>
          <w:trHeight w:val="214"/>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8"/>
                <w:szCs w:val="18"/>
                <w:color w:val="auto"/>
              </w:rPr>
            </w:pPr>
          </w:p>
        </w:tc>
      </w:tr>
      <w:tr>
        <w:trPr>
          <w:trHeight w:val="21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r>
      <w:tr>
        <w:trPr>
          <w:trHeight w:val="214"/>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shd w:val="clear" w:color="auto" w:fill="CCEEFF"/>
          </w:tcPr>
          <w:p>
            <w:pPr>
              <w:spacing w:after="0"/>
              <w:rPr>
                <w:sz w:val="18"/>
                <w:szCs w:val="18"/>
                <w:color w:val="auto"/>
              </w:rPr>
            </w:pPr>
          </w:p>
        </w:tc>
      </w:tr>
      <w:tr>
        <w:trPr>
          <w:trHeight w:val="21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r>
      <w:tr>
        <w:trPr>
          <w:trHeight w:val="214"/>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r>
      <w:tr>
        <w:trPr>
          <w:trHeight w:val="21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r>
        <w:trPr>
          <w:trHeight w:val="214"/>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21"/>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4"/>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shd w:val="clear" w:color="auto" w:fill="CCEEFF"/>
          </w:tcPr>
          <w:p>
            <w:pPr>
              <w:spacing w:after="0"/>
              <w:rPr>
                <w:sz w:val="18"/>
                <w:szCs w:val="18"/>
                <w:color w:val="auto"/>
              </w:rPr>
            </w:pPr>
          </w:p>
        </w:tc>
      </w:tr>
      <w:tr>
        <w:trPr>
          <w:trHeight w:val="221"/>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assets acquired, at fair value</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60" w:right="40"/>
        <w:spacing w:after="0" w:line="263" w:lineRule="auto"/>
        <w:rPr>
          <w:sz w:val="20"/>
          <w:szCs w:val="20"/>
          <w:color w:val="auto"/>
        </w:rPr>
      </w:pPr>
      <w:r>
        <w:rPr>
          <w:rFonts w:ascii="Times New Roman" w:cs="Times New Roman" w:eastAsia="Times New Roman" w:hAnsi="Times New Roman"/>
          <w:sz w:val="18"/>
          <w:szCs w:val="18"/>
          <w:color w:val="auto"/>
        </w:rPr>
        <w:t>The excess of the purchase price over the fair value of the net identifiable tangible and intangible assets was recorded as goodwill. For 2024, $424 of the goodwill is estimated to be tax deductible over the amortizable period. Goodwill is comprised of expected synergies related to the combined operations, trade name, and customer relationships acquired in the business combination.</w:t>
      </w:r>
    </w:p>
    <w:p>
      <w:pPr>
        <w:spacing w:after="0" w:line="175" w:lineRule="exact"/>
        <w:rPr>
          <w:sz w:val="20"/>
          <w:szCs w:val="20"/>
          <w:color w:val="auto"/>
        </w:rPr>
      </w:pPr>
    </w:p>
    <w:p>
      <w:pPr>
        <w:ind w:left="160" w:right="160"/>
        <w:spacing w:after="0" w:line="255" w:lineRule="auto"/>
        <w:rPr>
          <w:sz w:val="20"/>
          <w:szCs w:val="20"/>
          <w:color w:val="auto"/>
        </w:rPr>
      </w:pPr>
      <w:r>
        <w:rPr>
          <w:rFonts w:ascii="Times New Roman" w:cs="Times New Roman" w:eastAsia="Times New Roman" w:hAnsi="Times New Roman"/>
          <w:sz w:val="18"/>
          <w:szCs w:val="18"/>
          <w:color w:val="auto"/>
        </w:rPr>
        <w:t>At the date of acquisition, the fair value for trade name and developed technology were determined using the relief from royalty method and the fair values of customer relationship was determined using the distributor method. The Company considers the fair value of the intangible assets to be Level 3 measurements due to the significant estimates and assumptions used by management in establishing the estimated fair value which includes discount rates, revenue growth and royalty rates. The identifiable intangible assets acquired subject to amortization have a weighted average useful life of 11 years. Below is a summary of the intangible assets acquired in the acquisition:</w:t>
      </w:r>
    </w:p>
    <w:p>
      <w:pPr>
        <w:spacing w:after="0" w:line="205"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6520" w:type="dxa"/>
            <w:vAlign w:val="bottom"/>
          </w:tcPr>
          <w:p>
            <w:pPr>
              <w:spacing w:after="0"/>
              <w:rPr>
                <w:sz w:val="14"/>
                <w:szCs w:val="14"/>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07"/>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40" w:type="dxa"/>
            <w:vAlign w:val="bottom"/>
            <w:tcBorders>
              <w:top w:val="single" w:sz="8" w:color="CCEEFF"/>
            </w:tcBorders>
            <w:shd w:val="clear" w:color="auto" w:fill="CCEEFF"/>
          </w:tcPr>
          <w:p>
            <w:pPr>
              <w:spacing w:after="0"/>
              <w:rPr>
                <w:sz w:val="18"/>
                <w:szCs w:val="18"/>
                <w:color w:val="auto"/>
              </w:rPr>
            </w:pPr>
          </w:p>
        </w:tc>
      </w:tr>
      <w:tr>
        <w:trPr>
          <w:trHeight w:val="21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6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w:t>
            </w:r>
          </w:p>
        </w:tc>
        <w:tc>
          <w:tcPr>
            <w:tcW w:w="4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 years</w:t>
            </w:r>
          </w:p>
        </w:tc>
      </w:tr>
      <w:tr>
        <w:trPr>
          <w:trHeight w:val="214"/>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 years</w:t>
            </w:r>
          </w:p>
        </w:tc>
      </w:tr>
      <w:tr>
        <w:trPr>
          <w:trHeight w:val="221"/>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right="360"/>
        <w:spacing w:after="0" w:line="278" w:lineRule="auto"/>
        <w:rPr>
          <w:sz w:val="20"/>
          <w:szCs w:val="20"/>
          <w:color w:val="auto"/>
        </w:rPr>
      </w:pPr>
      <w:r>
        <w:rPr>
          <w:rFonts w:ascii="Times New Roman" w:cs="Times New Roman" w:eastAsia="Times New Roman" w:hAnsi="Times New Roman"/>
          <w:sz w:val="18"/>
          <w:szCs w:val="18"/>
          <w:color w:val="auto"/>
        </w:rPr>
        <w:t>Acquisition-related costs for Microtek are included in selling, general and administrative expenses in our consolidated statements of comprehensive income as incurred and are not material.</w:t>
      </w:r>
    </w:p>
    <w:p>
      <w:pPr>
        <w:spacing w:after="0" w:line="162" w:lineRule="exact"/>
        <w:rPr>
          <w:sz w:val="20"/>
          <w:szCs w:val="20"/>
          <w:color w:val="auto"/>
        </w:rPr>
      </w:pPr>
    </w:p>
    <w:p>
      <w:pPr>
        <w:ind w:left="160" w:right="180"/>
        <w:spacing w:after="0" w:line="255" w:lineRule="auto"/>
        <w:rPr>
          <w:sz w:val="20"/>
          <w:szCs w:val="20"/>
          <w:color w:val="auto"/>
        </w:rPr>
      </w:pPr>
      <w:r>
        <w:rPr>
          <w:rFonts w:ascii="Times New Roman" w:cs="Times New Roman" w:eastAsia="Times New Roman" w:hAnsi="Times New Roman"/>
          <w:sz w:val="18"/>
          <w:szCs w:val="18"/>
          <w:color w:val="auto"/>
        </w:rPr>
        <w:t>Following unaudited pro forma results were prepared using the acquisition method of accounting and was based on the historical financial information of the Company and Microtek. In order to reflect the occurrence of the acquisition of January 1, 2023 as required, the unaudited pro forma financial information includes adjustments to reflect the incremental amortization expense to be incurred based on the current preliminary fair value of the intangible assets acquired, incremental cost of sales related to the fair value adjustments on acquisition-date inventory, and the reclassification of acquisition-related costs incurred during the year-ended December 31, 2024</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080"/>
          </w:cols>
          <w:pgMar w:left="320" w:top="452" w:right="49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ind w:left="160" w:right="200"/>
        <w:spacing w:after="0" w:line="263" w:lineRule="auto"/>
        <w:rPr>
          <w:sz w:val="20"/>
          <w:szCs w:val="20"/>
          <w:color w:val="auto"/>
        </w:rPr>
      </w:pPr>
      <w:r>
        <w:rPr>
          <w:rFonts w:ascii="Times New Roman" w:cs="Times New Roman" w:eastAsia="Times New Roman" w:hAnsi="Times New Roman"/>
          <w:sz w:val="18"/>
          <w:szCs w:val="18"/>
          <w:color w:val="auto"/>
        </w:rPr>
        <w:t>to the year-ended December 31, 2023. The pro forma results below are not necessarily indicative of the results that would have been if this acquisition had occurred on the dates indicated, nor are the pro forma results indicative of results which may occur in the future. The proforma result does not reflect any realization of cost savings or synergies associated with the acquisition.</w:t>
      </w:r>
    </w:p>
    <w:p>
      <w:pPr>
        <w:spacing w:after="0" w:line="196"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33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8"/>
        </w:trPr>
        <w:tc>
          <w:tcPr>
            <w:tcW w:w="33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84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740" w:type="dxa"/>
            <w:vAlign w:val="bottom"/>
          </w:tcPr>
          <w:p>
            <w:pPr>
              <w:spacing w:after="0"/>
              <w:rPr>
                <w:sz w:val="10"/>
                <w:szCs w:val="10"/>
                <w:color w:val="auto"/>
              </w:rPr>
            </w:pPr>
          </w:p>
        </w:tc>
        <w:tc>
          <w:tcPr>
            <w:tcW w:w="8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40" w:type="dxa"/>
            <w:vAlign w:val="bottom"/>
          </w:tcPr>
          <w:p>
            <w:pPr>
              <w:spacing w:after="0"/>
              <w:rPr>
                <w:sz w:val="10"/>
                <w:szCs w:val="10"/>
                <w:color w:val="auto"/>
              </w:rPr>
            </w:pPr>
          </w:p>
        </w:tc>
      </w:tr>
      <w:tr>
        <w:trPr>
          <w:trHeight w:val="170"/>
        </w:trPr>
        <w:tc>
          <w:tcPr>
            <w:tcW w:w="336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color w:val="auto"/>
              </w:rPr>
              <w:t>2024</w:t>
            </w:r>
          </w:p>
        </w:tc>
        <w:tc>
          <w:tcPr>
            <w:tcW w:w="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color w:val="auto"/>
              </w:rPr>
              <w:t>2023</w:t>
            </w:r>
          </w:p>
        </w:tc>
        <w:tc>
          <w:tcPr>
            <w:tcW w:w="40" w:type="dxa"/>
            <w:vAlign w:val="bottom"/>
            <w:tcBorders>
              <w:bottom w:val="single" w:sz="8" w:color="CCEEFF"/>
            </w:tcBorders>
          </w:tcPr>
          <w:p>
            <w:pPr>
              <w:spacing w:after="0"/>
              <w:rPr>
                <w:sz w:val="14"/>
                <w:szCs w:val="14"/>
                <w:color w:val="auto"/>
              </w:rPr>
            </w:pPr>
          </w:p>
        </w:tc>
      </w:tr>
      <w:tr>
        <w:trPr>
          <w:trHeight w:val="207"/>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25,689</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23,588</w:t>
            </w:r>
          </w:p>
        </w:tc>
        <w:tc>
          <w:tcPr>
            <w:tcW w:w="40" w:type="dxa"/>
            <w:vAlign w:val="bottom"/>
            <w:shd w:val="clear" w:color="auto" w:fill="CCEEFF"/>
          </w:tcPr>
          <w:p>
            <w:pPr>
              <w:spacing w:after="0"/>
              <w:rPr>
                <w:sz w:val="18"/>
                <w:szCs w:val="18"/>
                <w:color w:val="auto"/>
              </w:rPr>
            </w:pPr>
          </w:p>
        </w:tc>
      </w:tr>
      <w:tr>
        <w:trPr>
          <w:trHeight w:val="23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80" w:type="dxa"/>
            <w:vAlign w:val="bottom"/>
            <w:gridSpan w:val="2"/>
          </w:tcPr>
          <w:p>
            <w:pPr>
              <w:ind w:left="25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1,272</w:t>
            </w:r>
          </w:p>
        </w:tc>
        <w:tc>
          <w:tcPr>
            <w:tcW w:w="9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w:t>
            </w:r>
          </w:p>
        </w:tc>
      </w:tr>
    </w:tbl>
    <w:p>
      <w:pPr>
        <w:spacing w:after="0" w:line="177" w:lineRule="exact"/>
        <w:rPr>
          <w:sz w:val="20"/>
          <w:szCs w:val="20"/>
          <w:color w:val="auto"/>
        </w:rPr>
      </w:pPr>
    </w:p>
    <w:p>
      <w:pPr>
        <w:ind w:left="160"/>
        <w:spacing w:after="0" w:line="255" w:lineRule="auto"/>
        <w:rPr>
          <w:sz w:val="20"/>
          <w:szCs w:val="20"/>
          <w:color w:val="auto"/>
        </w:rPr>
      </w:pPr>
      <w:r>
        <w:rPr>
          <w:rFonts w:ascii="Times New Roman" w:cs="Times New Roman" w:eastAsia="Times New Roman" w:hAnsi="Times New Roman"/>
          <w:sz w:val="18"/>
          <w:szCs w:val="18"/>
          <w:color w:val="auto"/>
        </w:rPr>
        <w:t>For the period ended December 31, 2024, the Company incurred $25 of incremental cost of sales from the fair value step-ups on acquired Microtek inventory that was sold in 2024. The Company also incurred $11 of additional amortization expense from the current fair values of identifiable intangible assets acquired. The unaudited proforma combined financial information includes adjustments to reflect incremental amortization expense based on the current preliminary fair values of the identifiable intangible assets acquired and some immaterial nonrecurring transaction expenses directly attributable to the acquisition.</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Sinclair Dental</w:t>
      </w:r>
    </w:p>
    <w:p>
      <w:pPr>
        <w:spacing w:after="0" w:line="118" w:lineRule="exact"/>
        <w:rPr>
          <w:sz w:val="20"/>
          <w:szCs w:val="20"/>
          <w:color w:val="auto"/>
        </w:rPr>
      </w:pPr>
    </w:p>
    <w:p>
      <w:pPr>
        <w:ind w:left="160" w:right="100"/>
        <w:spacing w:after="0" w:line="255" w:lineRule="auto"/>
        <w:rPr>
          <w:sz w:val="20"/>
          <w:szCs w:val="20"/>
          <w:color w:val="auto"/>
        </w:rPr>
      </w:pPr>
      <w:r>
        <w:rPr>
          <w:rFonts w:ascii="Times New Roman" w:cs="Times New Roman" w:eastAsia="Times New Roman" w:hAnsi="Times New Roman"/>
          <w:sz w:val="18"/>
          <w:szCs w:val="18"/>
          <w:color w:val="auto"/>
        </w:rPr>
        <w:t>On February 1, 2024, the Company, through its indirect wholly-owned subsidiary Medline Canada, Corporation, acquired all the outstanding shares of Sinclair Dental Co. Ltd. (“Sinclair Dental”) pursuant to the terms of a share purchase agreement in exchange for $195 cash consideration. The primary purpose of the acquisition was to expand Medline Supply Chain Solutions business (defined in “Note 18 - Segment Information”) by creating synergies based on Sinclair Dental’s expertise in dental equipment and supplies distribution and expand the Company’s product and service offerings. The Company will also use its existing platform to expand margins on acquired Sinclair Dental contracts.</w:t>
      </w:r>
    </w:p>
    <w:p>
      <w:pPr>
        <w:spacing w:after="0" w:line="184" w:lineRule="exact"/>
        <w:rPr>
          <w:sz w:val="20"/>
          <w:szCs w:val="20"/>
          <w:color w:val="auto"/>
        </w:rPr>
      </w:pPr>
    </w:p>
    <w:p>
      <w:pPr>
        <w:ind w:left="160" w:right="240"/>
        <w:spacing w:after="0" w:line="255" w:lineRule="auto"/>
        <w:rPr>
          <w:sz w:val="20"/>
          <w:szCs w:val="20"/>
          <w:color w:val="auto"/>
        </w:rPr>
      </w:pPr>
      <w:r>
        <w:rPr>
          <w:rFonts w:ascii="Times New Roman" w:cs="Times New Roman" w:eastAsia="Times New Roman" w:hAnsi="Times New Roman"/>
          <w:sz w:val="18"/>
          <w:szCs w:val="18"/>
          <w:color w:val="auto"/>
        </w:rPr>
        <w:t>The acquisition met the requirements to be considered a business combination under ASC 805 and was accounted for using the acquisition method of accounting. Results of operations of this acquired business is included in the Company’s consolidated financial statements beginning from the date of acquisition. The Company has allocated the purchase price to the tangible and identifiable intangible assets acquired and liabilities assumed based on their fair market values at the acquisition date as required under ASC 805. The Sinclair Dental acquisition contributed $226 of net sales for the year ended December 31, 2024. The net income from the Sinclair Dental acquisition was immaterial for the year ended December 31, 2024.</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080"/>
          </w:cols>
          <w:pgMar w:left="320" w:top="452" w:right="49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18"/>
          <w:szCs w:val="18"/>
          <w:color w:val="auto"/>
        </w:rPr>
        <w:t>The Company has allocated the final purchase price to the assets acquired and the liabilities assumed based on their fair values as of February 1, 2024 as below:</w:t>
      </w:r>
    </w:p>
    <w:p>
      <w:pPr>
        <w:spacing w:after="0" w:line="183" w:lineRule="exact"/>
        <w:rPr>
          <w:sz w:val="20"/>
          <w:szCs w:val="20"/>
          <w:color w:val="auto"/>
        </w:rPr>
      </w:pPr>
    </w:p>
    <w:tbl>
      <w:tblPr>
        <w:tblLayout w:type="fixed"/>
        <w:tblInd w:w="1920" w:type="dxa"/>
        <w:tblCellMar>
          <w:top w:w="0" w:type="dxa"/>
          <w:left w:w="0" w:type="dxa"/>
          <w:bottom w:w="0" w:type="dxa"/>
          <w:right w:w="0" w:type="dxa"/>
        </w:tblCellMar>
      </w:tblPr>
      <w:tr>
        <w:trPr>
          <w:trHeight w:val="172"/>
        </w:trPr>
        <w:tc>
          <w:tcPr>
            <w:tcW w:w="680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7"/>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6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8"/>
                <w:szCs w:val="18"/>
                <w:color w:val="auto"/>
              </w:rPr>
            </w:pPr>
          </w:p>
        </w:tc>
      </w:tr>
      <w:tr>
        <w:trPr>
          <w:trHeight w:val="21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r>
      <w:tr>
        <w:trPr>
          <w:trHeight w:val="21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r>
      <w:tr>
        <w:trPr>
          <w:trHeight w:val="21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r>
      <w:tr>
        <w:trPr>
          <w:trHeight w:val="21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r>
      <w:tr>
        <w:trPr>
          <w:trHeight w:val="21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8"/>
                <w:szCs w:val="18"/>
                <w:color w:val="auto"/>
              </w:rPr>
            </w:pPr>
          </w:p>
        </w:tc>
      </w:tr>
      <w:tr>
        <w:trPr>
          <w:trHeight w:val="21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1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1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21"/>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18"/>
                <w:szCs w:val="18"/>
                <w:color w:val="auto"/>
              </w:rPr>
            </w:pPr>
          </w:p>
        </w:tc>
      </w:tr>
      <w:tr>
        <w:trPr>
          <w:trHeight w:val="221"/>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assets acquired, at fair value</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right="100"/>
        <w:spacing w:after="0" w:line="263" w:lineRule="auto"/>
        <w:rPr>
          <w:sz w:val="20"/>
          <w:szCs w:val="20"/>
          <w:color w:val="auto"/>
        </w:rPr>
      </w:pPr>
      <w:r>
        <w:rPr>
          <w:rFonts w:ascii="Times New Roman" w:cs="Times New Roman" w:eastAsia="Times New Roman" w:hAnsi="Times New Roman"/>
          <w:sz w:val="18"/>
          <w:szCs w:val="18"/>
          <w:color w:val="auto"/>
        </w:rPr>
        <w:t>The excess of the purchase price over the fair value of the net identifiable tangible and intangible assets was recorded as goodwill and is not deductible for tax purposes. Goodwill is comprised of expected synergies for the combined operations, trade name and customer relationships acquired in the business combination.</w:t>
      </w:r>
    </w:p>
    <w:p>
      <w:pPr>
        <w:spacing w:after="0" w:line="175" w:lineRule="exact"/>
        <w:rPr>
          <w:sz w:val="20"/>
          <w:szCs w:val="20"/>
          <w:color w:val="auto"/>
        </w:rPr>
      </w:pPr>
    </w:p>
    <w:p>
      <w:pPr>
        <w:ind w:left="160" w:right="20"/>
        <w:spacing w:after="0" w:line="255" w:lineRule="auto"/>
        <w:rPr>
          <w:sz w:val="20"/>
          <w:szCs w:val="20"/>
          <w:color w:val="auto"/>
        </w:rPr>
      </w:pPr>
      <w:r>
        <w:rPr>
          <w:rFonts w:ascii="Times New Roman" w:cs="Times New Roman" w:eastAsia="Times New Roman" w:hAnsi="Times New Roman"/>
          <w:sz w:val="18"/>
          <w:szCs w:val="18"/>
          <w:color w:val="auto"/>
        </w:rPr>
        <w:t>At the date of acquisition, the fair value for trade name was determined using the relief from royalty method and the fair values of customer relationship was determined using the excess earnings method. The Company considers the fair value of the intangible assets to be Level 3 measurements due to the significant estimates and assumptions used by management in establishing the estimated fair value which includes discount rates, revenue growth and royalty rates. The intangible assets acquired subject to amortization have a weighted average useful life of 13 years. Below is a summary of the intangible assets acquired in the acquisition:</w:t>
      </w:r>
    </w:p>
    <w:p>
      <w:pPr>
        <w:spacing w:after="0" w:line="205"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6540" w:type="dxa"/>
            <w:vAlign w:val="bottom"/>
          </w:tcPr>
          <w:p>
            <w:pPr>
              <w:spacing w:after="0"/>
              <w:rPr>
                <w:sz w:val="14"/>
                <w:szCs w:val="14"/>
                <w:color w:val="auto"/>
              </w:rPr>
            </w:pPr>
          </w:p>
        </w:tc>
        <w:tc>
          <w:tcPr>
            <w:tcW w:w="104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07"/>
        </w:trPr>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5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years</w:t>
            </w:r>
          </w:p>
        </w:tc>
        <w:tc>
          <w:tcPr>
            <w:tcW w:w="40" w:type="dxa"/>
            <w:vAlign w:val="bottom"/>
            <w:tcBorders>
              <w:top w:val="single" w:sz="8" w:color="CCEEFF"/>
            </w:tcBorders>
            <w:shd w:val="clear" w:color="auto" w:fill="CCEEFF"/>
          </w:tcPr>
          <w:p>
            <w:pPr>
              <w:spacing w:after="0"/>
              <w:rPr>
                <w:sz w:val="18"/>
                <w:szCs w:val="18"/>
                <w:color w:val="auto"/>
              </w:rPr>
            </w:pPr>
          </w:p>
        </w:tc>
      </w:tr>
      <w:tr>
        <w:trPr>
          <w:trHeight w:val="214"/>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spacing w:after="0"/>
              <w:rPr>
                <w:sz w:val="18"/>
                <w:szCs w:val="18"/>
                <w:color w:val="auto"/>
              </w:rPr>
            </w:pPr>
          </w:p>
        </w:tc>
        <w:tc>
          <w:tcPr>
            <w:tcW w:w="8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74</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 years</w:t>
            </w:r>
          </w:p>
        </w:tc>
      </w:tr>
      <w:tr>
        <w:trPr>
          <w:trHeight w:val="27"/>
        </w:trPr>
        <w:tc>
          <w:tcPr>
            <w:tcW w:w="6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4"/>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93</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right="1040"/>
        <w:spacing w:after="0" w:line="278" w:lineRule="auto"/>
        <w:rPr>
          <w:sz w:val="20"/>
          <w:szCs w:val="20"/>
          <w:color w:val="auto"/>
        </w:rPr>
      </w:pPr>
      <w:r>
        <w:rPr>
          <w:rFonts w:ascii="Times New Roman" w:cs="Times New Roman" w:eastAsia="Times New Roman" w:hAnsi="Times New Roman"/>
          <w:sz w:val="18"/>
          <w:szCs w:val="18"/>
          <w:color w:val="auto"/>
        </w:rPr>
        <w:t>Acquisition-related costs for Sinclair Dental are included in selling, general and administrative expenses in our consolidated statements of comprehensive income as incurred and are not material.</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United Medco</w:t>
      </w:r>
    </w:p>
    <w:p>
      <w:pPr>
        <w:spacing w:after="0" w:line="118" w:lineRule="exact"/>
        <w:rPr>
          <w:sz w:val="20"/>
          <w:szCs w:val="20"/>
          <w:color w:val="auto"/>
        </w:rPr>
      </w:pPr>
    </w:p>
    <w:p>
      <w:pPr>
        <w:ind w:left="160" w:right="100"/>
        <w:spacing w:after="0" w:line="255" w:lineRule="auto"/>
        <w:rPr>
          <w:sz w:val="20"/>
          <w:szCs w:val="20"/>
          <w:color w:val="auto"/>
        </w:rPr>
      </w:pPr>
      <w:r>
        <w:rPr>
          <w:rFonts w:ascii="Times New Roman" w:cs="Times New Roman" w:eastAsia="Times New Roman" w:hAnsi="Times New Roman"/>
          <w:sz w:val="18"/>
          <w:szCs w:val="18"/>
          <w:color w:val="auto"/>
        </w:rPr>
        <w:t>On January 4, 2024, the Company acquired 100% of the shares of United Medco, LLC. United Medco, LLC is a national wholesaler and distributor of over-the-counter drugs, personal care, and daily living products to the managed care marketplace. Total purchase consideration of $53 consisted of $33 cash consideration and a contingent liability at a fair value of $20 at closing. United Medco, LLC brought growth to the Company’s health plans business by augmenting the Company’s best-in-class distribution capabilities and expanding the Company’s supplemental benefits offerings. The Company gained access to United Medco, LLC’s valued customer base and further grew in the managed care space.</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040"/>
          </w:cols>
          <w:pgMar w:left="320" w:top="452" w:right="5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ind w:left="160" w:right="20"/>
        <w:spacing w:after="0" w:line="255" w:lineRule="auto"/>
        <w:rPr>
          <w:sz w:val="20"/>
          <w:szCs w:val="20"/>
          <w:color w:val="auto"/>
        </w:rPr>
      </w:pPr>
      <w:r>
        <w:rPr>
          <w:rFonts w:ascii="Times New Roman" w:cs="Times New Roman" w:eastAsia="Times New Roman" w:hAnsi="Times New Roman"/>
          <w:sz w:val="18"/>
          <w:szCs w:val="18"/>
          <w:color w:val="auto"/>
        </w:rPr>
        <w:t>The acquisition met the requirements to be considered a business combination under ASC 805 and was accounted for using the acquisition method of accounting. Results of operations of this acquired business is included in the Company’s consolidated financial statements beginning as of the date of acquisition. The Company has allocated the purchase price to the tangible and identifiable intangible assets acquired and liabilities assumed based on their fair market values at the acquisition date as required under ASC 805. The United Medco acquisition contributed $89 of net sales for the year ended December 31, 2024. The net income from the United Medco acquisition was immaterial for the year ended December 31, 2024.</w:t>
      </w:r>
    </w:p>
    <w:p>
      <w:pPr>
        <w:spacing w:after="0" w:line="184" w:lineRule="exact"/>
        <w:rPr>
          <w:sz w:val="20"/>
          <w:szCs w:val="20"/>
          <w:color w:val="auto"/>
        </w:rPr>
      </w:pPr>
    </w:p>
    <w:p>
      <w:pPr>
        <w:ind w:left="160" w:right="40"/>
        <w:spacing w:after="0" w:line="254" w:lineRule="auto"/>
        <w:rPr>
          <w:sz w:val="20"/>
          <w:szCs w:val="20"/>
          <w:color w:val="auto"/>
        </w:rPr>
      </w:pPr>
      <w:r>
        <w:rPr>
          <w:rFonts w:ascii="Times New Roman" w:cs="Times New Roman" w:eastAsia="Times New Roman" w:hAnsi="Times New Roman"/>
          <w:sz w:val="18"/>
          <w:szCs w:val="18"/>
          <w:color w:val="auto"/>
        </w:rPr>
        <w:t>The maximum payout under the contingent liability is $35 and will be paid over two years based on the defined metrics in 2024 and 2025. The Company recorded the contingent liability of $20 on the acquisition date. $8 was considered current and recorded as other current liabilities, and the remaining $12 was considered non-current and recorded as Other Long-Term Liabilities in the Company’s consolidated balance sheets. At the date of acquisition, the fair value of contingent consideration liability was estimated using a Monte Carlo simulation model. The contingent liability will be remeasured to fair value at each reporting date until the liability is resolved with changes in fair value being recognized within other operating expenses in the Company’s consolidated statements of comprehensive income.</w:t>
      </w:r>
    </w:p>
    <w:p>
      <w:pPr>
        <w:spacing w:after="0" w:line="184" w:lineRule="exact"/>
        <w:rPr>
          <w:sz w:val="20"/>
          <w:szCs w:val="20"/>
          <w:color w:val="auto"/>
        </w:rPr>
      </w:pPr>
    </w:p>
    <w:p>
      <w:pPr>
        <w:ind w:left="160" w:right="80"/>
        <w:spacing w:after="0" w:line="278" w:lineRule="auto"/>
        <w:rPr>
          <w:sz w:val="20"/>
          <w:szCs w:val="20"/>
          <w:color w:val="auto"/>
        </w:rPr>
      </w:pPr>
      <w:r>
        <w:rPr>
          <w:rFonts w:ascii="Times New Roman" w:cs="Times New Roman" w:eastAsia="Times New Roman" w:hAnsi="Times New Roman"/>
          <w:sz w:val="18"/>
          <w:szCs w:val="18"/>
          <w:color w:val="auto"/>
        </w:rPr>
        <w:t>The Company has allocated the final purchase price to the assets acquired and the liabilities assumed based on their fair values as of January 4, 2024 as below:</w:t>
      </w:r>
    </w:p>
    <w:p>
      <w:pPr>
        <w:spacing w:after="0" w:line="183" w:lineRule="exact"/>
        <w:rPr>
          <w:sz w:val="20"/>
          <w:szCs w:val="20"/>
          <w:color w:val="auto"/>
        </w:rPr>
      </w:pPr>
    </w:p>
    <w:tbl>
      <w:tblPr>
        <w:tblLayout w:type="fixed"/>
        <w:tblInd w:w="1920" w:type="dxa"/>
        <w:tblCellMar>
          <w:top w:w="0" w:type="dxa"/>
          <w:left w:w="0" w:type="dxa"/>
          <w:bottom w:w="0" w:type="dxa"/>
          <w:right w:w="0" w:type="dxa"/>
        </w:tblCellMar>
      </w:tblPr>
      <w:tr>
        <w:trPr>
          <w:trHeight w:val="172"/>
        </w:trPr>
        <w:tc>
          <w:tcPr>
            <w:tcW w:w="68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7"/>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8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1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1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1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6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assets acquired, at fair value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6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18"/>
          <w:szCs w:val="18"/>
          <w:color w:val="auto"/>
        </w:rPr>
        <w:t>The excess of the purchase price over the fair value of the net identifiable tangible and intangible assets was recorded as goodwill and is fully deductible for tax purposes. Goodwill is comprised of expected synergies for the combined operations.</w:t>
      </w:r>
    </w:p>
    <w:p>
      <w:pPr>
        <w:spacing w:after="0" w:line="162" w:lineRule="exact"/>
        <w:rPr>
          <w:sz w:val="20"/>
          <w:szCs w:val="20"/>
          <w:color w:val="auto"/>
        </w:rPr>
      </w:pPr>
    </w:p>
    <w:p>
      <w:pPr>
        <w:ind w:left="160" w:right="20"/>
        <w:spacing w:after="0" w:line="255" w:lineRule="auto"/>
        <w:rPr>
          <w:sz w:val="20"/>
          <w:szCs w:val="20"/>
          <w:color w:val="auto"/>
        </w:rPr>
      </w:pPr>
      <w:r>
        <w:rPr>
          <w:rFonts w:ascii="Times New Roman" w:cs="Times New Roman" w:eastAsia="Times New Roman" w:hAnsi="Times New Roman"/>
          <w:sz w:val="18"/>
          <w:szCs w:val="18"/>
          <w:color w:val="auto"/>
        </w:rPr>
        <w:t>At the date of acquisition, the fair value for trade name was determined using the relief from royalty method and the fair values of customer relationship was determined using the excess earnings method. The Company consider the fair value of the intangible assets to be Level 3 measurements due to the significant estimates and assumptions used by management in establishing the estimated fair value which includes discount rates, revenue growth and royalty rates. The intangible assets acquired subject to amortization have a weighted average useful life of 10 years. Below is a summary of the intangible assets acquired in the acquisition:</w:t>
      </w:r>
    </w:p>
    <w:p>
      <w:pPr>
        <w:spacing w:after="0" w:line="205"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28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07"/>
        </w:trPr>
        <w:tc>
          <w:tcPr>
            <w:tcW w:w="2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37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years</w:t>
            </w:r>
          </w:p>
        </w:tc>
        <w:tc>
          <w:tcPr>
            <w:tcW w:w="40" w:type="dxa"/>
            <w:vAlign w:val="bottom"/>
            <w:tcBorders>
              <w:top w:val="single" w:sz="8" w:color="CCEEFF"/>
            </w:tcBorders>
            <w:shd w:val="clear" w:color="auto" w:fill="CCEEFF"/>
          </w:tcPr>
          <w:p>
            <w:pPr>
              <w:spacing w:after="0"/>
              <w:rPr>
                <w:sz w:val="18"/>
                <w:szCs w:val="18"/>
                <w:color w:val="auto"/>
              </w:rPr>
            </w:pPr>
          </w:p>
        </w:tc>
      </w:tr>
      <w:tr>
        <w:trPr>
          <w:trHeight w:val="21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22</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 years</w:t>
            </w:r>
          </w:p>
        </w:tc>
      </w:tr>
      <w:tr>
        <w:trPr>
          <w:trHeight w:val="27"/>
        </w:trPr>
        <w:tc>
          <w:tcPr>
            <w:tcW w:w="28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4"/>
        </w:trPr>
        <w:tc>
          <w:tcPr>
            <w:tcW w:w="2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920" w:type="dxa"/>
            <w:vAlign w:val="bottom"/>
            <w:gridSpan w:val="2"/>
            <w:shd w:val="clear" w:color="auto" w:fill="CCEEFF"/>
          </w:tcPr>
          <w:p>
            <w:pPr>
              <w:ind w:left="37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24</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
        </w:trPr>
        <w:tc>
          <w:tcPr>
            <w:tcW w:w="28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5"/>
        </w:trPr>
        <w:tc>
          <w:tcPr>
            <w:tcW w:w="2820" w:type="dxa"/>
            <w:vAlign w:val="bottom"/>
          </w:tcPr>
          <w:p>
            <w:pPr>
              <w:spacing w:after="0"/>
              <w:rPr>
                <w:sz w:val="24"/>
                <w:szCs w:val="24"/>
                <w:color w:val="auto"/>
              </w:rPr>
            </w:pPr>
          </w:p>
        </w:tc>
        <w:tc>
          <w:tcPr>
            <w:tcW w:w="39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F-24</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40"/>
          </w:cols>
          <w:pgMar w:left="320" w:top="451" w:right="5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ind w:left="160" w:right="1100"/>
        <w:spacing w:after="0" w:line="278" w:lineRule="auto"/>
        <w:rPr>
          <w:sz w:val="20"/>
          <w:szCs w:val="20"/>
          <w:color w:val="auto"/>
        </w:rPr>
      </w:pPr>
      <w:r>
        <w:rPr>
          <w:rFonts w:ascii="Times New Roman" w:cs="Times New Roman" w:eastAsia="Times New Roman" w:hAnsi="Times New Roman"/>
          <w:sz w:val="18"/>
          <w:szCs w:val="18"/>
          <w:color w:val="auto"/>
        </w:rPr>
        <w:t>Acquisition-related costs for United Medco are included in selling, general and administrative expenses in our consolidated statements of comprehensive income as incurred and are not material.</w:t>
      </w:r>
    </w:p>
    <w:p>
      <w:pPr>
        <w:spacing w:after="0" w:line="162" w:lineRule="exact"/>
        <w:rPr>
          <w:sz w:val="20"/>
          <w:szCs w:val="20"/>
          <w:color w:val="auto"/>
        </w:rPr>
      </w:pPr>
    </w:p>
    <w:p>
      <w:pPr>
        <w:ind w:left="160" w:right="240"/>
        <w:spacing w:after="0" w:line="278" w:lineRule="auto"/>
        <w:rPr>
          <w:sz w:val="20"/>
          <w:szCs w:val="20"/>
          <w:color w:val="auto"/>
        </w:rPr>
      </w:pPr>
      <w:r>
        <w:rPr>
          <w:rFonts w:ascii="Times New Roman" w:cs="Times New Roman" w:eastAsia="Times New Roman" w:hAnsi="Times New Roman"/>
          <w:sz w:val="18"/>
          <w:szCs w:val="18"/>
          <w:color w:val="auto"/>
        </w:rPr>
        <w:t>Other than the Microtek acquisition, the pro forma impacts of the acquisitions during fiscal years 2024 were not material, either individually or in the aggregate, to the consolidated results of the Company.</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2023 Acquisition</w:t>
      </w:r>
    </w:p>
    <w:p>
      <w:pPr>
        <w:spacing w:after="0" w:line="118" w:lineRule="exact"/>
        <w:rPr>
          <w:sz w:val="20"/>
          <w:szCs w:val="20"/>
          <w:color w:val="auto"/>
        </w:rPr>
      </w:pPr>
    </w:p>
    <w:p>
      <w:pPr>
        <w:ind w:left="160" w:right="40"/>
        <w:spacing w:after="0"/>
        <w:rPr>
          <w:sz w:val="20"/>
          <w:szCs w:val="20"/>
          <w:color w:val="auto"/>
        </w:rPr>
      </w:pPr>
      <w:r>
        <w:rPr>
          <w:rFonts w:ascii="Times New Roman" w:cs="Times New Roman" w:eastAsia="Times New Roman" w:hAnsi="Times New Roman"/>
          <w:sz w:val="17"/>
          <w:szCs w:val="17"/>
          <w:color w:val="auto"/>
        </w:rPr>
        <w:t>On December 4, 2023, the Company completed the second step of the acquisition of the Hudson RCI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business, for consideration of $24. The Hudson RCI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business adds its brand of oxygen and aerosol therapy, active humidification and pulmonary hygiene products to the Company’s existing portfolio of respiratory products. The fair value allocated to assets acquired and liabilities assumed was $24, which includes $6 of goodwill. The costs associated with the acquisition were not material. The Company accounted for the transaction as a business combination in accordance with ASC 805.</w:t>
      </w:r>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2022 Acquisition</w:t>
      </w:r>
    </w:p>
    <w:p>
      <w:pPr>
        <w:spacing w:after="0" w:line="118" w:lineRule="exact"/>
        <w:rPr>
          <w:sz w:val="20"/>
          <w:szCs w:val="20"/>
          <w:color w:val="auto"/>
        </w:rPr>
      </w:pPr>
    </w:p>
    <w:p>
      <w:pPr>
        <w:ind w:left="160"/>
        <w:spacing w:after="0" w:line="255" w:lineRule="auto"/>
        <w:rPr>
          <w:sz w:val="20"/>
          <w:szCs w:val="20"/>
          <w:color w:val="auto"/>
        </w:rPr>
      </w:pPr>
      <w:r>
        <w:rPr>
          <w:rFonts w:ascii="Times New Roman" w:cs="Times New Roman" w:eastAsia="Times New Roman" w:hAnsi="Times New Roman"/>
          <w:sz w:val="18"/>
          <w:szCs w:val="18"/>
          <w:color w:val="auto"/>
        </w:rPr>
        <w:t>On May 11, 2022, the Company completed the acquisition to purchase all shares in Asid Bonz GmbH, a German-based distributor of healthcare supplies, from Medi-Globe Technologies GmbH, for a purchase price of $18. The acquisition expanded the Company’s footprint by increasing its access to the urological and anesthesia areas of hospitals and clinics in Europe. Additionally, it has strengthened the Company’s offering in critical care and other areas, such as respiratory. The assets acquired and liabilities assumed, and the acquisition-related costs were not material to the consolidated financial statements. The Company accounted for the transaction as a business combination.</w:t>
      </w:r>
    </w:p>
    <w:p>
      <w:pPr>
        <w:spacing w:after="0" w:line="184" w:lineRule="exact"/>
        <w:rPr>
          <w:sz w:val="20"/>
          <w:szCs w:val="20"/>
          <w:color w:val="auto"/>
        </w:rPr>
      </w:pPr>
    </w:p>
    <w:p>
      <w:pPr>
        <w:ind w:left="160" w:right="20"/>
        <w:spacing w:after="0" w:line="278" w:lineRule="auto"/>
        <w:rPr>
          <w:sz w:val="20"/>
          <w:szCs w:val="20"/>
          <w:color w:val="auto"/>
        </w:rPr>
      </w:pPr>
      <w:r>
        <w:rPr>
          <w:rFonts w:ascii="Times New Roman" w:cs="Times New Roman" w:eastAsia="Times New Roman" w:hAnsi="Times New Roman"/>
          <w:sz w:val="18"/>
          <w:szCs w:val="18"/>
          <w:color w:val="auto"/>
        </w:rPr>
        <w:t>The results of operations of acquired businesses and the pro forma impact of the acquisitions during fiscal years 2023 and 2022 were not material, either individually or in the aggregate, to the consolidated results of the Company.</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w:t>
      </w:r>
    </w:p>
    <w:p>
      <w:pPr>
        <w:spacing w:after="0" w:line="118" w:lineRule="exact"/>
        <w:rPr>
          <w:sz w:val="20"/>
          <w:szCs w:val="20"/>
          <w:color w:val="auto"/>
        </w:rPr>
      </w:pPr>
    </w:p>
    <w:p>
      <w:pPr>
        <w:ind w:left="160" w:right="20"/>
        <w:spacing w:after="0" w:line="254" w:lineRule="auto"/>
        <w:rPr>
          <w:sz w:val="20"/>
          <w:szCs w:val="20"/>
          <w:color w:val="auto"/>
        </w:rPr>
      </w:pPr>
      <w:r>
        <w:rPr>
          <w:rFonts w:ascii="Times New Roman" w:cs="Times New Roman" w:eastAsia="Times New Roman" w:hAnsi="Times New Roman"/>
          <w:sz w:val="18"/>
          <w:szCs w:val="18"/>
          <w:color w:val="auto"/>
        </w:rPr>
        <w:t>On October 11, 2023, the Company acquired a 20% equity interest in HCD Equity, LLC (“HCD”) by paying a total cash consideration of $10 and agreeing to transfer and assign to HCD certain customer contracts related to the Company’s managed care business. The underlying contracts were valued at $22 as of October 11, 2023 and were transferred in batches throughout 2024. As of December 31, 2023, the Company recorded an initial acquisition cost of $32 for the investment in HCD in other non-current assets of the Company’s consolidated balance sheets and a liability of $22 for the underlying contracts to be transferred in accrued expenses and other current liabilities in the Company’s consolidated balance sheets. As of December 31, 2024, the investment balance in HCD is $20. The Company’s maximum loss exposure is its investment in HCD.</w:t>
      </w:r>
    </w:p>
    <w:p>
      <w:pPr>
        <w:spacing w:after="0" w:line="184" w:lineRule="exact"/>
        <w:rPr>
          <w:sz w:val="20"/>
          <w:szCs w:val="20"/>
          <w:color w:val="auto"/>
        </w:rPr>
      </w:pPr>
    </w:p>
    <w:p>
      <w:pPr>
        <w:ind w:left="160" w:right="200"/>
        <w:spacing w:after="0" w:line="254" w:lineRule="auto"/>
        <w:rPr>
          <w:sz w:val="20"/>
          <w:szCs w:val="20"/>
          <w:color w:val="auto"/>
        </w:rPr>
      </w:pPr>
      <w:r>
        <w:rPr>
          <w:rFonts w:ascii="Times New Roman" w:cs="Times New Roman" w:eastAsia="Times New Roman" w:hAnsi="Times New Roman"/>
          <w:sz w:val="18"/>
          <w:szCs w:val="18"/>
          <w:color w:val="auto"/>
        </w:rPr>
        <w:t>The investment in HCD enables the Company to influence HCD’s operating and financial decisions, but not to control HCD. As such, the Company accounts for the investment in HCD using the equity method of accounting and records its share of losses in other (expense) income, net in the consolidated statements of comprehensive income. The results of operations since the date of acquisition were not material to the Company’s consolidated financial statements. The Company periodically assesses the equity investment in HCD for impairment by considering economic performance and current economic market conditions. No impairment charge was recorded for the years ended December 31, 2024 and December 31, 2023.</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060"/>
          </w:cols>
          <w:pgMar w:left="320" w:top="451" w:right="51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3 — INVENTORIES</w:t>
      </w:r>
    </w:p>
    <w:p>
      <w:pPr>
        <w:spacing w:after="0" w:line="1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Inventories consisted of the following as of:</w:t>
      </w:r>
    </w:p>
    <w:p>
      <w:pPr>
        <w:spacing w:after="0" w:line="228"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2"/>
        </w:trPr>
        <w:tc>
          <w:tcPr>
            <w:tcW w:w="5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4"/>
                <w:szCs w:val="14"/>
                <w:color w:val="auto"/>
              </w:rPr>
            </w:pPr>
          </w:p>
        </w:tc>
      </w:tr>
      <w:tr>
        <w:trPr>
          <w:trHeight w:val="207"/>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work in process, net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40" w:type="dxa"/>
            <w:vAlign w:val="bottom"/>
            <w:shd w:val="clear" w:color="auto" w:fill="CCEEFF"/>
          </w:tcPr>
          <w:p>
            <w:pPr>
              <w:spacing w:after="0"/>
              <w:rPr>
                <w:sz w:val="18"/>
                <w:szCs w:val="18"/>
                <w:color w:val="auto"/>
              </w:rPr>
            </w:pPr>
          </w:p>
        </w:tc>
      </w:tr>
      <w:tr>
        <w:trPr>
          <w:trHeight w:val="221"/>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 net</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40" w:type="dxa"/>
            <w:vAlign w:val="bottom"/>
          </w:tcPr>
          <w:p>
            <w:pPr>
              <w:spacing w:after="0"/>
              <w:rPr>
                <w:sz w:val="19"/>
                <w:szCs w:val="19"/>
                <w:color w:val="auto"/>
              </w:rPr>
            </w:pPr>
          </w:p>
        </w:tc>
      </w:tr>
      <w:tr>
        <w:trPr>
          <w:trHeight w:val="214"/>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4,456</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3,813</w:t>
            </w:r>
          </w:p>
        </w:tc>
      </w:tr>
      <w:tr>
        <w:trPr>
          <w:trHeight w:val="20"/>
        </w:trPr>
        <w:tc>
          <w:tcPr>
            <w:tcW w:w="5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right="260"/>
        <w:spacing w:after="0" w:line="263" w:lineRule="auto"/>
        <w:rPr>
          <w:sz w:val="20"/>
          <w:szCs w:val="20"/>
          <w:color w:val="auto"/>
        </w:rPr>
      </w:pPr>
      <w:r>
        <w:rPr>
          <w:rFonts w:ascii="Times New Roman" w:cs="Times New Roman" w:eastAsia="Times New Roman" w:hAnsi="Times New Roman"/>
          <w:sz w:val="18"/>
          <w:szCs w:val="18"/>
          <w:color w:val="auto"/>
        </w:rPr>
        <w:t>If LIFO inventories had been valued on a current cost or FIFO basis, they would have been greater by $276 and $223 as of December 31, 2024 and December 31, 2023, respectively. The inventory reserve for obsolescence was $35 and $26 as of December 31, 2024 and December 31, 2023, respectively.</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4 — PROPERTY, PLANT, AND EQUIPMENT</w:t>
      </w:r>
    </w:p>
    <w:p>
      <w:pPr>
        <w:spacing w:after="0" w:line="1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Property, plant, and equipment, net consists of the following as of:</w:t>
      </w:r>
    </w:p>
    <w:p>
      <w:pPr>
        <w:spacing w:after="0" w:line="228"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2"/>
        </w:trPr>
        <w:tc>
          <w:tcPr>
            <w:tcW w:w="5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r>
      <w:tr>
        <w:trPr>
          <w:trHeight w:val="20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equipment and fixtures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shd w:val="clear" w:color="auto" w:fill="CCEEFF"/>
          </w:tcPr>
          <w:p>
            <w:pPr>
              <w:spacing w:after="0"/>
              <w:rPr>
                <w:sz w:val="18"/>
                <w:szCs w:val="18"/>
                <w:color w:val="auto"/>
              </w:rPr>
            </w:pPr>
          </w:p>
        </w:tc>
      </w:tr>
      <w:tr>
        <w:trPr>
          <w:trHeight w:val="21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2,989</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2,915</w:t>
            </w:r>
          </w:p>
        </w:tc>
      </w:tr>
      <w:tr>
        <w:trPr>
          <w:trHeight w:val="21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640</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638</w:t>
            </w:r>
          </w:p>
        </w:tc>
      </w:tr>
      <w:tr>
        <w:trPr>
          <w:trHeight w:val="21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Auto and trucks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w:t>
            </w:r>
          </w:p>
        </w:tc>
      </w:tr>
      <w:tr>
        <w:trPr>
          <w:trHeight w:val="21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316</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r>
      <w:tr>
        <w:trPr>
          <w:trHeight w:val="21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1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21"/>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100" w:type="dxa"/>
            <w:vAlign w:val="bottom"/>
          </w:tcPr>
          <w:p>
            <w:pPr>
              <w:spacing w:after="0"/>
              <w:rPr>
                <w:sz w:val="19"/>
                <w:szCs w:val="19"/>
                <w:color w:val="auto"/>
              </w:rPr>
            </w:pPr>
          </w:p>
        </w:tc>
      </w:tr>
      <w:tr>
        <w:trPr>
          <w:trHeight w:val="21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(861)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(576)</w:t>
            </w:r>
          </w:p>
        </w:tc>
      </w:tr>
      <w:tr>
        <w:trPr>
          <w:trHeight w:val="221"/>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20" w:type="dxa"/>
            <w:vAlign w:val="bottom"/>
            <w:tcBorders>
              <w:bottom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10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60" w:right="140"/>
        <w:spacing w:after="0" w:line="278" w:lineRule="auto"/>
        <w:rPr>
          <w:sz w:val="20"/>
          <w:szCs w:val="20"/>
          <w:color w:val="auto"/>
        </w:rPr>
      </w:pPr>
      <w:r>
        <w:rPr>
          <w:rFonts w:ascii="Times New Roman" w:cs="Times New Roman" w:eastAsia="Times New Roman" w:hAnsi="Times New Roman"/>
          <w:sz w:val="18"/>
          <w:szCs w:val="18"/>
          <w:color w:val="auto"/>
        </w:rPr>
        <w:t>Depreciation expense related to property, plant, and equipment for the years ended December 31, 2024, December 31, 2023, and December 31, 2022 was $292, $289, and $273, respectively.</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5 — GOODWILL AND INTANGIBLE ASSETS</w:t>
      </w:r>
    </w:p>
    <w:p>
      <w:pPr>
        <w:spacing w:after="0" w:line="118" w:lineRule="exact"/>
        <w:rPr>
          <w:sz w:val="20"/>
          <w:szCs w:val="20"/>
          <w:color w:val="auto"/>
        </w:rPr>
      </w:pPr>
    </w:p>
    <w:p>
      <w:pPr>
        <w:jc w:val="both"/>
        <w:ind w:left="160" w:right="160"/>
        <w:spacing w:after="0" w:line="263" w:lineRule="auto"/>
        <w:rPr>
          <w:sz w:val="20"/>
          <w:szCs w:val="20"/>
          <w:color w:val="auto"/>
        </w:rPr>
      </w:pPr>
      <w:r>
        <w:rPr>
          <w:rFonts w:ascii="Times New Roman" w:cs="Times New Roman" w:eastAsia="Times New Roman" w:hAnsi="Times New Roman"/>
          <w:sz w:val="18"/>
          <w:szCs w:val="18"/>
          <w:color w:val="auto"/>
        </w:rPr>
        <w:t>During 2024, the Company reorganized operations to align around its two primary reportable segments, Medline Brand and Supply Chain Solutions. Subsequent to the reorganization, each of the reportable segments also represents a single reporting unit. See “Note 18 — Segment Information” for additional details.</w:t>
      </w:r>
    </w:p>
    <w:p>
      <w:pPr>
        <w:spacing w:after="0" w:line="175" w:lineRule="exact"/>
        <w:rPr>
          <w:sz w:val="20"/>
          <w:szCs w:val="20"/>
          <w:color w:val="auto"/>
        </w:rPr>
      </w:pPr>
    </w:p>
    <w:p>
      <w:pPr>
        <w:ind w:left="160"/>
        <w:spacing w:after="0" w:line="263" w:lineRule="auto"/>
        <w:rPr>
          <w:sz w:val="20"/>
          <w:szCs w:val="20"/>
          <w:color w:val="auto"/>
        </w:rPr>
      </w:pPr>
      <w:r>
        <w:rPr>
          <w:rFonts w:ascii="Times New Roman" w:cs="Times New Roman" w:eastAsia="Times New Roman" w:hAnsi="Times New Roman"/>
          <w:sz w:val="18"/>
          <w:szCs w:val="18"/>
          <w:color w:val="auto"/>
        </w:rPr>
        <w:t>In 2024, total goodwill of $8,070 was allocated to the new reporting units based on their relative fair value with $6,716 assigned to Medline Brand and $1,354 assigned to Supply Chain Solutions. In conjunction with the change in reportable segments, the Company evaluated goodwill for impairment, both before and after the segment change and determined that the goodwill was not impaired.</w:t>
      </w:r>
    </w:p>
    <w:p>
      <w:pPr>
        <w:spacing w:after="0" w:line="1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0920"/>
          </w:cols>
          <w:pgMar w:left="320" w:top="451" w:right="65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Changes in the carrying amount of goodwill were as follows:</w:t>
      </w:r>
    </w:p>
    <w:p>
      <w:pPr>
        <w:spacing w:after="0" w:line="23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5"/>
            <w:vMerge w:val="restart"/>
          </w:tcPr>
          <w:p>
            <w:pPr>
              <w:ind w:left="520"/>
              <w:spacing w:after="0"/>
              <w:rPr>
                <w:sz w:val="20"/>
                <w:szCs w:val="20"/>
                <w:color w:val="auto"/>
              </w:rPr>
            </w:pPr>
            <w:r>
              <w:rPr>
                <w:rFonts w:ascii="Times New Roman" w:cs="Times New Roman" w:eastAsia="Times New Roman" w:hAnsi="Times New Roman"/>
                <w:sz w:val="14"/>
                <w:szCs w:val="14"/>
                <w:color w:val="auto"/>
              </w:rPr>
              <w:t>Medline Brand</w:t>
            </w:r>
          </w:p>
        </w:tc>
        <w:tc>
          <w:tcPr>
            <w:tcW w:w="1580" w:type="dxa"/>
            <w:vAlign w:val="bottom"/>
            <w:gridSpan w:val="8"/>
          </w:tcPr>
          <w:p>
            <w:pPr>
              <w:ind w:left="400"/>
              <w:spacing w:after="0"/>
              <w:rPr>
                <w:sz w:val="20"/>
                <w:szCs w:val="20"/>
                <w:color w:val="auto"/>
              </w:rPr>
            </w:pPr>
            <w:r>
              <w:rPr>
                <w:rFonts w:ascii="Times New Roman" w:cs="Times New Roman" w:eastAsia="Times New Roman" w:hAnsi="Times New Roman"/>
                <w:sz w:val="14"/>
                <w:szCs w:val="14"/>
                <w:color w:val="auto"/>
              </w:rPr>
              <w:t>Supply Chain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5"/>
            <w:vMerge w:val="continue"/>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7"/>
          </w:tcPr>
          <w:p>
            <w:pPr>
              <w:jc w:val="right"/>
              <w:ind w:right="520"/>
              <w:spacing w:after="0"/>
              <w:rPr>
                <w:sz w:val="20"/>
                <w:szCs w:val="20"/>
                <w:color w:val="auto"/>
              </w:rPr>
            </w:pPr>
            <w:r>
              <w:rPr>
                <w:rFonts w:ascii="Times New Roman" w:cs="Times New Roman" w:eastAsia="Times New Roman" w:hAnsi="Times New Roman"/>
                <w:sz w:val="14"/>
                <w:szCs w:val="14"/>
                <w:color w:val="auto"/>
              </w:rPr>
              <w:t>Solutions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left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$ 7,526</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$ 7,532</w:t>
            </w:r>
          </w:p>
        </w:tc>
        <w:tc>
          <w:tcPr>
            <w:tcW w:w="120" w:type="dxa"/>
            <w:vAlign w:val="bottom"/>
            <w:tcBorders>
              <w:left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to reporting segments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28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$ 8,070</w:t>
            </w:r>
          </w:p>
        </w:tc>
        <w:tc>
          <w:tcPr>
            <w:tcW w:w="120" w:type="dxa"/>
            <w:vAlign w:val="bottom"/>
            <w:tcBorders>
              <w:left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vMerge w:val="restart"/>
          </w:tcPr>
          <w:p>
            <w:pPr>
              <w:spacing w:after="0"/>
              <w:rPr>
                <w:sz w:val="2"/>
                <w:szCs w:val="2"/>
                <w:color w:val="auto"/>
              </w:rPr>
            </w:pPr>
          </w:p>
        </w:tc>
        <w:tc>
          <w:tcPr>
            <w:tcW w:w="3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28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$ 8,065</w:t>
            </w:r>
          </w:p>
        </w:tc>
        <w:tc>
          <w:tcPr>
            <w:tcW w:w="120" w:type="dxa"/>
            <w:vAlign w:val="bottom"/>
            <w:tcBorders>
              <w:left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Identifiable intangible assets consist of the following as of:</w:t>
            </w: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4860" w:type="dxa"/>
            <w:vAlign w:val="bottom"/>
            <w:gridSpan w:val="5"/>
            <w:vMerge w:val="continue"/>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9"/>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88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color w:val="auto"/>
              </w:rPr>
              <w:t>Weighted</w:t>
            </w: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w w:val="97"/>
              </w:rPr>
              <w:t>Gross</w:t>
            </w: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w w:val="98"/>
              </w:rPr>
              <w:t>Net</w:t>
            </w:r>
          </w:p>
        </w:tc>
        <w:tc>
          <w:tcPr>
            <w:tcW w:w="720" w:type="dxa"/>
            <w:vAlign w:val="bottom"/>
            <w:gridSpan w:val="3"/>
          </w:tcPr>
          <w:p>
            <w:pPr>
              <w:jc w:val="center"/>
              <w:ind w:right="60"/>
              <w:spacing w:after="0" w:line="118" w:lineRule="exact"/>
              <w:rPr>
                <w:sz w:val="20"/>
                <w:szCs w:val="20"/>
                <w:color w:val="auto"/>
              </w:rPr>
            </w:pPr>
            <w:r>
              <w:rPr>
                <w:rFonts w:ascii="Times New Roman" w:cs="Times New Roman" w:eastAsia="Times New Roman" w:hAnsi="Times New Roman"/>
                <w:sz w:val="13"/>
                <w:szCs w:val="13"/>
                <w:color w:val="auto"/>
              </w:rPr>
              <w:t>Weighted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Gross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w w:val="98"/>
              </w:rPr>
              <w:t>Net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8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color w:val="auto"/>
                <w:w w:val="96"/>
              </w:rPr>
              <w:t>Average</w:t>
            </w:r>
          </w:p>
        </w:tc>
        <w:tc>
          <w:tcPr>
            <w:tcW w:w="820" w:type="dxa"/>
            <w:vAlign w:val="bottom"/>
            <w:gridSpan w:val="2"/>
            <w:vMerge w:val="continue"/>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20" w:type="dxa"/>
            <w:vAlign w:val="bottom"/>
            <w:gridSpan w:val="3"/>
          </w:tcPr>
          <w:p>
            <w:pPr>
              <w:jc w:val="center"/>
              <w:ind w:right="80"/>
              <w:spacing w:after="0" w:line="147" w:lineRule="exact"/>
              <w:rPr>
                <w:sz w:val="20"/>
                <w:szCs w:val="20"/>
                <w:color w:val="auto"/>
              </w:rPr>
            </w:pPr>
            <w:r>
              <w:rPr>
                <w:rFonts w:ascii="Times New Roman" w:cs="Times New Roman" w:eastAsia="Times New Roman" w:hAnsi="Times New Roman"/>
                <w:sz w:val="14"/>
                <w:szCs w:val="14"/>
                <w:color w:val="auto"/>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8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color w:val="auto"/>
              </w:rPr>
              <w:t>Remaining</w:t>
            </w:r>
          </w:p>
        </w:tc>
        <w:tc>
          <w:tcPr>
            <w:tcW w:w="82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color w:val="auto"/>
              </w:rPr>
              <w:t>Carrying</w:t>
            </w:r>
          </w:p>
        </w:tc>
        <w:tc>
          <w:tcPr>
            <w:tcW w:w="1040" w:type="dxa"/>
            <w:vAlign w:val="bottom"/>
            <w:gridSpan w:val="3"/>
            <w:vMerge w:val="continue"/>
          </w:tcPr>
          <w:p>
            <w:pPr>
              <w:spacing w:after="0"/>
              <w:rPr>
                <w:sz w:val="12"/>
                <w:szCs w:val="12"/>
                <w:color w:val="auto"/>
              </w:rPr>
            </w:pPr>
          </w:p>
        </w:tc>
        <w:tc>
          <w:tcPr>
            <w:tcW w:w="820" w:type="dxa"/>
            <w:vAlign w:val="bottom"/>
            <w:gridSpan w:val="3"/>
          </w:tcPr>
          <w:p>
            <w:pPr>
              <w:jc w:val="center"/>
              <w:ind w:right="240"/>
              <w:spacing w:after="0" w:line="147" w:lineRule="exact"/>
              <w:rPr>
                <w:sz w:val="20"/>
                <w:szCs w:val="20"/>
                <w:color w:val="auto"/>
              </w:rPr>
            </w:pPr>
            <w:r>
              <w:rPr>
                <w:rFonts w:ascii="Times New Roman" w:cs="Times New Roman" w:eastAsia="Times New Roman" w:hAnsi="Times New Roman"/>
                <w:sz w:val="14"/>
                <w:szCs w:val="14"/>
                <w:color w:val="auto"/>
              </w:rPr>
              <w:t>Carrying</w:t>
            </w:r>
          </w:p>
        </w:tc>
        <w:tc>
          <w:tcPr>
            <w:tcW w:w="720" w:type="dxa"/>
            <w:vAlign w:val="bottom"/>
            <w:gridSpan w:val="3"/>
          </w:tcPr>
          <w:p>
            <w:pPr>
              <w:jc w:val="center"/>
              <w:ind w:right="60"/>
              <w:spacing w:after="0" w:line="147" w:lineRule="exact"/>
              <w:rPr>
                <w:sz w:val="20"/>
                <w:szCs w:val="20"/>
                <w:color w:val="auto"/>
              </w:rPr>
            </w:pPr>
            <w:r>
              <w:rPr>
                <w:rFonts w:ascii="Times New Roman" w:cs="Times New Roman" w:eastAsia="Times New Roman" w:hAnsi="Times New Roman"/>
                <w:sz w:val="14"/>
                <w:szCs w:val="14"/>
                <w:color w:val="auto"/>
              </w:rPr>
              <w:t>Remaining</w:t>
            </w:r>
          </w:p>
        </w:tc>
        <w:tc>
          <w:tcPr>
            <w:tcW w:w="160" w:type="dxa"/>
            <w:vAlign w:val="bottom"/>
          </w:tcPr>
          <w:p>
            <w:pPr>
              <w:spacing w:after="0"/>
              <w:rPr>
                <w:sz w:val="12"/>
                <w:szCs w:val="12"/>
                <w:color w:val="auto"/>
              </w:rPr>
            </w:pPr>
          </w:p>
        </w:tc>
        <w:tc>
          <w:tcPr>
            <w:tcW w:w="700" w:type="dxa"/>
            <w:vAlign w:val="bottom"/>
            <w:gridSpan w:val="4"/>
          </w:tcPr>
          <w:p>
            <w:pPr>
              <w:jc w:val="center"/>
              <w:ind w:right="120"/>
              <w:spacing w:after="0" w:line="147" w:lineRule="exact"/>
              <w:rPr>
                <w:sz w:val="20"/>
                <w:szCs w:val="20"/>
                <w:color w:val="auto"/>
              </w:rPr>
            </w:pPr>
            <w:r>
              <w:rPr>
                <w:rFonts w:ascii="Times New Roman" w:cs="Times New Roman" w:eastAsia="Times New Roman" w:hAnsi="Times New Roman"/>
                <w:sz w:val="14"/>
                <w:szCs w:val="14"/>
                <w:color w:val="auto"/>
              </w:rPr>
              <w:t>Carrying</w:t>
            </w:r>
          </w:p>
        </w:tc>
        <w:tc>
          <w:tcPr>
            <w:tcW w:w="120" w:type="dxa"/>
            <w:vAlign w:val="bottom"/>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640" w:type="dxa"/>
            <w:vAlign w:val="bottom"/>
            <w:gridSpan w:val="3"/>
          </w:tcPr>
          <w:p>
            <w:pPr>
              <w:jc w:val="center"/>
              <w:ind w:right="60"/>
              <w:spacing w:after="0" w:line="147" w:lineRule="exact"/>
              <w:rPr>
                <w:sz w:val="20"/>
                <w:szCs w:val="20"/>
                <w:color w:val="auto"/>
              </w:rPr>
            </w:pPr>
            <w:r>
              <w:rPr>
                <w:rFonts w:ascii="Times New Roman" w:cs="Times New Roman" w:eastAsia="Times New Roman" w:hAnsi="Times New Roman"/>
                <w:sz w:val="14"/>
                <w:szCs w:val="14"/>
                <w:color w:val="auto"/>
              </w:rPr>
              <w:t>Carrying</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Useful Life</w:t>
            </w: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Amount</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Amortization</w:t>
            </w:r>
          </w:p>
        </w:tc>
        <w:tc>
          <w:tcPr>
            <w:tcW w:w="8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Amount</w:t>
            </w:r>
          </w:p>
        </w:tc>
        <w:tc>
          <w:tcPr>
            <w:tcW w:w="7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Useful Life</w:t>
            </w:r>
          </w:p>
        </w:tc>
        <w:tc>
          <w:tcPr>
            <w:tcW w:w="160" w:type="dxa"/>
            <w:vAlign w:val="bottom"/>
          </w:tcPr>
          <w:p>
            <w:pPr>
              <w:spacing w:after="0"/>
              <w:rPr>
                <w:sz w:val="14"/>
                <w:szCs w:val="14"/>
                <w:color w:val="auto"/>
              </w:rPr>
            </w:pPr>
          </w:p>
        </w:tc>
        <w:tc>
          <w:tcPr>
            <w:tcW w:w="7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4"/>
                <w:szCs w:val="14"/>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Amortization</w:t>
            </w:r>
          </w:p>
        </w:tc>
        <w:tc>
          <w:tcPr>
            <w:tcW w:w="6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60" w:type="dxa"/>
            <w:vAlign w:val="bottom"/>
            <w:tcBorders>
              <w:top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Finite-lived intangible assets:</w:t>
            </w: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right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left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left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$10,679</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8,892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2"/>
              </w:rPr>
              <w:t>10,499</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w:t>
            </w: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1,817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12,845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2"/>
              </w:rPr>
              <w:t>10,729</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2"/>
              </w:rPr>
              <w:t>12,450</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Indefinite-lived trade names</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$ 3,830</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16,675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2"/>
              </w:rPr>
              <w:t>14,559</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2"/>
              </w:rPr>
              <w:t>16,220</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2"/>
              </w:rPr>
              <w:t>14,788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right="180"/>
        <w:spacing w:after="0" w:line="263" w:lineRule="auto"/>
        <w:rPr>
          <w:sz w:val="20"/>
          <w:szCs w:val="20"/>
          <w:color w:val="auto"/>
        </w:rPr>
      </w:pPr>
      <w:r>
        <w:rPr>
          <w:rFonts w:ascii="Times New Roman" w:cs="Times New Roman" w:eastAsia="Times New Roman" w:hAnsi="Times New Roman"/>
          <w:sz w:val="18"/>
          <w:szCs w:val="18"/>
          <w:color w:val="auto"/>
        </w:rPr>
        <w:t>The net carrying amount of intangible assets, net as of December 31, 2024 includes the preliminary fair values for customer relationships, trade names and developed technology assets based on management’s preliminary estimate of fair value. See “Note 2 — Acquisitions and Equity Investment” for further details.</w:t>
      </w:r>
    </w:p>
    <w:p>
      <w:pPr>
        <w:spacing w:after="0" w:line="175" w:lineRule="exact"/>
        <w:rPr>
          <w:sz w:val="20"/>
          <w:szCs w:val="20"/>
          <w:color w:val="auto"/>
        </w:rPr>
      </w:pPr>
    </w:p>
    <w:p>
      <w:pPr>
        <w:ind w:left="160" w:right="280"/>
        <w:spacing w:after="0" w:line="278" w:lineRule="auto"/>
        <w:rPr>
          <w:sz w:val="20"/>
          <w:szCs w:val="20"/>
          <w:color w:val="auto"/>
        </w:rPr>
      </w:pPr>
      <w:r>
        <w:rPr>
          <w:rFonts w:ascii="Times New Roman" w:cs="Times New Roman" w:eastAsia="Times New Roman" w:hAnsi="Times New Roman"/>
          <w:sz w:val="18"/>
          <w:szCs w:val="18"/>
          <w:color w:val="auto"/>
        </w:rPr>
        <w:t>The annual impairment testing performed did not indicate any impairment of intangible assets for the years ended December 31, 2024, December 31, 2023, and December 31, 2022.</w:t>
      </w:r>
    </w:p>
    <w:p>
      <w:pPr>
        <w:spacing w:after="0" w:line="1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weighted-average amortization periods for definite lived intangible assets acquired during the year ended December 31, 2024 are as follows:</w:t>
      </w:r>
    </w:p>
    <w:p>
      <w:pPr>
        <w:spacing w:after="0" w:line="243" w:lineRule="exact"/>
        <w:rPr>
          <w:sz w:val="20"/>
          <w:szCs w:val="20"/>
          <w:color w:val="auto"/>
        </w:rPr>
      </w:pPr>
    </w:p>
    <w:tbl>
      <w:tblPr>
        <w:tblLayout w:type="fixed"/>
        <w:tblInd w:w="192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Life (Years)</w:t>
            </w:r>
          </w:p>
        </w:tc>
      </w:tr>
      <w:tr>
        <w:trPr>
          <w:trHeight w:val="207"/>
        </w:trPr>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Borders>
              <w:top w:val="single" w:sz="8" w:color="CCEEFF"/>
            </w:tcBorders>
            <w:shd w:val="clear" w:color="auto" w:fill="CCEEFF"/>
          </w:tcPr>
          <w:p>
            <w:pPr>
              <w:spacing w:after="0"/>
              <w:rPr>
                <w:sz w:val="18"/>
                <w:szCs w:val="18"/>
                <w:color w:val="auto"/>
              </w:rPr>
            </w:pPr>
          </w:p>
        </w:tc>
      </w:tr>
      <w:tr>
        <w:trPr>
          <w:trHeight w:val="21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3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8"/>
                <w:szCs w:val="18"/>
                <w:color w:val="auto"/>
              </w:rPr>
            </w:pPr>
          </w:p>
        </w:tc>
      </w:tr>
      <w:tr>
        <w:trPr>
          <w:trHeight w:val="214"/>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4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3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amortization period (Total)</w:t>
            </w:r>
          </w:p>
        </w:tc>
        <w:tc>
          <w:tcPr>
            <w:tcW w:w="4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343"/>
        </w:trPr>
        <w:tc>
          <w:tcPr>
            <w:tcW w:w="3400" w:type="dxa"/>
            <w:vAlign w:val="bottom"/>
          </w:tcPr>
          <w:p>
            <w:pPr>
              <w:spacing w:after="0"/>
              <w:rPr>
                <w:sz w:val="24"/>
                <w:szCs w:val="24"/>
                <w:color w:val="auto"/>
              </w:rPr>
            </w:pPr>
          </w:p>
        </w:tc>
        <w:tc>
          <w:tcPr>
            <w:tcW w:w="4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F-27</w:t>
            </w:r>
          </w:p>
        </w:tc>
      </w:tr>
    </w:tbl>
    <w:p>
      <w:pPr>
        <w:sectPr>
          <w:pgSz w:w="11900" w:h="16838" w:orient="portrait"/>
          <w:cols w:equalWidth="0" w:num="1">
            <w:col w:w="11080"/>
          </w:cols>
          <w:pgMar w:left="320" w:top="451" w:right="49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1760" w:type="dxa"/>
            <w:vAlign w:val="bottom"/>
          </w:tcPr>
          <w:p>
            <w:pPr>
              <w:spacing w:after="0"/>
              <w:rPr>
                <w:sz w:val="18"/>
                <w:szCs w:val="18"/>
                <w:color w:val="auto"/>
              </w:rPr>
            </w:pPr>
          </w:p>
        </w:tc>
        <w:tc>
          <w:tcPr>
            <w:tcW w:w="614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MEDLINE HOLDINGS, LP AND SUBSIDIARIES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3"/>
        </w:trPr>
        <w:tc>
          <w:tcPr>
            <w:tcW w:w="1760" w:type="dxa"/>
            <w:vAlign w:val="bottom"/>
          </w:tcPr>
          <w:p>
            <w:pPr>
              <w:spacing w:after="0"/>
              <w:rPr>
                <w:sz w:val="20"/>
                <w:szCs w:val="20"/>
                <w:color w:val="auto"/>
              </w:rPr>
            </w:pPr>
          </w:p>
        </w:tc>
        <w:tc>
          <w:tcPr>
            <w:tcW w:w="614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(Dollars/units in millions)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133"/>
        </w:trPr>
        <w:tc>
          <w:tcPr>
            <w:tcW w:w="1760" w:type="dxa"/>
            <w:vAlign w:val="bottom"/>
            <w:tcBorders>
              <w:bottom w:val="single" w:sz="8" w:color="auto"/>
            </w:tcBorders>
          </w:tcPr>
          <w:p>
            <w:pPr>
              <w:spacing w:after="0"/>
              <w:rPr>
                <w:sz w:val="11"/>
                <w:szCs w:val="11"/>
                <w:color w:val="auto"/>
              </w:rPr>
            </w:pPr>
          </w:p>
        </w:tc>
        <w:tc>
          <w:tcPr>
            <w:tcW w:w="6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r>
      <w:tr>
        <w:trPr>
          <w:trHeight w:val="248"/>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amortization expense over the next five years and thereafter is as follows:</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387"/>
        </w:trPr>
        <w:tc>
          <w:tcPr>
            <w:tcW w:w="17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Total</w:t>
            </w:r>
          </w:p>
        </w:tc>
      </w:tr>
      <w:tr>
        <w:trPr>
          <w:trHeight w:val="207"/>
        </w:trPr>
        <w:tc>
          <w:tcPr>
            <w:tcW w:w="176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820" w:type="dxa"/>
            <w:vAlign w:val="bottom"/>
            <w:tcBorders>
              <w:left w:val="single" w:sz="8" w:color="CCEEFF"/>
            </w:tcBorders>
          </w:tcPr>
          <w:p>
            <w:pPr>
              <w:spacing w:after="0"/>
              <w:rPr>
                <w:sz w:val="18"/>
                <w:szCs w:val="18"/>
                <w:color w:val="auto"/>
              </w:rPr>
            </w:pPr>
          </w:p>
        </w:tc>
      </w:tr>
      <w:tr>
        <w:trPr>
          <w:trHeight w:val="214"/>
        </w:trPr>
        <w:tc>
          <w:tcPr>
            <w:tcW w:w="176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820" w:type="dxa"/>
            <w:vAlign w:val="bottom"/>
          </w:tcPr>
          <w:p>
            <w:pPr>
              <w:spacing w:after="0"/>
              <w:rPr>
                <w:sz w:val="18"/>
                <w:szCs w:val="18"/>
                <w:color w:val="auto"/>
              </w:rPr>
            </w:pPr>
          </w:p>
        </w:tc>
      </w:tr>
      <w:tr>
        <w:trPr>
          <w:trHeight w:val="214"/>
        </w:trPr>
        <w:tc>
          <w:tcPr>
            <w:tcW w:w="176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820" w:type="dxa"/>
            <w:vAlign w:val="bottom"/>
            <w:tcBorders>
              <w:left w:val="single" w:sz="8" w:color="CCEEFF"/>
            </w:tcBorders>
          </w:tcPr>
          <w:p>
            <w:pPr>
              <w:spacing w:after="0"/>
              <w:rPr>
                <w:sz w:val="18"/>
                <w:szCs w:val="18"/>
                <w:color w:val="auto"/>
              </w:rPr>
            </w:pPr>
          </w:p>
        </w:tc>
      </w:tr>
      <w:tr>
        <w:trPr>
          <w:trHeight w:val="214"/>
        </w:trPr>
        <w:tc>
          <w:tcPr>
            <w:tcW w:w="176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820" w:type="dxa"/>
            <w:vAlign w:val="bottom"/>
          </w:tcPr>
          <w:p>
            <w:pPr>
              <w:spacing w:after="0"/>
              <w:rPr>
                <w:sz w:val="18"/>
                <w:szCs w:val="18"/>
                <w:color w:val="auto"/>
              </w:rPr>
            </w:pPr>
          </w:p>
        </w:tc>
      </w:tr>
      <w:tr>
        <w:trPr>
          <w:trHeight w:val="214"/>
        </w:trPr>
        <w:tc>
          <w:tcPr>
            <w:tcW w:w="176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820" w:type="dxa"/>
            <w:vAlign w:val="bottom"/>
            <w:tcBorders>
              <w:left w:val="single" w:sz="8" w:color="CCEEFF"/>
            </w:tcBorders>
          </w:tcPr>
          <w:p>
            <w:pPr>
              <w:spacing w:after="0"/>
              <w:rPr>
                <w:sz w:val="18"/>
                <w:szCs w:val="18"/>
                <w:color w:val="auto"/>
              </w:rPr>
            </w:pPr>
          </w:p>
        </w:tc>
      </w:tr>
      <w:tr>
        <w:trPr>
          <w:trHeight w:val="214"/>
        </w:trPr>
        <w:tc>
          <w:tcPr>
            <w:tcW w:w="176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7,225</w:t>
            </w:r>
          </w:p>
        </w:tc>
        <w:tc>
          <w:tcPr>
            <w:tcW w:w="1820" w:type="dxa"/>
            <w:vAlign w:val="bottom"/>
          </w:tcPr>
          <w:p>
            <w:pPr>
              <w:spacing w:after="0"/>
              <w:rPr>
                <w:sz w:val="18"/>
                <w:szCs w:val="18"/>
                <w:color w:val="auto"/>
              </w:rPr>
            </w:pPr>
          </w:p>
        </w:tc>
      </w:tr>
      <w:tr>
        <w:trPr>
          <w:trHeight w:val="27"/>
        </w:trPr>
        <w:tc>
          <w:tcPr>
            <w:tcW w:w="1760" w:type="dxa"/>
            <w:vAlign w:val="bottom"/>
          </w:tcPr>
          <w:p>
            <w:pPr>
              <w:spacing w:after="0"/>
              <w:rPr>
                <w:sz w:val="2"/>
                <w:szCs w:val="2"/>
                <w:color w:val="auto"/>
              </w:rPr>
            </w:pPr>
          </w:p>
        </w:tc>
        <w:tc>
          <w:tcPr>
            <w:tcW w:w="6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20" w:type="dxa"/>
            <w:vAlign w:val="bottom"/>
          </w:tcPr>
          <w:p>
            <w:pPr>
              <w:spacing w:after="0"/>
              <w:rPr>
                <w:sz w:val="2"/>
                <w:szCs w:val="2"/>
                <w:color w:val="auto"/>
              </w:rPr>
            </w:pPr>
          </w:p>
        </w:tc>
      </w:tr>
      <w:tr>
        <w:trPr>
          <w:trHeight w:val="214"/>
        </w:trPr>
        <w:tc>
          <w:tcPr>
            <w:tcW w:w="1760" w:type="dxa"/>
            <w:vAlign w:val="bottom"/>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10,729</w:t>
            </w:r>
          </w:p>
        </w:tc>
        <w:tc>
          <w:tcPr>
            <w:tcW w:w="1820" w:type="dxa"/>
            <w:vAlign w:val="bottom"/>
            <w:tcBorders>
              <w:left w:val="single" w:sz="8" w:color="CCEEFF"/>
            </w:tcBorders>
          </w:tcPr>
          <w:p>
            <w:pPr>
              <w:spacing w:after="0"/>
              <w:rPr>
                <w:sz w:val="18"/>
                <w:szCs w:val="18"/>
                <w:color w:val="auto"/>
              </w:rPr>
            </w:pPr>
          </w:p>
        </w:tc>
      </w:tr>
      <w:tr>
        <w:trPr>
          <w:trHeight w:val="20"/>
        </w:trPr>
        <w:tc>
          <w:tcPr>
            <w:tcW w:w="17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312" w:lineRule="exact"/>
        <w:rPr>
          <w:sz w:val="20"/>
          <w:szCs w:val="20"/>
          <w:color w:val="auto"/>
        </w:rPr>
      </w:pPr>
    </w:p>
    <w:p>
      <w:pPr>
        <w:ind w:left="160" w:right="4960"/>
        <w:spacing w:after="0" w:line="444" w:lineRule="auto"/>
        <w:rPr>
          <w:sz w:val="20"/>
          <w:szCs w:val="20"/>
          <w:color w:val="auto"/>
        </w:rPr>
      </w:pPr>
      <w:r>
        <w:rPr>
          <w:rFonts w:ascii="Times New Roman" w:cs="Times New Roman" w:eastAsia="Times New Roman" w:hAnsi="Times New Roman"/>
          <w:sz w:val="17"/>
          <w:szCs w:val="17"/>
          <w:b w:val="1"/>
          <w:bCs w:val="1"/>
          <w:color w:val="auto"/>
        </w:rPr>
        <w:t xml:space="preserve">NOTE 6 — ACCRUED EXPENSES AND OTHER CURRENT LIABILITIES </w:t>
      </w:r>
      <w:r>
        <w:rPr>
          <w:rFonts w:ascii="Times New Roman" w:cs="Times New Roman" w:eastAsia="Times New Roman" w:hAnsi="Times New Roman"/>
          <w:sz w:val="17"/>
          <w:szCs w:val="17"/>
          <w:color w:val="auto"/>
        </w:rPr>
        <w:t>The elements of accrued expenses and other current liabilities are as follows as of:</w:t>
      </w:r>
    </w:p>
    <w:p>
      <w:pPr>
        <w:spacing w:after="0" w:line="36"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700" w:type="dxa"/>
            <w:vAlign w:val="bottom"/>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2"/>
        </w:trPr>
        <w:tc>
          <w:tcPr>
            <w:tcW w:w="20" w:type="dxa"/>
            <w:vAlign w:val="bottom"/>
          </w:tcPr>
          <w:p>
            <w:pPr>
              <w:spacing w:after="0"/>
              <w:rPr>
                <w:sz w:val="14"/>
                <w:szCs w:val="14"/>
                <w:color w:val="auto"/>
              </w:rPr>
            </w:pPr>
          </w:p>
        </w:tc>
        <w:tc>
          <w:tcPr>
            <w:tcW w:w="66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4"/>
                <w:szCs w:val="14"/>
                <w:color w:val="auto"/>
              </w:rPr>
            </w:pPr>
          </w:p>
        </w:tc>
      </w:tr>
      <w:tr>
        <w:trPr>
          <w:trHeight w:val="207"/>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Customer rebates and distributor chargebacks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Indirect tax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Litigation accrual (EtO)</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8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accrued expenses and other current liabilities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8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7 — CREDIT AGREEMENTS AND BORROWINGS</w:t>
      </w:r>
    </w:p>
    <w:p>
      <w:pPr>
        <w:spacing w:after="0" w:line="1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Company’s current portion of long-term borrowings and other short-term borrowings consists of the following:</w:t>
      </w:r>
    </w:p>
    <w:p>
      <w:pPr>
        <w:spacing w:after="0" w:line="230"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December 31,</w:t>
            </w: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r>
      <w:tr>
        <w:trPr>
          <w:trHeight w:val="170"/>
        </w:trPr>
        <w:tc>
          <w:tcPr>
            <w:tcW w:w="3180" w:type="dxa"/>
            <w:vAlign w:val="bottom"/>
            <w:tcBorders>
              <w:bottom w:val="single" w:sz="8" w:color="CCEEFF"/>
            </w:tcBorders>
          </w:tcPr>
          <w:p>
            <w:pPr>
              <w:spacing w:after="0"/>
              <w:rPr>
                <w:sz w:val="14"/>
                <w:szCs w:val="14"/>
                <w:color w:val="auto"/>
              </w:rPr>
            </w:pPr>
          </w:p>
        </w:tc>
        <w:tc>
          <w:tcPr>
            <w:tcW w:w="2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2024</w:t>
            </w:r>
          </w:p>
        </w:tc>
        <w:tc>
          <w:tcPr>
            <w:tcW w:w="10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2023</w:t>
            </w:r>
          </w:p>
        </w:tc>
        <w:tc>
          <w:tcPr>
            <w:tcW w:w="40" w:type="dxa"/>
            <w:vAlign w:val="bottom"/>
            <w:tcBorders>
              <w:bottom w:val="single" w:sz="8" w:color="CCEEFF"/>
            </w:tcBorders>
          </w:tcPr>
          <w:p>
            <w:pPr>
              <w:spacing w:after="0"/>
              <w:rPr>
                <w:sz w:val="14"/>
                <w:szCs w:val="14"/>
                <w:color w:val="auto"/>
              </w:rPr>
            </w:pPr>
          </w:p>
        </w:tc>
      </w:tr>
      <w:tr>
        <w:trPr>
          <w:trHeight w:val="207"/>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shd w:val="clear" w:color="auto" w:fill="CCEEFF"/>
          </w:tcPr>
          <w:p>
            <w:pPr>
              <w:spacing w:after="0"/>
              <w:rPr>
                <w:sz w:val="18"/>
                <w:szCs w:val="18"/>
                <w:color w:val="auto"/>
              </w:rPr>
            </w:pPr>
          </w:p>
        </w:tc>
      </w:tr>
      <w:tr>
        <w:trPr>
          <w:trHeight w:val="221"/>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Other short-term debt</w:t>
            </w:r>
          </w:p>
        </w:tc>
        <w:tc>
          <w:tcPr>
            <w:tcW w:w="2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9"/>
                <w:szCs w:val="19"/>
                <w:color w:val="auto"/>
              </w:rPr>
            </w:pPr>
          </w:p>
        </w:tc>
      </w:tr>
      <w:tr>
        <w:trPr>
          <w:trHeight w:val="214"/>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shd w:val="clear" w:color="auto" w:fill="CCEEFF"/>
          </w:tcPr>
          <w:p>
            <w:pPr>
              <w:spacing w:after="0"/>
              <w:rPr>
                <w:sz w:val="18"/>
                <w:szCs w:val="18"/>
                <w:color w:val="auto"/>
              </w:rPr>
            </w:pPr>
          </w:p>
        </w:tc>
      </w:tr>
      <w:tr>
        <w:trPr>
          <w:trHeight w:val="20"/>
        </w:trPr>
        <w:tc>
          <w:tcPr>
            <w:tcW w:w="31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5"/>
        </w:trPr>
        <w:tc>
          <w:tcPr>
            <w:tcW w:w="3180" w:type="dxa"/>
            <w:vAlign w:val="bottom"/>
          </w:tcPr>
          <w:p>
            <w:pPr>
              <w:spacing w:after="0"/>
              <w:rPr>
                <w:sz w:val="24"/>
                <w:szCs w:val="24"/>
                <w:color w:val="auto"/>
              </w:rPr>
            </w:pPr>
          </w:p>
        </w:tc>
        <w:tc>
          <w:tcPr>
            <w:tcW w:w="25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F-28</w:t>
            </w: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80"/>
          </w:cols>
          <w:pgMar w:left="320" w:top="451" w:right="49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long-term borrowings and the effective interest rates as of December 31, 2024 and December 31, 2023 are summarized as follows:</w:t>
      </w:r>
    </w:p>
    <w:p>
      <w:pPr>
        <w:spacing w:after="0" w:line="241"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color w:val="auto"/>
              </w:rPr>
              <w:t>Average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color w:val="auto"/>
              </w:rPr>
              <w:t>Average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Maturity dates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color w:val="auto"/>
                <w:w w:val="97"/>
              </w:rPr>
              <w:t>effective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color w:val="auto"/>
              </w:rPr>
              <w:t>effective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3"/>
            <w:vMerge w:val="restart"/>
          </w:tcPr>
          <w:p>
            <w:pPr>
              <w:jc w:val="right"/>
              <w:ind w:right="540"/>
              <w:spacing w:after="0"/>
              <w:rPr>
                <w:sz w:val="20"/>
                <w:szCs w:val="20"/>
                <w:color w:val="auto"/>
              </w:rPr>
            </w:pPr>
            <w:r>
              <w:rPr>
                <w:rFonts w:ascii="Times New Roman" w:cs="Times New Roman" w:eastAsia="Times New Roman" w:hAnsi="Times New Roman"/>
                <w:sz w:val="14"/>
                <w:szCs w:val="14"/>
                <w:color w:val="auto"/>
              </w:rPr>
              <w:t>Amount</w:t>
            </w:r>
          </w:p>
        </w:tc>
        <w:tc>
          <w:tcPr>
            <w:tcW w:w="82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4"/>
                <w:szCs w:val="14"/>
                <w:color w:val="auto"/>
              </w:rPr>
              <w:t>interest</w:t>
            </w:r>
          </w:p>
        </w:tc>
        <w:tc>
          <w:tcPr>
            <w:tcW w:w="160" w:type="dxa"/>
            <w:vAlign w:val="bottom"/>
          </w:tcPr>
          <w:p>
            <w:pPr>
              <w:spacing w:after="0"/>
              <w:rPr>
                <w:sz w:val="12"/>
                <w:szCs w:val="12"/>
                <w:color w:val="auto"/>
              </w:rPr>
            </w:pPr>
          </w:p>
        </w:tc>
        <w:tc>
          <w:tcPr>
            <w:tcW w:w="108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4"/>
                <w:szCs w:val="14"/>
                <w:color w:val="auto"/>
              </w:rPr>
              <w:t>Amount</w:t>
            </w:r>
          </w:p>
        </w:tc>
        <w:tc>
          <w:tcPr>
            <w:tcW w:w="70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color w:val="auto"/>
              </w:rPr>
              <w:t>interest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by fiscal year</w:t>
            </w:r>
          </w:p>
        </w:tc>
        <w:tc>
          <w:tcPr>
            <w:tcW w:w="44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5"/>
              </w:rPr>
              <w:t>rate</w:t>
            </w:r>
          </w:p>
        </w:tc>
        <w:tc>
          <w:tcPr>
            <w:tcW w:w="1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rate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Long-term borrowings</w:t>
            </w:r>
          </w:p>
        </w:tc>
        <w:tc>
          <w:tcPr>
            <w:tcW w:w="92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Unsecured debt</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Fixed</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2,500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2,500</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21"/>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unsecured debt</w:t>
            </w: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Secured debt</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Fixed</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6,000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4,500</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line="214" w:lineRule="exact"/>
              <w:rPr>
                <w:sz w:val="20"/>
                <w:szCs w:val="20"/>
                <w:color w:val="auto"/>
              </w:rPr>
            </w:pPr>
            <w:r>
              <w:rPr>
                <w:rFonts w:ascii="Times New Roman" w:cs="Times New Roman" w:eastAsia="Times New Roman" w:hAnsi="Times New Roman"/>
                <w:sz w:val="17"/>
                <w:szCs w:val="17"/>
                <w:color w:val="auto"/>
              </w:rPr>
              <w:t>Variable (euro-denominated)</w:t>
            </w:r>
            <w:r>
              <w:rPr>
                <w:rFonts w:ascii="Times New Roman" w:cs="Times New Roman" w:eastAsia="Times New Roman" w:hAnsi="Times New Roman"/>
                <w:sz w:val="24"/>
                <w:szCs w:val="24"/>
                <w:color w:val="auto"/>
                <w:vertAlign w:val="superscript"/>
              </w:rPr>
              <w:t>1</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645</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480</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Variable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2025 - 2028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7,612</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9,362</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secured debt</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6"/>
              </w:rPr>
              <w:t>14,257</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2"/>
              </w:rPr>
              <w:t>14,342</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debt</w:t>
            </w: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16,757</w:t>
            </w:r>
          </w:p>
        </w:tc>
        <w:tc>
          <w:tcPr>
            <w:tcW w:w="48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16,842</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amounts due within one year</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(76)</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(73)</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tcPr>
          <w:p>
            <w:pPr>
              <w:ind w:left="340"/>
              <w:spacing w:after="0" w:line="214" w:lineRule="exact"/>
              <w:rPr>
                <w:sz w:val="20"/>
                <w:szCs w:val="20"/>
                <w:color w:val="auto"/>
              </w:rPr>
            </w:pPr>
            <w:r>
              <w:rPr>
                <w:rFonts w:ascii="Times New Roman" w:cs="Times New Roman" w:eastAsia="Times New Roman" w:hAnsi="Times New Roman"/>
                <w:sz w:val="17"/>
                <w:szCs w:val="17"/>
                <w:color w:val="auto"/>
              </w:rPr>
              <w:t>Total other</w:t>
            </w:r>
            <w:r>
              <w:rPr>
                <w:rFonts w:ascii="Times New Roman" w:cs="Times New Roman" w:eastAsia="Times New Roman" w:hAnsi="Times New Roman"/>
                <w:sz w:val="24"/>
                <w:szCs w:val="24"/>
                <w:color w:val="auto"/>
                <w:vertAlign w:val="superscript"/>
              </w:rPr>
              <w:t>2</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(265)</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(327)</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borrowings</w:t>
            </w:r>
          </w:p>
        </w:tc>
        <w:tc>
          <w:tcPr>
            <w:tcW w:w="9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6"/>
              </w:rPr>
              <w:t>16,416</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2"/>
              </w:rPr>
              <w:t>16,442</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4"/>
          <w:szCs w:val="14"/>
          <w:color w:val="auto"/>
        </w:rPr>
        <w:t>(1)</w:t>
      </w:r>
      <w:r>
        <w:rPr>
          <w:sz w:val="20"/>
          <w:szCs w:val="20"/>
          <w:color w:val="auto"/>
        </w:rPr>
        <w:tab/>
      </w:r>
      <w:r>
        <w:rPr>
          <w:rFonts w:ascii="Times New Roman" w:cs="Times New Roman" w:eastAsia="Times New Roman" w:hAnsi="Times New Roman"/>
          <w:sz w:val="14"/>
          <w:szCs w:val="14"/>
          <w:color w:val="auto"/>
        </w:rPr>
        <w:t>includes exchange rate adjustments.</w:t>
      </w:r>
    </w:p>
    <w:p>
      <w:pPr>
        <w:spacing w:after="0" w:line="2"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4"/>
          <w:szCs w:val="14"/>
          <w:color w:val="auto"/>
        </w:rPr>
        <w:t>(2)</w:t>
      </w:r>
      <w:r>
        <w:rPr>
          <w:sz w:val="20"/>
          <w:szCs w:val="20"/>
          <w:color w:val="auto"/>
        </w:rPr>
        <w:tab/>
      </w:r>
      <w:r>
        <w:rPr>
          <w:rFonts w:ascii="Times New Roman" w:cs="Times New Roman" w:eastAsia="Times New Roman" w:hAnsi="Times New Roman"/>
          <w:sz w:val="14"/>
          <w:szCs w:val="14"/>
          <w:color w:val="auto"/>
        </w:rPr>
        <w:t>includes deferred financing costs.</w:t>
      </w:r>
    </w:p>
    <w:p>
      <w:pPr>
        <w:spacing w:after="0" w:line="2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u w:val="single" w:color="auto"/>
          <w:color w:val="auto"/>
        </w:rPr>
        <w:t>Long-Term Debt</w:t>
      </w:r>
    </w:p>
    <w:p>
      <w:pPr>
        <w:spacing w:after="0" w:line="118" w:lineRule="exact"/>
        <w:rPr>
          <w:sz w:val="20"/>
          <w:szCs w:val="20"/>
          <w:color w:val="auto"/>
        </w:rPr>
      </w:pPr>
    </w:p>
    <w:p>
      <w:pPr>
        <w:ind w:left="160"/>
        <w:spacing w:after="0" w:line="266" w:lineRule="auto"/>
        <w:rPr>
          <w:sz w:val="20"/>
          <w:szCs w:val="20"/>
          <w:color w:val="auto"/>
        </w:rPr>
      </w:pPr>
      <w:r>
        <w:rPr>
          <w:rFonts w:ascii="Times New Roman" w:cs="Times New Roman" w:eastAsia="Times New Roman" w:hAnsi="Times New Roman"/>
          <w:sz w:val="17"/>
          <w:szCs w:val="17"/>
          <w:color w:val="auto"/>
        </w:rPr>
        <w:t>On October 21, 2021, the Company received total net proceeds of $7,461 from the borrowings under a senior secured term loan facility, which included both the Initial Dollar Term Loan Facility and the loans thereunder (the “Initial Dollar Term Loans”) and the Initial Euro Term Loan Facility and the loans thereunder (the “Initial Euro Term Loans”) under the credit agreement that governs the Senior Secured Credit Facilities (as defined below) (the “Credit Agreement”) in connection with the Acquisition. The term loans borrowed under the Credit Agreement consist of two tranches with a principal amount of $7,270 and a principal amount of €435. Until June 27, 2023, the Initial Dollar Term Loans mature on October 21, 2028, and accrued interest at a variable rate based on the USD London Interbank Offered Rate (“LIBOR”) plus an applicable spread. Pursuant to the amendment in the Credit Agreement effective June 28, 2023, Secured Overnight Financing Rate (“SOFR”) plus a new spread became the variable interest rate applicable to Initial Dollar Term Loans. The New Euro Term Loans (as defined below) accrue interest at a variable rate based on the EURO Interbank Offer Rate (“EURIBOR”), plus an applicable spread and mature on October 21, 2028. Amortization payments equal to 0.25% of initial aggregate principal amount of the New Dollar Term Loans (as defined below) are due quarterly, commencing with the three months ending June 25, 2022 and remaining principal is set to mature on October 21, 2028. The Company made payments of $46 and $73 towards principal of the New Dollar Term Loans, Additional Dollar Term Loans (as defined below), Refinanced Dollar Term Loans (as defined below) and Initial Dollar Term Loans, as applicable, during the years ended December 31, 2024 and December 31, 2023, respectively. The Euro Term Loans do not have any mandatory amortization.</w:t>
      </w:r>
    </w:p>
    <w:p>
      <w:pPr>
        <w:spacing w:after="0" w:line="179" w:lineRule="exact"/>
        <w:rPr>
          <w:sz w:val="20"/>
          <w:szCs w:val="20"/>
          <w:color w:val="auto"/>
        </w:rPr>
      </w:pPr>
    </w:p>
    <w:p>
      <w:pPr>
        <w:ind w:left="160" w:right="260"/>
        <w:spacing w:after="0" w:line="278" w:lineRule="auto"/>
        <w:rPr>
          <w:sz w:val="20"/>
          <w:szCs w:val="20"/>
          <w:color w:val="auto"/>
        </w:rPr>
      </w:pPr>
      <w:r>
        <w:rPr>
          <w:rFonts w:ascii="Times New Roman" w:cs="Times New Roman" w:eastAsia="Times New Roman" w:hAnsi="Times New Roman"/>
          <w:sz w:val="18"/>
          <w:szCs w:val="18"/>
          <w:color w:val="auto"/>
        </w:rPr>
        <w:t>On October 21, 2021, the Company received net proceeds of $4,421 for a 3.875% fixed rate note issued with a maturity date of April 2029. Principal amount of the senior secured notes issued was $4,500.</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060"/>
          </w:cols>
          <w:pgMar w:left="320" w:top="452" w:right="51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ind w:left="160" w:right="80"/>
        <w:spacing w:after="0" w:line="278" w:lineRule="auto"/>
        <w:rPr>
          <w:sz w:val="20"/>
          <w:szCs w:val="20"/>
          <w:color w:val="auto"/>
        </w:rPr>
      </w:pPr>
      <w:r>
        <w:rPr>
          <w:rFonts w:ascii="Times New Roman" w:cs="Times New Roman" w:eastAsia="Times New Roman" w:hAnsi="Times New Roman"/>
          <w:sz w:val="18"/>
          <w:szCs w:val="18"/>
          <w:color w:val="auto"/>
        </w:rPr>
        <w:t>On October 21, 2021, the Company received net proceeds of $2,442 for a 5.250% fixed rate note issued with a maturity date of October 2029. Principal amount of the senior unsecured notes issued was $2,500.</w:t>
      </w:r>
    </w:p>
    <w:p>
      <w:pPr>
        <w:spacing w:after="0" w:line="162" w:lineRule="exact"/>
        <w:rPr>
          <w:sz w:val="20"/>
          <w:szCs w:val="20"/>
          <w:color w:val="auto"/>
        </w:rPr>
      </w:pPr>
    </w:p>
    <w:p>
      <w:pPr>
        <w:ind w:left="160"/>
        <w:spacing w:after="0" w:line="251" w:lineRule="auto"/>
        <w:rPr>
          <w:sz w:val="20"/>
          <w:szCs w:val="20"/>
          <w:color w:val="auto"/>
        </w:rPr>
      </w:pPr>
      <w:r>
        <w:rPr>
          <w:rFonts w:ascii="Times New Roman" w:cs="Times New Roman" w:eastAsia="Times New Roman" w:hAnsi="Times New Roman"/>
          <w:sz w:val="18"/>
          <w:szCs w:val="18"/>
          <w:color w:val="auto"/>
        </w:rPr>
        <w:t>On October 21, 2021, the Company received net proceeds from a mortgage loan (“CMBS Loan”) in the amount of $2,177 for variable rate mortgage-backed debt. Before it matured in November 2023, the Company exercised the first of the three “one-year” extension options and extended the loan to November 2024. Furthermore, the Company intended to exercise the second one-year extension option and extend the loan to November 2025. The CMBS Loan debt consists of several components with each component having its respective principal balance and rate. The principal balances of the components total to $2,219 as of December 31, 2023. The Company made repayments of $4 and $7 during the years ended December 31, 2023 and December 31, 2022, respectively. Until June 27, 2023, the variable interest rates of each component were USD LIBOR plus the spreads ranging from 1.09% to 5.39%. Pursuant to the amendment to the Credit Agreement effective June 28, 2023, SOFR plus the spreads ranging from 1.21% to 5.51% became the variable interest rates to CMBS Loan. The Company has fully repaid the CMBS Loan on July 9, 2024 for $2,219 by using the proceeds from senior secured notes raised on June 24, 2024, the Incremental Term Loans raised on July 8, 2024, and the Company’s excess cash.</w:t>
      </w:r>
    </w:p>
    <w:p>
      <w:pPr>
        <w:spacing w:after="0" w:line="192" w:lineRule="exact"/>
        <w:rPr>
          <w:sz w:val="20"/>
          <w:szCs w:val="20"/>
          <w:color w:val="auto"/>
        </w:rPr>
      </w:pPr>
    </w:p>
    <w:p>
      <w:pPr>
        <w:ind w:left="160" w:right="20"/>
        <w:spacing w:after="0" w:line="266" w:lineRule="auto"/>
        <w:rPr>
          <w:sz w:val="20"/>
          <w:szCs w:val="20"/>
          <w:color w:val="auto"/>
        </w:rPr>
      </w:pPr>
      <w:r>
        <w:rPr>
          <w:rFonts w:ascii="Times New Roman" w:cs="Times New Roman" w:eastAsia="Times New Roman" w:hAnsi="Times New Roman"/>
          <w:sz w:val="17"/>
          <w:szCs w:val="17"/>
          <w:color w:val="auto"/>
        </w:rPr>
        <w:t>On March 27, 2024, the Company received net proceeds of $993 under an indenture for 6.250% senior secured notes issued with a maturity date of April 1, 2029. The principal amount of the new senior secured notes issued was $1,000. On the same day, the Company entered into a second amendment to the Credit Agreement to pay down and refinance the Initial Dollar Term Loans (the Initial Dollar Term Loan Facility after giving effect to such refinancing, the “Refinanced Dollar Term Loan Facility” and the loans thereunder, the “Refinanced Dollar Term Loans”) and refinance the Initial Euro Term Loans (the Initial Euro Term Loan Facility after giving effect to such refinancing, the “Refinanced Euro Term Loan Facility” and the loans thereunder, the “Refinanced Euro Term Loans”). The proceeds from the senior secured notes issued on the same day were used to pay down the principal balance of the Initial Dollar Term Loans by $1,000. The amendment lowered the applicable margin of the Refinanced Dollar Term Loans by</w:t>
      </w:r>
    </w:p>
    <w:p>
      <w:pPr>
        <w:ind w:left="160" w:right="140"/>
        <w:spacing w:after="0" w:line="250" w:lineRule="auto"/>
        <w:rPr>
          <w:sz w:val="20"/>
          <w:szCs w:val="20"/>
          <w:color w:val="auto"/>
        </w:rPr>
      </w:pPr>
      <w:r>
        <w:rPr>
          <w:rFonts w:ascii="Times New Roman" w:cs="Times New Roman" w:eastAsia="Times New Roman" w:hAnsi="Times New Roman"/>
          <w:sz w:val="18"/>
          <w:szCs w:val="18"/>
          <w:color w:val="auto"/>
        </w:rPr>
        <w:t>0.36%, resulting in a margin spread of SOFR plus 2.75% per annum. Amortization payments equal to 0.25% of revised aggregate principal amount of $6,143 of the Refinanced Dollar Term Loans are still due quarterly. The maturity date of the Refinanced Dollar Term Loans remains October 21, 2028. For the financing transaction on March 27, 2024, the Company recorded $29 of debt extinguishment costs, which were included in other (expense) income, net on the consolidated statements of comprehensive income.</w:t>
      </w:r>
    </w:p>
    <w:p>
      <w:pPr>
        <w:spacing w:after="0" w:line="189" w:lineRule="exact"/>
        <w:rPr>
          <w:sz w:val="20"/>
          <w:szCs w:val="20"/>
          <w:color w:val="auto"/>
        </w:rPr>
      </w:pPr>
    </w:p>
    <w:p>
      <w:pPr>
        <w:ind w:left="160" w:right="60"/>
        <w:spacing w:after="0" w:line="250" w:lineRule="auto"/>
        <w:rPr>
          <w:sz w:val="20"/>
          <w:szCs w:val="20"/>
          <w:color w:val="auto"/>
        </w:rPr>
      </w:pPr>
      <w:r>
        <w:rPr>
          <w:rFonts w:ascii="Times New Roman" w:cs="Times New Roman" w:eastAsia="Times New Roman" w:hAnsi="Times New Roman"/>
          <w:sz w:val="18"/>
          <w:szCs w:val="18"/>
          <w:color w:val="auto"/>
        </w:rPr>
        <w:t>On June 24, 2024, the Company received net proceeds of $495 for 6.250% senior secured notes issued with a maturity date of April 1, 2029. The principal amount of the senior secured notes issued was $500. The notes issued are additional notes under the indenture pursuant to which the Company previously issued senior secured notes of $1,000 principal on March 27, 2024. On July 8, 2024, the Company entered into a third amendment to the Credit Agreement and received net proceeds of $1,503 of additional dollar-denominated term loans of a different class than the Initial Dollar Term Loans (the “Additional Dollar Term Loan Facility” and the loans thereunder, the “Additional Dollar Term Loans”) and net proceeds of $198 of additional euro-denominated term loans of the same class as the Refinanced Euro Term Loans (the “Additional Euro Term Loan Facility” and the loans thereunder, the “Additional Euro Term Loans”). The principal amount of the Additional Dollar Term Loans was $1,519, and the principal amount of the Additional Euro Term Loans was €185. The Company used these proceeds as well as the $495 proceeds received on June 24, 2024 to repay the CMBS Loan on July 9, 2024, as noted above. The Additional Dollar Term Loans accrue interest at a variable rate based on SOFR plus 2.25%, and the Additional Euro Term Loans accrue interest at a variable rate based on the EURIBOR plus an applicable spread. The third amendment lowered the applicable margin of the Refinanced Euro Term Loans by 0.5%, resulting in a margin spread of EURIBOR plus 2.5% per annum, and caused the Refinanced Euro Term Loans and the Additional Euro Term Loans to be a single fungible class of term loans ( the “New Euro Term Loan Facility” and the loans thereunder, the “New Euro Term Loans”). Similar to the Refinanced Dollar Term Loans under the same Credit Agreement, the Additional Dollar Term Loans require amortization payments equal to</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060"/>
          </w:cols>
          <w:pgMar w:left="320" w:top="451" w:right="51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ind w:left="160" w:right="280"/>
        <w:spacing w:after="0" w:line="255" w:lineRule="auto"/>
        <w:rPr>
          <w:sz w:val="20"/>
          <w:szCs w:val="20"/>
          <w:color w:val="auto"/>
        </w:rPr>
      </w:pPr>
      <w:r>
        <w:rPr>
          <w:rFonts w:ascii="Times New Roman" w:cs="Times New Roman" w:eastAsia="Times New Roman" w:hAnsi="Times New Roman"/>
          <w:sz w:val="18"/>
          <w:szCs w:val="18"/>
          <w:color w:val="auto"/>
        </w:rPr>
        <w:t>0.25% of aggregate principal amount of the Additional Dollar Term Loans quarterly, commencing with the three months ending December 31, 2024 while the remaining principal is set to mature on October 21, 2028. For the year ended December 31, 2024, the Company made the amortization payment of $4 towards the Additional Dollar Term Loans. Like the Refinanced Euro Term Loans, the Additional Euro Term Loans do not have any mandatory amortization and mature on October 21, 2028. For the financing transaction in July 2024, the Company recorded $2 debt extinguishment costs, which were included in other (expense) income, net on the consolidated statements of comprehensive income.</w:t>
      </w:r>
    </w:p>
    <w:p>
      <w:pPr>
        <w:spacing w:after="0" w:line="184" w:lineRule="exact"/>
        <w:rPr>
          <w:sz w:val="20"/>
          <w:szCs w:val="20"/>
          <w:color w:val="auto"/>
        </w:rPr>
      </w:pPr>
    </w:p>
    <w:p>
      <w:pPr>
        <w:ind w:left="160"/>
        <w:spacing w:after="0" w:line="254" w:lineRule="auto"/>
        <w:rPr>
          <w:sz w:val="20"/>
          <w:szCs w:val="20"/>
          <w:color w:val="auto"/>
        </w:rPr>
      </w:pPr>
      <w:r>
        <w:rPr>
          <w:rFonts w:ascii="Times New Roman" w:cs="Times New Roman" w:eastAsia="Times New Roman" w:hAnsi="Times New Roman"/>
          <w:sz w:val="18"/>
          <w:szCs w:val="18"/>
          <w:color w:val="auto"/>
        </w:rPr>
        <w:t>On November 19, 2024, we entered into the fourth amendment to the credit agreement that governs the Senior Secured Credit Facilities to (i) reduce the applicable margin for the Refinanced Dollar Term Loans by 0.50% overall to match the applicable margin for the Additional Dollar Term Loans, resulting in a margin spread of SOFR plus 2.25% per annum and (ii) cause the Refinanced Dollar Term Loans and the Additional Dollar Term Loans to be a single fungible class of term loans (the “New Dollar Term Loan Facility” and the loans, thereunder, the “New Dollar Term Loans”). For the financing transaction in November 2024, the Company recorded $1 debt extinguishment costs, which were included in other (expense) income, net on the consolidated statements of comprehensive income.</w:t>
      </w:r>
    </w:p>
    <w:p>
      <w:pPr>
        <w:spacing w:after="0" w:line="184" w:lineRule="exact"/>
        <w:rPr>
          <w:sz w:val="20"/>
          <w:szCs w:val="20"/>
          <w:color w:val="auto"/>
        </w:rPr>
      </w:pPr>
    </w:p>
    <w:p>
      <w:pPr>
        <w:ind w:left="160" w:right="40"/>
        <w:spacing w:after="0" w:line="254" w:lineRule="auto"/>
        <w:rPr>
          <w:sz w:val="20"/>
          <w:szCs w:val="20"/>
          <w:color w:val="auto"/>
        </w:rPr>
      </w:pPr>
      <w:r>
        <w:rPr>
          <w:rFonts w:ascii="Times New Roman" w:cs="Times New Roman" w:eastAsia="Times New Roman" w:hAnsi="Times New Roman"/>
          <w:sz w:val="18"/>
          <w:szCs w:val="18"/>
          <w:color w:val="auto"/>
        </w:rPr>
        <w:t>The fair value of the New Dollar Term Loans and New Euro Term Loans as of December 31, 2024 was $7,660 and $647, respectively. The fair value of the Initial Dollar Term Loans and Initial Euro Term Loans as of December 31, 2023 was $7,170 and $481, respectively. The fair value of the 3.875% fixed rate note, the 5.250% fixed rate note, and the 6.250% fixed rate note as of December 31, 2024 was $4,166, $2,411 and $1,517, respectively. The fair value of the 3.875% fixed rate note and the 5.250% fixed rate note as of December 31, 2023 was $4,056 and $2,359, respectively. The fair value of the CMBS Loan as of December 31, 2023 was $2,141. The estimated fair value of these loans was based on recent trades as reported by a third-party bond pricing service. Due to the infrequency of trades, these inputs are considered to be Level 2 inputs.</w:t>
      </w:r>
    </w:p>
    <w:p>
      <w:pPr>
        <w:spacing w:after="0" w:line="184" w:lineRule="exact"/>
        <w:rPr>
          <w:sz w:val="20"/>
          <w:szCs w:val="20"/>
          <w:color w:val="auto"/>
        </w:rPr>
      </w:pPr>
    </w:p>
    <w:p>
      <w:pPr>
        <w:ind w:left="160" w:right="260"/>
        <w:spacing w:after="0" w:line="278" w:lineRule="auto"/>
        <w:rPr>
          <w:sz w:val="20"/>
          <w:szCs w:val="20"/>
          <w:color w:val="auto"/>
        </w:rPr>
      </w:pPr>
      <w:r>
        <w:rPr>
          <w:rFonts w:ascii="Times New Roman" w:cs="Times New Roman" w:eastAsia="Times New Roman" w:hAnsi="Times New Roman"/>
          <w:sz w:val="18"/>
          <w:szCs w:val="18"/>
          <w:color w:val="auto"/>
        </w:rPr>
        <w:t>Compliance with the covenants does not significantly impact the Company’s operations. As of December 31, 2024, the Company was in compliance with all the covenants under the Credit Agreement.</w:t>
      </w:r>
    </w:p>
    <w:p>
      <w:pPr>
        <w:spacing w:after="0" w:line="1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Future aggregate principal amounts over the next five years and thereafter are as follows:</w:t>
      </w:r>
    </w:p>
    <w:p>
      <w:pPr>
        <w:spacing w:after="0" w:line="241" w:lineRule="exact"/>
        <w:rPr>
          <w:sz w:val="20"/>
          <w:szCs w:val="20"/>
          <w:color w:val="auto"/>
        </w:rPr>
      </w:pPr>
    </w:p>
    <w:tbl>
      <w:tblPr>
        <w:tblLayout w:type="fixed"/>
        <w:tblInd w:w="1920" w:type="dxa"/>
        <w:tblCellMar>
          <w:top w:w="0" w:type="dxa"/>
          <w:left w:w="0" w:type="dxa"/>
          <w:bottom w:w="0" w:type="dxa"/>
          <w:right w:w="0" w:type="dxa"/>
        </w:tblCellMar>
      </w:tblPr>
      <w:tr>
        <w:trPr>
          <w:trHeight w:val="172"/>
        </w:trPr>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Annual Maturities</w:t>
            </w:r>
          </w:p>
        </w:tc>
      </w:tr>
      <w:tr>
        <w:trPr>
          <w:trHeight w:val="207"/>
        </w:trPr>
        <w:tc>
          <w:tcPr>
            <w:tcW w:w="6220" w:type="dxa"/>
            <w:vAlign w:val="bottom"/>
            <w:tcBorders>
              <w:top w:val="single" w:sz="8" w:color="CCEEFF"/>
            </w:tcBorders>
            <w:shd w:val="clear" w:color="auto" w:fill="CCEEFF"/>
          </w:tcPr>
          <w:p>
            <w:pPr>
              <w:jc w:val="right"/>
              <w:ind w:right="5771"/>
              <w:spacing w:after="0"/>
              <w:rPr>
                <w:sz w:val="20"/>
                <w:szCs w:val="20"/>
                <w:color w:val="auto"/>
              </w:rPr>
            </w:pPr>
            <w:r>
              <w:rPr>
                <w:rFonts w:ascii="Times New Roman" w:cs="Times New Roman" w:eastAsia="Times New Roman" w:hAnsi="Times New Roman"/>
                <w:sz w:val="18"/>
                <w:szCs w:val="18"/>
                <w:color w:val="auto"/>
                <w:w w:val="94"/>
              </w:rPr>
              <w:t>2025</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4"/>
        </w:trPr>
        <w:tc>
          <w:tcPr>
            <w:tcW w:w="6220" w:type="dxa"/>
            <w:vAlign w:val="bottom"/>
          </w:tcPr>
          <w:p>
            <w:pPr>
              <w:jc w:val="right"/>
              <w:ind w:right="5771"/>
              <w:spacing w:after="0"/>
              <w:rPr>
                <w:sz w:val="20"/>
                <w:szCs w:val="20"/>
                <w:color w:val="auto"/>
              </w:rPr>
            </w:pPr>
            <w:r>
              <w:rPr>
                <w:rFonts w:ascii="Times New Roman" w:cs="Times New Roman" w:eastAsia="Times New Roman" w:hAnsi="Times New Roman"/>
                <w:sz w:val="18"/>
                <w:szCs w:val="18"/>
                <w:color w:val="auto"/>
                <w:w w:val="94"/>
              </w:rPr>
              <w:t>2026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6220" w:type="dxa"/>
            <w:vAlign w:val="bottom"/>
            <w:shd w:val="clear" w:color="auto" w:fill="CCEEFF"/>
          </w:tcPr>
          <w:p>
            <w:pPr>
              <w:jc w:val="right"/>
              <w:ind w:right="5771"/>
              <w:spacing w:after="0"/>
              <w:rPr>
                <w:sz w:val="20"/>
                <w:szCs w:val="20"/>
                <w:color w:val="auto"/>
              </w:rPr>
            </w:pPr>
            <w:r>
              <w:rPr>
                <w:rFonts w:ascii="Times New Roman" w:cs="Times New Roman" w:eastAsia="Times New Roman" w:hAnsi="Times New Roman"/>
                <w:sz w:val="18"/>
                <w:szCs w:val="18"/>
                <w:color w:val="auto"/>
                <w:w w:val="94"/>
              </w:rPr>
              <w:t>2027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4"/>
        </w:trPr>
        <w:tc>
          <w:tcPr>
            <w:tcW w:w="6220" w:type="dxa"/>
            <w:vAlign w:val="bottom"/>
          </w:tcPr>
          <w:p>
            <w:pPr>
              <w:jc w:val="right"/>
              <w:ind w:right="5771"/>
              <w:spacing w:after="0"/>
              <w:rPr>
                <w:sz w:val="20"/>
                <w:szCs w:val="20"/>
                <w:color w:val="auto"/>
              </w:rPr>
            </w:pPr>
            <w:r>
              <w:rPr>
                <w:rFonts w:ascii="Times New Roman" w:cs="Times New Roman" w:eastAsia="Times New Roman" w:hAnsi="Times New Roman"/>
                <w:sz w:val="18"/>
                <w:szCs w:val="18"/>
                <w:color w:val="auto"/>
                <w:w w:val="94"/>
              </w:rPr>
              <w:t>2028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8,029</w:t>
            </w:r>
          </w:p>
        </w:tc>
        <w:tc>
          <w:tcPr>
            <w:tcW w:w="20" w:type="dxa"/>
            <w:vAlign w:val="bottom"/>
          </w:tcPr>
          <w:p>
            <w:pPr>
              <w:spacing w:after="0"/>
              <w:rPr>
                <w:sz w:val="18"/>
                <w:szCs w:val="18"/>
                <w:color w:val="auto"/>
              </w:rPr>
            </w:pPr>
          </w:p>
        </w:tc>
      </w:tr>
      <w:tr>
        <w:trPr>
          <w:trHeight w:val="214"/>
        </w:trPr>
        <w:tc>
          <w:tcPr>
            <w:tcW w:w="6220" w:type="dxa"/>
            <w:vAlign w:val="bottom"/>
            <w:shd w:val="clear" w:color="auto" w:fill="CCEEFF"/>
          </w:tcPr>
          <w:p>
            <w:pPr>
              <w:jc w:val="right"/>
              <w:ind w:right="5771"/>
              <w:spacing w:after="0"/>
              <w:rPr>
                <w:sz w:val="20"/>
                <w:szCs w:val="20"/>
                <w:color w:val="auto"/>
              </w:rPr>
            </w:pPr>
            <w:r>
              <w:rPr>
                <w:rFonts w:ascii="Times New Roman" w:cs="Times New Roman" w:eastAsia="Times New Roman" w:hAnsi="Times New Roman"/>
                <w:sz w:val="18"/>
                <w:szCs w:val="18"/>
                <w:color w:val="auto"/>
                <w:w w:val="94"/>
              </w:rPr>
              <w:t>2029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8,500</w:t>
            </w:r>
          </w:p>
        </w:tc>
        <w:tc>
          <w:tcPr>
            <w:tcW w:w="20" w:type="dxa"/>
            <w:vAlign w:val="bottom"/>
            <w:shd w:val="clear" w:color="auto" w:fill="CCEEFF"/>
          </w:tcPr>
          <w:p>
            <w:pPr>
              <w:spacing w:after="0"/>
              <w:rPr>
                <w:sz w:val="18"/>
                <w:szCs w:val="18"/>
                <w:color w:val="auto"/>
              </w:rPr>
            </w:pPr>
          </w:p>
        </w:tc>
      </w:tr>
      <w:tr>
        <w:trPr>
          <w:trHeight w:val="221"/>
        </w:trPr>
        <w:tc>
          <w:tcPr>
            <w:tcW w:w="6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16,757</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u w:val="single" w:color="auto"/>
          <w:color w:val="auto"/>
        </w:rPr>
        <w:t>Revolving Credit Facilities</w:t>
      </w:r>
    </w:p>
    <w:p>
      <w:pPr>
        <w:spacing w:after="0" w:line="118" w:lineRule="exact"/>
        <w:rPr>
          <w:sz w:val="20"/>
          <w:szCs w:val="20"/>
          <w:color w:val="auto"/>
        </w:rPr>
      </w:pPr>
    </w:p>
    <w:p>
      <w:pPr>
        <w:ind w:left="160" w:right="60"/>
        <w:spacing w:after="0" w:line="277" w:lineRule="auto"/>
        <w:rPr>
          <w:sz w:val="20"/>
          <w:szCs w:val="20"/>
          <w:color w:val="auto"/>
        </w:rPr>
      </w:pPr>
      <w:r>
        <w:rPr>
          <w:rFonts w:ascii="Times New Roman" w:cs="Times New Roman" w:eastAsia="Times New Roman" w:hAnsi="Times New Roman"/>
          <w:sz w:val="17"/>
          <w:szCs w:val="17"/>
          <w:color w:val="auto"/>
        </w:rPr>
        <w:t>As part of the Transaction, on October 21, 2021, certain lenders have provided the Company with commitments under a senior secured revolving credit facility (the “Revolving Credit Facility,” together with the New Dollar Term Loan Facility and the New Euro Term Loan Facility, the “Senior Secured Credit Facilities”) under the Credit Agreement. The Revolving Credit Facility also accrues commitment fees in respect of unfunded commitments thereunder. Letters of credit issued under the Revolving Credit Facility reduce availability under the Revolving Credit Facility, dollar-for-dollar.</w:t>
      </w:r>
    </w:p>
    <w:p>
      <w:pPr>
        <w:spacing w:after="0" w:line="167" w:lineRule="exact"/>
        <w:rPr>
          <w:sz w:val="20"/>
          <w:szCs w:val="20"/>
          <w:color w:val="auto"/>
        </w:rPr>
      </w:pPr>
    </w:p>
    <w:p>
      <w:pPr>
        <w:ind w:left="160" w:right="60"/>
        <w:spacing w:after="0" w:line="278" w:lineRule="auto"/>
        <w:rPr>
          <w:sz w:val="20"/>
          <w:szCs w:val="20"/>
          <w:color w:val="auto"/>
        </w:rPr>
      </w:pPr>
      <w:r>
        <w:rPr>
          <w:rFonts w:ascii="Times New Roman" w:cs="Times New Roman" w:eastAsia="Times New Roman" w:hAnsi="Times New Roman"/>
          <w:sz w:val="18"/>
          <w:szCs w:val="18"/>
          <w:color w:val="auto"/>
        </w:rPr>
        <w:t>As of December 31, 2024 and December 31, 2023, the Revolving Credit Facility had several financial institutions as lenders for a maximum borrowing capacity of $1,000. As of December 31, 2024 and December 31, 2023,</w:t>
      </w:r>
    </w:p>
    <w:p>
      <w:pPr>
        <w:spacing w:after="0" w:line="9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020"/>
          </w:cols>
          <w:pgMar w:left="320" w:top="451" w:right="55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ind w:left="160"/>
        <w:spacing w:after="0" w:line="253" w:lineRule="auto"/>
        <w:rPr>
          <w:sz w:val="20"/>
          <w:szCs w:val="20"/>
          <w:color w:val="auto"/>
        </w:rPr>
      </w:pPr>
      <w:r>
        <w:rPr>
          <w:rFonts w:ascii="Times New Roman" w:cs="Times New Roman" w:eastAsia="Times New Roman" w:hAnsi="Times New Roman"/>
          <w:sz w:val="18"/>
          <w:szCs w:val="18"/>
          <w:color w:val="auto"/>
        </w:rPr>
        <w:t>availability under the Revolving Credit Facility was $951 and $975, respectively, after taking into account outstanding letters of credit of $49 and $25, respectively. The Company borrowed and repaid $166 under the Revolving Credit Facility during the year ended December 31, 2024 while there were no borrowings during the year ended December 31, 2023. No amounts were outstanding as of December 31, 2024 or December 31, 2023. The revolving credit facilities enable the Company to borrow at various rates, all of which float with relevant rate indices, i.e., SOFR. The Revolving Credit Facility was originally set to mature on October 21, 2026. The third amendment to the Credit Agreement on July 8, 2024 extended the maturity date of the Credit Facility to July 8, 2029. For the financing activities in July 2024, the Company recorded immaterial debt extinguishment costs, which are included in other (expense) income, net on the consolidated statements of comprehensive income.</w:t>
      </w:r>
    </w:p>
    <w:p>
      <w:pPr>
        <w:spacing w:after="0" w:line="184" w:lineRule="exact"/>
        <w:rPr>
          <w:sz w:val="20"/>
          <w:szCs w:val="20"/>
          <w:color w:val="auto"/>
        </w:rPr>
      </w:pPr>
    </w:p>
    <w:p>
      <w:pPr>
        <w:ind w:left="160" w:right="380"/>
        <w:spacing w:after="0" w:line="278" w:lineRule="auto"/>
        <w:rPr>
          <w:sz w:val="20"/>
          <w:szCs w:val="20"/>
          <w:color w:val="auto"/>
        </w:rPr>
      </w:pPr>
      <w:r>
        <w:rPr>
          <w:rFonts w:ascii="Times New Roman" w:cs="Times New Roman" w:eastAsia="Times New Roman" w:hAnsi="Times New Roman"/>
          <w:sz w:val="18"/>
          <w:szCs w:val="18"/>
          <w:color w:val="auto"/>
        </w:rPr>
        <w:t>Borrowings under Revolving Credit Facility may be repaid and borrowed again, partially or wholly at any time, from time to time, as elected by the Company and interest is typically paid on a monthly or quarterly basis, depending on the interest period elected.</w:t>
      </w:r>
    </w:p>
    <w:p>
      <w:pPr>
        <w:spacing w:after="0" w:line="162" w:lineRule="exact"/>
        <w:rPr>
          <w:sz w:val="20"/>
          <w:szCs w:val="20"/>
          <w:color w:val="auto"/>
        </w:rPr>
      </w:pPr>
    </w:p>
    <w:p>
      <w:pPr>
        <w:ind w:left="160" w:right="480"/>
        <w:spacing w:after="0" w:line="278" w:lineRule="auto"/>
        <w:rPr>
          <w:sz w:val="20"/>
          <w:szCs w:val="20"/>
          <w:color w:val="auto"/>
        </w:rPr>
      </w:pPr>
      <w:r>
        <w:rPr>
          <w:rFonts w:ascii="Times New Roman" w:cs="Times New Roman" w:eastAsia="Times New Roman" w:hAnsi="Times New Roman"/>
          <w:sz w:val="18"/>
          <w:szCs w:val="18"/>
          <w:color w:val="auto"/>
        </w:rPr>
        <w:t>The indentures contain certain affirmative and negative covenants, which require, among other provisions, delivery of these consolidated financial statements to the relevant note holders. As of December 31, 2024, the Company was in compliance with all covenants.</w:t>
      </w:r>
    </w:p>
    <w:p>
      <w:pPr>
        <w:spacing w:after="0" w:line="162" w:lineRule="exact"/>
        <w:rPr>
          <w:sz w:val="20"/>
          <w:szCs w:val="20"/>
          <w:color w:val="auto"/>
        </w:rPr>
      </w:pPr>
    </w:p>
    <w:p>
      <w:pPr>
        <w:ind w:left="160" w:right="160"/>
        <w:spacing w:after="0" w:line="274" w:lineRule="auto"/>
        <w:rPr>
          <w:sz w:val="20"/>
          <w:szCs w:val="20"/>
          <w:color w:val="auto"/>
        </w:rPr>
      </w:pPr>
      <w:r>
        <w:rPr>
          <w:rFonts w:ascii="Times New Roman" w:cs="Times New Roman" w:eastAsia="Times New Roman" w:hAnsi="Times New Roman"/>
          <w:sz w:val="17"/>
          <w:szCs w:val="17"/>
          <w:u w:val="single" w:color="auto"/>
          <w:color w:val="auto"/>
        </w:rPr>
        <w:t>Reference Rate Reform and the Discontinuation of LIBOR:</w:t>
      </w:r>
      <w:r>
        <w:rPr>
          <w:rFonts w:ascii="Times New Roman" w:cs="Times New Roman" w:eastAsia="Times New Roman" w:hAnsi="Times New Roman"/>
          <w:sz w:val="17"/>
          <w:szCs w:val="17"/>
          <w:color w:val="auto"/>
        </w:rPr>
        <w:t xml:space="preserve"> Regulators and market participants in various jurisdictions have undertaken efforts, generally referred to as reference rate reform, to eliminate certain reference rates and introduce new reference rates that are based on a larger and more liquid population of observable transactions. As a result of the reference rate reform initiative, certain widely used reference rates such as LIBOR were discontinued. In the third quarter of 2023, the Company’s U.S. Dollar Term Loan, CMBS Loan, and Revolving Credit Facility agreements were amended to reference SOFR-based rates. The transition did not have a material impact on the Company’s consolidated financial statements.</w:t>
      </w:r>
    </w:p>
    <w:p>
      <w:pPr>
        <w:spacing w:after="0" w:line="2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8 — INTEREST EXPENSE, NET</w:t>
      </w:r>
    </w:p>
    <w:p>
      <w:pPr>
        <w:spacing w:after="0" w:line="1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Interest expense, net consists of the following for the years ended December 31, 2024, December 31, 2023, and December 31, 2022:</w:t>
      </w:r>
    </w:p>
    <w:p>
      <w:pPr>
        <w:spacing w:after="0" w:line="230"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c>
          <w:tcPr>
            <w:tcW w:w="40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r>
      <w:tr>
        <w:trPr>
          <w:trHeight w:val="170"/>
        </w:trPr>
        <w:tc>
          <w:tcPr>
            <w:tcW w:w="272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w w:val="92"/>
              </w:rPr>
              <w:t>2024</w:t>
            </w:r>
          </w:p>
        </w:tc>
        <w:tc>
          <w:tcPr>
            <w:tcW w:w="8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2023</w:t>
            </w:r>
          </w:p>
        </w:tc>
        <w:tc>
          <w:tcPr>
            <w:tcW w:w="4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4"/>
                <w:szCs w:val="14"/>
                <w:color w:val="auto"/>
              </w:rPr>
            </w:pPr>
          </w:p>
        </w:tc>
      </w:tr>
      <w:tr>
        <w:trPr>
          <w:trHeight w:val="207"/>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(1,144)</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shd w:val="clear" w:color="auto" w:fill="CCEEFF"/>
          </w:tcPr>
          <w:p>
            <w:pPr>
              <w:spacing w:after="0"/>
              <w:rPr>
                <w:sz w:val="18"/>
                <w:szCs w:val="18"/>
                <w:color w:val="auto"/>
              </w:rPr>
            </w:pPr>
          </w:p>
        </w:tc>
      </w:tr>
      <w:tr>
        <w:trPr>
          <w:trHeight w:val="21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280</w:t>
            </w:r>
          </w:p>
        </w:tc>
        <w:tc>
          <w:tcPr>
            <w:tcW w:w="18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237</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2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(864)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(976)</w:t>
            </w:r>
          </w:p>
        </w:tc>
        <w:tc>
          <w:tcPr>
            <w:tcW w:w="5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(872)</w:t>
            </w:r>
          </w:p>
        </w:tc>
      </w:tr>
      <w:tr>
        <w:trPr>
          <w:trHeight w:val="20"/>
        </w:trPr>
        <w:tc>
          <w:tcPr>
            <w:tcW w:w="2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5"/>
        </w:trPr>
        <w:tc>
          <w:tcPr>
            <w:tcW w:w="2720" w:type="dxa"/>
            <w:vAlign w:val="bottom"/>
          </w:tcPr>
          <w:p>
            <w:pPr>
              <w:spacing w:after="0"/>
              <w:rPr>
                <w:sz w:val="24"/>
                <w:szCs w:val="24"/>
                <w:color w:val="auto"/>
              </w:rPr>
            </w:pP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w w:val="93"/>
              </w:rPr>
              <w:t>F-32</w:t>
            </w: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80"/>
          </w:cols>
          <w:pgMar w:left="320" w:top="452" w:right="49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9 — LEASES</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u w:val="single" w:color="auto"/>
          <w:color w:val="auto"/>
        </w:rPr>
        <w:t>Lessee Activities:</w:t>
      </w:r>
    </w:p>
    <w:p>
      <w:pPr>
        <w:spacing w:after="0" w:line="1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The following table summarizes the components of lease cost for the years ended December 31, 2024, December 31, 2023, and December 31, 2022:</w:t>
      </w:r>
    </w:p>
    <w:p>
      <w:pPr>
        <w:spacing w:after="0" w:line="241"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December 31,</w:t>
            </w:r>
          </w:p>
        </w:tc>
        <w:tc>
          <w:tcPr>
            <w:tcW w:w="440" w:type="dxa"/>
            <w:vAlign w:val="bottom"/>
          </w:tcPr>
          <w:p>
            <w:pPr>
              <w:spacing w:after="0"/>
              <w:rPr>
                <w:sz w:val="13"/>
                <w:szCs w:val="13"/>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c>
          <w:tcPr>
            <w:tcW w:w="44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r>
      <w:tr>
        <w:trPr>
          <w:trHeight w:val="170"/>
        </w:trPr>
        <w:tc>
          <w:tcPr>
            <w:tcW w:w="39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color w:val="auto"/>
              </w:rPr>
              <w:t>2024</w:t>
            </w:r>
          </w:p>
        </w:tc>
        <w:tc>
          <w:tcPr>
            <w:tcW w:w="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color w:val="auto"/>
              </w:rPr>
              <w:t>2023</w:t>
            </w:r>
          </w:p>
        </w:tc>
        <w:tc>
          <w:tcPr>
            <w:tcW w:w="48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4"/>
                <w:szCs w:val="14"/>
                <w:color w:val="auto"/>
              </w:rPr>
            </w:pPr>
          </w:p>
        </w:tc>
      </w:tr>
      <w:tr>
        <w:trPr>
          <w:trHeight w:val="207"/>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r>
      <w:tr>
        <w:trPr>
          <w:trHeight w:val="21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14"/>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21"/>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r>
      <w:tr>
        <w:trPr>
          <w:trHeight w:val="214"/>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21"/>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lease cost, net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Variable lease cost primarily includes payments for operating expenses, maintenance, electricity and property taxes.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presents the lease-related assets and liabilities recorded on the consolidated balance sheets:</w:t>
      </w:r>
    </w:p>
    <w:p>
      <w:pPr>
        <w:spacing w:after="0" w:line="230"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4800" w:type="dxa"/>
            <w:vAlign w:val="bottom"/>
            <w:vMerge w:val="restart"/>
          </w:tcPr>
          <w:p>
            <w:pPr>
              <w:ind w:left="1320"/>
              <w:spacing w:after="0"/>
              <w:rPr>
                <w:sz w:val="20"/>
                <w:szCs w:val="20"/>
                <w:color w:val="auto"/>
              </w:rPr>
            </w:pPr>
            <w:r>
              <w:rPr>
                <w:rFonts w:ascii="Times New Roman" w:cs="Times New Roman" w:eastAsia="Times New Roman" w:hAnsi="Times New Roman"/>
                <w:sz w:val="14"/>
                <w:szCs w:val="14"/>
                <w:color w:val="auto"/>
              </w:rPr>
              <w:t>Consolidated balance sheet captions:</w:t>
            </w: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c>
          <w:tcPr>
            <w:tcW w:w="28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20" w:type="dxa"/>
            <w:vAlign w:val="bottom"/>
            <w:tcBorders>
              <w:bottom w:val="single" w:sz="8" w:color="CCEEFF"/>
            </w:tcBorders>
          </w:tcPr>
          <w:p>
            <w:pPr>
              <w:spacing w:after="0"/>
              <w:rPr>
                <w:sz w:val="14"/>
                <w:szCs w:val="14"/>
                <w:color w:val="auto"/>
              </w:rPr>
            </w:pPr>
          </w:p>
        </w:tc>
        <w:tc>
          <w:tcPr>
            <w:tcW w:w="48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color w:val="auto"/>
              </w:rPr>
              <w:t>2024</w:t>
            </w: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2023</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Operating leases</w:t>
            </w:r>
            <w:r>
              <w:rPr>
                <w:rFonts w:ascii="Times New Roman" w:cs="Times New Roman" w:eastAsia="Times New Roman" w:hAnsi="Times New Roman"/>
                <w:sz w:val="18"/>
                <w:szCs w:val="18"/>
                <w:color w:val="auto"/>
              </w:rPr>
              <w:t>:</w:t>
            </w:r>
          </w:p>
        </w:tc>
        <w:tc>
          <w:tcPr>
            <w:tcW w:w="4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384</w:t>
            </w:r>
          </w:p>
        </w:tc>
        <w:tc>
          <w:tcPr>
            <w:tcW w:w="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Current portion of operating lease</w:t>
            </w:r>
          </w:p>
        </w:tc>
        <w:tc>
          <w:tcPr>
            <w:tcW w:w="4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liabilities</w:t>
            </w:r>
          </w:p>
        </w:tc>
        <w:tc>
          <w:tcPr>
            <w:tcW w:w="4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4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4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18"/>
          <w:szCs w:val="18"/>
          <w:color w:val="auto"/>
        </w:rPr>
        <w:t>The Company’s operating leases have a weighted-average remaining lease term of 7 years for both December 31, 2024 and December 31, 2023. The weighted-average discount rate of the Company’s operating leases is 8% for both December 31, 2024 and December 31, 2023.</w:t>
      </w:r>
    </w:p>
    <w:p>
      <w:pPr>
        <w:spacing w:after="0" w:line="1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Future lease annual operating lease payments under non-cancelable leases over the next five years and thereafter is as follows:</w:t>
      </w:r>
    </w:p>
    <w:p>
      <w:pPr>
        <w:spacing w:after="0" w:line="243" w:lineRule="exact"/>
        <w:rPr>
          <w:sz w:val="20"/>
          <w:szCs w:val="20"/>
          <w:color w:val="auto"/>
        </w:rPr>
      </w:pPr>
    </w:p>
    <w:tbl>
      <w:tblPr>
        <w:tblLayout w:type="fixed"/>
        <w:tblInd w:w="1920" w:type="dxa"/>
        <w:tblCellMar>
          <w:top w:w="0" w:type="dxa"/>
          <w:left w:w="0" w:type="dxa"/>
          <w:bottom w:w="0" w:type="dxa"/>
          <w:right w:w="0" w:type="dxa"/>
        </w:tblCellMar>
      </w:tblPr>
      <w:tr>
        <w:trPr>
          <w:trHeight w:val="170"/>
        </w:trPr>
        <w:tc>
          <w:tcPr>
            <w:tcW w:w="33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Total</w:t>
            </w:r>
          </w:p>
        </w:tc>
      </w:tr>
      <w:tr>
        <w:trPr>
          <w:trHeight w:val="207"/>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5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r>
      <w:tr>
        <w:trPr>
          <w:trHeight w:val="214"/>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r>
      <w:tr>
        <w:trPr>
          <w:trHeight w:val="21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r>
      <w:tr>
        <w:trPr>
          <w:trHeight w:val="214"/>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4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r>
      <w:tr>
        <w:trPr>
          <w:trHeight w:val="21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5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r>
      <w:tr>
        <w:trPr>
          <w:trHeight w:val="27"/>
        </w:trPr>
        <w:tc>
          <w:tcPr>
            <w:tcW w:w="33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35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$ 517</w:t>
            </w:r>
          </w:p>
        </w:tc>
      </w:tr>
      <w:tr>
        <w:trPr>
          <w:trHeight w:val="21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56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r>
      <w:tr>
        <w:trPr>
          <w:trHeight w:val="27"/>
        </w:trPr>
        <w:tc>
          <w:tcPr>
            <w:tcW w:w="33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35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$ 405</w:t>
            </w:r>
          </w:p>
        </w:tc>
      </w:tr>
      <w:tr>
        <w:trPr>
          <w:trHeight w:val="20"/>
        </w:trPr>
        <w:tc>
          <w:tcPr>
            <w:tcW w:w="33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5"/>
        </w:trPr>
        <w:tc>
          <w:tcPr>
            <w:tcW w:w="3320" w:type="dxa"/>
            <w:vAlign w:val="bottom"/>
          </w:tcPr>
          <w:p>
            <w:pPr>
              <w:spacing w:after="0"/>
              <w:rPr>
                <w:sz w:val="24"/>
                <w:szCs w:val="24"/>
                <w:color w:val="auto"/>
              </w:rPr>
            </w:pPr>
          </w:p>
        </w:tc>
        <w:tc>
          <w:tcPr>
            <w:tcW w:w="4080" w:type="dxa"/>
            <w:vAlign w:val="bottom"/>
            <w:gridSpan w:val="3"/>
          </w:tcPr>
          <w:p>
            <w:pPr>
              <w:jc w:val="right"/>
              <w:ind w:right="3520"/>
              <w:spacing w:after="0"/>
              <w:rPr>
                <w:sz w:val="20"/>
                <w:szCs w:val="20"/>
                <w:color w:val="auto"/>
              </w:rPr>
            </w:pPr>
            <w:r>
              <w:rPr>
                <w:rFonts w:ascii="Times New Roman" w:cs="Times New Roman" w:eastAsia="Times New Roman" w:hAnsi="Times New Roman"/>
                <w:sz w:val="18"/>
                <w:szCs w:val="18"/>
                <w:color w:val="auto"/>
              </w:rPr>
              <w:t>F-33</w:t>
            </w:r>
          </w:p>
        </w:tc>
      </w:tr>
    </w:tbl>
    <w:p>
      <w:pPr>
        <w:sectPr>
          <w:pgSz w:w="11900" w:h="16838" w:orient="portrait"/>
          <w:cols w:equalWidth="0" w:num="1">
            <w:col w:w="10760"/>
          </w:cols>
          <w:pgMar w:left="320" w:top="452" w:right="81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ind w:left="160" w:right="380"/>
        <w:spacing w:after="0" w:line="263" w:lineRule="auto"/>
        <w:rPr>
          <w:sz w:val="20"/>
          <w:szCs w:val="20"/>
          <w:color w:val="auto"/>
        </w:rPr>
      </w:pPr>
      <w:r>
        <w:rPr>
          <w:rFonts w:ascii="Times New Roman" w:cs="Times New Roman" w:eastAsia="Times New Roman" w:hAnsi="Times New Roman"/>
          <w:sz w:val="18"/>
          <w:szCs w:val="18"/>
          <w:color w:val="auto"/>
        </w:rPr>
        <w:t>As of December 31, 2024, the Company has executed operating lease agreements for office spaces that have not yet commenced. As such the total expected future lease payments of $101 for these agreements are not reflected in the table above. These operating leases will commence after December 31, 2024 with lease terms ranging between 10 to 12 years.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u w:val="single" w:color="auto"/>
          <w:color w:val="auto"/>
        </w:rPr>
        <w:t>Lessor Activities:</w:t>
      </w:r>
    </w:p>
    <w:p>
      <w:pPr>
        <w:spacing w:after="0" w:line="118"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18"/>
          <w:szCs w:val="18"/>
          <w:color w:val="auto"/>
        </w:rPr>
        <w:t>The following table summarizes the components of lease income recorded in cost of goods sold and selling, general and administrative expenses for the years ended December 31, 2024, December 31, 2023, and December 31, 2022:</w:t>
      </w:r>
    </w:p>
    <w:p>
      <w:pPr>
        <w:spacing w:after="0" w:line="171"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1700" w:type="dxa"/>
            <w:vAlign w:val="bottom"/>
            <w:gridSpan w:val="3"/>
          </w:tcPr>
          <w:p>
            <w:pPr>
              <w:ind w:left="900"/>
              <w:spacing w:after="0"/>
              <w:rPr>
                <w:sz w:val="20"/>
                <w:szCs w:val="20"/>
                <w:color w:val="auto"/>
              </w:rPr>
            </w:pPr>
            <w:r>
              <w:rPr>
                <w:rFonts w:ascii="Times New Roman" w:cs="Times New Roman" w:eastAsia="Times New Roman" w:hAnsi="Times New Roman"/>
                <w:sz w:val="14"/>
                <w:szCs w:val="14"/>
                <w:color w:val="auto"/>
                <w:w w:val="99"/>
              </w:rPr>
              <w:t>December 31,</w:t>
            </w:r>
          </w:p>
        </w:tc>
        <w:tc>
          <w:tcPr>
            <w:tcW w:w="1780" w:type="dxa"/>
            <w:vAlign w:val="bottom"/>
            <w:gridSpan w:val="4"/>
          </w:tcPr>
          <w:p>
            <w:pPr>
              <w:ind w:left="920"/>
              <w:spacing w:after="0"/>
              <w:rPr>
                <w:sz w:val="20"/>
                <w:szCs w:val="20"/>
                <w:color w:val="auto"/>
              </w:rPr>
            </w:pPr>
            <w:r>
              <w:rPr>
                <w:rFonts w:ascii="Times New Roman" w:cs="Times New Roman" w:eastAsia="Times New Roman" w:hAnsi="Times New Roman"/>
                <w:sz w:val="14"/>
                <w:szCs w:val="14"/>
                <w:color w:val="auto"/>
              </w:rPr>
              <w:t>December 31,</w:t>
            </w:r>
          </w:p>
        </w:tc>
      </w:tr>
      <w:tr>
        <w:trPr>
          <w:trHeight w:val="170"/>
        </w:trPr>
        <w:tc>
          <w:tcPr>
            <w:tcW w:w="20" w:type="dxa"/>
            <w:vAlign w:val="bottom"/>
          </w:tcPr>
          <w:p>
            <w:pPr>
              <w:spacing w:after="0"/>
              <w:rPr>
                <w:sz w:val="14"/>
                <w:szCs w:val="14"/>
                <w:color w:val="auto"/>
              </w:rPr>
            </w:pPr>
          </w:p>
        </w:tc>
        <w:tc>
          <w:tcPr>
            <w:tcW w:w="366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color w:val="auto"/>
              </w:rPr>
              <w:t>2024</w:t>
            </w:r>
          </w:p>
        </w:tc>
        <w:tc>
          <w:tcPr>
            <w:tcW w:w="9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2023</w:t>
            </w:r>
          </w:p>
        </w:tc>
        <w:tc>
          <w:tcPr>
            <w:tcW w:w="9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2022</w:t>
            </w:r>
          </w:p>
        </w:tc>
        <w:tc>
          <w:tcPr>
            <w:tcW w:w="60" w:type="dxa"/>
            <w:vAlign w:val="bottom"/>
            <w:tcBorders>
              <w:bottom w:val="single" w:sz="8" w:color="CCEEFF"/>
            </w:tcBorders>
          </w:tcPr>
          <w:p>
            <w:pPr>
              <w:spacing w:after="0"/>
              <w:rPr>
                <w:sz w:val="14"/>
                <w:szCs w:val="14"/>
                <w:color w:val="auto"/>
              </w:rPr>
            </w:pPr>
          </w:p>
        </w:tc>
      </w:tr>
      <w:tr>
        <w:trPr>
          <w:trHeight w:val="207"/>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income</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income</w:t>
            </w:r>
          </w:p>
        </w:tc>
        <w:tc>
          <w:tcPr>
            <w:tcW w:w="1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36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Total lease income</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variable lease income includes reimbursements for tenant improvements, property tax, services, utilities, and maintenance.</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Estimated maturities of operating lease receivables over the next five years and thereafter is as follows:</w:t>
      </w:r>
    </w:p>
    <w:p>
      <w:pPr>
        <w:spacing w:after="0" w:line="241" w:lineRule="exact"/>
        <w:rPr>
          <w:sz w:val="20"/>
          <w:szCs w:val="20"/>
          <w:color w:val="auto"/>
        </w:rPr>
      </w:pPr>
    </w:p>
    <w:tbl>
      <w:tblPr>
        <w:tblLayout w:type="fixed"/>
        <w:tblInd w:w="1920" w:type="dxa"/>
        <w:tblCellMar>
          <w:top w:w="0" w:type="dxa"/>
          <w:left w:w="0" w:type="dxa"/>
          <w:bottom w:w="0" w:type="dxa"/>
          <w:right w:w="0" w:type="dxa"/>
        </w:tblCellMar>
      </w:tblPr>
      <w:tr>
        <w:trPr>
          <w:trHeight w:val="172"/>
        </w:trPr>
        <w:tc>
          <w:tcPr>
            <w:tcW w:w="47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7"/>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$ 15</w:t>
            </w:r>
          </w:p>
        </w:tc>
        <w:tc>
          <w:tcPr>
            <w:tcW w:w="40" w:type="dxa"/>
            <w:vAlign w:val="bottom"/>
            <w:tcBorders>
              <w:top w:val="single" w:sz="8" w:color="CCEEFF"/>
            </w:tcBorders>
            <w:shd w:val="clear" w:color="auto" w:fill="CCEEFF"/>
          </w:tcPr>
          <w:p>
            <w:pPr>
              <w:spacing w:after="0"/>
              <w:rPr>
                <w:sz w:val="18"/>
                <w:szCs w:val="18"/>
                <w:color w:val="auto"/>
              </w:rPr>
            </w:pPr>
          </w:p>
        </w:tc>
      </w:tr>
      <w:tr>
        <w:trPr>
          <w:trHeight w:val="21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8"/>
                <w:szCs w:val="18"/>
                <w:color w:val="auto"/>
              </w:rPr>
            </w:pPr>
          </w:p>
        </w:tc>
      </w:tr>
      <w:tr>
        <w:trPr>
          <w:trHeight w:val="21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CCEEFF"/>
          </w:tcPr>
          <w:p>
            <w:pPr>
              <w:spacing w:after="0"/>
              <w:rPr>
                <w:sz w:val="18"/>
                <w:szCs w:val="18"/>
                <w:color w:val="auto"/>
              </w:rPr>
            </w:pPr>
          </w:p>
        </w:tc>
      </w:tr>
      <w:tr>
        <w:trPr>
          <w:trHeight w:val="21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21"/>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30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9"/>
                <w:szCs w:val="19"/>
                <w:color w:val="auto"/>
              </w:rPr>
            </w:pPr>
          </w:p>
        </w:tc>
      </w:tr>
      <w:tr>
        <w:trPr>
          <w:trHeight w:val="214"/>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future lease receivables</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$ 69</w:t>
            </w:r>
          </w:p>
        </w:tc>
        <w:tc>
          <w:tcPr>
            <w:tcW w:w="40" w:type="dxa"/>
            <w:vAlign w:val="bottom"/>
            <w:shd w:val="clear" w:color="auto" w:fill="CCEEFF"/>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right="340"/>
        <w:spacing w:after="0" w:line="278" w:lineRule="auto"/>
        <w:rPr>
          <w:sz w:val="20"/>
          <w:szCs w:val="20"/>
          <w:color w:val="auto"/>
        </w:rPr>
      </w:pPr>
      <w:r>
        <w:rPr>
          <w:rFonts w:ascii="Times New Roman" w:cs="Times New Roman" w:eastAsia="Times New Roman" w:hAnsi="Times New Roman"/>
          <w:sz w:val="18"/>
          <w:szCs w:val="18"/>
          <w:color w:val="auto"/>
        </w:rPr>
        <w:t>Assets under operating leases are included in property, plant, and equipment of the Company’s consolidated balance sheets and are consisted of the following as of:</w:t>
      </w:r>
    </w:p>
    <w:p>
      <w:pPr>
        <w:spacing w:after="0" w:line="169"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2"/>
        </w:trPr>
        <w:tc>
          <w:tcPr>
            <w:tcW w:w="422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r>
      <w:tr>
        <w:trPr>
          <w:trHeight w:val="207"/>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8"/>
                <w:szCs w:val="18"/>
                <w:color w:val="auto"/>
              </w:rPr>
            </w:pPr>
          </w:p>
        </w:tc>
      </w:tr>
      <w:tr>
        <w:trPr>
          <w:trHeight w:val="21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14"/>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4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Assets under operating leases, net</w:t>
            </w:r>
          </w:p>
        </w:tc>
        <w:tc>
          <w:tcPr>
            <w:tcW w:w="150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r>
      <w:tr>
        <w:trPr>
          <w:trHeight w:val="20"/>
        </w:trPr>
        <w:tc>
          <w:tcPr>
            <w:tcW w:w="4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10 — RETIREMENT PLANS</w:t>
      </w:r>
    </w:p>
    <w:p>
      <w:pPr>
        <w:spacing w:after="0" w:line="118" w:lineRule="exact"/>
        <w:rPr>
          <w:sz w:val="20"/>
          <w:szCs w:val="20"/>
          <w:color w:val="auto"/>
        </w:rPr>
      </w:pPr>
    </w:p>
    <w:p>
      <w:pPr>
        <w:ind w:left="160" w:right="80"/>
        <w:spacing w:after="0" w:line="278" w:lineRule="auto"/>
        <w:rPr>
          <w:sz w:val="20"/>
          <w:szCs w:val="20"/>
          <w:color w:val="auto"/>
        </w:rPr>
      </w:pPr>
      <w:r>
        <w:rPr>
          <w:rFonts w:ascii="Times New Roman" w:cs="Times New Roman" w:eastAsia="Times New Roman" w:hAnsi="Times New Roman"/>
          <w:sz w:val="18"/>
          <w:szCs w:val="18"/>
          <w:color w:val="auto"/>
        </w:rPr>
        <w:t>The Company has non-contributory defined benefit retirement plan obligations at several foreign subsidiaries. These plans cover certain employees, as defined, within those foreign jurisdictions. The Company uses December 31 as the measurement date of its defined benefit pension plans.</w:t>
      </w:r>
    </w:p>
    <w:p>
      <w:pPr>
        <w:spacing w:after="0" w:line="9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000"/>
          </w:cols>
          <w:pgMar w:left="320" w:top="452" w:right="57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sets forth the various plans’ unfunded status and amounts recognized in the Company’s balance sheets:</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14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2"/>
        </w:trPr>
        <w:tc>
          <w:tcPr>
            <w:tcW w:w="1320" w:type="dxa"/>
            <w:vAlign w:val="bottom"/>
          </w:tcPr>
          <w:p>
            <w:pPr>
              <w:spacing w:after="0"/>
              <w:rPr>
                <w:sz w:val="14"/>
                <w:szCs w:val="14"/>
                <w:color w:val="auto"/>
              </w:rPr>
            </w:pPr>
          </w:p>
        </w:tc>
        <w:tc>
          <w:tcPr>
            <w:tcW w:w="5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3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Less: Fair value of plan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320" w:type="dxa"/>
            <w:vAlign w:val="bottom"/>
          </w:tcPr>
          <w:p>
            <w:pPr>
              <w:spacing w:after="0"/>
              <w:rPr>
                <w:sz w:val="18"/>
                <w:szCs w:val="18"/>
                <w:color w:val="auto"/>
              </w:rPr>
            </w:pPr>
          </w:p>
        </w:tc>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Unfunded status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Amounts recognized in the consolidated balance sheets are as below:</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67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3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December 31,</w:t>
            </w:r>
          </w:p>
        </w:tc>
        <w:tc>
          <w:tcPr>
            <w:tcW w:w="52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0"/>
        </w:trPr>
        <w:tc>
          <w:tcPr>
            <w:tcW w:w="1320" w:type="dxa"/>
            <w:vAlign w:val="bottom"/>
          </w:tcPr>
          <w:p>
            <w:pPr>
              <w:spacing w:after="0"/>
              <w:rPr>
                <w:sz w:val="14"/>
                <w:szCs w:val="14"/>
                <w:color w:val="auto"/>
              </w:rPr>
            </w:pPr>
          </w:p>
        </w:tc>
        <w:tc>
          <w:tcPr>
            <w:tcW w:w="54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3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(42)</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320" w:type="dxa"/>
            <w:vAlign w:val="bottom"/>
          </w:tcPr>
          <w:p>
            <w:pPr>
              <w:spacing w:after="0"/>
              <w:rPr>
                <w:sz w:val="18"/>
                <w:szCs w:val="18"/>
                <w:color w:val="auto"/>
              </w:rPr>
            </w:pPr>
          </w:p>
        </w:tc>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liability recognized</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(43)</w:t>
            </w:r>
          </w:p>
        </w:tc>
        <w:tc>
          <w:tcPr>
            <w:tcW w:w="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presents information relating to unfunded status that have an accumulated benefit obligation in excess of plan assets:</w:t>
      </w:r>
    </w:p>
    <w:p>
      <w:pPr>
        <w:spacing w:after="0" w:line="230"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c>
          <w:tcPr>
            <w:tcW w:w="520" w:type="dxa"/>
            <w:vAlign w:val="bottom"/>
          </w:tcPr>
          <w:p>
            <w:pPr>
              <w:spacing w:after="0"/>
              <w:rPr>
                <w:sz w:val="13"/>
                <w:szCs w:val="13"/>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w w:val="99"/>
              </w:rPr>
              <w:t>December 31,</w:t>
            </w:r>
          </w:p>
        </w:tc>
      </w:tr>
      <w:tr>
        <w:trPr>
          <w:trHeight w:val="170"/>
        </w:trPr>
        <w:tc>
          <w:tcPr>
            <w:tcW w:w="46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2024</w:t>
            </w:r>
          </w:p>
        </w:tc>
        <w:tc>
          <w:tcPr>
            <w:tcW w:w="58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2023</w:t>
            </w:r>
          </w:p>
        </w:tc>
        <w:tc>
          <w:tcPr>
            <w:tcW w:w="40" w:type="dxa"/>
            <w:vAlign w:val="bottom"/>
            <w:tcBorders>
              <w:bottom w:val="single" w:sz="8" w:color="CCEEFF"/>
            </w:tcBorders>
          </w:tcPr>
          <w:p>
            <w:pPr>
              <w:spacing w:after="0"/>
              <w:rPr>
                <w:sz w:val="14"/>
                <w:szCs w:val="14"/>
                <w:color w:val="auto"/>
              </w:rPr>
            </w:pPr>
          </w:p>
        </w:tc>
      </w:tr>
      <w:tr>
        <w:trPr>
          <w:trHeight w:val="207"/>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shd w:val="clear" w:color="auto" w:fill="CCEEFF"/>
          </w:tcPr>
          <w:p>
            <w:pPr>
              <w:spacing w:after="0"/>
              <w:rPr>
                <w:sz w:val="18"/>
                <w:szCs w:val="18"/>
                <w:color w:val="auto"/>
              </w:rPr>
            </w:pPr>
          </w:p>
        </w:tc>
      </w:tr>
      <w:tr>
        <w:trPr>
          <w:trHeight w:val="21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Less: Fair value of plan assets</w:t>
            </w:r>
          </w:p>
        </w:tc>
        <w:tc>
          <w:tcPr>
            <w:tcW w:w="16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4"/>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Unfunded status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shd w:val="clear" w:color="auto" w:fill="CCEEFF"/>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The Company funds the minimum contribution required under the various statutory requirements of each foreign jurisdiction. Employer’s contribution to obligation and benefits paid by the employer under the plan were not material during the years ended December 31, 2024, December 31, 2023, and December 31, 2022.</w:t>
      </w:r>
    </w:p>
    <w:p>
      <w:pPr>
        <w:spacing w:after="0" w:line="1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weighted-average assumptions are as follows:</w:t>
      </w:r>
    </w:p>
    <w:p>
      <w:pPr>
        <w:spacing w:after="0" w:line="243"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4840" w:type="dxa"/>
            <w:vAlign w:val="bottom"/>
          </w:tcPr>
          <w:p>
            <w:pPr>
              <w:spacing w:after="0"/>
              <w:rPr>
                <w:sz w:val="14"/>
                <w:szCs w:val="14"/>
                <w:color w:val="auto"/>
              </w:rPr>
            </w:pPr>
          </w:p>
        </w:tc>
        <w:tc>
          <w:tcPr>
            <w:tcW w:w="2880" w:type="dxa"/>
            <w:vAlign w:val="bottom"/>
            <w:gridSpan w:val="4"/>
          </w:tcPr>
          <w:p>
            <w:pPr>
              <w:jc w:val="right"/>
              <w:ind w:right="1260"/>
              <w:spacing w:after="0"/>
              <w:rPr>
                <w:sz w:val="20"/>
                <w:szCs w:val="20"/>
                <w:color w:val="auto"/>
              </w:rPr>
            </w:pPr>
            <w:r>
              <w:rPr>
                <w:rFonts w:ascii="Times New Roman" w:cs="Times New Roman" w:eastAsia="Times New Roman" w:hAnsi="Times New Roman"/>
                <w:sz w:val="14"/>
                <w:szCs w:val="14"/>
                <w:color w:val="auto"/>
              </w:rPr>
              <w:t>December 31, 2024</w:t>
            </w:r>
          </w:p>
        </w:tc>
        <w:tc>
          <w:tcPr>
            <w:tcW w:w="2320" w:type="dxa"/>
            <w:vAlign w:val="bottom"/>
            <w:gridSpan w:val="4"/>
          </w:tcPr>
          <w:p>
            <w:pPr>
              <w:ind w:left="500"/>
              <w:spacing w:after="0"/>
              <w:rPr>
                <w:sz w:val="20"/>
                <w:szCs w:val="20"/>
                <w:color w:val="auto"/>
              </w:rPr>
            </w:pPr>
            <w:r>
              <w:rPr>
                <w:rFonts w:ascii="Times New Roman" w:cs="Times New Roman" w:eastAsia="Times New Roman" w:hAnsi="Times New Roman"/>
                <w:sz w:val="14"/>
                <w:szCs w:val="14"/>
                <w:color w:val="auto"/>
              </w:rPr>
              <w:t>December 31, 2023</w:t>
            </w:r>
          </w:p>
        </w:tc>
        <w:tc>
          <w:tcPr>
            <w:tcW w:w="0" w:type="dxa"/>
            <w:vAlign w:val="bottom"/>
          </w:tcPr>
          <w:p>
            <w:pPr>
              <w:spacing w:after="0"/>
              <w:rPr>
                <w:sz w:val="1"/>
                <w:szCs w:val="1"/>
                <w:color w:val="auto"/>
              </w:rPr>
            </w:pPr>
          </w:p>
        </w:tc>
      </w:tr>
      <w:tr>
        <w:trPr>
          <w:trHeight w:val="118"/>
        </w:trPr>
        <w:tc>
          <w:tcPr>
            <w:tcW w:w="4840" w:type="dxa"/>
            <w:vAlign w:val="bottom"/>
          </w:tcPr>
          <w:p>
            <w:pPr>
              <w:spacing w:after="0"/>
              <w:rPr>
                <w:sz w:val="10"/>
                <w:szCs w:val="10"/>
                <w:color w:val="auto"/>
              </w:rPr>
            </w:pPr>
          </w:p>
        </w:tc>
        <w:tc>
          <w:tcPr>
            <w:tcW w:w="1380" w:type="dxa"/>
            <w:vAlign w:val="bottom"/>
            <w:tcBorders>
              <w:top w:val="single" w:sz="8" w:color="auto"/>
            </w:tcBorders>
            <w:gridSpan w:val="2"/>
          </w:tcPr>
          <w:p>
            <w:pPr>
              <w:jc w:val="right"/>
              <w:ind w:right="860"/>
              <w:spacing w:after="0" w:line="118" w:lineRule="exact"/>
              <w:rPr>
                <w:sz w:val="20"/>
                <w:szCs w:val="20"/>
                <w:color w:val="auto"/>
              </w:rPr>
            </w:pPr>
            <w:r>
              <w:rPr>
                <w:rFonts w:ascii="Times New Roman" w:cs="Times New Roman" w:eastAsia="Times New Roman" w:hAnsi="Times New Roman"/>
                <w:sz w:val="13"/>
                <w:szCs w:val="13"/>
                <w:color w:val="auto"/>
              </w:rPr>
              <w:t>Benefit</w:t>
            </w:r>
          </w:p>
        </w:tc>
        <w:tc>
          <w:tcPr>
            <w:tcW w:w="720" w:type="dxa"/>
            <w:vAlign w:val="bottom"/>
            <w:tcBorders>
              <w:top w:val="single" w:sz="8" w:color="auto"/>
            </w:tcBorders>
          </w:tcPr>
          <w:p>
            <w:pPr>
              <w:ind w:left="20"/>
              <w:spacing w:after="0" w:line="118" w:lineRule="exact"/>
              <w:rPr>
                <w:sz w:val="20"/>
                <w:szCs w:val="20"/>
                <w:color w:val="auto"/>
              </w:rPr>
            </w:pPr>
            <w:r>
              <w:rPr>
                <w:rFonts w:ascii="Times New Roman" w:cs="Times New Roman" w:eastAsia="Times New Roman" w:hAnsi="Times New Roman"/>
                <w:sz w:val="13"/>
                <w:szCs w:val="13"/>
                <w:color w:val="auto"/>
              </w:rPr>
              <w:t>Net Periodic</w:t>
            </w:r>
          </w:p>
        </w:tc>
        <w:tc>
          <w:tcPr>
            <w:tcW w:w="780" w:type="dxa"/>
            <w:vAlign w:val="bottom"/>
          </w:tcPr>
          <w:p>
            <w:pPr>
              <w:spacing w:after="0"/>
              <w:rPr>
                <w:sz w:val="10"/>
                <w:szCs w:val="10"/>
                <w:color w:val="auto"/>
              </w:rPr>
            </w:pPr>
          </w:p>
        </w:tc>
        <w:tc>
          <w:tcPr>
            <w:tcW w:w="1400" w:type="dxa"/>
            <w:vAlign w:val="bottom"/>
            <w:tcBorders>
              <w:top w:val="single" w:sz="8" w:color="auto"/>
            </w:tcBorders>
            <w:gridSpan w:val="2"/>
          </w:tcPr>
          <w:p>
            <w:pPr>
              <w:ind w:left="100"/>
              <w:spacing w:after="0" w:line="118" w:lineRule="exact"/>
              <w:rPr>
                <w:sz w:val="20"/>
                <w:szCs w:val="20"/>
                <w:color w:val="auto"/>
              </w:rPr>
            </w:pPr>
            <w:r>
              <w:rPr>
                <w:rFonts w:ascii="Times New Roman" w:cs="Times New Roman" w:eastAsia="Times New Roman" w:hAnsi="Times New Roman"/>
                <w:sz w:val="13"/>
                <w:szCs w:val="13"/>
                <w:color w:val="auto"/>
              </w:rPr>
              <w:t>Benefit</w:t>
            </w:r>
          </w:p>
        </w:tc>
        <w:tc>
          <w:tcPr>
            <w:tcW w:w="720" w:type="dxa"/>
            <w:vAlign w:val="bottom"/>
            <w:tcBorders>
              <w:top w:val="single" w:sz="8" w:color="auto"/>
            </w:tcBorders>
          </w:tcPr>
          <w:p>
            <w:pPr>
              <w:spacing w:after="0" w:line="118" w:lineRule="exact"/>
              <w:rPr>
                <w:sz w:val="20"/>
                <w:szCs w:val="20"/>
                <w:color w:val="auto"/>
              </w:rPr>
            </w:pPr>
            <w:r>
              <w:rPr>
                <w:rFonts w:ascii="Times New Roman" w:cs="Times New Roman" w:eastAsia="Times New Roman" w:hAnsi="Times New Roman"/>
                <w:sz w:val="13"/>
                <w:szCs w:val="13"/>
                <w:color w:val="auto"/>
              </w:rPr>
              <w:t>Net Periodic</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8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Obligation</w:t>
            </w:r>
          </w:p>
        </w:tc>
        <w:tc>
          <w:tcPr>
            <w:tcW w:w="760" w:type="dxa"/>
            <w:vAlign w:val="bottom"/>
          </w:tcPr>
          <w:p>
            <w:pPr>
              <w:spacing w:after="0"/>
              <w:rPr>
                <w:sz w:val="14"/>
                <w:szCs w:val="14"/>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Benefit Cost</w:t>
            </w: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Obligation</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Benefit Cost</w:t>
            </w:r>
          </w:p>
        </w:tc>
        <w:tc>
          <w:tcPr>
            <w:tcW w:w="0" w:type="dxa"/>
            <w:vAlign w:val="bottom"/>
          </w:tcPr>
          <w:p>
            <w:pPr>
              <w:spacing w:after="0"/>
              <w:rPr>
                <w:sz w:val="1"/>
                <w:szCs w:val="1"/>
                <w:color w:val="auto"/>
              </w:rPr>
            </w:pPr>
          </w:p>
        </w:tc>
      </w:tr>
      <w:tr>
        <w:trPr>
          <w:trHeight w:val="20"/>
        </w:trPr>
        <w:tc>
          <w:tcPr>
            <w:tcW w:w="4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2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84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7.00%</w:t>
            </w:r>
          </w:p>
        </w:tc>
        <w:tc>
          <w:tcPr>
            <w:tcW w:w="15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6.28%</w:t>
            </w:r>
          </w:p>
        </w:tc>
        <w:tc>
          <w:tcPr>
            <w:tcW w:w="1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6.88%</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1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4.35%</w:t>
            </w: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4.34%</w:t>
            </w:r>
          </w:p>
        </w:tc>
        <w:tc>
          <w:tcPr>
            <w:tcW w:w="1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4.34%</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14"/>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Social Security increase rate</w:t>
            </w:r>
          </w:p>
        </w:tc>
        <w:tc>
          <w:tcPr>
            <w:tcW w:w="13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3.07%</w:t>
            </w:r>
          </w:p>
        </w:tc>
        <w:tc>
          <w:tcPr>
            <w:tcW w:w="15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3.04%</w:t>
            </w:r>
          </w:p>
        </w:tc>
        <w:tc>
          <w:tcPr>
            <w:tcW w:w="1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3.64%</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Pension increase rate (in payment)</w:t>
            </w: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0.47%</w:t>
            </w: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0.58%</w:t>
            </w:r>
          </w:p>
        </w:tc>
        <w:tc>
          <w:tcPr>
            <w:tcW w:w="1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2.25%</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4"/>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long-term return on plan assets</w:t>
            </w:r>
          </w:p>
        </w:tc>
        <w:tc>
          <w:tcPr>
            <w:tcW w:w="13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3.25%</w:t>
            </w:r>
          </w:p>
        </w:tc>
        <w:tc>
          <w:tcPr>
            <w:tcW w:w="15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3.45%</w:t>
            </w:r>
          </w:p>
        </w:tc>
        <w:tc>
          <w:tcPr>
            <w:tcW w:w="14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362"/>
        </w:trPr>
        <w:tc>
          <w:tcPr>
            <w:tcW w:w="4840" w:type="dxa"/>
            <w:vAlign w:val="bottom"/>
          </w:tcPr>
          <w:p>
            <w:pPr>
              <w:spacing w:after="0"/>
              <w:rPr>
                <w:sz w:val="24"/>
                <w:szCs w:val="24"/>
                <w:color w:val="auto"/>
              </w:rPr>
            </w:pPr>
          </w:p>
        </w:tc>
        <w:tc>
          <w:tcPr>
            <w:tcW w:w="138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w w:val="99"/>
              </w:rPr>
              <w:t>F-35</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52" w:right="65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1760" w:type="dxa"/>
            <w:vAlign w:val="bottom"/>
          </w:tcPr>
          <w:p>
            <w:pPr>
              <w:spacing w:after="0"/>
              <w:rPr>
                <w:sz w:val="18"/>
                <w:szCs w:val="18"/>
                <w:color w:val="auto"/>
              </w:rPr>
            </w:pPr>
          </w:p>
        </w:tc>
        <w:tc>
          <w:tcPr>
            <w:tcW w:w="63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MEDLINE HOLDINGS, LP AND SUBSIDIARIES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3"/>
        </w:trPr>
        <w:tc>
          <w:tcPr>
            <w:tcW w:w="1760" w:type="dxa"/>
            <w:vAlign w:val="bottom"/>
          </w:tcPr>
          <w:p>
            <w:pPr>
              <w:spacing w:after="0"/>
              <w:rPr>
                <w:sz w:val="20"/>
                <w:szCs w:val="20"/>
                <w:color w:val="auto"/>
              </w:rPr>
            </w:pPr>
          </w:p>
        </w:tc>
        <w:tc>
          <w:tcPr>
            <w:tcW w:w="63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(Dollars/units in millions)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133"/>
        </w:trPr>
        <w:tc>
          <w:tcPr>
            <w:tcW w:w="1760" w:type="dxa"/>
            <w:vAlign w:val="bottom"/>
            <w:tcBorders>
              <w:bottom w:val="single" w:sz="8" w:color="auto"/>
            </w:tcBorders>
          </w:tcPr>
          <w:p>
            <w:pPr>
              <w:spacing w:after="0"/>
              <w:rPr>
                <w:sz w:val="11"/>
                <w:szCs w:val="11"/>
                <w:color w:val="auto"/>
              </w:rPr>
            </w:pPr>
          </w:p>
        </w:tc>
        <w:tc>
          <w:tcPr>
            <w:tcW w:w="63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r>
      <w:tr>
        <w:trPr>
          <w:trHeight w:val="248"/>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benefit payments over the next five years and thereafter are as follows:</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387"/>
        </w:trPr>
        <w:tc>
          <w:tcPr>
            <w:tcW w:w="176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7"/>
        </w:trPr>
        <w:tc>
          <w:tcPr>
            <w:tcW w:w="1760" w:type="dxa"/>
            <w:vAlign w:val="bottom"/>
          </w:tcPr>
          <w:p>
            <w:pPr>
              <w:spacing w:after="0"/>
              <w:rPr>
                <w:sz w:val="18"/>
                <w:szCs w:val="18"/>
                <w:color w:val="auto"/>
              </w:rPr>
            </w:pPr>
          </w:p>
        </w:tc>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760" w:type="dxa"/>
            <w:vAlign w:val="bottom"/>
          </w:tcPr>
          <w:p>
            <w:pPr>
              <w:spacing w:after="0"/>
              <w:rPr>
                <w:sz w:val="18"/>
                <w:szCs w:val="18"/>
                <w:color w:val="auto"/>
              </w:rPr>
            </w:pPr>
          </w:p>
        </w:tc>
      </w:tr>
      <w:tr>
        <w:trPr>
          <w:trHeight w:val="214"/>
        </w:trPr>
        <w:tc>
          <w:tcPr>
            <w:tcW w:w="176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760" w:type="dxa"/>
            <w:vAlign w:val="bottom"/>
          </w:tcPr>
          <w:p>
            <w:pPr>
              <w:spacing w:after="0"/>
              <w:rPr>
                <w:sz w:val="18"/>
                <w:szCs w:val="18"/>
                <w:color w:val="auto"/>
              </w:rPr>
            </w:pPr>
          </w:p>
        </w:tc>
      </w:tr>
      <w:tr>
        <w:trPr>
          <w:trHeight w:val="214"/>
        </w:trPr>
        <w:tc>
          <w:tcPr>
            <w:tcW w:w="176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760" w:type="dxa"/>
            <w:vAlign w:val="bottom"/>
          </w:tcPr>
          <w:p>
            <w:pPr>
              <w:spacing w:after="0"/>
              <w:rPr>
                <w:sz w:val="18"/>
                <w:szCs w:val="18"/>
                <w:color w:val="auto"/>
              </w:rPr>
            </w:pPr>
          </w:p>
        </w:tc>
      </w:tr>
      <w:tr>
        <w:trPr>
          <w:trHeight w:val="214"/>
        </w:trPr>
        <w:tc>
          <w:tcPr>
            <w:tcW w:w="176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760" w:type="dxa"/>
            <w:vAlign w:val="bottom"/>
          </w:tcPr>
          <w:p>
            <w:pPr>
              <w:spacing w:after="0"/>
              <w:rPr>
                <w:sz w:val="18"/>
                <w:szCs w:val="18"/>
                <w:color w:val="auto"/>
              </w:rPr>
            </w:pPr>
          </w:p>
        </w:tc>
      </w:tr>
      <w:tr>
        <w:trPr>
          <w:trHeight w:val="214"/>
        </w:trPr>
        <w:tc>
          <w:tcPr>
            <w:tcW w:w="176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760" w:type="dxa"/>
            <w:vAlign w:val="bottom"/>
          </w:tcPr>
          <w:p>
            <w:pPr>
              <w:spacing w:after="0"/>
              <w:rPr>
                <w:sz w:val="18"/>
                <w:szCs w:val="18"/>
                <w:color w:val="auto"/>
              </w:rPr>
            </w:pPr>
          </w:p>
        </w:tc>
      </w:tr>
      <w:tr>
        <w:trPr>
          <w:trHeight w:val="221"/>
        </w:trPr>
        <w:tc>
          <w:tcPr>
            <w:tcW w:w="176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35</w:t>
            </w:r>
          </w:p>
        </w:tc>
        <w:tc>
          <w:tcPr>
            <w:tcW w:w="1760" w:type="dxa"/>
            <w:vAlign w:val="bottom"/>
          </w:tcPr>
          <w:p>
            <w:pPr>
              <w:spacing w:after="0"/>
              <w:rPr>
                <w:sz w:val="19"/>
                <w:szCs w:val="19"/>
                <w:color w:val="auto"/>
              </w:rPr>
            </w:pPr>
          </w:p>
        </w:tc>
      </w:tr>
      <w:tr>
        <w:trPr>
          <w:trHeight w:val="214"/>
        </w:trPr>
        <w:tc>
          <w:tcPr>
            <w:tcW w:w="1760" w:type="dxa"/>
            <w:vAlign w:val="bottom"/>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58</w:t>
            </w:r>
          </w:p>
        </w:tc>
        <w:tc>
          <w:tcPr>
            <w:tcW w:w="1760" w:type="dxa"/>
            <w:vAlign w:val="bottom"/>
          </w:tcPr>
          <w:p>
            <w:pPr>
              <w:spacing w:after="0"/>
              <w:rPr>
                <w:sz w:val="18"/>
                <w:szCs w:val="18"/>
                <w:color w:val="auto"/>
              </w:rPr>
            </w:pPr>
          </w:p>
        </w:tc>
      </w:tr>
      <w:tr>
        <w:trPr>
          <w:trHeight w:val="20"/>
        </w:trPr>
        <w:tc>
          <w:tcPr>
            <w:tcW w:w="17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60" w:right="360"/>
        <w:spacing w:after="0" w:line="263" w:lineRule="auto"/>
        <w:rPr>
          <w:sz w:val="20"/>
          <w:szCs w:val="20"/>
          <w:color w:val="auto"/>
        </w:rPr>
      </w:pPr>
      <w:r>
        <w:rPr>
          <w:rFonts w:ascii="Times New Roman" w:cs="Times New Roman" w:eastAsia="Times New Roman" w:hAnsi="Times New Roman"/>
          <w:sz w:val="18"/>
          <w:szCs w:val="18"/>
          <w:color w:val="auto"/>
        </w:rPr>
        <w:t>Substantially all of the Company’s domestic employees are eligible to be enrolled in the company-sponsored contributory retirement savings plans, which include features under Section 401(k) of the Internal Revenue Code of 1986, and provide for matching and discretionary contributions by the Company.</w:t>
      </w:r>
    </w:p>
    <w:p>
      <w:pPr>
        <w:spacing w:after="0" w:line="175" w:lineRule="exact"/>
        <w:rPr>
          <w:sz w:val="20"/>
          <w:szCs w:val="20"/>
          <w:color w:val="auto"/>
        </w:rPr>
      </w:pPr>
    </w:p>
    <w:p>
      <w:pPr>
        <w:jc w:val="both"/>
        <w:ind w:left="160" w:right="200"/>
        <w:spacing w:after="0" w:line="263" w:lineRule="auto"/>
        <w:rPr>
          <w:sz w:val="20"/>
          <w:szCs w:val="20"/>
          <w:color w:val="auto"/>
        </w:rPr>
      </w:pPr>
      <w:r>
        <w:rPr>
          <w:rFonts w:ascii="Times New Roman" w:cs="Times New Roman" w:eastAsia="Times New Roman" w:hAnsi="Times New Roman"/>
          <w:sz w:val="18"/>
          <w:szCs w:val="18"/>
          <w:color w:val="auto"/>
        </w:rPr>
        <w:t>The total expense for the employee retirement savings plan for the years ended December 31, 2024, December 31, 2023, and December 31, 2022 was $43, $37, and $32, respectively, which were included in selling, general and administrative expenses on the consolidated statements of comprehensive income.</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Income Before Income Tax Expense by Category</w:t>
      </w:r>
    </w:p>
    <w:p>
      <w:pPr>
        <w:spacing w:after="0" w:line="1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Income before taxes and equity in earnings of affiliates from continuing operations was as follows:</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9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Year ended</w:t>
            </w: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90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660" w:type="dxa"/>
            <w:vAlign w:val="bottom"/>
          </w:tcPr>
          <w:p>
            <w:pPr>
              <w:spacing w:after="0"/>
              <w:rPr>
                <w:sz w:val="10"/>
                <w:szCs w:val="10"/>
                <w:color w:val="auto"/>
              </w:rPr>
            </w:pPr>
          </w:p>
        </w:tc>
        <w:tc>
          <w:tcPr>
            <w:tcW w:w="960" w:type="dxa"/>
            <w:vAlign w:val="bottom"/>
            <w:gridSpan w:val="4"/>
          </w:tcPr>
          <w:p>
            <w:pPr>
              <w:ind w:left="160"/>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1620" w:type="dxa"/>
            <w:vAlign w:val="bottom"/>
            <w:gridSpan w:val="3"/>
          </w:tcPr>
          <w:p>
            <w:pPr>
              <w:ind w:left="820"/>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44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2024</w:t>
            </w:r>
          </w:p>
        </w:tc>
        <w:tc>
          <w:tcPr>
            <w:tcW w:w="6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color w:val="auto"/>
              </w:rPr>
              <w:t>2023</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90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72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92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9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53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for each reporting period consists of the following:</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6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color w:val="auto"/>
              </w:rPr>
              <w:t>December 31,</w:t>
            </w:r>
          </w:p>
        </w:tc>
        <w:tc>
          <w:tcPr>
            <w:tcW w:w="1620" w:type="dxa"/>
            <w:vAlign w:val="bottom"/>
            <w:gridSpan w:val="5"/>
          </w:tcPr>
          <w:p>
            <w:pPr>
              <w:ind w:left="660"/>
              <w:spacing w:after="0"/>
              <w:rPr>
                <w:sz w:val="20"/>
                <w:szCs w:val="20"/>
                <w:color w:val="auto"/>
              </w:rPr>
            </w:pPr>
            <w:r>
              <w:rPr>
                <w:rFonts w:ascii="Times New Roman" w:cs="Times New Roman" w:eastAsia="Times New Roman" w:hAnsi="Times New Roman"/>
                <w:sz w:val="14"/>
                <w:szCs w:val="14"/>
                <w:color w:val="auto"/>
              </w:rPr>
              <w:t>December 31,</w:t>
            </w:r>
          </w:p>
        </w:tc>
        <w:tc>
          <w:tcPr>
            <w:tcW w:w="1740" w:type="dxa"/>
            <w:vAlign w:val="bottom"/>
            <w:gridSpan w:val="4"/>
          </w:tcPr>
          <w:p>
            <w:pPr>
              <w:ind w:left="82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40" w:type="dxa"/>
            <w:vAlign w:val="bottom"/>
            <w:gridSpan w:val="4"/>
          </w:tcPr>
          <w:p>
            <w:pPr>
              <w:jc w:val="right"/>
              <w:ind w:right="177"/>
              <w:spacing w:after="0"/>
              <w:rPr>
                <w:sz w:val="20"/>
                <w:szCs w:val="20"/>
                <w:color w:val="auto"/>
              </w:rPr>
            </w:pPr>
            <w:r>
              <w:rPr>
                <w:rFonts w:ascii="Times New Roman" w:cs="Times New Roman" w:eastAsia="Times New Roman" w:hAnsi="Times New Roman"/>
                <w:sz w:val="14"/>
                <w:szCs w:val="14"/>
                <w:color w:val="auto"/>
              </w:rPr>
              <w:t>2024</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174"/>
              <w:spacing w:after="0"/>
              <w:rPr>
                <w:sz w:val="20"/>
                <w:szCs w:val="20"/>
                <w:color w:val="auto"/>
              </w:rPr>
            </w:pPr>
            <w:r>
              <w:rPr>
                <w:rFonts w:ascii="Times New Roman" w:cs="Times New Roman" w:eastAsia="Times New Roman" w:hAnsi="Times New Roman"/>
                <w:sz w:val="14"/>
                <w:szCs w:val="14"/>
                <w:color w:val="auto"/>
                <w:w w:val="92"/>
              </w:rPr>
              <w:t>2023</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00" w:type="dxa"/>
            <w:vAlign w:val="bottom"/>
          </w:tcPr>
          <w:p>
            <w:pPr>
              <w:spacing w:after="0"/>
              <w:rPr>
                <w:sz w:val="16"/>
                <w:szCs w:val="16"/>
                <w:color w:val="auto"/>
              </w:rPr>
            </w:pPr>
          </w:p>
        </w:tc>
        <w:tc>
          <w:tcPr>
            <w:tcW w:w="444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Current income tax expense</w:t>
            </w:r>
          </w:p>
        </w:tc>
        <w:tc>
          <w:tcPr>
            <w:tcW w:w="2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440" w:type="dxa"/>
            <w:vAlign w:val="bottom"/>
          </w:tcPr>
          <w:p>
            <w:pPr>
              <w:spacing w:after="0" w:line="214" w:lineRule="exact"/>
              <w:rPr>
                <w:sz w:val="20"/>
                <w:szCs w:val="20"/>
                <w:color w:val="auto"/>
              </w:rPr>
            </w:pPr>
            <w:r>
              <w:rPr>
                <w:rFonts w:ascii="Times New Roman" w:cs="Times New Roman" w:eastAsia="Times New Roman" w:hAnsi="Times New Roman"/>
                <w:sz w:val="17"/>
                <w:szCs w:val="17"/>
                <w:color w:val="auto"/>
              </w:rPr>
              <w:t>U.S. federal and state income tax expense</w:t>
            </w:r>
            <w:r>
              <w:rPr>
                <w:rFonts w:ascii="Times New Roman" w:cs="Times New Roman" w:eastAsia="Times New Roman" w:hAnsi="Times New Roman"/>
                <w:sz w:val="24"/>
                <w:szCs w:val="24"/>
                <w:color w:val="auto"/>
                <w:vertAlign w:val="superscript"/>
              </w:rPr>
              <w:t>(1)</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320" w:type="dxa"/>
            <w:vAlign w:val="bottom"/>
          </w:tcPr>
          <w:p>
            <w:pPr>
              <w:spacing w:after="0"/>
              <w:rPr>
                <w:sz w:val="18"/>
                <w:szCs w:val="18"/>
                <w:color w:val="auto"/>
              </w:rPr>
            </w:pPr>
          </w:p>
        </w:tc>
        <w:tc>
          <w:tcPr>
            <w:tcW w:w="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9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44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Foreign income tax expense in various foreign tax</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900" w:type="dxa"/>
            <w:vAlign w:val="bottom"/>
          </w:tcPr>
          <w:p>
            <w:pPr>
              <w:spacing w:after="0"/>
              <w:rPr>
                <w:sz w:val="20"/>
                <w:szCs w:val="20"/>
                <w:color w:val="auto"/>
              </w:rPr>
            </w:pPr>
          </w:p>
        </w:tc>
        <w:tc>
          <w:tcPr>
            <w:tcW w:w="4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jurisdictions</w:t>
            </w:r>
          </w:p>
        </w:tc>
        <w:tc>
          <w:tcPr>
            <w:tcW w:w="24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900" w:type="dxa"/>
            <w:vAlign w:val="bottom"/>
          </w:tcPr>
          <w:p>
            <w:pPr>
              <w:spacing w:after="0"/>
              <w:rPr>
                <w:sz w:val="19"/>
                <w:szCs w:val="19"/>
                <w:color w:val="auto"/>
              </w:rPr>
            </w:pPr>
          </w:p>
        </w:tc>
        <w:tc>
          <w:tcPr>
            <w:tcW w:w="4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440" w:type="dxa"/>
            <w:vAlign w:val="bottom"/>
          </w:tcPr>
          <w:p>
            <w:pPr>
              <w:spacing w:after="0" w:line="214" w:lineRule="exact"/>
              <w:rPr>
                <w:sz w:val="20"/>
                <w:szCs w:val="20"/>
                <w:color w:val="auto"/>
              </w:rPr>
            </w:pPr>
            <w:r>
              <w:rPr>
                <w:rFonts w:ascii="Times New Roman" w:cs="Times New Roman" w:eastAsia="Times New Roman" w:hAnsi="Times New Roman"/>
                <w:sz w:val="17"/>
                <w:szCs w:val="17"/>
                <w:color w:val="auto"/>
              </w:rPr>
              <w:t>U.S. federal and state income tax expense</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6"/>
              </w:rPr>
              <w:t>— </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900" w:type="dxa"/>
            <w:vAlign w:val="bottom"/>
          </w:tcPr>
          <w:p>
            <w:pPr>
              <w:spacing w:after="0"/>
              <w:rPr>
                <w:sz w:val="16"/>
                <w:szCs w:val="16"/>
                <w:color w:val="auto"/>
              </w:rPr>
            </w:pPr>
          </w:p>
        </w:tc>
        <w:tc>
          <w:tcPr>
            <w:tcW w:w="44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Foreign income tax expense in various foreign tax</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900" w:type="dxa"/>
            <w:vAlign w:val="bottom"/>
          </w:tcPr>
          <w:p>
            <w:pPr>
              <w:spacing w:after="0"/>
              <w:rPr>
                <w:sz w:val="20"/>
                <w:szCs w:val="20"/>
                <w:color w:val="auto"/>
              </w:rPr>
            </w:pPr>
          </w:p>
        </w:tc>
        <w:tc>
          <w:tcPr>
            <w:tcW w:w="4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jurisdictions</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w:t>
            </w: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7"/>
        </w:trPr>
        <w:tc>
          <w:tcPr>
            <w:tcW w:w="900" w:type="dxa"/>
            <w:vAlign w:val="bottom"/>
          </w:tcPr>
          <w:p>
            <w:pPr>
              <w:spacing w:after="0"/>
              <w:rPr>
                <w:sz w:val="19"/>
                <w:szCs w:val="19"/>
                <w:color w:val="auto"/>
              </w:rPr>
            </w:pPr>
          </w:p>
        </w:tc>
        <w:tc>
          <w:tcPr>
            <w:tcW w:w="4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deferred</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w:t>
            </w: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left="600" w:right="20" w:hanging="433"/>
        <w:spacing w:after="0" w:line="255" w:lineRule="auto"/>
        <w:tabs>
          <w:tab w:leader="none" w:pos="60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recognizes a GILTI charge at the C-Corporation level as a current period expense, and no charge is recognized at Medline Holdings, as the inclusion is passed through to its partners.</w:t>
      </w:r>
    </w:p>
    <w:p>
      <w:pPr>
        <w:spacing w:after="0" w:line="1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080"/>
          </w:cols>
          <w:pgMar w:left="320" w:top="452" w:right="49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Deferred Tax Assets and Liabilities</w:t>
      </w:r>
    </w:p>
    <w:p>
      <w:pPr>
        <w:spacing w:after="0" w:line="1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presents the components of deferred tax assets and liabilities:</w:t>
      </w:r>
    </w:p>
    <w:p>
      <w:pPr>
        <w:spacing w:after="0" w:line="230"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December 31,</w:t>
            </w:r>
          </w:p>
        </w:tc>
        <w:tc>
          <w:tcPr>
            <w:tcW w:w="44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r>
      <w:tr>
        <w:trPr>
          <w:trHeight w:val="170"/>
        </w:trPr>
        <w:tc>
          <w:tcPr>
            <w:tcW w:w="454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2024</w:t>
            </w:r>
          </w:p>
        </w:tc>
        <w:tc>
          <w:tcPr>
            <w:tcW w:w="5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4"/>
                <w:szCs w:val="14"/>
                <w:color w:val="auto"/>
              </w:rPr>
            </w:pPr>
          </w:p>
        </w:tc>
      </w:tr>
      <w:tr>
        <w:trPr>
          <w:trHeight w:val="194"/>
        </w:trPr>
        <w:tc>
          <w:tcPr>
            <w:tcW w:w="45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Deferred tax asset</w:t>
            </w: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Pensions and other post-retirement benefits</w:t>
            </w:r>
          </w:p>
        </w:tc>
        <w:tc>
          <w:tcPr>
            <w:tcW w:w="12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w:t>
            </w:r>
          </w:p>
        </w:tc>
        <w:tc>
          <w:tcPr>
            <w:tcW w:w="6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4"/>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4"/>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4"/>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Valuation Allowances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21"/>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w:t>
            </w:r>
          </w:p>
        </w:tc>
        <w:tc>
          <w:tcPr>
            <w:tcW w:w="10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r>
      <w:tr>
        <w:trPr>
          <w:trHeight w:val="214"/>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liability</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(37)</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14"/>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(183)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w:t>
            </w:r>
          </w:p>
        </w:tc>
      </w:tr>
      <w:tr>
        <w:trPr>
          <w:trHeight w:val="214"/>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14"/>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27"/>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liability</w:t>
            </w:r>
          </w:p>
        </w:tc>
        <w:tc>
          <w:tcPr>
            <w:tcW w:w="10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r>
      <w:tr>
        <w:trPr>
          <w:trHeight w:val="214"/>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liability</w:t>
            </w:r>
          </w:p>
        </w:tc>
        <w:tc>
          <w:tcPr>
            <w:tcW w:w="12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(195)</w:t>
            </w:r>
          </w:p>
        </w:tc>
        <w:tc>
          <w:tcPr>
            <w:tcW w:w="6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w:t>
            </w:r>
          </w:p>
        </w:tc>
      </w:tr>
      <w:tr>
        <w:trPr>
          <w:trHeight w:val="20"/>
        </w:trPr>
        <w:tc>
          <w:tcPr>
            <w:tcW w:w="4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spacing w:after="0" w:line="274" w:lineRule="auto"/>
        <w:rPr>
          <w:sz w:val="20"/>
          <w:szCs w:val="20"/>
          <w:color w:val="auto"/>
        </w:rPr>
      </w:pPr>
      <w:r>
        <w:rPr>
          <w:rFonts w:ascii="Times New Roman" w:cs="Times New Roman" w:eastAsia="Times New Roman" w:hAnsi="Times New Roman"/>
          <w:sz w:val="17"/>
          <w:szCs w:val="17"/>
          <w:color w:val="auto"/>
        </w:rPr>
        <w:t>As of December 31, 2024, the Company had foreign net operating loss (“NOL”) carryforwards of $9. Out of this $4 of the foreign NOL carryforwards will expire between 2027 and 2034, and $5 of the foreign NOL carryforwards have no expiration date. Realization of the foreign net operating loss carryforwards depends on generating sufficient future earnings. As of December 31, 2023, the Company had immaterial deferred tax assets on foreign NOL carryforward. The Company recognized an immaterial valuation allowance as of December 31, 2024 to reduce the deferred tax assets associated with net operating loss because the Company does not believe it is more likely than not that these assets will be fully realized prior to expiration.</w:t>
      </w:r>
    </w:p>
    <w:p>
      <w:pPr>
        <w:spacing w:after="0" w:line="1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Company did not have any unrecognized tax benefits recorded on its balance sheet as of December 31, 2024 and December 31, 2023.</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Income Tax Expense Reconciliation:</w:t>
      </w:r>
    </w:p>
    <w:p>
      <w:pPr>
        <w:spacing w:after="0" w:line="247"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22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r>
      <w:tr>
        <w:trPr>
          <w:trHeight w:val="207"/>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at US statutory rate</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Tax rate differential</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6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(211)</w:t>
            </w:r>
          </w:p>
        </w:tc>
        <w:tc>
          <w:tcPr>
            <w:tcW w:w="500" w:type="dxa"/>
            <w:vAlign w:val="bottom"/>
          </w:tcPr>
          <w:p>
            <w:pPr>
              <w:spacing w:after="0"/>
              <w:rPr>
                <w:sz w:val="18"/>
                <w:szCs w:val="18"/>
                <w:color w:val="auto"/>
              </w:rPr>
            </w:pPr>
          </w:p>
        </w:tc>
        <w:tc>
          <w:tcPr>
            <w:tcW w:w="172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(42)</w:t>
            </w: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4"/>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holidays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GILTI and Subpart F</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2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28</w:t>
            </w: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14"/>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(32)</w:t>
            </w:r>
          </w:p>
        </w:tc>
        <w:tc>
          <w:tcPr>
            <w:tcW w:w="5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(24)</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1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State tax effect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6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6</w:t>
            </w:r>
          </w:p>
        </w:tc>
        <w:tc>
          <w:tcPr>
            <w:tcW w:w="500" w:type="dxa"/>
            <w:vAlign w:val="bottom"/>
          </w:tcPr>
          <w:p>
            <w:pPr>
              <w:spacing w:after="0"/>
              <w:rPr>
                <w:sz w:val="18"/>
                <w:szCs w:val="18"/>
                <w:color w:val="auto"/>
              </w:rPr>
            </w:pPr>
          </w:p>
        </w:tc>
        <w:tc>
          <w:tcPr>
            <w:tcW w:w="172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7</w:t>
            </w: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4"/>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NOL</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6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tcPr>
          <w:p>
            <w:pPr>
              <w:spacing w:after="0"/>
              <w:rPr>
                <w:sz w:val="18"/>
                <w:szCs w:val="18"/>
                <w:color w:val="auto"/>
              </w:rPr>
            </w:pPr>
          </w:p>
        </w:tc>
        <w:tc>
          <w:tcPr>
            <w:tcW w:w="172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4"/>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21"/>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8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8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right="500"/>
        <w:spacing w:after="0" w:line="278" w:lineRule="auto"/>
        <w:rPr>
          <w:sz w:val="20"/>
          <w:szCs w:val="20"/>
          <w:color w:val="auto"/>
        </w:rPr>
      </w:pPr>
      <w:r>
        <w:rPr>
          <w:rFonts w:ascii="Times New Roman" w:cs="Times New Roman" w:eastAsia="Times New Roman" w:hAnsi="Times New Roman"/>
          <w:sz w:val="18"/>
          <w:szCs w:val="18"/>
          <w:color w:val="auto"/>
        </w:rPr>
        <w:t>The Company’s effective income tax rate can differ from the 21% U.S. federal statutory rate due to a number of factors, including the operating partnership, tax incentives, foreign rate differences, state income taxes, non-deductible expenses, and non-taxable income.</w:t>
      </w:r>
    </w:p>
    <w:p>
      <w:pPr>
        <w:spacing w:after="0" w:line="9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0900"/>
          </w:cols>
          <w:pgMar w:left="320" w:top="452" w:right="67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Tax Holidays</w:t>
      </w:r>
    </w:p>
    <w:p>
      <w:pPr>
        <w:spacing w:after="0" w:line="118"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18"/>
          <w:szCs w:val="18"/>
          <w:color w:val="auto"/>
        </w:rPr>
        <w:t>The Company receives tax holidays as a result of Free Trade Zones in United Arab Emirates, Panama, and Dominican Republic. The financial impact of the reductions as compared to the statutory tax rate is indicated in the income tax expense (benefit) reconciliation table above.</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Examinations of Tax Returns</w:t>
      </w:r>
    </w:p>
    <w:p>
      <w:pPr>
        <w:spacing w:after="0" w:line="118" w:lineRule="exact"/>
        <w:rPr>
          <w:sz w:val="20"/>
          <w:szCs w:val="20"/>
          <w:color w:val="auto"/>
        </w:rPr>
      </w:pPr>
    </w:p>
    <w:p>
      <w:pPr>
        <w:ind w:left="160" w:right="180"/>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ongoing audits in the United States, Germany, Spain, and other jurisdictions. While the final outcome of these matters is inherently uncertain, the Company does not believe that any of these pose a material risk to the financial statements. During 2024, the Company closed audits in Spain and Germany, with no material adjustments to the financial statements. During 2023, the Company closed several United States state audits, as well as audits in Switzerland and Germany, with no material adjustments to the financial statements.</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12 — COMMITMENTS AND CONTINGENCIES</w:t>
      </w:r>
    </w:p>
    <w:p>
      <w:pPr>
        <w:spacing w:after="0" w:line="1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116" w:lineRule="exact"/>
        <w:rPr>
          <w:sz w:val="20"/>
          <w:szCs w:val="20"/>
          <w:color w:val="auto"/>
        </w:rPr>
      </w:pPr>
    </w:p>
    <w:p>
      <w:pPr>
        <w:ind w:left="160" w:right="400"/>
        <w:spacing w:after="0" w:line="277" w:lineRule="auto"/>
        <w:rPr>
          <w:sz w:val="20"/>
          <w:szCs w:val="20"/>
          <w:color w:val="auto"/>
        </w:rPr>
      </w:pPr>
      <w:r>
        <w:rPr>
          <w:rFonts w:ascii="Times New Roman" w:cs="Times New Roman" w:eastAsia="Times New Roman" w:hAnsi="Times New Roman"/>
          <w:sz w:val="17"/>
          <w:szCs w:val="17"/>
          <w:color w:val="auto"/>
        </w:rPr>
        <w:t>The Company is subject to various legal actions that are ordinary course and incidental to the business, including contract disputes, employment, workers’ compensation, product liability, auto liability, regulatory and other matters. The Company maintains insurance coverage for employment, product liability, workers’ compensation and other personal injury litigation matters, subject to policy limits, applicable deductibles and insurer solvency. The Company establishes reserves from time to time based upon period assessment of the potential outcomes of pending matters.</w:t>
      </w:r>
    </w:p>
    <w:p>
      <w:pPr>
        <w:spacing w:after="0" w:line="167" w:lineRule="exact"/>
        <w:rPr>
          <w:sz w:val="20"/>
          <w:szCs w:val="20"/>
          <w:color w:val="auto"/>
        </w:rPr>
      </w:pPr>
    </w:p>
    <w:p>
      <w:pPr>
        <w:ind w:left="160"/>
        <w:spacing w:after="0" w:line="253" w:lineRule="auto"/>
        <w:rPr>
          <w:sz w:val="20"/>
          <w:szCs w:val="20"/>
          <w:color w:val="auto"/>
        </w:rPr>
      </w:pPr>
      <w:r>
        <w:rPr>
          <w:rFonts w:ascii="Times New Roman" w:cs="Times New Roman" w:eastAsia="Times New Roman" w:hAnsi="Times New Roman"/>
          <w:sz w:val="18"/>
          <w:szCs w:val="18"/>
          <w:color w:val="auto"/>
        </w:rPr>
        <w:t>In January 2019 and thereafter, the Company has been named as a defendant in mass tort litigation in Cook County, Illinois involving claims by approximately 380 plaintiffs that allege personal injuries associated with the Company’s EtO activities in Lake County, Illinois. Through settlement discussions with mediators, the Company has reached binding settlements with 7 plaintiffs, as well as a contingent settlement encompassing substantially all the remaining claimants. This contingent group settlement requires a neutral third party to allocate settlement funds among participating plaintiffs and, in turn, entitles individual claimants to appeal their allocation to such third party and, if they so choose, opt-out of the group settlement after such appeal. Likewise, the Company may opt-out of the contingent group settlement if a significant number of plaintiffs opt-out or do not qualify to participate in the settlement.</w:t>
      </w:r>
    </w:p>
    <w:p>
      <w:pPr>
        <w:spacing w:after="0" w:line="184" w:lineRule="exact"/>
        <w:rPr>
          <w:sz w:val="20"/>
          <w:szCs w:val="20"/>
          <w:color w:val="auto"/>
        </w:rPr>
      </w:pPr>
    </w:p>
    <w:p>
      <w:pPr>
        <w:ind w:left="160" w:right="60"/>
        <w:spacing w:after="0" w:line="251" w:lineRule="auto"/>
        <w:rPr>
          <w:sz w:val="20"/>
          <w:szCs w:val="20"/>
          <w:color w:val="auto"/>
        </w:rPr>
      </w:pPr>
      <w:r>
        <w:rPr>
          <w:rFonts w:ascii="Times New Roman" w:cs="Times New Roman" w:eastAsia="Times New Roman" w:hAnsi="Times New Roman"/>
          <w:sz w:val="18"/>
          <w:szCs w:val="18"/>
          <w:color w:val="auto"/>
        </w:rPr>
        <w:t>The Company accrued $176 in other operating expenses on the consolidated statements of comprehensive income, the gross amount among all settlements, for this litigation without discount in 2023. As of December 31, 2024, the outstanding liability decreased to $174. During the year ended December 31, 2023, the Company also reached agreements with the primary insurance carriers to recover $13, which is 100% of their limits and recorded in other operating expenses on the consolidated statements of comprehensive income. As of December 31, 2024, the Company carried a receivable of $10 related to these insurance recoveries and the company also deposited $47 in escrow account in accordance with the contingent group settlement. The Company is actively pursuing litigation with its excess insurance carriers related to their obligations to reimburse the Company for substantially all remaining settlement payments in connection with the lawsuit described above. The Company is confident in its position on this matter and will aggressively litigate to enforce its contractual rights. The Company has not recorded a receivable for expected recoveries of the remaining settlement payments as of December 31, 2024.</w:t>
      </w:r>
    </w:p>
    <w:p>
      <w:pPr>
        <w:spacing w:after="0" w:line="192" w:lineRule="exact"/>
        <w:rPr>
          <w:sz w:val="20"/>
          <w:szCs w:val="20"/>
          <w:color w:val="auto"/>
        </w:rPr>
      </w:pPr>
    </w:p>
    <w:p>
      <w:pPr>
        <w:ind w:left="160" w:right="140"/>
        <w:spacing w:after="0" w:line="278" w:lineRule="auto"/>
        <w:rPr>
          <w:sz w:val="20"/>
          <w:szCs w:val="20"/>
          <w:color w:val="auto"/>
        </w:rPr>
      </w:pPr>
      <w:r>
        <w:rPr>
          <w:rFonts w:ascii="Times New Roman" w:cs="Times New Roman" w:eastAsia="Times New Roman" w:hAnsi="Times New Roman"/>
          <w:sz w:val="18"/>
          <w:szCs w:val="18"/>
          <w:color w:val="auto"/>
        </w:rPr>
        <w:t>Based on current knowledge and the advice of legal counsel, management believes that the accrual as of December 31, 2024 for other pending matters considered probable of loss is sufficient. In addition, management</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040"/>
          </w:cols>
          <w:pgMar w:left="320" w:top="452" w:right="53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jc w:val="both"/>
        <w:ind w:left="160" w:right="340"/>
        <w:spacing w:after="0" w:line="258" w:lineRule="auto"/>
        <w:rPr>
          <w:sz w:val="20"/>
          <w:szCs w:val="20"/>
          <w:color w:val="auto"/>
        </w:rPr>
      </w:pPr>
      <w:r>
        <w:rPr>
          <w:rFonts w:ascii="Times New Roman" w:cs="Times New Roman" w:eastAsia="Times New Roman" w:hAnsi="Times New Roman"/>
          <w:sz w:val="18"/>
          <w:szCs w:val="18"/>
          <w:color w:val="auto"/>
        </w:rPr>
        <w:t>believes that other currently pending matters are not reasonably likely to result in a material loss, as payment of the amounts claimed is remote, the claims are insignificant, individually and in the aggregate, or the claims are expected to be adequately covered by insurance. The Company is of the opinion that, although the outcome of any such legal proceedings cannot be predicted with any certainty, the ultimate liability, if any, will not have a material adverse effect on the Company’s consolidated financial statements.</w:t>
      </w:r>
    </w:p>
    <w:p>
      <w:pPr>
        <w:spacing w:after="0" w:line="2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Unconditional purchase obligations</w:t>
      </w:r>
    </w:p>
    <w:p>
      <w:pPr>
        <w:spacing w:after="0" w:line="116" w:lineRule="exact"/>
        <w:rPr>
          <w:sz w:val="20"/>
          <w:szCs w:val="20"/>
          <w:color w:val="auto"/>
        </w:rPr>
      </w:pPr>
    </w:p>
    <w:p>
      <w:pPr>
        <w:ind w:left="160" w:right="20"/>
        <w:spacing w:after="0" w:line="254" w:lineRule="auto"/>
        <w:rPr>
          <w:sz w:val="20"/>
          <w:szCs w:val="20"/>
          <w:color w:val="auto"/>
        </w:rPr>
      </w:pPr>
      <w:r>
        <w:rPr>
          <w:rFonts w:ascii="Times New Roman" w:cs="Times New Roman" w:eastAsia="Times New Roman" w:hAnsi="Times New Roman"/>
          <w:sz w:val="18"/>
          <w:szCs w:val="18"/>
          <w:color w:val="auto"/>
        </w:rPr>
        <w:t>Unconditional purchase obligations are defined as agreements to purchase goods or services that are enforceable and legally binding (non-cancelable, or cancelable only in certain circumstances) and that specify all significant terms, including fixed or minimum quantities to be purchased, fixed, minimum, or variable price provisions, and the approximate timing of the transaction. In the normal course of business, the Company enters into arrangements with vendors that supply goods or services. These arrangements can include unconditional purchase obligations and commitments. Payments made under the unconditional purchase obligations were $274, $212, and $227 for the years ended December 31, 2024, December 31, 2023, and December 31, 2022, respectively.</w:t>
      </w:r>
    </w:p>
    <w:p>
      <w:pPr>
        <w:spacing w:after="0" w:line="184" w:lineRule="exact"/>
        <w:rPr>
          <w:sz w:val="20"/>
          <w:szCs w:val="20"/>
          <w:color w:val="auto"/>
        </w:rPr>
      </w:pPr>
    </w:p>
    <w:tbl>
      <w:tblPr>
        <w:tblLayout w:type="fixed"/>
        <w:tblInd w:w="160" w:type="dxa"/>
        <w:tblCellMar>
          <w:top w:w="0" w:type="dxa"/>
          <w:left w:w="0" w:type="dxa"/>
          <w:bottom w:w="0" w:type="dxa"/>
          <w:right w:w="0" w:type="dxa"/>
        </w:tblCellMar>
      </w:tblPr>
      <w:tr>
        <w:trPr>
          <w:trHeight w:val="233"/>
        </w:trPr>
        <w:tc>
          <w:tcPr>
            <w:tcW w:w="8760" w:type="dxa"/>
            <w:vAlign w:val="bottom"/>
            <w:gridSpan w:val="2"/>
          </w:tcPr>
          <w:p>
            <w:pPr>
              <w:jc w:val="right"/>
              <w:ind w:right="2771"/>
              <w:spacing w:after="0"/>
              <w:rPr>
                <w:sz w:val="20"/>
                <w:szCs w:val="20"/>
                <w:color w:val="auto"/>
              </w:rPr>
            </w:pPr>
            <w:r>
              <w:rPr>
                <w:rFonts w:ascii="Times New Roman" w:cs="Times New Roman" w:eastAsia="Times New Roman" w:hAnsi="Times New Roman"/>
                <w:sz w:val="18"/>
                <w:szCs w:val="18"/>
                <w:color w:val="auto"/>
                <w:w w:val="98"/>
              </w:rPr>
              <w:t>As of December 31, 2024, future payments related to commitments are as follows:</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760" w:type="dxa"/>
            <w:vAlign w:val="bottom"/>
            <w:vMerge w:val="restart"/>
          </w:tcPr>
          <w:p>
            <w:pPr>
              <w:spacing w:after="0"/>
              <w:rPr>
                <w:sz w:val="20"/>
                <w:szCs w:val="20"/>
                <w:color w:val="auto"/>
              </w:rPr>
            </w:pPr>
          </w:p>
        </w:tc>
        <w:tc>
          <w:tcPr>
            <w:tcW w:w="7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760" w:type="dxa"/>
            <w:vAlign w:val="bottom"/>
            <w:vMerge w:val="continue"/>
          </w:tcPr>
          <w:p>
            <w:pPr>
              <w:spacing w:after="0"/>
              <w:rPr>
                <w:sz w:val="18"/>
                <w:szCs w:val="18"/>
                <w:color w:val="auto"/>
              </w:rPr>
            </w:pPr>
          </w:p>
        </w:tc>
        <w:tc>
          <w:tcPr>
            <w:tcW w:w="7000" w:type="dxa"/>
            <w:vAlign w:val="bottom"/>
            <w:shd w:val="clear" w:color="auto" w:fill="CCEEFF"/>
          </w:tcPr>
          <w:p>
            <w:pPr>
              <w:jc w:val="right"/>
              <w:ind w:right="6551"/>
              <w:spacing w:after="0"/>
              <w:rPr>
                <w:sz w:val="20"/>
                <w:szCs w:val="20"/>
                <w:color w:val="auto"/>
              </w:rPr>
            </w:pPr>
            <w:r>
              <w:rPr>
                <w:rFonts w:ascii="Times New Roman" w:cs="Times New Roman" w:eastAsia="Times New Roman" w:hAnsi="Times New Roman"/>
                <w:sz w:val="18"/>
                <w:szCs w:val="18"/>
                <w:color w:val="auto"/>
                <w:w w:val="94"/>
              </w:rPr>
              <w:t>2025</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$160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60" w:type="dxa"/>
            <w:vAlign w:val="bottom"/>
          </w:tcPr>
          <w:p>
            <w:pPr>
              <w:spacing w:after="0"/>
              <w:rPr>
                <w:sz w:val="18"/>
                <w:szCs w:val="18"/>
                <w:color w:val="auto"/>
              </w:rPr>
            </w:pPr>
          </w:p>
        </w:tc>
        <w:tc>
          <w:tcPr>
            <w:tcW w:w="7000" w:type="dxa"/>
            <w:vAlign w:val="bottom"/>
          </w:tcPr>
          <w:p>
            <w:pPr>
              <w:jc w:val="right"/>
              <w:ind w:right="6551"/>
              <w:spacing w:after="0"/>
              <w:rPr>
                <w:sz w:val="20"/>
                <w:szCs w:val="20"/>
                <w:color w:val="auto"/>
              </w:rPr>
            </w:pPr>
            <w:r>
              <w:rPr>
                <w:rFonts w:ascii="Times New Roman" w:cs="Times New Roman" w:eastAsia="Times New Roman" w:hAnsi="Times New Roman"/>
                <w:sz w:val="18"/>
                <w:szCs w:val="18"/>
                <w:color w:val="auto"/>
                <w:w w:val="94"/>
              </w:rPr>
              <w:t>2026</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60" w:type="dxa"/>
            <w:vAlign w:val="bottom"/>
          </w:tcPr>
          <w:p>
            <w:pPr>
              <w:spacing w:after="0"/>
              <w:rPr>
                <w:sz w:val="18"/>
                <w:szCs w:val="18"/>
                <w:color w:val="auto"/>
              </w:rPr>
            </w:pPr>
          </w:p>
        </w:tc>
        <w:tc>
          <w:tcPr>
            <w:tcW w:w="7000" w:type="dxa"/>
            <w:vAlign w:val="bottom"/>
            <w:shd w:val="clear" w:color="auto" w:fill="CCEEFF"/>
          </w:tcPr>
          <w:p>
            <w:pPr>
              <w:jc w:val="right"/>
              <w:ind w:right="6551"/>
              <w:spacing w:after="0"/>
              <w:rPr>
                <w:sz w:val="20"/>
                <w:szCs w:val="20"/>
                <w:color w:val="auto"/>
              </w:rPr>
            </w:pPr>
            <w:r>
              <w:rPr>
                <w:rFonts w:ascii="Times New Roman" w:cs="Times New Roman" w:eastAsia="Times New Roman" w:hAnsi="Times New Roman"/>
                <w:sz w:val="18"/>
                <w:szCs w:val="18"/>
                <w:color w:val="auto"/>
                <w:w w:val="94"/>
              </w:rPr>
              <w:t>2027</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60" w:type="dxa"/>
            <w:vAlign w:val="bottom"/>
          </w:tcPr>
          <w:p>
            <w:pPr>
              <w:spacing w:after="0"/>
              <w:rPr>
                <w:sz w:val="18"/>
                <w:szCs w:val="18"/>
                <w:color w:val="auto"/>
              </w:rPr>
            </w:pPr>
          </w:p>
        </w:tc>
        <w:tc>
          <w:tcPr>
            <w:tcW w:w="7000" w:type="dxa"/>
            <w:vAlign w:val="bottom"/>
          </w:tcPr>
          <w:p>
            <w:pPr>
              <w:jc w:val="right"/>
              <w:ind w:right="6551"/>
              <w:spacing w:after="0"/>
              <w:rPr>
                <w:sz w:val="20"/>
                <w:szCs w:val="20"/>
                <w:color w:val="auto"/>
              </w:rPr>
            </w:pPr>
            <w:r>
              <w:rPr>
                <w:rFonts w:ascii="Times New Roman" w:cs="Times New Roman" w:eastAsia="Times New Roman" w:hAnsi="Times New Roman"/>
                <w:sz w:val="18"/>
                <w:szCs w:val="18"/>
                <w:color w:val="auto"/>
                <w:w w:val="94"/>
              </w:rPr>
              <w:t>2028</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60" w:type="dxa"/>
            <w:vAlign w:val="bottom"/>
          </w:tcPr>
          <w:p>
            <w:pPr>
              <w:spacing w:after="0"/>
              <w:rPr>
                <w:sz w:val="18"/>
                <w:szCs w:val="18"/>
                <w:color w:val="auto"/>
              </w:rPr>
            </w:pPr>
          </w:p>
        </w:tc>
        <w:tc>
          <w:tcPr>
            <w:tcW w:w="7000" w:type="dxa"/>
            <w:vAlign w:val="bottom"/>
            <w:shd w:val="clear" w:color="auto" w:fill="CCEEFF"/>
          </w:tcPr>
          <w:p>
            <w:pPr>
              <w:jc w:val="right"/>
              <w:ind w:right="6551"/>
              <w:spacing w:after="0"/>
              <w:rPr>
                <w:sz w:val="20"/>
                <w:szCs w:val="20"/>
                <w:color w:val="auto"/>
              </w:rPr>
            </w:pPr>
            <w:r>
              <w:rPr>
                <w:rFonts w:ascii="Times New Roman" w:cs="Times New Roman" w:eastAsia="Times New Roman" w:hAnsi="Times New Roman"/>
                <w:sz w:val="18"/>
                <w:szCs w:val="18"/>
                <w:color w:val="auto"/>
                <w:w w:val="94"/>
              </w:rPr>
              <w:t>2029</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6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521</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13 — FAIR VALUE MEASUREMENTS</w:t>
      </w:r>
    </w:p>
    <w:p>
      <w:pPr>
        <w:spacing w:after="0" w:line="118" w:lineRule="exact"/>
        <w:rPr>
          <w:sz w:val="20"/>
          <w:szCs w:val="20"/>
          <w:color w:val="auto"/>
        </w:rPr>
      </w:pPr>
    </w:p>
    <w:p>
      <w:pPr>
        <w:ind w:left="160" w:right="540"/>
        <w:spacing w:after="0" w:line="278" w:lineRule="auto"/>
        <w:rPr>
          <w:sz w:val="20"/>
          <w:szCs w:val="20"/>
          <w:color w:val="auto"/>
        </w:rPr>
      </w:pPr>
      <w:r>
        <w:rPr>
          <w:rFonts w:ascii="Times New Roman" w:cs="Times New Roman" w:eastAsia="Times New Roman" w:hAnsi="Times New Roman"/>
          <w:sz w:val="18"/>
          <w:szCs w:val="18"/>
          <w:color w:val="auto"/>
        </w:rPr>
        <w:t>The following descriptions of the valuation methods and assumptions used by the Company to estimate the fair values of investments apply to all investments held directly by the Company:</w:t>
      </w:r>
    </w:p>
    <w:p>
      <w:pPr>
        <w:spacing w:after="0" w:line="162" w:lineRule="exact"/>
        <w:rPr>
          <w:sz w:val="20"/>
          <w:szCs w:val="20"/>
          <w:color w:val="auto"/>
        </w:rPr>
      </w:pPr>
    </w:p>
    <w:p>
      <w:pPr>
        <w:ind w:left="160"/>
        <w:spacing w:after="0" w:line="258" w:lineRule="auto"/>
        <w:rPr>
          <w:sz w:val="20"/>
          <w:szCs w:val="20"/>
          <w:color w:val="auto"/>
        </w:rPr>
      </w:pPr>
      <w:r>
        <w:rPr>
          <w:rFonts w:ascii="Times New Roman" w:cs="Times New Roman" w:eastAsia="Times New Roman" w:hAnsi="Times New Roman"/>
          <w:sz w:val="18"/>
          <w:szCs w:val="18"/>
          <w:u w:val="single" w:color="auto"/>
          <w:color w:val="auto"/>
        </w:rPr>
        <w:t>Interest Rate Contracts</w:t>
      </w:r>
      <w:r>
        <w:rPr>
          <w:rFonts w:ascii="Times New Roman" w:cs="Times New Roman" w:eastAsia="Times New Roman" w:hAnsi="Times New Roman"/>
          <w:sz w:val="18"/>
          <w:szCs w:val="18"/>
          <w:color w:val="auto"/>
        </w:rPr>
        <w:t>: The Company uses interest rate swaps and interest rate caps to manage its interest rate risk. The valuation of these instruments is determined by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volatility.</w:t>
      </w:r>
    </w:p>
    <w:p>
      <w:pPr>
        <w:spacing w:after="0" w:line="180" w:lineRule="exact"/>
        <w:rPr>
          <w:sz w:val="20"/>
          <w:szCs w:val="20"/>
          <w:color w:val="auto"/>
        </w:rPr>
      </w:pPr>
    </w:p>
    <w:p>
      <w:pPr>
        <w:jc w:val="both"/>
        <w:ind w:left="160" w:right="20"/>
        <w:spacing w:after="0" w:line="285" w:lineRule="auto"/>
        <w:rPr>
          <w:sz w:val="20"/>
          <w:szCs w:val="20"/>
          <w:color w:val="auto"/>
        </w:rPr>
      </w:pPr>
      <w:r>
        <w:rPr>
          <w:rFonts w:ascii="Times New Roman" w:cs="Times New Roman" w:eastAsia="Times New Roman" w:hAnsi="Times New Roman"/>
          <w:sz w:val="17"/>
          <w:szCs w:val="17"/>
          <w:u w:val="single" w:color="auto"/>
          <w:color w:val="auto"/>
        </w:rPr>
        <w:t>Foreign Currency Forward Contract:</w:t>
      </w:r>
      <w:r>
        <w:rPr>
          <w:rFonts w:ascii="Times New Roman" w:cs="Times New Roman" w:eastAsia="Times New Roman" w:hAnsi="Times New Roman"/>
          <w:sz w:val="17"/>
          <w:szCs w:val="17"/>
          <w:color w:val="auto"/>
        </w:rPr>
        <w:t xml:space="preserve"> The Company uses a foreign currency derivative to lock in a fixed foreign currency exchange rate for the expected cash payment on an acquisition closed in the subsequent period and to manage its exposure to foreign currency exchange rate movements. The fair value of this contract is determined based on the present value of expected future cash flows using a discount rate appropriate for the respective maturity.</w:t>
      </w:r>
    </w:p>
    <w:p>
      <w:pPr>
        <w:spacing w:after="0" w:line="160" w:lineRule="exact"/>
        <w:rPr>
          <w:sz w:val="20"/>
          <w:szCs w:val="20"/>
          <w:color w:val="auto"/>
        </w:rPr>
      </w:pPr>
    </w:p>
    <w:p>
      <w:pPr>
        <w:ind w:left="160" w:right="300"/>
        <w:spacing w:after="0" w:line="255" w:lineRule="auto"/>
        <w:rPr>
          <w:sz w:val="20"/>
          <w:szCs w:val="20"/>
          <w:color w:val="auto"/>
        </w:rPr>
      </w:pPr>
      <w:r>
        <w:rPr>
          <w:rFonts w:ascii="Times New Roman" w:cs="Times New Roman" w:eastAsia="Times New Roman" w:hAnsi="Times New Roman"/>
          <w:sz w:val="18"/>
          <w:szCs w:val="18"/>
          <w:color w:val="auto"/>
        </w:rPr>
        <w:t>The Company incorporates credit valuation adjustments to appropriately reflect both our own nonperformance risk and the respective counterparty’s nonperformance risk in certain fair value measurements. Although the Company has determined that the majority of the inputs used to value the derivatives utilize Level 2 of the fair value hierarchy, the credit valuation adjustments associated with the derivatives utilize Level 3 inputs, such as estimates of current credit spreads to evaluate the likelihood of default by the Company and its counterparties. The Company has determined that the significance of the impact of the credit valuation adjustments made to the</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080"/>
          </w:cols>
          <w:pgMar w:left="320" w:top="451" w:right="49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ind w:left="160" w:right="460"/>
        <w:spacing w:after="0" w:line="278" w:lineRule="auto"/>
        <w:rPr>
          <w:sz w:val="20"/>
          <w:szCs w:val="20"/>
          <w:color w:val="auto"/>
        </w:rPr>
      </w:pPr>
      <w:r>
        <w:rPr>
          <w:rFonts w:ascii="Times New Roman" w:cs="Times New Roman" w:eastAsia="Times New Roman" w:hAnsi="Times New Roman"/>
          <w:sz w:val="18"/>
          <w:szCs w:val="18"/>
          <w:color w:val="auto"/>
        </w:rPr>
        <w:t>derivative contracts, which determination was based on the fair value of each individual contract, was not significant to the overall valuation. As a result, all of the derivatives held as of December 31, 2024 and December 31, 2023 were classified as Level 2 of the fair value hierarchy.</w:t>
      </w:r>
    </w:p>
    <w:p>
      <w:pPr>
        <w:spacing w:after="0" w:line="162"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18"/>
          <w:szCs w:val="18"/>
          <w:color w:val="auto"/>
        </w:rPr>
        <w:t>See “Note 14 — Derivatives and Hedging Activities Risk Management” for additional information regarding interest rate contracts and foreign currency forward contract.</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Acquisition-Related Contingent Consideration:</w:t>
      </w:r>
    </w:p>
    <w:p>
      <w:pPr>
        <w:spacing w:after="0" w:line="118" w:lineRule="exact"/>
        <w:rPr>
          <w:sz w:val="20"/>
          <w:szCs w:val="20"/>
          <w:color w:val="auto"/>
        </w:rPr>
      </w:pPr>
    </w:p>
    <w:p>
      <w:pPr>
        <w:ind w:left="160" w:right="100"/>
        <w:spacing w:after="0" w:line="271" w:lineRule="auto"/>
        <w:rPr>
          <w:sz w:val="20"/>
          <w:szCs w:val="20"/>
          <w:color w:val="auto"/>
        </w:rPr>
      </w:pPr>
      <w:r>
        <w:rPr>
          <w:rFonts w:ascii="Times New Roman" w:cs="Times New Roman" w:eastAsia="Times New Roman" w:hAnsi="Times New Roman"/>
          <w:sz w:val="17"/>
          <w:szCs w:val="17"/>
          <w:color w:val="auto"/>
        </w:rPr>
        <w:t>The Company recorded payments related to acquisition-related contingent consideration that required fair value measurement every reporting period. The fair value of the contingent payments was determined using a Monte Carlo simulation model. The significant assumptions used in the Monte Carlo simulation include risk-free rate (4.62%), revenue forecast, revenue discount rate (9.5%), revenue volatility (13%), estimated operational leverage and the Company’s credit spread (3%), most of which are unobservable inputs. These significant unobservable inputs used in the determination of the fair value of the contingent payments classified as Level 3 have an inherent measurement of uncertainty that if changed could result in higher or lower fair value measurements as of the reporting date. See “Note 2 — Acquisitions and Equity Investment” for additional information regarding the acquisition.</w:t>
      </w:r>
    </w:p>
    <w:p>
      <w:pPr>
        <w:spacing w:after="0" w:line="1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are summarized below:</w:t>
      </w:r>
    </w:p>
    <w:p>
      <w:pPr>
        <w:spacing w:after="0" w:line="241"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80" w:type="dxa"/>
            <w:vAlign w:val="bottom"/>
            <w:tcBorders>
              <w:bottom w:val="single" w:sz="8" w:color="auto"/>
            </w:tcBorders>
            <w:gridSpan w:val="10"/>
          </w:tcPr>
          <w:p>
            <w:pPr>
              <w:ind w:left="620"/>
              <w:spacing w:after="0" w:line="141" w:lineRule="exact"/>
              <w:rPr>
                <w:sz w:val="20"/>
                <w:szCs w:val="20"/>
                <w:color w:val="auto"/>
              </w:rPr>
            </w:pPr>
            <w:r>
              <w:rPr>
                <w:rFonts w:ascii="Times New Roman" w:cs="Times New Roman" w:eastAsia="Times New Roman" w:hAnsi="Times New Roman"/>
                <w:sz w:val="14"/>
                <w:szCs w:val="14"/>
                <w:b w:val="1"/>
                <w:bCs w:val="1"/>
                <w:color w:val="auto"/>
              </w:rPr>
              <w:t>Basis of fair value measurement</w:t>
            </w: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00"/>
              <w:spacing w:after="0" w:line="116"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0"/>
                <w:szCs w:val="10"/>
                <w:color w:val="auto"/>
              </w:rPr>
            </w:pPr>
          </w:p>
        </w:tc>
        <w:tc>
          <w:tcPr>
            <w:tcW w:w="1600" w:type="dxa"/>
            <w:vAlign w:val="bottom"/>
            <w:gridSpan w:val="4"/>
            <w:vMerge w:val="restart"/>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in active markets</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60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940" w:type="dxa"/>
            <w:vAlign w:val="bottom"/>
            <w:gridSpan w:val="5"/>
          </w:tcPr>
          <w:p>
            <w:pPr>
              <w:jc w:val="center"/>
              <w:ind w:right="440"/>
              <w:spacing w:after="0" w:line="147"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6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w w:val="99"/>
              </w:rPr>
              <w:t>assets</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inputs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3"/>
          </w:tcPr>
          <w:p>
            <w:pPr>
              <w:jc w:val="center"/>
              <w:ind w:right="920"/>
              <w:spacing w:after="0" w:line="147" w:lineRule="exact"/>
              <w:rPr>
                <w:sz w:val="20"/>
                <w:szCs w:val="20"/>
                <w:color w:val="auto"/>
              </w:rPr>
            </w:pPr>
            <w:r>
              <w:rPr>
                <w:rFonts w:ascii="Times New Roman" w:cs="Times New Roman" w:eastAsia="Times New Roman" w:hAnsi="Times New Roman"/>
                <w:sz w:val="14"/>
                <w:szCs w:val="14"/>
                <w:b w:val="1"/>
                <w:bCs w:val="1"/>
                <w:color w:val="auto"/>
              </w:rPr>
              <w:t>inputs</w:t>
            </w:r>
          </w:p>
        </w:tc>
        <w:tc>
          <w:tcPr>
            <w:tcW w:w="6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520" w:type="dxa"/>
            <w:vAlign w:val="bottom"/>
            <w:tcBorders>
              <w:top w:val="single" w:sz="8" w:color="CCEEFF"/>
            </w:tcBorders>
            <w:gridSpan w:val="3"/>
            <w:shd w:val="clear" w:color="auto" w:fill="CCEEFF"/>
          </w:tcPr>
          <w:p>
            <w:pPr>
              <w:spacing w:after="0" w:line="154" w:lineRule="exact"/>
              <w:rPr>
                <w:sz w:val="20"/>
                <w:szCs w:val="20"/>
                <w:color w:val="auto"/>
              </w:rPr>
            </w:pPr>
            <w:r>
              <w:rPr>
                <w:rFonts w:ascii="Times New Roman" w:cs="Times New Roman" w:eastAsia="Times New Roman" w:hAnsi="Times New Roman"/>
                <w:sz w:val="17"/>
                <w:szCs w:val="17"/>
                <w:b w:val="1"/>
                <w:bCs w:val="1"/>
                <w:color w:val="auto"/>
              </w:rPr>
              <w:t>Financial assets</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right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left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left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rate contracts (hedge)</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— </w:t>
            </w:r>
          </w:p>
        </w:tc>
        <w:tc>
          <w:tcPr>
            <w:tcW w:w="82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127</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color w:val="auto"/>
                <w:w w:val="88"/>
              </w:rPr>
              <w:t>— </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88"/>
              </w:rPr>
              <w:t>127</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440" w:type="dxa"/>
            <w:vAlign w:val="bottom"/>
            <w:tcBorders>
              <w:bottom w:val="single" w:sz="8" w:color="auto"/>
            </w:tcBorders>
            <w:gridSpan w:val="2"/>
            <w:shd w:val="clear" w:color="auto" w:fill="CCEEFF"/>
          </w:tcPr>
          <w:p>
            <w:pPr>
              <w:spacing w:after="0" w:line="168" w:lineRule="exact"/>
              <w:rPr>
                <w:sz w:val="20"/>
                <w:szCs w:val="20"/>
                <w:color w:val="auto"/>
              </w:rPr>
            </w:pPr>
            <w:r>
              <w:rPr>
                <w:rFonts w:ascii="Times New Roman" w:cs="Times New Roman" w:eastAsia="Times New Roman" w:hAnsi="Times New Roman"/>
                <w:sz w:val="18"/>
                <w:szCs w:val="18"/>
                <w:b w:val="1"/>
                <w:bCs w:val="1"/>
                <w:color w:val="auto"/>
                <w:w w:val="96"/>
              </w:rPr>
              <w:t>Financial liabilities</w:t>
            </w:r>
          </w:p>
        </w:tc>
        <w:tc>
          <w:tcPr>
            <w:tcW w:w="3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right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left w:val="single" w:sz="8" w:color="CCEEFF"/>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left w:val="single" w:sz="8" w:color="CCEEFF"/>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w w:val="88"/>
              </w:rPr>
              <w:t>— </w:t>
            </w:r>
          </w:p>
        </w:tc>
        <w:tc>
          <w:tcPr>
            <w:tcW w:w="8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xml:space="preserve">—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(27)</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at fair value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— </w:t>
            </w:r>
          </w:p>
        </w:tc>
        <w:tc>
          <w:tcPr>
            <w:tcW w:w="82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xml:space="preserve">— </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(27)</w:t>
            </w:r>
          </w:p>
        </w:tc>
        <w:tc>
          <w:tcPr>
            <w:tcW w:w="16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80" w:type="dxa"/>
            <w:vAlign w:val="bottom"/>
            <w:tcBorders>
              <w:bottom w:val="single" w:sz="8" w:color="auto"/>
            </w:tcBorders>
            <w:gridSpan w:val="10"/>
          </w:tcPr>
          <w:p>
            <w:pPr>
              <w:ind w:left="620"/>
              <w:spacing w:after="0" w:line="141" w:lineRule="exact"/>
              <w:rPr>
                <w:sz w:val="20"/>
                <w:szCs w:val="20"/>
                <w:color w:val="auto"/>
              </w:rPr>
            </w:pPr>
            <w:r>
              <w:rPr>
                <w:rFonts w:ascii="Times New Roman" w:cs="Times New Roman" w:eastAsia="Times New Roman" w:hAnsi="Times New Roman"/>
                <w:sz w:val="14"/>
                <w:szCs w:val="14"/>
                <w:b w:val="1"/>
                <w:bCs w:val="1"/>
                <w:color w:val="auto"/>
              </w:rPr>
              <w:t>Basis of fair value measurement</w:t>
            </w: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3"/>
          </w:tcPr>
          <w:p>
            <w:pPr>
              <w:ind w:left="20"/>
              <w:spacing w:after="0" w:line="116"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0"/>
                <w:szCs w:val="10"/>
                <w:color w:val="auto"/>
              </w:rPr>
            </w:pPr>
          </w:p>
        </w:tc>
        <w:tc>
          <w:tcPr>
            <w:tcW w:w="1600" w:type="dxa"/>
            <w:vAlign w:val="bottom"/>
            <w:gridSpan w:val="4"/>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140" w:type="dxa"/>
            <w:vAlign w:val="bottom"/>
            <w:gridSpan w:val="4"/>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in active markets</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60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700" w:type="dxa"/>
            <w:vAlign w:val="bottom"/>
          </w:tcPr>
          <w:p>
            <w:pPr>
              <w:spacing w:after="0"/>
              <w:rPr>
                <w:sz w:val="12"/>
                <w:szCs w:val="12"/>
                <w:color w:val="auto"/>
              </w:rPr>
            </w:pPr>
          </w:p>
        </w:tc>
        <w:tc>
          <w:tcPr>
            <w:tcW w:w="1040" w:type="dxa"/>
            <w:vAlign w:val="bottom"/>
            <w:gridSpan w:val="4"/>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340" w:type="dxa"/>
            <w:vAlign w:val="bottom"/>
          </w:tcPr>
          <w:p>
            <w:pPr>
              <w:spacing w:after="0"/>
              <w:rPr>
                <w:sz w:val="12"/>
                <w:szCs w:val="12"/>
                <w:color w:val="auto"/>
              </w:rPr>
            </w:pPr>
          </w:p>
        </w:tc>
        <w:tc>
          <w:tcPr>
            <w:tcW w:w="1600" w:type="dxa"/>
            <w:vAlign w:val="bottom"/>
            <w:gridSpan w:val="4"/>
          </w:tcPr>
          <w:p>
            <w:pPr>
              <w:jc w:val="center"/>
              <w:ind w:right="660"/>
              <w:spacing w:after="0" w:line="147"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68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assets</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500"/>
              <w:spacing w:after="0" w:line="147" w:lineRule="exact"/>
              <w:rPr>
                <w:sz w:val="20"/>
                <w:szCs w:val="20"/>
                <w:color w:val="auto"/>
              </w:rPr>
            </w:pPr>
            <w:r>
              <w:rPr>
                <w:rFonts w:ascii="Times New Roman" w:cs="Times New Roman" w:eastAsia="Times New Roman" w:hAnsi="Times New Roman"/>
                <w:sz w:val="14"/>
                <w:szCs w:val="14"/>
                <w:b w:val="1"/>
                <w:bCs w:val="1"/>
                <w:color w:val="auto"/>
              </w:rPr>
              <w:t>inputs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3"/>
          </w:tcPr>
          <w:p>
            <w:pPr>
              <w:jc w:val="center"/>
              <w:ind w:right="800"/>
              <w:spacing w:after="0" w:line="147" w:lineRule="exact"/>
              <w:rPr>
                <w:sz w:val="20"/>
                <w:szCs w:val="20"/>
                <w:color w:val="auto"/>
              </w:rPr>
            </w:pPr>
            <w:r>
              <w:rPr>
                <w:rFonts w:ascii="Times New Roman" w:cs="Times New Roman" w:eastAsia="Times New Roman" w:hAnsi="Times New Roman"/>
                <w:sz w:val="14"/>
                <w:szCs w:val="14"/>
                <w:b w:val="1"/>
                <w:bCs w:val="1"/>
                <w:color w:val="auto"/>
              </w:rPr>
              <w:t>inputs</w:t>
            </w:r>
          </w:p>
        </w:tc>
        <w:tc>
          <w:tcPr>
            <w:tcW w:w="6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4"/>
                <w:szCs w:val="14"/>
                <w:color w:val="auto"/>
              </w:rPr>
            </w:pPr>
          </w:p>
        </w:tc>
        <w:tc>
          <w:tcPr>
            <w:tcW w:w="5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520" w:type="dxa"/>
            <w:vAlign w:val="bottom"/>
            <w:tcBorders>
              <w:top w:val="single" w:sz="8" w:color="CCEEFF"/>
            </w:tcBorders>
            <w:gridSpan w:val="3"/>
            <w:shd w:val="clear" w:color="auto" w:fill="CCEEFF"/>
          </w:tcPr>
          <w:p>
            <w:pPr>
              <w:spacing w:after="0" w:line="154" w:lineRule="exact"/>
              <w:rPr>
                <w:sz w:val="20"/>
                <w:szCs w:val="20"/>
                <w:color w:val="auto"/>
              </w:rPr>
            </w:pPr>
            <w:r>
              <w:rPr>
                <w:rFonts w:ascii="Times New Roman" w:cs="Times New Roman" w:eastAsia="Times New Roman" w:hAnsi="Times New Roman"/>
                <w:sz w:val="17"/>
                <w:szCs w:val="17"/>
                <w:b w:val="1"/>
                <w:bCs w:val="1"/>
                <w:color w:val="auto"/>
              </w:rPr>
              <w:t>Financial assets</w:t>
            </w: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right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left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left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rate contracts (hedge)</w:t>
            </w:r>
          </w:p>
        </w:tc>
        <w:tc>
          <w:tcPr>
            <w:tcW w:w="1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Interest rate contracts (undesignated)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gridSpan w:val="3"/>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Foreign currency forward contract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5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(undesignated)</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tcBorders>
              <w:left w:val="single" w:sz="8" w:color="CCEEFF"/>
            </w:tcBorders>
            <w:shd w:val="clear" w:color="auto" w:fill="CCEEFF"/>
          </w:tcPr>
          <w:p>
            <w:pPr>
              <w:spacing w:after="0"/>
              <w:rPr>
                <w:sz w:val="20"/>
                <w:szCs w:val="20"/>
                <w:color w:val="auto"/>
              </w:rPr>
            </w:pPr>
          </w:p>
        </w:tc>
        <w:tc>
          <w:tcPr>
            <w:tcW w:w="146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Borders>
              <w:left w:val="single" w:sz="8" w:color="CCEEFF"/>
            </w:tcBorders>
            <w:shd w:val="clear" w:color="auto" w:fill="CCEEFF"/>
          </w:tcPr>
          <w:p>
            <w:pPr>
              <w:spacing w:after="0"/>
              <w:rPr>
                <w:sz w:val="20"/>
                <w:szCs w:val="20"/>
                <w:color w:val="auto"/>
              </w:rPr>
            </w:pP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1"/>
        </w:trPr>
        <w:tc>
          <w:tcPr>
            <w:tcW w:w="4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180" w:type="dxa"/>
            <w:vAlign w:val="bottom"/>
            <w:tcBorders>
              <w:top w:val="single" w:sz="8" w:color="auto"/>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gridSpan w:val="2"/>
          </w:tcPr>
          <w:p>
            <w:pPr>
              <w:jc w:val="center"/>
              <w:ind w:left="337"/>
              <w:spacing w:after="0"/>
              <w:rPr>
                <w:sz w:val="20"/>
                <w:szCs w:val="20"/>
                <w:color w:val="auto"/>
              </w:rPr>
            </w:pPr>
            <w:r>
              <w:rPr>
                <w:rFonts w:ascii="Times New Roman" w:cs="Times New Roman" w:eastAsia="Times New Roman" w:hAnsi="Times New Roman"/>
                <w:sz w:val="18"/>
                <w:szCs w:val="18"/>
                <w:color w:val="auto"/>
                <w:w w:val="88"/>
              </w:rPr>
              <w:t>— </w:t>
            </w:r>
          </w:p>
        </w:tc>
        <w:tc>
          <w:tcPr>
            <w:tcW w:w="7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F-40</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2" w:right="51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9"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3020" w:type="dxa"/>
            <w:vAlign w:val="bottom"/>
            <w:tcBorders>
              <w:bottom w:val="single" w:sz="8" w:color="auto"/>
            </w:tcBorders>
            <w:gridSpan w:val="6"/>
          </w:tcPr>
          <w:p>
            <w:pPr>
              <w:jc w:val="center"/>
              <w:ind w:left="209"/>
              <w:spacing w:after="0" w:line="141" w:lineRule="exact"/>
              <w:rPr>
                <w:sz w:val="20"/>
                <w:szCs w:val="20"/>
                <w:color w:val="auto"/>
              </w:rPr>
            </w:pPr>
            <w:r>
              <w:rPr>
                <w:rFonts w:ascii="Times New Roman" w:cs="Times New Roman" w:eastAsia="Times New Roman" w:hAnsi="Times New Roman"/>
                <w:sz w:val="14"/>
                <w:szCs w:val="14"/>
                <w:b w:val="1"/>
                <w:bCs w:val="1"/>
                <w:color w:val="auto"/>
              </w:rPr>
              <w:t>Basis of fair value measurement</w:t>
            </w:r>
          </w:p>
        </w:tc>
        <w:tc>
          <w:tcPr>
            <w:tcW w:w="7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center"/>
              <w:ind w:right="42"/>
              <w:spacing w:after="0" w:line="116"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vMerge w:val="restart"/>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6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in active markets</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22"/>
              <w:spacing w:after="0" w:line="147"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740" w:type="dxa"/>
            <w:vAlign w:val="bottom"/>
          </w:tcPr>
          <w:p>
            <w:pPr>
              <w:spacing w:after="0"/>
              <w:rPr>
                <w:sz w:val="12"/>
                <w:szCs w:val="12"/>
                <w:color w:val="auto"/>
              </w:rPr>
            </w:pPr>
          </w:p>
        </w:tc>
        <w:tc>
          <w:tcPr>
            <w:tcW w:w="1480" w:type="dxa"/>
            <w:vAlign w:val="bottom"/>
            <w:gridSpan w:val="3"/>
          </w:tcPr>
          <w:p>
            <w:pPr>
              <w:jc w:val="center"/>
              <w:ind w:right="820"/>
              <w:spacing w:after="0" w:line="14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80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760" w:type="dxa"/>
            <w:vAlign w:val="bottom"/>
          </w:tcPr>
          <w:p>
            <w:pPr>
              <w:spacing w:after="0"/>
              <w:rPr>
                <w:sz w:val="12"/>
                <w:szCs w:val="12"/>
                <w:color w:val="auto"/>
              </w:rPr>
            </w:pP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42"/>
              <w:spacing w:after="0" w:line="147" w:lineRule="exact"/>
              <w:rPr>
                <w:sz w:val="20"/>
                <w:szCs w:val="20"/>
                <w:color w:val="auto"/>
              </w:rPr>
            </w:pPr>
            <w:r>
              <w:rPr>
                <w:rFonts w:ascii="Times New Roman" w:cs="Times New Roman" w:eastAsia="Times New Roman" w:hAnsi="Times New Roman"/>
                <w:sz w:val="14"/>
                <w:szCs w:val="14"/>
                <w:b w:val="1"/>
                <w:bCs w:val="1"/>
                <w:color w:val="auto"/>
              </w:rPr>
              <w:t>assets</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940"/>
              <w:spacing w:after="0" w:line="147"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7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inputs</w:t>
            </w:r>
          </w:p>
        </w:tc>
        <w:tc>
          <w:tcPr>
            <w:tcW w:w="76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40" w:type="dxa"/>
            <w:vAlign w:val="bottom"/>
          </w:tcPr>
          <w:p>
            <w:pPr>
              <w:spacing w:after="0"/>
              <w:rPr>
                <w:sz w:val="14"/>
                <w:szCs w:val="14"/>
                <w:color w:val="auto"/>
              </w:rPr>
            </w:pPr>
          </w:p>
        </w:tc>
        <w:tc>
          <w:tcPr>
            <w:tcW w:w="148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4"/>
                <w:szCs w:val="14"/>
                <w:color w:val="auto"/>
              </w:rPr>
            </w:pPr>
          </w:p>
        </w:tc>
        <w:tc>
          <w:tcPr>
            <w:tcW w:w="7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40" w:type="dxa"/>
            <w:vAlign w:val="bottom"/>
            <w:tcBorders>
              <w:top w:val="single" w:sz="8" w:color="CCEEFF"/>
              <w:bottom w:val="single" w:sz="8" w:color="auto"/>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b w:val="1"/>
                <w:bCs w:val="1"/>
                <w:color w:val="auto"/>
              </w:rPr>
              <w:t>Financial liabilities</w:t>
            </w:r>
          </w:p>
        </w:tc>
        <w:tc>
          <w:tcPr>
            <w:tcW w:w="30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rate contracts (hedge)</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6"/>
              </w:rPr>
              <w:t>— </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rate contracts (undesignated)</w:t>
            </w:r>
          </w:p>
        </w:tc>
        <w:tc>
          <w:tcPr>
            <w:tcW w:w="100" w:type="dxa"/>
            <w:vAlign w:val="bottom"/>
          </w:tcPr>
          <w:p>
            <w:pPr>
              <w:spacing w:after="0"/>
              <w:rPr>
                <w:sz w:val="18"/>
                <w:szCs w:val="18"/>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6"/>
              </w:rPr>
              <w:t>— </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at fair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6"/>
              </w:rPr>
              <w:t>— </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8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right="40"/>
        <w:spacing w:after="0" w:line="258" w:lineRule="auto"/>
        <w:rPr>
          <w:sz w:val="20"/>
          <w:szCs w:val="20"/>
          <w:color w:val="auto"/>
        </w:rPr>
      </w:pPr>
      <w:r>
        <w:rPr>
          <w:rFonts w:ascii="Times New Roman" w:cs="Times New Roman" w:eastAsia="Times New Roman" w:hAnsi="Times New Roman"/>
          <w:sz w:val="18"/>
          <w:szCs w:val="18"/>
          <w:color w:val="auto"/>
        </w:rPr>
        <w:t>Equity investments without readily determinable fair values, unless measured using the equity method of accounting, are measured at cost, less impairments. When applicable, the Company also adjusts the carrying values of such equity investments for observable prices in orderly transactions for an identical or similar investment of the same issuer. These investments are included in other long-term assets in the consolidated balance sheets and are immaterial.</w:t>
      </w:r>
    </w:p>
    <w:p>
      <w:pPr>
        <w:spacing w:after="0" w:line="283" w:lineRule="exact"/>
        <w:rPr>
          <w:sz w:val="20"/>
          <w:szCs w:val="20"/>
          <w:color w:val="auto"/>
        </w:rPr>
      </w:pPr>
    </w:p>
    <w:p>
      <w:pPr>
        <w:ind w:left="160" w:right="4420"/>
        <w:spacing w:after="0" w:line="374" w:lineRule="auto"/>
        <w:rPr>
          <w:sz w:val="20"/>
          <w:szCs w:val="20"/>
          <w:color w:val="auto"/>
        </w:rPr>
      </w:pPr>
      <w:r>
        <w:rPr>
          <w:rFonts w:ascii="Times New Roman" w:cs="Times New Roman" w:eastAsia="Times New Roman" w:hAnsi="Times New Roman"/>
          <w:sz w:val="18"/>
          <w:szCs w:val="18"/>
          <w:b w:val="1"/>
          <w:bCs w:val="1"/>
          <w:color w:val="auto"/>
        </w:rPr>
        <w:t>NOTE 14 — DERIVATIVES AND HEDGING ACTIVITIES RISK MANAGEMENT Risk Management Objective of Using Derivatives</w:t>
      </w:r>
    </w:p>
    <w:p>
      <w:pPr>
        <w:spacing w:after="0" w:line="1" w:lineRule="exact"/>
        <w:rPr>
          <w:sz w:val="20"/>
          <w:szCs w:val="20"/>
          <w:color w:val="auto"/>
        </w:rPr>
      </w:pPr>
    </w:p>
    <w:p>
      <w:pPr>
        <w:ind w:left="160"/>
        <w:spacing w:after="0" w:line="252" w:lineRule="auto"/>
        <w:rPr>
          <w:sz w:val="20"/>
          <w:szCs w:val="20"/>
          <w:color w:val="auto"/>
        </w:rPr>
      </w:pPr>
      <w:r>
        <w:rPr>
          <w:rFonts w:ascii="Times New Roman" w:cs="Times New Roman" w:eastAsia="Times New Roman" w:hAnsi="Times New Roman"/>
          <w:sz w:val="18"/>
          <w:szCs w:val="18"/>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credit risk and foreign currency exchange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or foreign currency exchange rate. The Company’s derivative financial instruments are used to manage differences in the amount, timing, and duration of the Company’s known or expected cash receipts and its known or expected cash payments principally related to the Company’s borrowings and acquisition.</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Cash Flow Hedges of Interest Rate Risk</w:t>
      </w:r>
    </w:p>
    <w:p>
      <w:pPr>
        <w:spacing w:after="0" w:line="118" w:lineRule="exact"/>
        <w:rPr>
          <w:sz w:val="20"/>
          <w:szCs w:val="20"/>
          <w:color w:val="auto"/>
        </w:rPr>
      </w:pPr>
    </w:p>
    <w:p>
      <w:pPr>
        <w:ind w:left="160" w:right="80"/>
        <w:spacing w:after="0" w:line="253" w:lineRule="auto"/>
        <w:rPr>
          <w:sz w:val="20"/>
          <w:szCs w:val="20"/>
          <w:color w:val="auto"/>
        </w:rPr>
      </w:pPr>
      <w:r>
        <w:rPr>
          <w:rFonts w:ascii="Times New Roman" w:cs="Times New Roman" w:eastAsia="Times New Roman" w:hAnsi="Times New Roman"/>
          <w:sz w:val="18"/>
          <w:szCs w:val="18"/>
          <w:color w:val="auto"/>
        </w:rPr>
        <w:t>The Company’s objectives in using interest rate derivatives are to add stability to interest expense and to manage its exposure to interest rate movements. To accomplish these objectives, the Company primarily uses interest rate swaps and caps as part of its interest rate risk management strategy. The Company designates certain of its interest rate derivatives as hedging instruments in cash flow. Interest rate swaps designated as cash flow hedges involve the receipt of variable amounts from a counterparty in exchange for the Company making fixed-rate payments over the life of the agreements without exchange of the underlying notional amount. Interest rate caps designated as cash flow hedges involve the receipt of variable amounts from a counterparty if interest rates rise above the strike rate on the contract in exchange for a premium. During fiscal years 2024, 2023 and 2022, such derivatives were used to hedge the variable cash flows associated with existing variable-rate debt.</w:t>
      </w:r>
    </w:p>
    <w:p>
      <w:pPr>
        <w:spacing w:after="0" w:line="184" w:lineRule="exact"/>
        <w:rPr>
          <w:sz w:val="20"/>
          <w:szCs w:val="20"/>
          <w:color w:val="auto"/>
        </w:rPr>
      </w:pPr>
    </w:p>
    <w:p>
      <w:pPr>
        <w:jc w:val="both"/>
        <w:ind w:left="160" w:right="160"/>
        <w:spacing w:after="0" w:line="263" w:lineRule="auto"/>
        <w:rPr>
          <w:sz w:val="20"/>
          <w:szCs w:val="20"/>
          <w:color w:val="auto"/>
        </w:rPr>
      </w:pPr>
      <w:r>
        <w:rPr>
          <w:rFonts w:ascii="Times New Roman" w:cs="Times New Roman" w:eastAsia="Times New Roman" w:hAnsi="Times New Roman"/>
          <w:sz w:val="18"/>
          <w:szCs w:val="18"/>
          <w:color w:val="auto"/>
        </w:rPr>
        <w:t>Amounts reported in accumulated other comprehensive income (loss) related to derivatives will be reclassified to interest expense as interest payments are made on the Company’s variable-rate debt. The Company estimates that $77 will be reclassified as a decrease to interest expense in one year after December 31, 2024.</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080"/>
          </w:cols>
          <w:pgMar w:left="320" w:top="452" w:right="49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Foreign Currency Derivative</w:t>
      </w:r>
    </w:p>
    <w:p>
      <w:pPr>
        <w:spacing w:after="0" w:line="118" w:lineRule="exact"/>
        <w:rPr>
          <w:sz w:val="20"/>
          <w:szCs w:val="20"/>
          <w:color w:val="auto"/>
        </w:rPr>
      </w:pPr>
    </w:p>
    <w:p>
      <w:pPr>
        <w:ind w:left="160" w:right="60"/>
        <w:spacing w:after="0" w:line="258" w:lineRule="auto"/>
        <w:rPr>
          <w:sz w:val="20"/>
          <w:szCs w:val="20"/>
          <w:color w:val="auto"/>
        </w:rPr>
      </w:pPr>
      <w:r>
        <w:rPr>
          <w:rFonts w:ascii="Times New Roman" w:cs="Times New Roman" w:eastAsia="Times New Roman" w:hAnsi="Times New Roman"/>
          <w:sz w:val="18"/>
          <w:szCs w:val="18"/>
          <w:color w:val="auto"/>
        </w:rPr>
        <w:t>The Company’s objectives in using foreign currency derivatives are to lock in a fixed foreign currency exchange rate for the cash payment related to the acquisition of Sinclair Dental and the cash proceeds of long term borrowings denominated in foreign currency and, therefore, limit its exposure to foreign currency exchange rate risks. To accomplish these objectives, the Company primarily uses foreign exchange forward contracts to carry out its exchange rate risk management strategy.</w:t>
      </w:r>
    </w:p>
    <w:p>
      <w:pPr>
        <w:spacing w:after="0" w:line="180" w:lineRule="exact"/>
        <w:rPr>
          <w:sz w:val="20"/>
          <w:szCs w:val="20"/>
          <w:color w:val="auto"/>
        </w:rPr>
      </w:pPr>
    </w:p>
    <w:p>
      <w:pPr>
        <w:ind w:left="160" w:right="40"/>
        <w:spacing w:after="0" w:line="274" w:lineRule="auto"/>
        <w:rPr>
          <w:sz w:val="20"/>
          <w:szCs w:val="20"/>
          <w:color w:val="auto"/>
        </w:rPr>
      </w:pPr>
      <w:r>
        <w:rPr>
          <w:rFonts w:ascii="Times New Roman" w:cs="Times New Roman" w:eastAsia="Times New Roman" w:hAnsi="Times New Roman"/>
          <w:sz w:val="17"/>
          <w:szCs w:val="17"/>
          <w:color w:val="auto"/>
        </w:rPr>
        <w:t>The Company acquired Sinclair Dental in February 2024. See “Note 2 — Acquisitions and Equity Investment” for details. In order to lock in the foreign currency exchange rate for the cash payment for the acquisition of Sinclair Dental, the Company entered into a foreign exchange forward contract in December 2023, which entitled the Company to receive a fixed amount of Canadian dollars from a counterparty in exchange for a fixed amount of US dollars upon settlement in January 2024. The forward contract was not designated as hedge and was adjusted to current market value at the end of each reporting period before maturity with gains and losses recorded in other (expense) income, net. The contract matured and was settled in January 2024.</w:t>
      </w:r>
    </w:p>
    <w:p>
      <w:pPr>
        <w:spacing w:after="0" w:line="168" w:lineRule="exact"/>
        <w:rPr>
          <w:sz w:val="20"/>
          <w:szCs w:val="20"/>
          <w:color w:val="auto"/>
        </w:rPr>
      </w:pPr>
    </w:p>
    <w:p>
      <w:pPr>
        <w:ind w:left="160" w:right="120"/>
        <w:spacing w:after="0" w:line="274" w:lineRule="auto"/>
        <w:rPr>
          <w:sz w:val="20"/>
          <w:szCs w:val="20"/>
          <w:color w:val="auto"/>
        </w:rPr>
      </w:pPr>
      <w:r>
        <w:rPr>
          <w:rFonts w:ascii="Times New Roman" w:cs="Times New Roman" w:eastAsia="Times New Roman" w:hAnsi="Times New Roman"/>
          <w:sz w:val="17"/>
          <w:szCs w:val="17"/>
          <w:color w:val="auto"/>
        </w:rPr>
        <w:t>The Company raised additional borrowings from the Euro Incremental Term Loans in July 2024. See “Note 7 — Credit Agreements and Borrowings” for details. In order to lock in the foreign currency exchange rate for the cash receipt from the Euro Incremental Term Loans, the Company entered into a foreign exchange forward contract in June 2024, which entitled the Company to receive a fixed amount of US dollars in exchange for a fixed amount of euros upon settlement in July 2024. The forward contract was not designated as hedge and was adjusted to current market value at the end of each reporting period before maturity with gains and losses recorded in other (expense) income, net. The contract matured and was settled in July 2024.</w:t>
      </w:r>
    </w:p>
    <w:p>
      <w:pPr>
        <w:spacing w:after="0" w:line="1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notional amounts of outstanding interest rate derivatives and foreign currency derivative are summarized as follows:</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3000" w:type="dxa"/>
            <w:vAlign w:val="bottom"/>
          </w:tcPr>
          <w:p>
            <w:pPr>
              <w:spacing w:after="0"/>
              <w:rPr>
                <w:sz w:val="14"/>
                <w:szCs w:val="14"/>
                <w:color w:val="auto"/>
              </w:rPr>
            </w:pPr>
          </w:p>
        </w:tc>
        <w:tc>
          <w:tcPr>
            <w:tcW w:w="12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Currency</w:t>
            </w:r>
          </w:p>
        </w:tc>
        <w:tc>
          <w:tcPr>
            <w:tcW w:w="980" w:type="dxa"/>
            <w:vAlign w:val="bottom"/>
          </w:tcPr>
          <w:p>
            <w:pPr>
              <w:spacing w:after="0"/>
              <w:rPr>
                <w:sz w:val="14"/>
                <w:szCs w:val="14"/>
                <w:color w:val="auto"/>
              </w:rPr>
            </w:pPr>
          </w:p>
        </w:tc>
        <w:tc>
          <w:tcPr>
            <w:tcW w:w="2500" w:type="dxa"/>
            <w:vAlign w:val="bottom"/>
            <w:gridSpan w:val="2"/>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80" w:type="dxa"/>
            <w:vAlign w:val="bottom"/>
          </w:tcPr>
          <w:p>
            <w:pPr>
              <w:spacing w:after="0"/>
              <w:rPr>
                <w:sz w:val="14"/>
                <w:szCs w:val="14"/>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40"/>
        </w:trPr>
        <w:tc>
          <w:tcPr>
            <w:tcW w:w="30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98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w w:val="99"/>
              </w:rPr>
              <w:t>Notional amount</w:t>
            </w:r>
          </w:p>
        </w:tc>
        <w:tc>
          <w:tcPr>
            <w:tcW w:w="2120" w:type="dxa"/>
            <w:vAlign w:val="bottom"/>
            <w:tcBorders>
              <w:top w:val="single" w:sz="8" w:color="auto"/>
            </w:tcBorders>
          </w:tcPr>
          <w:p>
            <w:pPr>
              <w:jc w:val="right"/>
              <w:ind w:right="397"/>
              <w:spacing w:after="0" w:line="141" w:lineRule="exact"/>
              <w:rPr>
                <w:sz w:val="20"/>
                <w:szCs w:val="20"/>
                <w:color w:val="auto"/>
              </w:rPr>
            </w:pPr>
            <w:r>
              <w:rPr>
                <w:rFonts w:ascii="Times New Roman" w:cs="Times New Roman" w:eastAsia="Times New Roman" w:hAnsi="Times New Roman"/>
                <w:sz w:val="14"/>
                <w:szCs w:val="14"/>
                <w:color w:val="auto"/>
              </w:rPr>
              <w:t>Maturity date</w:t>
            </w:r>
          </w:p>
        </w:tc>
        <w:tc>
          <w:tcPr>
            <w:tcW w:w="380" w:type="dxa"/>
            <w:vAlign w:val="bottom"/>
          </w:tcPr>
          <w:p>
            <w:pPr>
              <w:spacing w:after="0"/>
              <w:rPr>
                <w:sz w:val="12"/>
                <w:szCs w:val="12"/>
                <w:color w:val="auto"/>
              </w:rPr>
            </w:pPr>
          </w:p>
        </w:tc>
        <w:tc>
          <w:tcPr>
            <w:tcW w:w="980" w:type="dxa"/>
            <w:vAlign w:val="bottom"/>
            <w:tcBorders>
              <w:top w:val="single" w:sz="8" w:color="auto"/>
            </w:tcBorders>
          </w:tcPr>
          <w:p>
            <w:pPr>
              <w:spacing w:after="0" w:line="141" w:lineRule="exact"/>
              <w:rPr>
                <w:sz w:val="20"/>
                <w:szCs w:val="20"/>
                <w:color w:val="auto"/>
              </w:rPr>
            </w:pPr>
            <w:r>
              <w:rPr>
                <w:rFonts w:ascii="Times New Roman" w:cs="Times New Roman" w:eastAsia="Times New Roman" w:hAnsi="Times New Roman"/>
                <w:sz w:val="14"/>
                <w:szCs w:val="14"/>
                <w:color w:val="auto"/>
              </w:rPr>
              <w:t>Notional amount</w:t>
            </w:r>
          </w:p>
        </w:tc>
        <w:tc>
          <w:tcPr>
            <w:tcW w:w="2120" w:type="dxa"/>
            <w:vAlign w:val="bottom"/>
            <w:tcBorders>
              <w:top w:val="single" w:sz="8" w:color="auto"/>
            </w:tcBorders>
          </w:tcPr>
          <w:p>
            <w:pPr>
              <w:ind w:left="860"/>
              <w:spacing w:after="0" w:line="141" w:lineRule="exact"/>
              <w:rPr>
                <w:sz w:val="20"/>
                <w:szCs w:val="20"/>
                <w:color w:val="auto"/>
              </w:rPr>
            </w:pPr>
            <w:r>
              <w:rPr>
                <w:rFonts w:ascii="Times New Roman" w:cs="Times New Roman" w:eastAsia="Times New Roman" w:hAnsi="Times New Roman"/>
                <w:sz w:val="14"/>
                <w:szCs w:val="14"/>
                <w:color w:val="auto"/>
              </w:rPr>
              <w:t>Maturity date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Designated cash flow hedges</w:t>
            </w:r>
          </w:p>
        </w:tc>
        <w:tc>
          <w:tcPr>
            <w:tcW w:w="1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USD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2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Nov. 2025 to Dec. 2026</w:t>
            </w:r>
          </w:p>
        </w:tc>
        <w:tc>
          <w:tcPr>
            <w:tcW w:w="98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w w:val="98"/>
              </w:rPr>
              <w:t>3,450</w:t>
            </w:r>
          </w:p>
        </w:tc>
        <w:tc>
          <w:tcPr>
            <w:tcW w:w="2180" w:type="dxa"/>
            <w:vAlign w:val="bottom"/>
            <w:gridSpan w:val="2"/>
          </w:tcPr>
          <w:p>
            <w:pPr>
              <w:jc w:val="center"/>
              <w:ind w:left="277"/>
              <w:spacing w:after="0"/>
              <w:rPr>
                <w:sz w:val="20"/>
                <w:szCs w:val="20"/>
                <w:color w:val="auto"/>
              </w:rPr>
            </w:pPr>
            <w:r>
              <w:rPr>
                <w:rFonts w:ascii="Times New Roman" w:cs="Times New Roman" w:eastAsia="Times New Roman" w:hAnsi="Times New Roman"/>
                <w:sz w:val="18"/>
                <w:szCs w:val="18"/>
                <w:color w:val="auto"/>
                <w:w w:val="98"/>
              </w:rPr>
              <w:t>Nov. 2025 to Dec. 2026</w:t>
            </w:r>
          </w:p>
        </w:tc>
        <w:tc>
          <w:tcPr>
            <w:tcW w:w="0" w:type="dxa"/>
            <w:vAlign w:val="bottom"/>
          </w:tcPr>
          <w:p>
            <w:pPr>
              <w:spacing w:after="0"/>
              <w:rPr>
                <w:sz w:val="1"/>
                <w:szCs w:val="1"/>
                <w:color w:val="auto"/>
              </w:rPr>
            </w:pPr>
          </w:p>
        </w:tc>
      </w:tr>
      <w:tr>
        <w:trPr>
          <w:trHeight w:val="214"/>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1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USD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Dec. 2025 to Dec. 2026</w:t>
            </w:r>
          </w:p>
        </w:tc>
        <w:tc>
          <w:tcPr>
            <w:tcW w:w="98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8"/>
              </w:rPr>
              <w:t>3,741</w:t>
            </w:r>
          </w:p>
        </w:tc>
        <w:tc>
          <w:tcPr>
            <w:tcW w:w="2180" w:type="dxa"/>
            <w:vAlign w:val="bottom"/>
            <w:gridSpan w:val="2"/>
            <w:shd w:val="clear" w:color="auto" w:fill="CCEEFF"/>
          </w:tcPr>
          <w:p>
            <w:pPr>
              <w:jc w:val="center"/>
              <w:ind w:left="277"/>
              <w:spacing w:after="0"/>
              <w:rPr>
                <w:sz w:val="20"/>
                <w:szCs w:val="20"/>
                <w:color w:val="auto"/>
              </w:rPr>
            </w:pPr>
            <w:r>
              <w:rPr>
                <w:rFonts w:ascii="Times New Roman" w:cs="Times New Roman" w:eastAsia="Times New Roman" w:hAnsi="Times New Roman"/>
                <w:sz w:val="18"/>
                <w:szCs w:val="18"/>
                <w:color w:val="auto"/>
                <w:w w:val="98"/>
              </w:rPr>
              <w:t>Nov. 2025 to Dec. 2026</w:t>
            </w:r>
          </w:p>
        </w:tc>
        <w:tc>
          <w:tcPr>
            <w:tcW w:w="0" w:type="dxa"/>
            <w:vAlign w:val="bottom"/>
          </w:tcPr>
          <w:p>
            <w:pPr>
              <w:spacing w:after="0"/>
              <w:rPr>
                <w:sz w:val="1"/>
                <w:szCs w:val="1"/>
                <w:color w:val="auto"/>
              </w:rPr>
            </w:pPr>
          </w:p>
        </w:tc>
      </w:tr>
      <w:tr>
        <w:trPr>
          <w:trHeight w:val="21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Undesignated derivative instruments</w:t>
            </w:r>
          </w:p>
        </w:tc>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1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USD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5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8"/>
              </w:rPr>
              <w:t>2,965</w:t>
            </w:r>
          </w:p>
        </w:tc>
        <w:tc>
          <w:tcPr>
            <w:tcW w:w="2180" w:type="dxa"/>
            <w:vAlign w:val="bottom"/>
            <w:gridSpan w:val="2"/>
            <w:shd w:val="clear" w:color="auto" w:fill="CCEEFF"/>
          </w:tcPr>
          <w:p>
            <w:pPr>
              <w:jc w:val="center"/>
              <w:ind w:left="277"/>
              <w:spacing w:after="0"/>
              <w:rPr>
                <w:sz w:val="20"/>
                <w:szCs w:val="20"/>
                <w:color w:val="auto"/>
              </w:rPr>
            </w:pPr>
            <w:r>
              <w:rPr>
                <w:rFonts w:ascii="Times New Roman" w:cs="Times New Roman" w:eastAsia="Times New Roman" w:hAnsi="Times New Roman"/>
                <w:sz w:val="18"/>
                <w:szCs w:val="18"/>
                <w:color w:val="auto"/>
                <w:w w:val="97"/>
              </w:rPr>
              <w:t>Nov. 2025</w:t>
            </w:r>
          </w:p>
        </w:tc>
        <w:tc>
          <w:tcPr>
            <w:tcW w:w="0" w:type="dxa"/>
            <w:vAlign w:val="bottom"/>
          </w:tcPr>
          <w:p>
            <w:pPr>
              <w:spacing w:after="0"/>
              <w:rPr>
                <w:sz w:val="1"/>
                <w:szCs w:val="1"/>
                <w:color w:val="auto"/>
              </w:rPr>
            </w:pPr>
          </w:p>
        </w:tc>
      </w:tr>
      <w:tr>
        <w:trPr>
          <w:trHeight w:val="233"/>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forward contract</w:t>
            </w:r>
          </w:p>
        </w:tc>
        <w:tc>
          <w:tcPr>
            <w:tcW w:w="1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rPr>
              <w:t>215</w:t>
            </w:r>
          </w:p>
        </w:tc>
        <w:tc>
          <w:tcPr>
            <w:tcW w:w="2180" w:type="dxa"/>
            <w:vAlign w:val="bottom"/>
            <w:gridSpan w:val="2"/>
          </w:tcPr>
          <w:p>
            <w:pPr>
              <w:jc w:val="center"/>
              <w:ind w:left="277"/>
              <w:spacing w:after="0"/>
              <w:rPr>
                <w:sz w:val="20"/>
                <w:szCs w:val="20"/>
                <w:color w:val="auto"/>
              </w:rPr>
            </w:pPr>
            <w:r>
              <w:rPr>
                <w:rFonts w:ascii="Times New Roman" w:cs="Times New Roman" w:eastAsia="Times New Roman" w:hAnsi="Times New Roman"/>
                <w:sz w:val="18"/>
                <w:szCs w:val="18"/>
                <w:color w:val="auto"/>
              </w:rPr>
              <w:t>Jan. 2024</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160" w:right="100"/>
        <w:spacing w:after="0" w:line="255" w:lineRule="auto"/>
        <w:rPr>
          <w:sz w:val="20"/>
          <w:szCs w:val="20"/>
          <w:color w:val="auto"/>
        </w:rPr>
      </w:pPr>
      <w:r>
        <w:rPr>
          <w:rFonts w:ascii="Times New Roman" w:cs="Times New Roman" w:eastAsia="Times New Roman" w:hAnsi="Times New Roman"/>
          <w:sz w:val="18"/>
          <w:szCs w:val="18"/>
          <w:color w:val="auto"/>
        </w:rPr>
        <w:t>The interest rate cap with notional value of $2,230 to hedge the interest rate risk for the CMBS Loan matured in November 2023. To continue hedging the same risk, the Company entered into new interest rate caps with notional value of $741 and new interest rate swaps with notional value of $1,450 in 2023. These new interest risk contracts took effective in November 2023 and are set to mature in November 2025. Additionally, the Company entered into new interest rate caps with notional value of $1,000 in 2023 that will take effect in December 2025 and mature in December 2026. All the new interest rate contracts are designated as hedges for accounting purposes.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080"/>
          </w:cols>
          <w:pgMar w:left="320" w:top="452" w:right="49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ind w:left="160" w:right="160"/>
        <w:spacing w:after="0" w:line="263" w:lineRule="auto"/>
        <w:rPr>
          <w:sz w:val="20"/>
          <w:szCs w:val="20"/>
          <w:color w:val="auto"/>
        </w:rPr>
      </w:pPr>
      <w:r>
        <w:rPr>
          <w:rFonts w:ascii="Times New Roman" w:cs="Times New Roman" w:eastAsia="Times New Roman" w:hAnsi="Times New Roman"/>
          <w:sz w:val="18"/>
          <w:szCs w:val="18"/>
          <w:color w:val="auto"/>
        </w:rPr>
        <w:t>The Company also entered into new interest rate caps with notional value of $2,965 in 2023. These contracts took effect in November 2023 and are set to mature in November 2025, and they are not designated as hedges and do not receive hedge accounting treatment. These contracts have been terminated in July 2024.</w:t>
      </w:r>
    </w:p>
    <w:p>
      <w:pPr>
        <w:spacing w:after="0" w:line="175" w:lineRule="exact"/>
        <w:rPr>
          <w:sz w:val="20"/>
          <w:szCs w:val="20"/>
          <w:color w:val="auto"/>
        </w:rPr>
      </w:pPr>
    </w:p>
    <w:p>
      <w:pPr>
        <w:ind w:left="160" w:right="80"/>
        <w:spacing w:after="0" w:line="263" w:lineRule="auto"/>
        <w:rPr>
          <w:sz w:val="20"/>
          <w:szCs w:val="20"/>
          <w:color w:val="auto"/>
        </w:rPr>
      </w:pPr>
      <w:r>
        <w:rPr>
          <w:rFonts w:ascii="Times New Roman" w:cs="Times New Roman" w:eastAsia="Times New Roman" w:hAnsi="Times New Roman"/>
          <w:sz w:val="18"/>
          <w:szCs w:val="18"/>
          <w:color w:val="auto"/>
        </w:rPr>
        <w:t>Upon the financing activities in July 2024, certain interest caps associated with the CMBS Loan were terminated. Some of the interest swaps were modified to effectively hedge the refinanced debts. As a result, all the modified interest rate swaps were designated as cash flow hedges and effective as of December 31, 2024. See “Note 7 — Credit Agreements And Borrowings” for details of financing activities in July 2024.</w:t>
      </w:r>
    </w:p>
    <w:p>
      <w:pPr>
        <w:spacing w:after="0" w:line="175" w:lineRule="exact"/>
        <w:rPr>
          <w:sz w:val="20"/>
          <w:szCs w:val="20"/>
          <w:color w:val="auto"/>
        </w:rPr>
      </w:pPr>
    </w:p>
    <w:p>
      <w:pPr>
        <w:ind w:left="160" w:right="380"/>
        <w:spacing w:after="0" w:line="278" w:lineRule="auto"/>
        <w:rPr>
          <w:sz w:val="20"/>
          <w:szCs w:val="20"/>
          <w:color w:val="auto"/>
        </w:rPr>
      </w:pPr>
      <w:r>
        <w:rPr>
          <w:rFonts w:ascii="Times New Roman" w:cs="Times New Roman" w:eastAsia="Times New Roman" w:hAnsi="Times New Roman"/>
          <w:sz w:val="18"/>
          <w:szCs w:val="18"/>
          <w:color w:val="auto"/>
        </w:rPr>
        <w:t>Based on contractual terms, the notional amount of interest rate swaps and interest rate caps decreased in increments of $500 each on December 31, 2024 and will decrease again on the last business day of December of each year until the maturity date of December 2026.</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Gains and Losses on Hedging Instruments and Undesignated Derivative Instruments</w:t>
      </w:r>
    </w:p>
    <w:p>
      <w:pPr>
        <w:spacing w:after="0" w:line="118" w:lineRule="exact"/>
        <w:rPr>
          <w:sz w:val="20"/>
          <w:szCs w:val="20"/>
          <w:color w:val="auto"/>
        </w:rPr>
      </w:pPr>
    </w:p>
    <w:p>
      <w:pPr>
        <w:ind w:left="160" w:right="420"/>
        <w:spacing w:after="0" w:line="278" w:lineRule="auto"/>
        <w:rPr>
          <w:sz w:val="20"/>
          <w:szCs w:val="20"/>
          <w:color w:val="auto"/>
        </w:rPr>
      </w:pPr>
      <w:r>
        <w:rPr>
          <w:rFonts w:ascii="Times New Roman" w:cs="Times New Roman" w:eastAsia="Times New Roman" w:hAnsi="Times New Roman"/>
          <w:sz w:val="18"/>
          <w:szCs w:val="18"/>
          <w:color w:val="auto"/>
        </w:rPr>
        <w:t>The table below presents the effect of cash flow hedge accounting on accumulated other comprehensive income (loss) (“AOCI”) for each reporting period:</w:t>
      </w:r>
    </w:p>
    <w:p>
      <w:pPr>
        <w:spacing w:after="0" w:line="185"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4"/>
          <w:szCs w:val="14"/>
          <w:color w:val="auto"/>
        </w:rPr>
        <w:t>The effect of cash flow hedge accounting on</w:t>
      </w:r>
    </w:p>
    <w:p>
      <w:pPr>
        <w:jc w:val="center"/>
        <w:ind w:left="7800"/>
        <w:spacing w:after="0" w:line="232" w:lineRule="auto"/>
        <w:rPr>
          <w:sz w:val="20"/>
          <w:szCs w:val="20"/>
          <w:color w:val="auto"/>
        </w:rPr>
      </w:pPr>
      <w:r>
        <w:rPr>
          <w:rFonts w:ascii="Times New Roman" w:cs="Times New Roman" w:eastAsia="Times New Roman" w:hAnsi="Times New Roman"/>
          <w:sz w:val="14"/>
          <w:szCs w:val="14"/>
          <w:color w:val="auto"/>
        </w:rPr>
        <w:t>AOCI for the Year ended</w:t>
      </w:r>
    </w:p>
    <w:tbl>
      <w:tblPr>
        <w:tblLayout w:type="fixed"/>
        <w:tblInd w:w="16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23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6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1" w:lineRule="exact"/>
              <w:rPr>
                <w:sz w:val="20"/>
                <w:szCs w:val="20"/>
                <w:color w:val="auto"/>
              </w:rPr>
            </w:pPr>
            <w:r>
              <w:rPr>
                <w:rFonts w:ascii="Times New Roman" w:cs="Times New Roman" w:eastAsia="Times New Roman" w:hAnsi="Times New Roman"/>
                <w:sz w:val="14"/>
                <w:szCs w:val="14"/>
                <w:color w:val="auto"/>
              </w:rPr>
              <w:t>2024</w:t>
            </w:r>
          </w:p>
        </w:tc>
        <w:tc>
          <w:tcPr>
            <w:tcW w:w="4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1" w:lineRule="exact"/>
              <w:rPr>
                <w:sz w:val="20"/>
                <w:szCs w:val="20"/>
                <w:color w:val="auto"/>
              </w:rPr>
            </w:pPr>
            <w:r>
              <w:rPr>
                <w:rFonts w:ascii="Times New Roman" w:cs="Times New Roman" w:eastAsia="Times New Roman" w:hAnsi="Times New Roman"/>
                <w:sz w:val="14"/>
                <w:szCs w:val="14"/>
                <w:color w:val="auto"/>
              </w:rPr>
              <w:t>2023</w:t>
            </w: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1" w:lineRule="exact"/>
              <w:rPr>
                <w:sz w:val="20"/>
                <w:szCs w:val="20"/>
                <w:color w:val="auto"/>
              </w:rPr>
            </w:pPr>
            <w:r>
              <w:rPr>
                <w:rFonts w:ascii="Times New Roman" w:cs="Times New Roman" w:eastAsia="Times New Roman" w:hAnsi="Times New Roman"/>
                <w:sz w:val="14"/>
                <w:szCs w:val="14"/>
                <w:color w:val="auto"/>
              </w:rPr>
              <w:t>2022</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3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recognized in</w:t>
            </w:r>
          </w:p>
        </w:tc>
        <w:tc>
          <w:tcPr>
            <w:tcW w:w="2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3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Included in effectiveness testing</w:t>
            </w:r>
          </w:p>
        </w:tc>
        <w:tc>
          <w:tcPr>
            <w:tcW w:w="260" w:type="dxa"/>
            <w:vAlign w:val="bottom"/>
            <w:shd w:val="clear" w:color="auto" w:fill="CCEEFF"/>
          </w:tcPr>
          <w:p>
            <w:pPr>
              <w:spacing w:after="0"/>
              <w:rPr>
                <w:sz w:val="6"/>
                <w:szCs w:val="6"/>
                <w:color w:val="auto"/>
              </w:rPr>
            </w:pPr>
          </w:p>
        </w:tc>
        <w:tc>
          <w:tcPr>
            <w:tcW w:w="2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2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6"/>
                <w:szCs w:val="6"/>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36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AOCI</w:t>
            </w:r>
          </w:p>
        </w:tc>
        <w:tc>
          <w:tcPr>
            <w:tcW w:w="240" w:type="dxa"/>
            <w:vAlign w:val="bottom"/>
            <w:shd w:val="clear" w:color="auto" w:fill="CCEEFF"/>
          </w:tcPr>
          <w:p>
            <w:pPr>
              <w:spacing w:after="0"/>
              <w:rPr>
                <w:sz w:val="12"/>
                <w:szCs w:val="12"/>
                <w:color w:val="auto"/>
              </w:rPr>
            </w:pPr>
          </w:p>
        </w:tc>
        <w:tc>
          <w:tcPr>
            <w:tcW w:w="2620" w:type="dxa"/>
            <w:vAlign w:val="bottom"/>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40" w:type="dxa"/>
            <w:vAlign w:val="bottom"/>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36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Excluded from effectiveness testing</w:t>
            </w:r>
          </w:p>
        </w:tc>
        <w:tc>
          <w:tcPr>
            <w:tcW w:w="260" w:type="dxa"/>
            <w:vAlign w:val="bottom"/>
            <w:shd w:val="clear" w:color="auto" w:fill="CCEEFF"/>
          </w:tcPr>
          <w:p>
            <w:pPr>
              <w:spacing w:after="0"/>
              <w:rPr>
                <w:sz w:val="8"/>
                <w:szCs w:val="8"/>
                <w:color w:val="auto"/>
              </w:rPr>
            </w:pPr>
          </w:p>
        </w:tc>
        <w:tc>
          <w:tcPr>
            <w:tcW w:w="2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40" w:type="dxa"/>
            <w:vAlign w:val="bottom"/>
            <w:gridSpan w:val="2"/>
            <w:vMerge w:val="restart"/>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shd w:val="clear" w:color="auto" w:fill="CCEEFF"/>
          </w:tcPr>
          <w:p>
            <w:pPr>
              <w:spacing w:after="0"/>
              <w:rPr>
                <w:sz w:val="8"/>
                <w:szCs w:val="8"/>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20" w:type="dxa"/>
            <w:vAlign w:val="bottom"/>
            <w:vMerge w:val="continue"/>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40" w:type="dxa"/>
            <w:vAlign w:val="bottom"/>
            <w:vMerge w:val="continue"/>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460" w:type="dxa"/>
            <w:vAlign w:val="bottom"/>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Gain (loss) reclassified from</w:t>
            </w:r>
          </w:p>
        </w:tc>
        <w:tc>
          <w:tcPr>
            <w:tcW w:w="2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Interest rate swaps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460"/>
              <w:spacing w:after="0" w:line="195" w:lineRule="exact"/>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7"/>
                <w:szCs w:val="17"/>
                <w:color w:val="auto"/>
              </w:rPr>
            </w:pPr>
          </w:p>
        </w:tc>
        <w:tc>
          <w:tcPr>
            <w:tcW w:w="880" w:type="dxa"/>
            <w:vAlign w:val="bottom"/>
            <w:gridSpan w:val="2"/>
          </w:tcPr>
          <w:p>
            <w:pPr>
              <w:jc w:val="right"/>
              <w:ind w:right="300"/>
              <w:spacing w:after="0" w:line="195" w:lineRule="exact"/>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7"/>
                <w:szCs w:val="17"/>
                <w:color w:val="auto"/>
              </w:rPr>
            </w:pPr>
          </w:p>
        </w:tc>
        <w:tc>
          <w:tcPr>
            <w:tcW w:w="700" w:type="dxa"/>
            <w:vAlign w:val="bottom"/>
            <w:gridSpan w:val="2"/>
          </w:tcPr>
          <w:p>
            <w:pPr>
              <w:jc w:val="right"/>
              <w:ind w:right="180"/>
              <w:spacing w:after="0" w:line="195"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20"/>
        </w:trPr>
        <w:tc>
          <w:tcPr>
            <w:tcW w:w="23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2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Included in effectiveness testing</w:t>
            </w:r>
          </w:p>
        </w:tc>
        <w:tc>
          <w:tcPr>
            <w:tcW w:w="260" w:type="dxa"/>
            <w:vAlign w:val="bottom"/>
          </w:tcPr>
          <w:p>
            <w:pPr>
              <w:spacing w:after="0"/>
              <w:rPr>
                <w:sz w:val="10"/>
                <w:szCs w:val="10"/>
                <w:color w:val="auto"/>
              </w:rPr>
            </w:pPr>
          </w:p>
        </w:tc>
        <w:tc>
          <w:tcPr>
            <w:tcW w:w="2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3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AOCI into earnings</w:t>
            </w:r>
          </w:p>
        </w:tc>
        <w:tc>
          <w:tcPr>
            <w:tcW w:w="240" w:type="dxa"/>
            <w:vAlign w:val="bottom"/>
          </w:tcPr>
          <w:p>
            <w:pPr>
              <w:spacing w:after="0"/>
              <w:rPr>
                <w:sz w:val="8"/>
                <w:szCs w:val="8"/>
                <w:color w:val="auto"/>
              </w:rPr>
            </w:pPr>
          </w:p>
        </w:tc>
        <w:tc>
          <w:tcPr>
            <w:tcW w:w="26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22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3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Excluded from effectiveness testing</w:t>
            </w:r>
          </w:p>
        </w:tc>
        <w:tc>
          <w:tcPr>
            <w:tcW w:w="260" w:type="dxa"/>
            <w:vAlign w:val="bottom"/>
          </w:tcPr>
          <w:p>
            <w:pPr>
              <w:spacing w:after="0"/>
              <w:rPr>
                <w:sz w:val="12"/>
                <w:szCs w:val="12"/>
                <w:color w:val="auto"/>
              </w:rPr>
            </w:pPr>
          </w:p>
        </w:tc>
        <w:tc>
          <w:tcPr>
            <w:tcW w:w="2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2"/>
                <w:szCs w:val="12"/>
                <w:color w:val="auto"/>
              </w:rPr>
            </w:pP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2"/>
                <w:szCs w:val="12"/>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22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2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change in AOCI</w:t>
            </w:r>
          </w:p>
        </w:tc>
        <w:tc>
          <w:tcPr>
            <w:tcW w:w="2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gain (loss) reclassed from AOCI into earnings is recorded to interest expense, net in consolidated statements of comprehensive income.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table below presents gain (loss) of the undesignated derivatives for years ended December 31, 2024, December 31, 2023, and December 31, 2022:</w:t>
      </w:r>
    </w:p>
    <w:p>
      <w:pPr>
        <w:spacing w:after="0" w:line="243" w:lineRule="exact"/>
        <w:rPr>
          <w:sz w:val="20"/>
          <w:szCs w:val="20"/>
          <w:color w:val="auto"/>
        </w:rPr>
      </w:pPr>
    </w:p>
    <w:tbl>
      <w:tblPr>
        <w:tblLayout w:type="fixed"/>
        <w:tblInd w:w="1480" w:type="dxa"/>
        <w:tblCellMar>
          <w:top w:w="0" w:type="dxa"/>
          <w:left w:w="0" w:type="dxa"/>
          <w:bottom w:w="0" w:type="dxa"/>
          <w:right w:w="0" w:type="dxa"/>
        </w:tblCellMar>
      </w:tblPr>
      <w:tr>
        <w:trPr>
          <w:trHeight w:val="170"/>
        </w:trPr>
        <w:tc>
          <w:tcPr>
            <w:tcW w:w="6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2024</w:t>
            </w:r>
          </w:p>
        </w:tc>
        <w:tc>
          <w:tcPr>
            <w:tcW w:w="3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2022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3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32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2"/>
              </w:rPr>
              <w:t>$ (1)</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$ 12</w:t>
            </w:r>
          </w:p>
        </w:tc>
        <w:tc>
          <w:tcPr>
            <w:tcW w:w="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forward contract</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11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 (3)</w:t>
            </w:r>
          </w:p>
        </w:tc>
        <w:tc>
          <w:tcPr>
            <w:tcW w:w="11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$ 12</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gains and losses are recorded to other (expense) income, net in consolidated statements of comprehensive income.</w:t>
      </w:r>
    </w:p>
    <w:p>
      <w:pPr>
        <w:spacing w:after="0" w:line="15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080"/>
          </w:cols>
          <w:pgMar w:left="320" w:top="451" w:right="49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Derivative Assets and Liabilities</w:t>
      </w:r>
    </w:p>
    <w:p>
      <w:pPr>
        <w:spacing w:after="0" w:line="1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Company recorded both the designated interest rate derivatives and the undesignated derivatives at fair value in the consolidated balance sheets.</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respective assets and liabilities are generally classified as short-term or long-term based on the maturity dates of the derivatives.</w:t>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table below summarizes the classification and fair value of the derivatives for each reporting period:</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Designated cash flow hedges</w:t>
            </w:r>
          </w:p>
        </w:tc>
        <w:tc>
          <w:tcPr>
            <w:tcW w:w="454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Location</w:t>
            </w:r>
          </w:p>
        </w:tc>
        <w:tc>
          <w:tcPr>
            <w:tcW w:w="20" w:type="dxa"/>
            <w:vAlign w:val="bottom"/>
          </w:tcPr>
          <w:p>
            <w:pPr>
              <w:spacing w:after="0"/>
              <w:rPr>
                <w:sz w:val="14"/>
                <w:szCs w:val="14"/>
                <w:color w:val="auto"/>
              </w:rPr>
            </w:pPr>
          </w:p>
        </w:tc>
        <w:tc>
          <w:tcPr>
            <w:tcW w:w="18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7"/>
        </w:trPr>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4540" w:type="dxa"/>
            <w:vAlign w:val="bottom"/>
            <w:tcBorders>
              <w:top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4"/>
        </w:trPr>
        <w:tc>
          <w:tcPr>
            <w:tcW w:w="3260" w:type="dxa"/>
            <w:vAlign w:val="bottom"/>
          </w:tcPr>
          <w:p>
            <w:pPr>
              <w:spacing w:after="0"/>
              <w:rPr>
                <w:sz w:val="18"/>
                <w:szCs w:val="18"/>
                <w:color w:val="auto"/>
              </w:rPr>
            </w:pPr>
          </w:p>
        </w:tc>
        <w:tc>
          <w:tcPr>
            <w:tcW w:w="45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Other long-term assets</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r>
      <w:tr>
        <w:trPr>
          <w:trHeight w:val="214"/>
        </w:trPr>
        <w:tc>
          <w:tcPr>
            <w:tcW w:w="3260" w:type="dxa"/>
            <w:vAlign w:val="bottom"/>
            <w:shd w:val="clear" w:color="auto" w:fill="CCEEFF"/>
          </w:tcPr>
          <w:p>
            <w:pPr>
              <w:spacing w:after="0"/>
              <w:rPr>
                <w:sz w:val="18"/>
                <w:szCs w:val="18"/>
                <w:color w:val="auto"/>
              </w:rPr>
            </w:pPr>
          </w:p>
        </w:tc>
        <w:tc>
          <w:tcPr>
            <w:tcW w:w="45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45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14"/>
        </w:trPr>
        <w:tc>
          <w:tcPr>
            <w:tcW w:w="3260" w:type="dxa"/>
            <w:vAlign w:val="bottom"/>
            <w:shd w:val="clear" w:color="auto" w:fill="CCEEFF"/>
          </w:tcPr>
          <w:p>
            <w:pPr>
              <w:spacing w:after="0"/>
              <w:rPr>
                <w:sz w:val="18"/>
                <w:szCs w:val="18"/>
                <w:color w:val="auto"/>
              </w:rPr>
            </w:pPr>
          </w:p>
        </w:tc>
        <w:tc>
          <w:tcPr>
            <w:tcW w:w="45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Other long-term assets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r>
      <w:tr>
        <w:trPr>
          <w:trHeight w:val="221"/>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Total Designated cash flow hedges</w:t>
            </w:r>
          </w:p>
        </w:tc>
        <w:tc>
          <w:tcPr>
            <w:tcW w:w="4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r>
    </w:tbl>
    <w:p>
      <w:pPr>
        <w:spacing w:after="0" w:line="209"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The Company did not have any undesignated derivatives as of December 31, 2024. As of December 31, 2023, fair value of undesignated derivatives was immaterial and recorded to other current assets, other long-term assets and other long-term liabilities.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15 — STOCK-BASED COMPENSATION</w:t>
      </w:r>
    </w:p>
    <w:p>
      <w:pPr>
        <w:spacing w:after="0" w:line="118" w:lineRule="exact"/>
        <w:rPr>
          <w:sz w:val="20"/>
          <w:szCs w:val="20"/>
          <w:color w:val="auto"/>
        </w:rPr>
      </w:pPr>
    </w:p>
    <w:p>
      <w:pPr>
        <w:ind w:left="160" w:right="40"/>
        <w:spacing w:after="0" w:line="249" w:lineRule="auto"/>
        <w:rPr>
          <w:sz w:val="20"/>
          <w:szCs w:val="20"/>
          <w:color w:val="auto"/>
        </w:rPr>
      </w:pPr>
      <w:r>
        <w:rPr>
          <w:rFonts w:ascii="Times New Roman" w:cs="Times New Roman" w:eastAsia="Times New Roman" w:hAnsi="Times New Roman"/>
          <w:sz w:val="18"/>
          <w:szCs w:val="18"/>
          <w:color w:val="auto"/>
        </w:rPr>
        <w:t>Upon the closing of the Acquisition, the Company issued one class of ownership units, Class A units, and two classes of incentive units, Class B units and Class B catch-up profits interests (“CUPIs”; Class B, together with CUPIs, are referred to as “Incentive Units”). Incentive Units are granted to certain employees of the Company, which vest upon satisfaction of one or multiple market, performance, and/or service conditions of each award. Incentive Units granted to employees are measured at fair value at grant date, and the related expense is recognized over the requisite service periods on a straight-line basis for awards with only service conditions and the accelerated method for awards with performance or market conditions. Forfeitures are recorded as incurred. Certain Incentive Units allow for the accelerated vesting of the awards upon triggering events such as a change in control, as defined in the Company’s Incentive Unit subscription agreements. Upon the occurrence of the defined events, all qualified unvested Incentive Units granted would be automatically vested. All of the Class B and Class B CUPI Units include a put right (the “Plan Put Right”) (collectively the “Equity-based compensation mezz units”) that give the holders certain rights that may allow them to cause the Company to repurchase 20% of the Class B and 50% of the Class B CUPI mezzanine units at the current intrinsic value of the option five years from the completion of the Acquisition under conditions outside of the control of the Company. The holder’s redemption rights will terminate upon completion of a sale or IPO as defined in the respective subscription agreements. Management determined it was probable that the units would become redeemable and elected to carry the shares at redemption value, or fair value, in mezzanine equity on the consolidated balance sheets. The temporary equity carrying amount for the Class B and Class B CUPI mezzanine units was initially measured based on the intrinsic value as determined on grant date and subsequently remeasured to the intrinsic value as of each reporting period. During the fourth quarter of 2024, management determined that it was no longer probable that the 20% of vested Class B and 50% of vested Class B CUPI mezzanine units would be redeemable, and, therefore, no changes in redemption value were recorded prospectively. See Note 16 — Partners’ Capital and Mezzanine Equity for additional discussion of the Company’s treatment of equity-based compensation within mezzanine equity.</w:t>
      </w:r>
    </w:p>
    <w:p>
      <w:pPr>
        <w:spacing w:after="0" w:line="200" w:lineRule="exact"/>
        <w:rPr>
          <w:sz w:val="20"/>
          <w:szCs w:val="20"/>
          <w:color w:val="auto"/>
        </w:rPr>
      </w:pPr>
    </w:p>
    <w:p>
      <w:pPr>
        <w:ind w:left="160" w:right="20"/>
        <w:spacing w:after="0" w:line="263" w:lineRule="auto"/>
        <w:rPr>
          <w:sz w:val="20"/>
          <w:szCs w:val="20"/>
          <w:color w:val="auto"/>
        </w:rPr>
      </w:pPr>
      <w:r>
        <w:rPr>
          <w:rFonts w:ascii="Times New Roman" w:cs="Times New Roman" w:eastAsia="Times New Roman" w:hAnsi="Times New Roman"/>
          <w:sz w:val="18"/>
          <w:szCs w:val="18"/>
          <w:color w:val="auto"/>
        </w:rPr>
        <w:t>Participants in the Medline Industries, Inc. Managing Partner Program (effective April 1, 2018 and as amended from time to time, the “MPU Plan”) who hold one or more awards (“MPU Award Holders”) were entitled to receive a liquidity event MPU payout amount (the “Liquidity MPU Payout”) in connection with a change in</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080"/>
          </w:cols>
          <w:pgMar w:left="320" w:top="451" w:right="49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ind w:left="160" w:right="80"/>
        <w:spacing w:after="0" w:line="253" w:lineRule="auto"/>
        <w:rPr>
          <w:sz w:val="20"/>
          <w:szCs w:val="20"/>
          <w:color w:val="auto"/>
        </w:rPr>
      </w:pPr>
      <w:r>
        <w:rPr>
          <w:rFonts w:ascii="Times New Roman" w:cs="Times New Roman" w:eastAsia="Times New Roman" w:hAnsi="Times New Roman"/>
          <w:sz w:val="18"/>
          <w:szCs w:val="18"/>
          <w:color w:val="auto"/>
        </w:rPr>
        <w:t>control (e.g., a merger or consolidation into a new entity). The Acquisition qualified as a change in control and, therefore, triggered the Liquidity MPU Payout, with a portion being payable at the closing of the Acquisition. All existing MPU Award Holders were granted the opportunity, pursuant to a reinvestment election agreement, to take a promissory note with 0.25% annualized interest rate from a portion of the Liquidity MPU Payout to purchase Class A units. The promissory note was reported as a reduction from the partners’ capital at inception. Pursuant to the same reinvestment agreement, all the existing MPU Award Holders were granted the opportunity to waive receipt of a portion of their Liquidity MPU Payout in exchange for CUPIs. As of December 31, 2024, the Company has authorized and issued 46 units of CUPIs with a grant date fair value of $0.57 per unit. CUPIs vest over a two-year service period from the grant date. All CUPIs have fully vested as of December 31, 2024.</w:t>
      </w:r>
    </w:p>
    <w:p>
      <w:pPr>
        <w:spacing w:after="0" w:line="184" w:lineRule="exact"/>
        <w:rPr>
          <w:sz w:val="20"/>
          <w:szCs w:val="20"/>
          <w:color w:val="auto"/>
        </w:rPr>
      </w:pPr>
    </w:p>
    <w:p>
      <w:pPr>
        <w:ind w:left="160" w:right="160"/>
        <w:spacing w:after="0" w:line="263" w:lineRule="auto"/>
        <w:rPr>
          <w:sz w:val="20"/>
          <w:szCs w:val="20"/>
          <w:color w:val="auto"/>
        </w:rPr>
      </w:pPr>
      <w:r>
        <w:rPr>
          <w:rFonts w:ascii="Times New Roman" w:cs="Times New Roman" w:eastAsia="Times New Roman" w:hAnsi="Times New Roman"/>
          <w:sz w:val="18"/>
          <w:szCs w:val="18"/>
          <w:color w:val="auto"/>
        </w:rPr>
        <w:t>As of December 31, 2024, the Company has authorized and issued 803 Class B Units with a weighted average grant date fair value of $0.35 per unit to certain employees of the Company. The Class B Units are subject to a five-year vesting period, with 20% of units vesting on each of the five anniversaries of the grant date. The Class B Units have no expiration date.</w:t>
      </w:r>
    </w:p>
    <w:p>
      <w:pPr>
        <w:spacing w:after="0" w:line="175" w:lineRule="exact"/>
        <w:rPr>
          <w:sz w:val="20"/>
          <w:szCs w:val="20"/>
          <w:color w:val="auto"/>
        </w:rPr>
      </w:pPr>
    </w:p>
    <w:p>
      <w:pPr>
        <w:ind w:left="160" w:right="40"/>
        <w:spacing w:after="0" w:line="278" w:lineRule="auto"/>
        <w:rPr>
          <w:sz w:val="20"/>
          <w:szCs w:val="20"/>
          <w:color w:val="auto"/>
        </w:rPr>
      </w:pPr>
      <w:r>
        <w:rPr>
          <w:rFonts w:ascii="Times New Roman" w:cs="Times New Roman" w:eastAsia="Times New Roman" w:hAnsi="Times New Roman"/>
          <w:sz w:val="18"/>
          <w:szCs w:val="18"/>
          <w:color w:val="auto"/>
        </w:rPr>
        <w:t>In accordance with ASC 718 Compensation — Stock Compensation, all Incentive Units officially granted represent ownership interests of the Company and are classified as equity.</w:t>
      </w:r>
    </w:p>
    <w:p>
      <w:pPr>
        <w:spacing w:after="0" w:line="162" w:lineRule="exact"/>
        <w:rPr>
          <w:sz w:val="20"/>
          <w:szCs w:val="20"/>
          <w:color w:val="auto"/>
        </w:rPr>
      </w:pPr>
    </w:p>
    <w:p>
      <w:pPr>
        <w:ind w:left="160" w:right="40"/>
        <w:spacing w:after="0" w:line="258" w:lineRule="auto"/>
        <w:rPr>
          <w:sz w:val="20"/>
          <w:szCs w:val="20"/>
          <w:color w:val="auto"/>
        </w:rPr>
      </w:pPr>
      <w:r>
        <w:rPr>
          <w:rFonts w:ascii="Times New Roman" w:cs="Times New Roman" w:eastAsia="Times New Roman" w:hAnsi="Times New Roman"/>
          <w:sz w:val="18"/>
          <w:szCs w:val="18"/>
          <w:u w:val="single" w:color="auto"/>
          <w:color w:val="auto"/>
        </w:rPr>
        <w:t>Fair Value of Equity-Based Awards</w:t>
      </w:r>
      <w:r>
        <w:rPr>
          <w:rFonts w:ascii="Times New Roman" w:cs="Times New Roman" w:eastAsia="Times New Roman" w:hAnsi="Times New Roman"/>
          <w:sz w:val="18"/>
          <w:szCs w:val="18"/>
          <w:color w:val="auto"/>
        </w:rPr>
        <w:t>: The weighted average per unit fair value of the equity-based units is calculated using the Monte Carlo simulation in an option pricing framework, where the total equity value of the Company was evolved over a period from the grant date to the Company’s expected liquidity date. In the absence of a public trading market, the Company exercises significant judgment and considers numerous objectives and subjective factors to determine the fair value of equity-based awards including:</w:t>
      </w:r>
    </w:p>
    <w:p>
      <w:pPr>
        <w:spacing w:after="0" w:line="86" w:lineRule="exact"/>
        <w:rPr>
          <w:sz w:val="20"/>
          <w:szCs w:val="20"/>
          <w:color w:val="auto"/>
        </w:rPr>
      </w:pPr>
    </w:p>
    <w:p>
      <w:pPr>
        <w:ind w:left="1140" w:hanging="438"/>
        <w:spacing w:after="0"/>
        <w:tabs>
          <w:tab w:leader="none" w:pos="11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precedent transactions involving equity units;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operating and financial performance;</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business conditions and projections;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performance of comparable publicly traded companies;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global capital market conditions.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assumptions were made in the Monte Carlo simulation.</w:t>
      </w:r>
    </w:p>
    <w:p>
      <w:pPr>
        <w:spacing w:after="0" w:line="221" w:lineRule="exact"/>
        <w:rPr>
          <w:sz w:val="20"/>
          <w:szCs w:val="20"/>
          <w:color w:val="auto"/>
        </w:rPr>
      </w:pPr>
    </w:p>
    <w:p>
      <w:pPr>
        <w:ind w:left="160" w:right="100"/>
        <w:spacing w:after="0" w:line="263" w:lineRule="auto"/>
        <w:rPr>
          <w:sz w:val="20"/>
          <w:szCs w:val="20"/>
          <w:color w:val="auto"/>
        </w:rPr>
      </w:pPr>
      <w:r>
        <w:rPr>
          <w:rFonts w:ascii="Times New Roman" w:cs="Times New Roman" w:eastAsia="Times New Roman" w:hAnsi="Times New Roman"/>
          <w:sz w:val="18"/>
          <w:szCs w:val="18"/>
          <w:u w:val="single" w:color="auto"/>
          <w:color w:val="auto"/>
        </w:rPr>
        <w:t>Expected Term:</w:t>
      </w:r>
      <w:r>
        <w:rPr>
          <w:rFonts w:ascii="Times New Roman" w:cs="Times New Roman" w:eastAsia="Times New Roman" w:hAnsi="Times New Roman"/>
          <w:sz w:val="18"/>
          <w:szCs w:val="18"/>
          <w:color w:val="auto"/>
        </w:rPr>
        <w:t xml:space="preserve"> The expected term represents the period over which the Company anticipates equity-based awards to be outstanding as of the valuation date, which is the estimated period of time from the valuation date to exit in terms of a future liquidity event, such as an initial public offering of the Company’s shares.</w:t>
      </w:r>
    </w:p>
    <w:p>
      <w:pPr>
        <w:spacing w:after="0" w:line="175" w:lineRule="exact"/>
        <w:rPr>
          <w:sz w:val="20"/>
          <w:szCs w:val="20"/>
          <w:color w:val="auto"/>
        </w:rPr>
      </w:pPr>
    </w:p>
    <w:p>
      <w:pPr>
        <w:ind w:left="160" w:right="520"/>
        <w:spacing w:after="0" w:line="278" w:lineRule="auto"/>
        <w:rPr>
          <w:sz w:val="20"/>
          <w:szCs w:val="20"/>
          <w:color w:val="auto"/>
        </w:rPr>
      </w:pPr>
      <w:r>
        <w:rPr>
          <w:rFonts w:ascii="Times New Roman" w:cs="Times New Roman" w:eastAsia="Times New Roman" w:hAnsi="Times New Roman"/>
          <w:sz w:val="18"/>
          <w:szCs w:val="18"/>
          <w:u w:val="single" w:color="auto"/>
          <w:color w:val="auto"/>
        </w:rPr>
        <w:t>Volatility:</w:t>
      </w:r>
      <w:r>
        <w:rPr>
          <w:rFonts w:ascii="Times New Roman" w:cs="Times New Roman" w:eastAsia="Times New Roman" w:hAnsi="Times New Roman"/>
          <w:sz w:val="18"/>
          <w:szCs w:val="18"/>
          <w:color w:val="auto"/>
        </w:rPr>
        <w:t xml:space="preserve"> Expected volatility is a measure of the amount by which the equity value is expected to fluctuate. The Company estimates the expected volatility by assessing the equity volatility of guideline companies.</w:t>
      </w:r>
    </w:p>
    <w:p>
      <w:pPr>
        <w:spacing w:after="0" w:line="162" w:lineRule="exact"/>
        <w:rPr>
          <w:sz w:val="20"/>
          <w:szCs w:val="20"/>
          <w:color w:val="auto"/>
        </w:rPr>
      </w:pPr>
    </w:p>
    <w:p>
      <w:pPr>
        <w:ind w:left="160" w:right="180"/>
        <w:spacing w:after="0" w:line="278" w:lineRule="auto"/>
        <w:rPr>
          <w:sz w:val="20"/>
          <w:szCs w:val="20"/>
          <w:color w:val="auto"/>
        </w:rPr>
      </w:pPr>
      <w:r>
        <w:rPr>
          <w:rFonts w:ascii="Times New Roman" w:cs="Times New Roman" w:eastAsia="Times New Roman" w:hAnsi="Times New Roman"/>
          <w:sz w:val="18"/>
          <w:szCs w:val="18"/>
          <w:u w:val="single" w:color="auto"/>
          <w:color w:val="auto"/>
        </w:rPr>
        <w:t>Risk-Free Interest Rate:</w:t>
      </w:r>
      <w:r>
        <w:rPr>
          <w:rFonts w:ascii="Times New Roman" w:cs="Times New Roman" w:eastAsia="Times New Roman" w:hAnsi="Times New Roman"/>
          <w:sz w:val="18"/>
          <w:szCs w:val="18"/>
          <w:color w:val="auto"/>
        </w:rPr>
        <w:t xml:space="preserve"> The risk-free interest rate is estimated based on U.S. Treasury zero-coupon notes with terms consistent with the expected term of the awards.</w:t>
      </w:r>
    </w:p>
    <w:p>
      <w:pPr>
        <w:spacing w:after="0" w:line="1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u w:val="single" w:color="auto"/>
          <w:color w:val="auto"/>
        </w:rPr>
        <w:t>Dividend Yield:</w:t>
      </w:r>
      <w:r>
        <w:rPr>
          <w:rFonts w:ascii="Times New Roman" w:cs="Times New Roman" w:eastAsia="Times New Roman" w:hAnsi="Times New Roman"/>
          <w:sz w:val="17"/>
          <w:szCs w:val="17"/>
          <w:color w:val="auto"/>
        </w:rPr>
        <w:t xml:space="preserve"> The Company has never declared or paid any cash dividends and does not presently plan to pay cash dividends in the foreseeable future.</w:t>
      </w:r>
    </w:p>
    <w:p>
      <w:pPr>
        <w:spacing w:after="0" w:line="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Consequently, the Company used an expected dividend yield of zero.</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080"/>
          </w:cols>
          <w:pgMar w:left="320" w:top="451" w:right="49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The following table provides the weighted-average inputs for expected term, volatility, risk-free interest rate, and dividend yield that were utilized by the</w:t>
      </w:r>
    </w:p>
    <w:p>
      <w:pPr>
        <w:spacing w:after="0" w:line="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Company in its Monte Carlo simulation for awards granted between fiscal years 2022 and 2024:</w:t>
      </w:r>
    </w:p>
    <w:p>
      <w:pPr>
        <w:spacing w:after="0" w:line="247" w:lineRule="exact"/>
        <w:rPr>
          <w:sz w:val="20"/>
          <w:szCs w:val="20"/>
          <w:color w:val="auto"/>
        </w:rPr>
      </w:pPr>
    </w:p>
    <w:tbl>
      <w:tblPr>
        <w:tblLayout w:type="fixed"/>
        <w:tblInd w:w="1920" w:type="dxa"/>
        <w:tblCellMar>
          <w:top w:w="0" w:type="dxa"/>
          <w:left w:w="0" w:type="dxa"/>
          <w:bottom w:w="0" w:type="dxa"/>
          <w:right w:w="0" w:type="dxa"/>
        </w:tblCellMar>
      </w:tblPr>
      <w:tr>
        <w:trPr>
          <w:trHeight w:val="214"/>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580" w:type="dxa"/>
            <w:vAlign w:val="bottom"/>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w w:val="81"/>
              </w:rPr>
              <w:t>— </w:t>
            </w:r>
          </w:p>
        </w:tc>
        <w:tc>
          <w:tcPr>
            <w:tcW w:w="940" w:type="dxa"/>
            <w:vAlign w:val="bottom"/>
            <w:shd w:val="clear" w:color="auto" w:fill="CCEEFF"/>
          </w:tcPr>
          <w:p>
            <w:pPr>
              <w:spacing w:after="0"/>
              <w:rPr>
                <w:sz w:val="18"/>
                <w:szCs w:val="18"/>
                <w:color w:val="auto"/>
              </w:rPr>
            </w:pPr>
          </w:p>
        </w:tc>
      </w:tr>
      <w:tr>
        <w:trPr>
          <w:trHeight w:val="21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2580" w:type="dxa"/>
            <w:vAlign w:val="bottom"/>
          </w:tcPr>
          <w:p>
            <w:pPr>
              <w:ind w:left="2340"/>
              <w:spacing w:after="0"/>
              <w:rPr>
                <w:sz w:val="20"/>
                <w:szCs w:val="20"/>
                <w:color w:val="auto"/>
              </w:rPr>
            </w:pPr>
            <w:r>
              <w:rPr>
                <w:rFonts w:ascii="Times New Roman" w:cs="Times New Roman" w:eastAsia="Times New Roman" w:hAnsi="Times New Roman"/>
                <w:sz w:val="18"/>
                <w:szCs w:val="18"/>
                <w:color w:val="auto"/>
                <w:w w:val="97"/>
              </w:rPr>
              <w:t>3.6</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 Years</w:t>
            </w:r>
          </w:p>
        </w:tc>
      </w:tr>
      <w:tr>
        <w:trPr>
          <w:trHeight w:val="214"/>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580" w:type="dxa"/>
            <w:vAlign w:val="bottom"/>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w w:val="97"/>
              </w:rPr>
              <w:t>1.2</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- 4.6%</w:t>
            </w:r>
          </w:p>
        </w:tc>
      </w:tr>
      <w:tr>
        <w:trPr>
          <w:trHeight w:val="23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52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40 - 48%</w:t>
            </w:r>
          </w:p>
        </w:tc>
      </w:tr>
    </w:tbl>
    <w:p>
      <w:pPr>
        <w:spacing w:after="0" w:line="1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Company recorded $217 and $272 of member unit-based compensation expense related to Liquidity MPU Payouts for the years ended</w:t>
      </w:r>
    </w:p>
    <w:p>
      <w:pPr>
        <w:spacing w:after="0" w:line="26" w:lineRule="exact"/>
        <w:rPr>
          <w:sz w:val="20"/>
          <w:szCs w:val="20"/>
          <w:color w:val="auto"/>
        </w:rPr>
      </w:pPr>
    </w:p>
    <w:p>
      <w:pPr>
        <w:ind w:left="160" w:right="100"/>
        <w:spacing w:after="0" w:line="250" w:lineRule="auto"/>
        <w:rPr>
          <w:sz w:val="20"/>
          <w:szCs w:val="20"/>
          <w:color w:val="auto"/>
        </w:rPr>
      </w:pPr>
      <w:r>
        <w:rPr>
          <w:rFonts w:ascii="Times New Roman" w:cs="Times New Roman" w:eastAsia="Times New Roman" w:hAnsi="Times New Roman"/>
          <w:sz w:val="18"/>
          <w:szCs w:val="18"/>
          <w:color w:val="auto"/>
        </w:rPr>
        <w:t>December 31, 2023 and December 31, 2022, respectively, as a component of selling, general and administrative expenses. The Company did not record any expense related to Liquidity MPU Payouts or Class B CUPIs for the year ended December 31, 2024. On October 21, 2022, a portion of the promissory note was paid off with the Liquidity MPU Payout and consequently, a total of $85 was added to the Class A unit as capital contribution. On October 19, 2023, a portion of the promissory note was paid off with the Liquidity MPU Payout and consequently, a total of $84 was added to the Class A units as capital contribution.</w:t>
      </w:r>
    </w:p>
    <w:p>
      <w:pPr>
        <w:spacing w:after="0" w:line="187" w:lineRule="exact"/>
        <w:rPr>
          <w:sz w:val="20"/>
          <w:szCs w:val="20"/>
          <w:color w:val="auto"/>
        </w:rPr>
      </w:pPr>
    </w:p>
    <w:p>
      <w:pPr>
        <w:ind w:left="160" w:right="40"/>
        <w:spacing w:after="0" w:line="252" w:lineRule="auto"/>
        <w:rPr>
          <w:sz w:val="20"/>
          <w:szCs w:val="20"/>
          <w:color w:val="auto"/>
        </w:rPr>
      </w:pPr>
      <w:r>
        <w:rPr>
          <w:rFonts w:ascii="Times New Roman" w:cs="Times New Roman" w:eastAsia="Times New Roman" w:hAnsi="Times New Roman"/>
          <w:sz w:val="18"/>
          <w:szCs w:val="18"/>
          <w:color w:val="auto"/>
        </w:rPr>
        <w:t>The Company recorded $53, $65, and $58 of compensation expense related to Class B and Class B CUPIs units for the years ended December 31, 2024, December 31, 2023, and December 31, 2022, respectively, as a component of selling, general and administrative expenses. As of December 31, 2024, the Company had $110 of unrecognized unit-based compensation expense related to unvested Class B, which is expected to be recognized on a straight-line basis or a graded basis over a weighted average period of 2.8 years. As of December 31, 2024, the Company had another $12 of unrecognized unit-based compensation expense related to several tranches of unvested Class B units with additional performance condition and various derived requisite service periods. The respective compensation expense will not be recognized until the fulfillment of the defined performance condition. Such expense for each tranche of the Class B units will be trued up ratably based on the passage of the respective requisite service periods at the time of fulfillment and continue to be recognized on a graded basis over the remaining requisite service periods.</w:t>
      </w:r>
    </w:p>
    <w:p>
      <w:pPr>
        <w:spacing w:after="0" w:line="1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As of December 31, 2024, the Company has no material obligations to repurchase any Class B Units or CUPIs on a specified date.</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Incentive Units activity during the year ended December 31, 2024:</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color w:val="auto"/>
              </w:rPr>
              <w:t>Class B</w:t>
            </w: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900" w:type="dxa"/>
            <w:vAlign w:val="bottom"/>
          </w:tcPr>
          <w:p>
            <w:pPr>
              <w:spacing w:after="0"/>
              <w:rPr>
                <w:sz w:val="10"/>
                <w:szCs w:val="10"/>
                <w:color w:val="auto"/>
              </w:rPr>
            </w:pPr>
          </w:p>
        </w:tc>
        <w:tc>
          <w:tcPr>
            <w:tcW w:w="6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Units</w:t>
            </w:r>
          </w:p>
        </w:tc>
        <w:tc>
          <w:tcPr>
            <w:tcW w:w="400" w:type="dxa"/>
            <w:vAlign w:val="bottom"/>
          </w:tcPr>
          <w:p>
            <w:pPr>
              <w:spacing w:after="0"/>
              <w:rPr>
                <w:sz w:val="10"/>
                <w:szCs w:val="10"/>
                <w:color w:val="auto"/>
              </w:rPr>
            </w:pPr>
          </w:p>
        </w:tc>
        <w:tc>
          <w:tcPr>
            <w:tcW w:w="9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Wtd. Avg. Grant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Date Fair Value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0.33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Forfeited/repurchased</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2024</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429</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unvested outstanding Incentive Units are expected to vest between 2025 and 2029.</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u w:val="single" w:color="auto"/>
          <w:color w:val="auto"/>
        </w:rPr>
        <w:t>Liability-classified units</w:t>
      </w:r>
    </w:p>
    <w:p>
      <w:pPr>
        <w:spacing w:after="0" w:line="118" w:lineRule="exact"/>
        <w:rPr>
          <w:sz w:val="20"/>
          <w:szCs w:val="20"/>
          <w:color w:val="auto"/>
        </w:rPr>
      </w:pPr>
    </w:p>
    <w:p>
      <w:pPr>
        <w:jc w:val="both"/>
        <w:ind w:left="160" w:right="60"/>
        <w:spacing w:after="0" w:line="278" w:lineRule="auto"/>
        <w:rPr>
          <w:sz w:val="20"/>
          <w:szCs w:val="20"/>
          <w:color w:val="auto"/>
        </w:rPr>
      </w:pPr>
      <w:r>
        <w:rPr>
          <w:rFonts w:ascii="Times New Roman" w:cs="Times New Roman" w:eastAsia="Times New Roman" w:hAnsi="Times New Roman"/>
          <w:sz w:val="18"/>
          <w:szCs w:val="18"/>
          <w:color w:val="auto"/>
        </w:rPr>
        <w:t>On February 13, 2024, the Company authorized additional Class B Units to be granted to certain employees on April 1, 2025 upon fulfillment of certain performance conditions. With each grant, the number of Class B units to</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080"/>
          </w:cols>
          <w:pgMar w:left="320" w:top="451" w:right="49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ind w:left="160" w:right="100"/>
        <w:spacing w:after="0" w:line="251" w:lineRule="auto"/>
        <w:rPr>
          <w:sz w:val="20"/>
          <w:szCs w:val="20"/>
          <w:color w:val="auto"/>
        </w:rPr>
      </w:pPr>
      <w:r>
        <w:rPr>
          <w:rFonts w:ascii="Times New Roman" w:cs="Times New Roman" w:eastAsia="Times New Roman" w:hAnsi="Times New Roman"/>
          <w:sz w:val="18"/>
          <w:szCs w:val="18"/>
          <w:color w:val="auto"/>
        </w:rPr>
        <w:t>be issued and the grant date fair value of the award are dependent on the performance targets achieved and the Company’s equity value, and will be determined on the official grant date. The Class B Units are subject to a five-year service vesting period, with 20% of units vesting on each of the five anniversaries from the official grant date. The award was classified as a liability in accordance with Topic 718 until the official grant date, when it will be reclassified as mezzanine equity. The award is presented in other long-term liabilities on the consolidated balance sheets. The unit fair value of these awards is determined using the same technique and assumptions as the Equity-Based Awards, and the Company reevaluates the fair value of these liability-classified units periodically until they are reclassified as mezzanine equity when granted, with the fair value change recorded ratably in the current-period compensation expense. As of December 31, 2024, the number of units probable to be issued is 58, with total fair value of $33. The Company had recognized compensation expense of $8 and $8 for the years ended December 31, 2024 and December 31, 2023, respectively. As of December 31, 2024, the Company had $25 of unrecognized compensation expense, which is expected to be recognized on a graded basis over a weighted average period of 5.3 years.</w:t>
      </w:r>
    </w:p>
    <w:p>
      <w:pPr>
        <w:spacing w:after="0" w:line="2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16 — PARTNERS’ CAPITAL AND MEZZANINE EQUITY</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Partners’ Capital</w:t>
      </w:r>
    </w:p>
    <w:p>
      <w:pPr>
        <w:spacing w:after="0" w:line="118" w:lineRule="exact"/>
        <w:rPr>
          <w:sz w:val="20"/>
          <w:szCs w:val="20"/>
          <w:color w:val="auto"/>
        </w:rPr>
      </w:pPr>
    </w:p>
    <w:p>
      <w:pPr>
        <w:ind w:left="160"/>
        <w:spacing w:after="0" w:line="250" w:lineRule="auto"/>
        <w:rPr>
          <w:sz w:val="20"/>
          <w:szCs w:val="20"/>
          <w:color w:val="auto"/>
        </w:rPr>
      </w:pPr>
      <w:r>
        <w:rPr>
          <w:rFonts w:ascii="Times New Roman" w:cs="Times New Roman" w:eastAsia="Times New Roman" w:hAnsi="Times New Roman"/>
          <w:sz w:val="18"/>
          <w:szCs w:val="18"/>
          <w:color w:val="auto"/>
        </w:rPr>
        <w:t>The Company has three classes of authorized units: Class A units, Class B CUPI units, and Class B units. The holders of Class A units, Class B CUPI units, and Class B units are limited partners and do not have voting rights (although certain limited partners have certain consent rights as set forth in the GP LLC Agreement). Medline Holdings GP, LLC is the general partner of the Company that does not hold any units and is authorized to take any action, and cause the Company to take any action, subject to the terms of the Company’s Limited Partnership Agreement and the Medline Holdings GP, LLC’s Limited Liability Agreement (the “GP LLC Agreement”). The remaining rights and privileges of the holders of Class A units, Class B CUPI units, and Class B units are identical, except with respect to distribution and liquidation preferences. For both distributions (other than tax distributions) and liquidations, the Class A unit holders shall receive 100% of the distributions until the Class A unit holders have received cumulative distributions equal to $1.00 per Class A unit. Second, except for Operating Distributions (as defined in the Company’s limited partnership agreement), 100% of the remainder of the distributions following the distributions to the Class A unit holders shall be distributed to the Class B CUPI unit holders until the Class B CUPI unit holders receive cumulative distributions equal to the catch-up amount for such units ($1.00 per Class B CUPI unit). Third, the remainder of the distributions will be distributed on a pro rata basis (based on the number of units held and subject to vesting and, with respect to Class B units, deemed unit prices) to the Class A unit holders, the Class B CUPI unit holders, and the Class B unit holders, subject to the Company’s limited partnership agreement. Net income and net loss of the Company is allocated in a manner similar to the foregoing distributions pursuant to the GP LLC agreement. The partnership units cannot be converted. When units are initially granted, the related compensation expense will be presented under units granted. All subsequent compensation expense will be presented under unit-based compensation expense.</w:t>
      </w:r>
    </w:p>
    <w:p>
      <w:pPr>
        <w:spacing w:after="0" w:line="2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Class A — Mezzanine Equity</w:t>
      </w:r>
    </w:p>
    <w:p>
      <w:pPr>
        <w:spacing w:after="0" w:line="118" w:lineRule="exact"/>
        <w:rPr>
          <w:sz w:val="20"/>
          <w:szCs w:val="20"/>
          <w:color w:val="auto"/>
        </w:rPr>
      </w:pPr>
    </w:p>
    <w:p>
      <w:pPr>
        <w:ind w:left="160" w:right="20"/>
        <w:spacing w:after="0" w:line="253" w:lineRule="auto"/>
        <w:rPr>
          <w:sz w:val="20"/>
          <w:szCs w:val="20"/>
          <w:color w:val="auto"/>
        </w:rPr>
      </w:pPr>
      <w:r>
        <w:rPr>
          <w:rFonts w:ascii="Times New Roman" w:cs="Times New Roman" w:eastAsia="Times New Roman" w:hAnsi="Times New Roman"/>
          <w:sz w:val="18"/>
          <w:szCs w:val="18"/>
          <w:color w:val="auto"/>
        </w:rPr>
        <w:t>Class A units held by members of management (the “Class A Mezzanine Units”) include a put right that gives the holders certain rights that may allow them to cause the Company to repurchase 50% of the Class A units. For the periods that management determined it was probable that the Class A Mezzanine Units would become redeemable, the Company had elected to carry the shares at the maximum redemption value, or fair value, in mezzanine equity on the consolidated balance sheets. For all the reporting periods through the third quarter of 2024, all Class A Mezzanine Units were recognized at their maximum redemption value. During the fourth quarter of 2024, management determined it was no longer probable that the Class A Mezzanine Units would become redeemable, and, therefore, no changes in redemption value were recorded prospectively. During the years ended December 31, 2024, December 31, 2023, and December 31, 2022, the Company recognized $58,</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080"/>
          </w:cols>
          <w:pgMar w:left="320" w:top="452" w:right="49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$40, and $10, respectively, in accretion of the Class A Mezzanine Units to redemption value within mezzanine equity on the consolidated balance sheets.</w:t>
      </w:r>
    </w:p>
    <w:p>
      <w:pPr>
        <w:spacing w:after="0" w:line="3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Stock-Based Compensation — Mezzanine Equity</w:t>
      </w:r>
    </w:p>
    <w:p>
      <w:pPr>
        <w:spacing w:after="0" w:line="118" w:lineRule="exact"/>
        <w:rPr>
          <w:sz w:val="20"/>
          <w:szCs w:val="20"/>
          <w:color w:val="auto"/>
        </w:rPr>
      </w:pPr>
    </w:p>
    <w:p>
      <w:pPr>
        <w:ind w:left="160" w:right="40"/>
        <w:spacing w:after="0" w:line="252" w:lineRule="auto"/>
        <w:rPr>
          <w:sz w:val="20"/>
          <w:szCs w:val="20"/>
          <w:color w:val="auto"/>
        </w:rPr>
      </w:pPr>
      <w:r>
        <w:rPr>
          <w:rFonts w:ascii="Times New Roman" w:cs="Times New Roman" w:eastAsia="Times New Roman" w:hAnsi="Times New Roman"/>
          <w:sz w:val="18"/>
          <w:szCs w:val="18"/>
          <w:color w:val="auto"/>
        </w:rPr>
        <w:t>As discussed in “Note 15 — Stock-Based Compensation,” Class B and Class B CUPI mezzanine units (collectively the “Put Units”) include a put right. For the periods that management determined it was probable that the Participants’ units would become redeemable, the Put Units were initially measured based on the intrinsic value as determined on the grant date and subsequently remeasured to the intrinsic value as of each reporting period. During the fourth quarter of 2024, management determined it was no longer probable that the Put Units would become redeemable, and therefore no changes in redemption value were recorded prospectively. During the years ended December 31, 2024, December 31, 2023, and December 31, 2022, the Company recognized an adjustment to the pro-rata portion of the Put Units which have vested in the amounts of $57, $37, and $18, respectively. The maturities related to the redemption feature are in accordance with the vesting terms discussed in “Note 15 — Stock-Based Compensation,” taking into account the five-year vesting period.</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w:t>
      </w:r>
    </w:p>
    <w:p>
      <w:pPr>
        <w:spacing w:after="0" w:line="1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change in the balance of accumulated other comprehensive income (loss) by component and in total:</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2"/>
          </w:tcPr>
          <w:p>
            <w:pPr>
              <w:jc w:val="center"/>
              <w:ind w:right="500"/>
              <w:spacing w:after="0" w:line="118" w:lineRule="exact"/>
              <w:rPr>
                <w:sz w:val="20"/>
                <w:szCs w:val="20"/>
                <w:color w:val="auto"/>
              </w:rPr>
            </w:pPr>
            <w:r>
              <w:rPr>
                <w:rFonts w:ascii="Times New Roman" w:cs="Times New Roman" w:eastAsia="Times New Roman" w:hAnsi="Times New Roman"/>
                <w:sz w:val="13"/>
                <w:szCs w:val="13"/>
                <w:color w:val="auto"/>
              </w:rPr>
              <w:t>Unrealized gain</w:t>
            </w:r>
          </w:p>
        </w:tc>
        <w:tc>
          <w:tcPr>
            <w:tcW w:w="460" w:type="dxa"/>
            <w:vAlign w:val="bottom"/>
          </w:tcPr>
          <w:p>
            <w:pPr>
              <w:spacing w:after="0"/>
              <w:rPr>
                <w:sz w:val="10"/>
                <w:szCs w:val="10"/>
                <w:color w:val="auto"/>
              </w:rPr>
            </w:pPr>
          </w:p>
        </w:tc>
        <w:tc>
          <w:tcPr>
            <w:tcW w:w="2020" w:type="dxa"/>
            <w:vAlign w:val="bottom"/>
            <w:gridSpan w:val="3"/>
            <w:vMerge w:val="restart"/>
          </w:tcPr>
          <w:p>
            <w:pPr>
              <w:jc w:val="center"/>
              <w:ind w:right="860"/>
              <w:spacing w:after="0"/>
              <w:rPr>
                <w:sz w:val="20"/>
                <w:szCs w:val="20"/>
                <w:color w:val="auto"/>
              </w:rPr>
            </w:pPr>
            <w:r>
              <w:rPr>
                <w:rFonts w:ascii="Times New Roman" w:cs="Times New Roman" w:eastAsia="Times New Roman" w:hAnsi="Times New Roman"/>
                <w:sz w:val="14"/>
                <w:szCs w:val="14"/>
                <w:color w:val="auto"/>
              </w:rPr>
              <w:t>Currency translation</w:t>
            </w:r>
          </w:p>
        </w:tc>
        <w:tc>
          <w:tcPr>
            <w:tcW w:w="2040" w:type="dxa"/>
            <w:vAlign w:val="bottom"/>
            <w:gridSpan w:val="3"/>
            <w:vMerge w:val="restart"/>
          </w:tcPr>
          <w:p>
            <w:pPr>
              <w:jc w:val="right"/>
              <w:ind w:right="820"/>
              <w:spacing w:after="0"/>
              <w:rPr>
                <w:sz w:val="20"/>
                <w:szCs w:val="20"/>
                <w:color w:val="auto"/>
              </w:rPr>
            </w:pPr>
            <w:r>
              <w:rPr>
                <w:rFonts w:ascii="Times New Roman" w:cs="Times New Roman" w:eastAsia="Times New Roman" w:hAnsi="Times New Roman"/>
                <w:sz w:val="14"/>
                <w:szCs w:val="14"/>
                <w:color w:val="auto"/>
              </w:rPr>
              <w:t>Retirement plans, net</w:t>
            </w:r>
          </w:p>
        </w:tc>
        <w:tc>
          <w:tcPr>
            <w:tcW w:w="120" w:type="dxa"/>
            <w:vAlign w:val="bottom"/>
          </w:tcPr>
          <w:p>
            <w:pPr>
              <w:spacing w:after="0"/>
              <w:rPr>
                <w:sz w:val="10"/>
                <w:szCs w:val="10"/>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Accumulated other</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2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color w:val="auto"/>
              </w:rPr>
              <w:t>(loss) on derivative</w:t>
            </w:r>
          </w:p>
        </w:tc>
        <w:tc>
          <w:tcPr>
            <w:tcW w:w="46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2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instruments</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tcPr>
          <w:p>
            <w:pPr>
              <w:jc w:val="center"/>
              <w:ind w:right="1080"/>
              <w:spacing w:after="0"/>
              <w:rPr>
                <w:sz w:val="20"/>
                <w:szCs w:val="20"/>
                <w:color w:val="auto"/>
              </w:rPr>
            </w:pPr>
            <w:r>
              <w:rPr>
                <w:rFonts w:ascii="Times New Roman" w:cs="Times New Roman" w:eastAsia="Times New Roman" w:hAnsi="Times New Roman"/>
                <w:sz w:val="14"/>
                <w:szCs w:val="14"/>
                <w:color w:val="auto"/>
              </w:rPr>
              <w:t>adjustments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of tax</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2024</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4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6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Borders>
              <w:top w:val="single" w:sz="8" w:color="CCEEFF"/>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before reclassifications</w:t>
            </w:r>
          </w:p>
        </w:tc>
        <w:tc>
          <w:tcPr>
            <w:tcW w:w="100" w:type="dxa"/>
            <w:vAlign w:val="bottom"/>
          </w:tcPr>
          <w:p>
            <w:pPr>
              <w:spacing w:after="0"/>
              <w:rPr>
                <w:sz w:val="20"/>
                <w:szCs w:val="20"/>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77</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(89)</w:t>
            </w:r>
          </w:p>
        </w:tc>
        <w:tc>
          <w:tcPr>
            <w:tcW w:w="860" w:type="dxa"/>
            <w:vAlign w:val="bottom"/>
          </w:tcPr>
          <w:p>
            <w:pPr>
              <w:spacing w:after="0"/>
              <w:rPr>
                <w:sz w:val="20"/>
                <w:szCs w:val="20"/>
                <w:color w:val="auto"/>
              </w:rPr>
            </w:pPr>
          </w:p>
        </w:tc>
        <w:tc>
          <w:tcPr>
            <w:tcW w:w="11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reclassified to earnings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(165)</w:t>
            </w:r>
          </w:p>
        </w:tc>
        <w:tc>
          <w:tcPr>
            <w:tcW w:w="4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tcBorders>
              <w:right w:val="single" w:sz="8" w:color="CCEEFF"/>
            </w:tcBorders>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2"/>
        </w:trPr>
        <w:tc>
          <w:tcPr>
            <w:tcW w:w="34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Net other comprehensive (loss)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w:t>
            </w:r>
          </w:p>
        </w:tc>
        <w:tc>
          <w:tcPr>
            <w:tcW w:w="10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(88)</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(89)</w:t>
            </w:r>
          </w:p>
        </w:tc>
        <w:tc>
          <w:tcPr>
            <w:tcW w:w="860" w:type="dxa"/>
            <w:vAlign w:val="bottom"/>
          </w:tcPr>
          <w:p>
            <w:pPr>
              <w:spacing w:after="0"/>
              <w:rPr>
                <w:sz w:val="20"/>
                <w:szCs w:val="20"/>
                <w:color w:val="auto"/>
              </w:rPr>
            </w:pPr>
          </w:p>
        </w:tc>
        <w:tc>
          <w:tcPr>
            <w:tcW w:w="11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60" w:type="dxa"/>
            <w:vAlign w:val="bottom"/>
            <w:tcBorders>
              <w:lef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4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right w:val="single" w:sz="8" w:color="CCEEFF"/>
            </w:tcBorders>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(114)</w:t>
            </w:r>
          </w:p>
        </w:tc>
        <w:tc>
          <w:tcPr>
            <w:tcW w:w="86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60" w:type="dxa"/>
            <w:vAlign w:val="bottom"/>
            <w:tcBorders>
              <w:lef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2"/>
          </w:tcPr>
          <w:p>
            <w:pPr>
              <w:jc w:val="center"/>
              <w:ind w:right="500"/>
              <w:spacing w:after="0" w:line="118" w:lineRule="exact"/>
              <w:rPr>
                <w:sz w:val="20"/>
                <w:szCs w:val="20"/>
                <w:color w:val="auto"/>
              </w:rPr>
            </w:pPr>
            <w:r>
              <w:rPr>
                <w:rFonts w:ascii="Times New Roman" w:cs="Times New Roman" w:eastAsia="Times New Roman" w:hAnsi="Times New Roman"/>
                <w:sz w:val="13"/>
                <w:szCs w:val="13"/>
                <w:color w:val="auto"/>
              </w:rPr>
              <w:t>Unrealized gain</w:t>
            </w:r>
          </w:p>
        </w:tc>
        <w:tc>
          <w:tcPr>
            <w:tcW w:w="460" w:type="dxa"/>
            <w:vAlign w:val="bottom"/>
          </w:tcPr>
          <w:p>
            <w:pPr>
              <w:spacing w:after="0"/>
              <w:rPr>
                <w:sz w:val="10"/>
                <w:szCs w:val="10"/>
                <w:color w:val="auto"/>
              </w:rPr>
            </w:pPr>
          </w:p>
        </w:tc>
        <w:tc>
          <w:tcPr>
            <w:tcW w:w="2020" w:type="dxa"/>
            <w:vAlign w:val="bottom"/>
            <w:gridSpan w:val="3"/>
            <w:vMerge w:val="restart"/>
          </w:tcPr>
          <w:p>
            <w:pPr>
              <w:jc w:val="center"/>
              <w:ind w:right="880"/>
              <w:spacing w:after="0"/>
              <w:rPr>
                <w:sz w:val="20"/>
                <w:szCs w:val="20"/>
                <w:color w:val="auto"/>
              </w:rPr>
            </w:pPr>
            <w:r>
              <w:rPr>
                <w:rFonts w:ascii="Times New Roman" w:cs="Times New Roman" w:eastAsia="Times New Roman" w:hAnsi="Times New Roman"/>
                <w:sz w:val="14"/>
                <w:szCs w:val="14"/>
                <w:color w:val="auto"/>
                <w:w w:val="99"/>
              </w:rPr>
              <w:t>Currency translation</w:t>
            </w:r>
          </w:p>
        </w:tc>
        <w:tc>
          <w:tcPr>
            <w:tcW w:w="2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Retirement plans, net</w:t>
            </w:r>
          </w:p>
        </w:tc>
        <w:tc>
          <w:tcPr>
            <w:tcW w:w="120" w:type="dxa"/>
            <w:vAlign w:val="bottom"/>
          </w:tcPr>
          <w:p>
            <w:pPr>
              <w:spacing w:after="0"/>
              <w:rPr>
                <w:sz w:val="10"/>
                <w:szCs w:val="10"/>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Accumulated other</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2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color w:val="auto"/>
              </w:rPr>
              <w:t>(loss) on derivative</w:t>
            </w:r>
          </w:p>
        </w:tc>
        <w:tc>
          <w:tcPr>
            <w:tcW w:w="46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2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instruments</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tcPr>
          <w:p>
            <w:pPr>
              <w:jc w:val="center"/>
              <w:ind w:right="1120"/>
              <w:spacing w:after="0"/>
              <w:rPr>
                <w:sz w:val="20"/>
                <w:szCs w:val="20"/>
                <w:color w:val="auto"/>
              </w:rPr>
            </w:pPr>
            <w:r>
              <w:rPr>
                <w:rFonts w:ascii="Times New Roman" w:cs="Times New Roman" w:eastAsia="Times New Roman" w:hAnsi="Times New Roman"/>
                <w:sz w:val="14"/>
                <w:szCs w:val="14"/>
                <w:color w:val="auto"/>
              </w:rPr>
              <w:t>adjustments</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4"/>
                <w:szCs w:val="14"/>
                <w:color w:val="auto"/>
              </w:rPr>
              <w:t>of tax</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2023</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4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6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tcBorders>
              <w:top w:val="single" w:sz="8" w:color="CCEEFF"/>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before reclassifications</w:t>
            </w:r>
          </w:p>
        </w:tc>
        <w:tc>
          <w:tcPr>
            <w:tcW w:w="100" w:type="dxa"/>
            <w:vAlign w:val="bottom"/>
          </w:tcPr>
          <w:p>
            <w:pPr>
              <w:spacing w:after="0"/>
              <w:rPr>
                <w:sz w:val="20"/>
                <w:szCs w:val="20"/>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47</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reclassified to earnings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(162)</w:t>
            </w:r>
          </w:p>
        </w:tc>
        <w:tc>
          <w:tcPr>
            <w:tcW w:w="4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tcBorders>
              <w:right w:val="single" w:sz="8" w:color="CCEEFF"/>
            </w:tcBorders>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w w:val="96"/>
              </w:rPr>
              <w:t>— </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02"/>
        </w:trPr>
        <w:tc>
          <w:tcPr>
            <w:tcW w:w="34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Net other comprehensive (loss)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w:t>
            </w:r>
          </w:p>
        </w:tc>
        <w:tc>
          <w:tcPr>
            <w:tcW w:w="10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(115)</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right w:val="single" w:sz="8" w:color="CCEEFF"/>
            </w:tcBorders>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(25)</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F-48</w:t>
            </w: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2" w:right="49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9"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gridSpan w:val="2"/>
          </w:tcPr>
          <w:p>
            <w:pPr>
              <w:jc w:val="center"/>
              <w:ind w:right="980"/>
              <w:spacing w:after="0" w:line="118" w:lineRule="exact"/>
              <w:rPr>
                <w:sz w:val="20"/>
                <w:szCs w:val="20"/>
                <w:color w:val="auto"/>
              </w:rPr>
            </w:pPr>
            <w:r>
              <w:rPr>
                <w:rFonts w:ascii="Times New Roman" w:cs="Times New Roman" w:eastAsia="Times New Roman" w:hAnsi="Times New Roman"/>
                <w:sz w:val="13"/>
                <w:szCs w:val="13"/>
                <w:color w:val="auto"/>
              </w:rPr>
              <w:t>Unrealized gain</w:t>
            </w:r>
          </w:p>
        </w:tc>
        <w:tc>
          <w:tcPr>
            <w:tcW w:w="2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Currency translation</w:t>
            </w:r>
          </w:p>
        </w:tc>
        <w:tc>
          <w:tcPr>
            <w:tcW w:w="2040" w:type="dxa"/>
            <w:vAlign w:val="bottom"/>
            <w:gridSpan w:val="3"/>
            <w:vMerge w:val="restart"/>
          </w:tcPr>
          <w:p>
            <w:pPr>
              <w:jc w:val="right"/>
              <w:ind w:right="820"/>
              <w:spacing w:after="0"/>
              <w:rPr>
                <w:sz w:val="20"/>
                <w:szCs w:val="20"/>
                <w:color w:val="auto"/>
              </w:rPr>
            </w:pPr>
            <w:r>
              <w:rPr>
                <w:rFonts w:ascii="Times New Roman" w:cs="Times New Roman" w:eastAsia="Times New Roman" w:hAnsi="Times New Roman"/>
                <w:sz w:val="14"/>
                <w:szCs w:val="14"/>
                <w:color w:val="auto"/>
              </w:rPr>
              <w:t>Retirement plans, net</w:t>
            </w:r>
          </w:p>
        </w:tc>
        <w:tc>
          <w:tcPr>
            <w:tcW w:w="120" w:type="dxa"/>
            <w:vAlign w:val="bottom"/>
          </w:tcPr>
          <w:p>
            <w:pPr>
              <w:spacing w:after="0"/>
              <w:rPr>
                <w:sz w:val="10"/>
                <w:szCs w:val="10"/>
                <w:color w:val="auto"/>
              </w:rPr>
            </w:pPr>
          </w:p>
        </w:tc>
        <w:tc>
          <w:tcPr>
            <w:tcW w:w="1220" w:type="dxa"/>
            <w:vAlign w:val="bottom"/>
          </w:tcPr>
          <w:p>
            <w:pPr>
              <w:jc w:val="right"/>
              <w:ind w:right="37"/>
              <w:spacing w:after="0" w:line="118" w:lineRule="exact"/>
              <w:rPr>
                <w:sz w:val="20"/>
                <w:szCs w:val="20"/>
                <w:color w:val="auto"/>
              </w:rPr>
            </w:pPr>
            <w:r>
              <w:rPr>
                <w:rFonts w:ascii="Times New Roman" w:cs="Times New Roman" w:eastAsia="Times New Roman" w:hAnsi="Times New Roman"/>
                <w:sz w:val="13"/>
                <w:szCs w:val="13"/>
                <w:color w:val="auto"/>
              </w:rPr>
              <w:t>Accumulated other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8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color w:val="auto"/>
              </w:rPr>
              <w:t>(loss) on derivative</w:t>
            </w:r>
          </w:p>
        </w:tc>
        <w:tc>
          <w:tcPr>
            <w:tcW w:w="2040" w:type="dxa"/>
            <w:vAlign w:val="bottom"/>
            <w:gridSpan w:val="3"/>
            <w:vMerge w:val="continue"/>
          </w:tcPr>
          <w:p>
            <w:pPr>
              <w:spacing w:after="0"/>
              <w:rPr>
                <w:sz w:val="12"/>
                <w:szCs w:val="12"/>
                <w:color w:val="auto"/>
              </w:rPr>
            </w:pPr>
          </w:p>
        </w:tc>
        <w:tc>
          <w:tcPr>
            <w:tcW w:w="2040" w:type="dxa"/>
            <w:vAlign w:val="bottom"/>
            <w:gridSpan w:val="3"/>
            <w:vMerge w:val="continue"/>
          </w:tcPr>
          <w:p>
            <w:pPr>
              <w:spacing w:after="0"/>
              <w:rPr>
                <w:sz w:val="12"/>
                <w:szCs w:val="12"/>
                <w:color w:val="auto"/>
              </w:rPr>
            </w:pPr>
          </w:p>
        </w:tc>
        <w:tc>
          <w:tcPr>
            <w:tcW w:w="1440" w:type="dxa"/>
            <w:vAlign w:val="bottom"/>
            <w:gridSpan w:val="3"/>
          </w:tcPr>
          <w:p>
            <w:pPr>
              <w:ind w:left="20"/>
              <w:spacing w:after="0" w:line="147" w:lineRule="exact"/>
              <w:rPr>
                <w:sz w:val="20"/>
                <w:szCs w:val="20"/>
                <w:color w:val="auto"/>
              </w:rPr>
            </w:pPr>
            <w:r>
              <w:rPr>
                <w:rFonts w:ascii="Times New Roman" w:cs="Times New Roman" w:eastAsia="Times New Roman" w:hAnsi="Times New Roman"/>
                <w:sz w:val="14"/>
                <w:szCs w:val="14"/>
                <w:color w:val="auto"/>
              </w:rPr>
              <w:t>comprehensive income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96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color w:val="auto"/>
              </w:rPr>
              <w:t>instruments</w:t>
            </w:r>
          </w:p>
        </w:tc>
        <w:tc>
          <w:tcPr>
            <w:tcW w:w="8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adjustments</w:t>
            </w:r>
          </w:p>
        </w:tc>
        <w:tc>
          <w:tcPr>
            <w:tcW w:w="8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of tax</w:t>
            </w: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color w:val="auto"/>
              </w:rPr>
              <w:t>(loss)</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73"/>
              </w:rPr>
              <w:t>(30)</w:t>
            </w: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before reclassifications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343</w:t>
            </w:r>
          </w:p>
        </w:tc>
        <w:tc>
          <w:tcPr>
            <w:tcW w:w="160" w:type="dxa"/>
            <w:vAlign w:val="bottom"/>
          </w:tcPr>
          <w:p>
            <w:pPr>
              <w:spacing w:after="0"/>
              <w:rPr>
                <w:sz w:val="20"/>
                <w:szCs w:val="20"/>
                <w:color w:val="auto"/>
              </w:rPr>
            </w:pPr>
          </w:p>
        </w:tc>
        <w:tc>
          <w:tcPr>
            <w:tcW w:w="18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(38)</w:t>
            </w:r>
          </w:p>
        </w:tc>
        <w:tc>
          <w:tcPr>
            <w:tcW w:w="860" w:type="dxa"/>
            <w:vAlign w:val="bottom"/>
          </w:tcPr>
          <w:p>
            <w:pPr>
              <w:spacing w:after="0"/>
              <w:rPr>
                <w:sz w:val="20"/>
                <w:szCs w:val="20"/>
                <w:color w:val="auto"/>
              </w:rPr>
            </w:pPr>
          </w:p>
        </w:tc>
        <w:tc>
          <w:tcPr>
            <w:tcW w:w="11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reclassified to earnings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2"/>
        </w:trPr>
        <w:tc>
          <w:tcPr>
            <w:tcW w:w="29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Net other comprehensive income</w:t>
            </w:r>
          </w:p>
        </w:tc>
        <w:tc>
          <w:tcPr>
            <w:tcW w:w="4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331</w:t>
            </w:r>
          </w:p>
        </w:tc>
        <w:tc>
          <w:tcPr>
            <w:tcW w:w="160" w:type="dxa"/>
            <w:vAlign w:val="bottom"/>
          </w:tcPr>
          <w:p>
            <w:pPr>
              <w:spacing w:after="0"/>
              <w:rPr>
                <w:sz w:val="20"/>
                <w:szCs w:val="20"/>
                <w:color w:val="auto"/>
              </w:rPr>
            </w:pPr>
          </w:p>
        </w:tc>
        <w:tc>
          <w:tcPr>
            <w:tcW w:w="18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(38)</w:t>
            </w:r>
          </w:p>
        </w:tc>
        <w:tc>
          <w:tcPr>
            <w:tcW w:w="860" w:type="dxa"/>
            <w:vAlign w:val="bottom"/>
          </w:tcPr>
          <w:p>
            <w:pPr>
              <w:spacing w:after="0"/>
              <w:rPr>
                <w:sz w:val="20"/>
                <w:szCs w:val="20"/>
                <w:color w:val="auto"/>
              </w:rPr>
            </w:pPr>
          </w:p>
        </w:tc>
        <w:tc>
          <w:tcPr>
            <w:tcW w:w="11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327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(68)</w:t>
            </w:r>
          </w:p>
        </w:tc>
        <w:tc>
          <w:tcPr>
            <w:tcW w:w="86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17 — RELATED PARTY</w:t>
      </w:r>
    </w:p>
    <w:p>
      <w:pPr>
        <w:spacing w:after="0" w:line="118" w:lineRule="exact"/>
        <w:rPr>
          <w:sz w:val="20"/>
          <w:szCs w:val="20"/>
          <w:color w:val="auto"/>
        </w:rPr>
      </w:pPr>
    </w:p>
    <w:p>
      <w:pPr>
        <w:ind w:left="160" w:right="420"/>
        <w:spacing w:after="0" w:line="255" w:lineRule="auto"/>
        <w:rPr>
          <w:sz w:val="20"/>
          <w:szCs w:val="20"/>
          <w:color w:val="auto"/>
        </w:rPr>
      </w:pPr>
      <w:r>
        <w:rPr>
          <w:rFonts w:ascii="Times New Roman" w:cs="Times New Roman" w:eastAsia="Times New Roman" w:hAnsi="Times New Roman"/>
          <w:sz w:val="18"/>
          <w:szCs w:val="18"/>
          <w:color w:val="auto"/>
        </w:rPr>
        <w:t>As of December 31, 2024, certain affiliates of the Sponsors held a portion of the Company’s long-term debt including $3 and $450 reported in the current portion of long-term borrowings and other short-term borrowings and long-term borrowings, less current portion, respectively. As of December 31, 2023, certain related parties held a portion of the Company’s long-term debt including $6 and $643 reported in the current portion of long-term borrowings and other short-term borrowings and long-term borrowings, less current portion, respectively. The terms of these loans are identical to all other term loans issued and notes issued.</w:t>
      </w:r>
    </w:p>
    <w:p>
      <w:pPr>
        <w:spacing w:after="0" w:line="1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See “Note 7 — Credit Agreements and Borrowings” for additional information on the long-term debt.</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There have been no other significant transactions with related parties during the periods presented.</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18 — SEGMENT INFORMATION</w:t>
      </w:r>
    </w:p>
    <w:p>
      <w:pPr>
        <w:spacing w:after="0" w:line="118" w:lineRule="exact"/>
        <w:rPr>
          <w:sz w:val="20"/>
          <w:szCs w:val="20"/>
          <w:color w:val="auto"/>
        </w:rPr>
      </w:pPr>
    </w:p>
    <w:p>
      <w:pPr>
        <w:ind w:left="160"/>
        <w:spacing w:after="0" w:line="251" w:lineRule="auto"/>
        <w:rPr>
          <w:sz w:val="20"/>
          <w:szCs w:val="20"/>
          <w:color w:val="auto"/>
        </w:rPr>
      </w:pPr>
      <w:r>
        <w:rPr>
          <w:rFonts w:ascii="Times New Roman" w:cs="Times New Roman" w:eastAsia="Times New Roman" w:hAnsi="Times New Roman"/>
          <w:sz w:val="18"/>
          <w:szCs w:val="18"/>
          <w:color w:val="auto"/>
        </w:rPr>
        <w:t>The Company discloses information regarding reportable segments based on the way management organizes the business for assessing performance and making operational decisions and allocating resources. The Company reports its financial results in two reportable segments: Medline Brand and Supply Chain Solutions. The organizational structure also includes Corporate &amp; Other which consists of expenses related to centralized corporate functions, such as finance, information technology, legal, human resources, and internal audit. The Medline Brand segment procures and manufactures products from three product categories — Surgical Solutions, Front Line Care, and Laboratory &amp; Diagnostics. This segment provides its products to domestic and international consumers. The Supply Chain Solutions segment procures and distributes a variety of third-party products from national brands and also provides tailored logistics and supply chain optimization services to domestic and international consumers. Supply Chain Solutions is not managed based upon product categories as its focus is on signing new prime vendor relationships and servicing customers by leveraging strong third-party supplier relationships and through its fulfillment and distribution capabilities. As a distributor of products from over 1,250 third-party suppliers, the Company sells products across a large number of product groups to the entire continuum of care, and, as a result, it is impracticable to provide segment information at the product group level for Supply Chain Solutions.</w:t>
      </w:r>
    </w:p>
    <w:p>
      <w:pPr>
        <w:spacing w:after="0" w:line="187" w:lineRule="exact"/>
        <w:rPr>
          <w:sz w:val="20"/>
          <w:szCs w:val="20"/>
          <w:color w:val="auto"/>
        </w:rPr>
      </w:pPr>
    </w:p>
    <w:p>
      <w:pPr>
        <w:ind w:left="160" w:right="160"/>
        <w:spacing w:after="0" w:line="271" w:lineRule="auto"/>
        <w:rPr>
          <w:sz w:val="20"/>
          <w:szCs w:val="20"/>
          <w:color w:val="auto"/>
        </w:rPr>
      </w:pPr>
      <w:r>
        <w:rPr>
          <w:rFonts w:ascii="Times New Roman" w:cs="Times New Roman" w:eastAsia="Times New Roman" w:hAnsi="Times New Roman"/>
          <w:sz w:val="17"/>
          <w:szCs w:val="17"/>
          <w:color w:val="auto"/>
        </w:rPr>
        <w:t>The Company’s chief operating decision maker (“CODM”) is the Company’s Chief Executive Officer. For the Medline Brand and Supply Chain Solutions segments, the CODM uses segment adjusted earnings before interest taxes, depreciation and amortization (“Segment Adjusted EBITDA”) to evaluate the business performance and allocate resources (including employees, financial, or capital resources) to each segment, Segment Adjusted EBITDA essentially represents segment net sales reduced by cost of goods sold and selling, general and administrative expenses and is considered a meaningful measure of our financial condition and results of operations across periods by removing the impact of items that management believes do not directly reflect the ongoing operating performance. The Segment Adjusted EBITDA is utilized during the budgeting and forecasting process to</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080"/>
          </w:cols>
          <w:pgMar w:left="320" w:top="452" w:right="49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ind w:left="160" w:right="40"/>
        <w:spacing w:after="0" w:line="251" w:lineRule="auto"/>
        <w:rPr>
          <w:sz w:val="20"/>
          <w:szCs w:val="20"/>
          <w:color w:val="auto"/>
        </w:rPr>
      </w:pPr>
      <w:r>
        <w:rPr>
          <w:rFonts w:ascii="Times New Roman" w:cs="Times New Roman" w:eastAsia="Times New Roman" w:hAnsi="Times New Roman"/>
          <w:sz w:val="18"/>
          <w:szCs w:val="18"/>
          <w:color w:val="auto"/>
        </w:rPr>
        <w:t>assess profitability and enable decision making regarding strategic initiatives, capital expenditure, and work force for both segments. The Company’s CODM does not regularly review any asset information by business segment as this information is not utilized to make decisions and allocate resources. As such, the Company does not report asset information by business segment. The Company has not identified any segment expenses that are considered significant and segment expenses are not regularly provided to the CODM. However, the CODM is regularly provided with consolidated expense information for decision making. Other segment items are direct operating expenses and selling, general and administrative expenses, which is the difference between each operating segment’s revenue and Segment Adjusted EBITDA. During 2024, the Company has been transitioning its operations to align around its two primary product lines, Medline Brand and Supply Chain Solutions. This change became effective in 2024. As a result, all segment information in these consolidated financial statements has been retrospectively recast to reflect this change. All the segment data disclosed reflects the way the CODM internally receives information and monitors the segment performance and is consistently presented across all public communications.</w:t>
      </w:r>
    </w:p>
    <w:p>
      <w:pPr>
        <w:spacing w:after="0" w:line="2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tables present financial information by segment:</w:t>
      </w:r>
    </w:p>
    <w:p>
      <w:pPr>
        <w:spacing w:after="0" w:line="230"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color w:val="auto"/>
                <w:w w:val="96"/>
              </w:rPr>
              <w:t>December 31,</w:t>
            </w:r>
          </w:p>
        </w:tc>
        <w:tc>
          <w:tcPr>
            <w:tcW w:w="300" w:type="dxa"/>
            <w:vAlign w:val="bottom"/>
          </w:tcPr>
          <w:p>
            <w:pPr>
              <w:spacing w:after="0"/>
              <w:rPr>
                <w:sz w:val="13"/>
                <w:szCs w:val="13"/>
                <w:color w:val="auto"/>
              </w:rPr>
            </w:pPr>
          </w:p>
        </w:tc>
        <w:tc>
          <w:tcPr>
            <w:tcW w:w="144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color w:val="auto"/>
                <w:w w:val="99"/>
              </w:rPr>
              <w:t>December 31,</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0"/>
        </w:trPr>
        <w:tc>
          <w:tcPr>
            <w:tcW w:w="21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38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color w:val="auto"/>
              </w:rPr>
              <w:t>2024</w:t>
            </w: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2023</w:t>
            </w: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420" w:type="dxa"/>
            <w:vAlign w:val="bottom"/>
            <w:tcBorders>
              <w:bottom w:val="single" w:sz="8" w:color="auto"/>
            </w:tcBorders>
            <w:gridSpan w:val="2"/>
            <w:shd w:val="clear" w:color="auto" w:fill="CCEEFF"/>
          </w:tcPr>
          <w:p>
            <w:pPr>
              <w:spacing w:after="0" w:line="154" w:lineRule="exact"/>
              <w:rPr>
                <w:sz w:val="20"/>
                <w:szCs w:val="20"/>
                <w:color w:val="auto"/>
              </w:rPr>
            </w:pPr>
            <w:r>
              <w:rPr>
                <w:rFonts w:ascii="Times New Roman" w:cs="Times New Roman" w:eastAsia="Times New Roman" w:hAnsi="Times New Roman"/>
                <w:sz w:val="17"/>
                <w:szCs w:val="17"/>
                <w:b w:val="1"/>
                <w:bCs w:val="1"/>
                <w:color w:val="auto"/>
              </w:rPr>
              <w:t>Net sales to external customers:</w:t>
            </w:r>
          </w:p>
        </w:tc>
        <w:tc>
          <w:tcPr>
            <w:tcW w:w="38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22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Front Line Care</w:t>
            </w:r>
          </w:p>
        </w:tc>
        <w:tc>
          <w:tcPr>
            <w:tcW w:w="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2"/>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5,845</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5,709</w:t>
            </w:r>
          </w:p>
        </w:tc>
        <w:tc>
          <w:tcPr>
            <w:tcW w:w="0" w:type="dxa"/>
            <w:vAlign w:val="bottom"/>
          </w:tcPr>
          <w:p>
            <w:pPr>
              <w:spacing w:after="0"/>
              <w:rPr>
                <w:sz w:val="1"/>
                <w:szCs w:val="1"/>
                <w:color w:val="auto"/>
              </w:rPr>
            </w:pPr>
          </w:p>
        </w:tc>
      </w:tr>
      <w:tr>
        <w:trPr>
          <w:trHeight w:val="214"/>
        </w:trPr>
        <w:tc>
          <w:tcPr>
            <w:tcW w:w="622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Surgical Solutions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4,931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4,446</w:t>
            </w:r>
          </w:p>
        </w:tc>
        <w:tc>
          <w:tcPr>
            <w:tcW w:w="0" w:type="dxa"/>
            <w:vAlign w:val="bottom"/>
          </w:tcPr>
          <w:p>
            <w:pPr>
              <w:spacing w:after="0"/>
              <w:rPr>
                <w:sz w:val="1"/>
                <w:szCs w:val="1"/>
                <w:color w:val="auto"/>
              </w:rPr>
            </w:pPr>
          </w:p>
        </w:tc>
      </w:tr>
      <w:tr>
        <w:trPr>
          <w:trHeight w:val="221"/>
        </w:trPr>
        <w:tc>
          <w:tcPr>
            <w:tcW w:w="622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Laboratory and Diagnostics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Medline Brand</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10,999</w:t>
            </w:r>
          </w:p>
        </w:tc>
        <w:tc>
          <w:tcPr>
            <w:tcW w:w="0" w:type="dxa"/>
            <w:vAlign w:val="bottom"/>
          </w:tcPr>
          <w:p>
            <w:pPr>
              <w:spacing w:after="0"/>
              <w:rPr>
                <w:sz w:val="1"/>
                <w:szCs w:val="1"/>
                <w:color w:val="auto"/>
              </w:rPr>
            </w:pPr>
          </w:p>
        </w:tc>
      </w:tr>
      <w:tr>
        <w:trPr>
          <w:trHeight w:val="221"/>
        </w:trPr>
        <w:tc>
          <w:tcPr>
            <w:tcW w:w="6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Supply Chain Solutions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12,992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11,618</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22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Consolidated net sales to external customers</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23,231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21,448</w:t>
            </w:r>
          </w:p>
        </w:tc>
        <w:tc>
          <w:tcPr>
            <w:tcW w:w="0" w:type="dxa"/>
            <w:vAlign w:val="bottom"/>
          </w:tcPr>
          <w:p>
            <w:pPr>
              <w:spacing w:after="0"/>
              <w:rPr>
                <w:sz w:val="1"/>
                <w:szCs w:val="1"/>
                <w:color w:val="auto"/>
              </w:rPr>
            </w:pPr>
          </w:p>
        </w:tc>
      </w:tr>
      <w:tr>
        <w:trPr>
          <w:trHeight w:val="20"/>
        </w:trPr>
        <w:tc>
          <w:tcPr>
            <w:tcW w:w="62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Segment Adjusted EBITDA:</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2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Medline Brand</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2,704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2,240</w:t>
            </w:r>
          </w:p>
        </w:tc>
        <w:tc>
          <w:tcPr>
            <w:tcW w:w="0" w:type="dxa"/>
            <w:vAlign w:val="bottom"/>
          </w:tcPr>
          <w:p>
            <w:pPr>
              <w:spacing w:after="0"/>
              <w:rPr>
                <w:sz w:val="1"/>
                <w:szCs w:val="1"/>
                <w:color w:val="auto"/>
              </w:rPr>
            </w:pPr>
          </w:p>
        </w:tc>
      </w:tr>
      <w:tr>
        <w:trPr>
          <w:trHeight w:val="221"/>
        </w:trPr>
        <w:tc>
          <w:tcPr>
            <w:tcW w:w="6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Supply Chain Solutions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22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Corporate &amp; Other</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(555)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(864)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(976)</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14"/>
        </w:trPr>
        <w:tc>
          <w:tcPr>
            <w:tcW w:w="6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(977)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(951)</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14"/>
        </w:trPr>
        <w:tc>
          <w:tcPr>
            <w:tcW w:w="6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Inventory-related adjustments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(78)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4"/>
        </w:trPr>
        <w:tc>
          <w:tcPr>
            <w:tcW w:w="6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(61)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4"/>
        </w:trPr>
        <w:tc>
          <w:tcPr>
            <w:tcW w:w="6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of control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(217)</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14"/>
        </w:trPr>
        <w:tc>
          <w:tcPr>
            <w:tcW w:w="6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Litigation charges,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4"/>
        </w:trPr>
        <w:tc>
          <w:tcPr>
            <w:tcW w:w="6220" w:type="dxa"/>
            <w:vAlign w:val="bottom"/>
            <w:gridSpan w:val="3"/>
            <w:shd w:val="clear" w:color="auto" w:fill="CCEEFF"/>
          </w:tcPr>
          <w:p>
            <w:pPr>
              <w:ind w:left="360"/>
              <w:spacing w:after="0" w:line="214"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4"/>
                <w:szCs w:val="24"/>
                <w:color w:val="auto"/>
                <w:vertAlign w:val="superscript"/>
              </w:rPr>
              <w:t>(a)</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(133)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1"/>
        </w:trPr>
        <w:tc>
          <w:tcPr>
            <w:tcW w:w="6220" w:type="dxa"/>
            <w:vAlign w:val="bottom"/>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left="600" w:hanging="433"/>
        <w:spacing w:after="0" w:line="255" w:lineRule="auto"/>
        <w:tabs>
          <w:tab w:leader="none" w:pos="60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gain due to a change in valuation estimate related to an acquisition, loss on debt extinguishment and other refinancing costs and fees, credit loss expense related to customer bankruptcies, acquisition and integration related costs, loss on disposals of assets and exits, realized and unrealized foreign currency and investment losses and costs and other items.</w:t>
      </w:r>
    </w:p>
    <w:p>
      <w:pPr>
        <w:spacing w:after="0" w:line="1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080"/>
          </w:cols>
          <w:pgMar w:left="320" w:top="452" w:right="49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tables present information by sales office and geographic area:</w:t>
      </w:r>
    </w:p>
    <w:p>
      <w:pPr>
        <w:spacing w:after="0" w:line="230"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1560" w:type="dxa"/>
            <w:vAlign w:val="bottom"/>
            <w:gridSpan w:val="4"/>
          </w:tcPr>
          <w:p>
            <w:pPr>
              <w:ind w:left="700"/>
              <w:spacing w:after="0"/>
              <w:rPr>
                <w:sz w:val="20"/>
                <w:szCs w:val="20"/>
                <w:color w:val="auto"/>
              </w:rPr>
            </w:pPr>
            <w:r>
              <w:rPr>
                <w:rFonts w:ascii="Times New Roman" w:cs="Times New Roman" w:eastAsia="Times New Roman" w:hAnsi="Times New Roman"/>
                <w:sz w:val="14"/>
                <w:szCs w:val="14"/>
                <w:color w:val="auto"/>
              </w:rPr>
              <w:t>December 31,</w:t>
            </w:r>
          </w:p>
        </w:tc>
      </w:tr>
      <w:tr>
        <w:trPr>
          <w:trHeight w:val="170"/>
        </w:trPr>
        <w:tc>
          <w:tcPr>
            <w:tcW w:w="20" w:type="dxa"/>
            <w:vAlign w:val="bottom"/>
          </w:tcPr>
          <w:p>
            <w:pPr>
              <w:spacing w:after="0"/>
              <w:rPr>
                <w:sz w:val="14"/>
                <w:szCs w:val="14"/>
                <w:color w:val="auto"/>
              </w:rPr>
            </w:pPr>
          </w:p>
        </w:tc>
        <w:tc>
          <w:tcPr>
            <w:tcW w:w="2380" w:type="dxa"/>
            <w:vAlign w:val="bottom"/>
            <w:tcBorders>
              <w:bottom w:val="single" w:sz="8" w:color="CCEEFF"/>
            </w:tcBorders>
          </w:tcPr>
          <w:p>
            <w:pPr>
              <w:spacing w:after="0"/>
              <w:rPr>
                <w:sz w:val="14"/>
                <w:szCs w:val="14"/>
                <w:color w:val="auto"/>
              </w:rPr>
            </w:pPr>
          </w:p>
        </w:tc>
        <w:tc>
          <w:tcPr>
            <w:tcW w:w="29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color w:val="auto"/>
              </w:rPr>
              <w:t>2024</w:t>
            </w:r>
          </w:p>
        </w:tc>
        <w:tc>
          <w:tcPr>
            <w:tcW w:w="6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2023</w:t>
            </w:r>
          </w:p>
        </w:tc>
        <w:tc>
          <w:tcPr>
            <w:tcW w:w="7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2022</w:t>
            </w:r>
          </w:p>
        </w:tc>
        <w:tc>
          <w:tcPr>
            <w:tcW w:w="60" w:type="dxa"/>
            <w:vAlign w:val="bottom"/>
            <w:tcBorders>
              <w:bottom w:val="single" w:sz="8" w:color="CCEEFF"/>
            </w:tcBorders>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5300" w:type="dxa"/>
            <w:vAlign w:val="bottom"/>
            <w:gridSpan w:val="2"/>
            <w:shd w:val="clear" w:color="auto" w:fill="CCEEFF"/>
          </w:tcPr>
          <w:p>
            <w:pPr>
              <w:jc w:val="center"/>
              <w:ind w:right="2920"/>
              <w:spacing w:after="0" w:line="154" w:lineRule="exact"/>
              <w:rPr>
                <w:sz w:val="20"/>
                <w:szCs w:val="20"/>
                <w:color w:val="auto"/>
              </w:rPr>
            </w:pPr>
            <w:r>
              <w:rPr>
                <w:rFonts w:ascii="Times New Roman" w:cs="Times New Roman" w:eastAsia="Times New Roman" w:hAnsi="Times New Roman"/>
                <w:sz w:val="17"/>
                <w:szCs w:val="17"/>
                <w:b w:val="1"/>
                <w:bCs w:val="1"/>
                <w:color w:val="auto"/>
              </w:rPr>
              <w:t>Net sales to external customers:</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14"/>
        </w:trPr>
        <w:tc>
          <w:tcPr>
            <w:tcW w:w="20" w:type="dxa"/>
            <w:vAlign w:val="bottom"/>
            <w:tcBorders>
              <w:top w:val="single" w:sz="8" w:color="auto"/>
            </w:tcBorders>
          </w:tcPr>
          <w:p>
            <w:pPr>
              <w:spacing w:after="0"/>
              <w:rPr>
                <w:sz w:val="18"/>
                <w:szCs w:val="18"/>
                <w:color w:val="auto"/>
              </w:rPr>
            </w:pPr>
          </w:p>
        </w:tc>
        <w:tc>
          <w:tcPr>
            <w:tcW w:w="2380" w:type="dxa"/>
            <w:vAlign w:val="bottom"/>
            <w:tcBorders>
              <w:top w:val="single" w:sz="8" w:color="auto"/>
            </w:tcBorders>
          </w:tcPr>
          <w:p>
            <w:pPr>
              <w:ind w:left="340"/>
              <w:spacing w:after="0" w:line="214" w:lineRule="exact"/>
              <w:rPr>
                <w:sz w:val="20"/>
                <w:szCs w:val="20"/>
                <w:color w:val="auto"/>
              </w:rPr>
            </w:pPr>
            <w:r>
              <w:rPr>
                <w:rFonts w:ascii="Times New Roman" w:cs="Times New Roman" w:eastAsia="Times New Roman" w:hAnsi="Times New Roman"/>
                <w:sz w:val="17"/>
                <w:szCs w:val="17"/>
                <w:color w:val="auto"/>
              </w:rPr>
              <w:t>Acute care</w:t>
            </w:r>
            <w:r>
              <w:rPr>
                <w:rFonts w:ascii="Times New Roman" w:cs="Times New Roman" w:eastAsia="Times New Roman" w:hAnsi="Times New Roman"/>
                <w:sz w:val="24"/>
                <w:szCs w:val="24"/>
                <w:color w:val="auto"/>
                <w:vertAlign w:val="superscript"/>
              </w:rPr>
              <w:t>(a)</w:t>
            </w:r>
          </w:p>
        </w:tc>
        <w:tc>
          <w:tcPr>
            <w:tcW w:w="2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17,491</w:t>
            </w:r>
          </w:p>
        </w:tc>
        <w:tc>
          <w:tcPr>
            <w:tcW w:w="8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15,906</w:t>
            </w:r>
          </w:p>
        </w:tc>
        <w:tc>
          <w:tcPr>
            <w:tcW w:w="8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14,455</w:t>
            </w:r>
          </w:p>
        </w:tc>
        <w:tc>
          <w:tcPr>
            <w:tcW w:w="60" w:type="dxa"/>
            <w:vAlign w:val="bottom"/>
            <w:tcBorders>
              <w:top w:val="single" w:sz="8" w:color="CCEEFF"/>
            </w:tcBorders>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line="214" w:lineRule="exact"/>
              <w:rPr>
                <w:sz w:val="20"/>
                <w:szCs w:val="20"/>
                <w:color w:val="auto"/>
              </w:rPr>
            </w:pPr>
            <w:r>
              <w:rPr>
                <w:rFonts w:ascii="Times New Roman" w:cs="Times New Roman" w:eastAsia="Times New Roman" w:hAnsi="Times New Roman"/>
                <w:sz w:val="17"/>
                <w:szCs w:val="17"/>
                <w:color w:val="auto"/>
              </w:rPr>
              <w:t>Non-Acute care</w:t>
            </w:r>
            <w:r>
              <w:rPr>
                <w:rFonts w:ascii="Times New Roman" w:cs="Times New Roman" w:eastAsia="Times New Roman" w:hAnsi="Times New Roman"/>
                <w:sz w:val="24"/>
                <w:szCs w:val="24"/>
                <w:color w:val="auto"/>
                <w:vertAlign w:val="superscript"/>
              </w:rPr>
              <w:t>(b)</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6,256</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7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5300" w:type="dxa"/>
            <w:vAlign w:val="bottom"/>
            <w:gridSpan w:val="2"/>
          </w:tcPr>
          <w:p>
            <w:pPr>
              <w:jc w:val="center"/>
              <w:ind w:right="2880"/>
              <w:spacing w:after="0"/>
              <w:rPr>
                <w:sz w:val="20"/>
                <w:szCs w:val="20"/>
                <w:color w:val="auto"/>
              </w:rPr>
            </w:pPr>
            <w:r>
              <w:rPr>
                <w:rFonts w:ascii="Times New Roman" w:cs="Times New Roman" w:eastAsia="Times New Roman" w:hAnsi="Times New Roman"/>
                <w:sz w:val="18"/>
                <w:szCs w:val="18"/>
                <w:b w:val="1"/>
                <w:bCs w:val="1"/>
                <w:color w:val="auto"/>
                <w:w w:val="99"/>
              </w:rPr>
              <w:t>United States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23,747</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21,800</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19,965</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5300" w:type="dxa"/>
            <w:vAlign w:val="bottom"/>
            <w:gridSpan w:val="2"/>
            <w:shd w:val="clear" w:color="auto" w:fill="CCEEFF"/>
          </w:tcPr>
          <w:p>
            <w:pPr>
              <w:jc w:val="center"/>
              <w:ind w:right="2900"/>
              <w:spacing w:after="0"/>
              <w:rPr>
                <w:sz w:val="20"/>
                <w:szCs w:val="20"/>
                <w:color w:val="auto"/>
              </w:rPr>
            </w:pPr>
            <w:r>
              <w:rPr>
                <w:rFonts w:ascii="Times New Roman" w:cs="Times New Roman" w:eastAsia="Times New Roman" w:hAnsi="Times New Roman"/>
                <w:sz w:val="18"/>
                <w:szCs w:val="18"/>
                <w:b w:val="1"/>
                <w:bCs w:val="1"/>
                <w:color w:val="auto"/>
                <w:w w:val="97"/>
              </w:rPr>
              <w:t>International</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7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530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Consolidated net sales to external customers</w:t>
            </w: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25,507</w:t>
            </w:r>
          </w:p>
        </w:tc>
        <w:tc>
          <w:tcPr>
            <w:tcW w:w="6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23,231</w:t>
            </w:r>
          </w:p>
        </w:tc>
        <w:tc>
          <w:tcPr>
            <w:tcW w:w="7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600" w:hanging="433"/>
        <w:spacing w:after="0"/>
        <w:tabs>
          <w:tab w:leader="none" w:pos="60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Acute care represents hospital health systems.</w:t>
      </w:r>
    </w:p>
    <w:p>
      <w:pPr>
        <w:spacing w:after="0" w:line="2" w:lineRule="exact"/>
        <w:rPr>
          <w:rFonts w:ascii="Times New Roman" w:cs="Times New Roman" w:eastAsia="Times New Roman" w:hAnsi="Times New Roman"/>
          <w:sz w:val="14"/>
          <w:szCs w:val="14"/>
          <w:color w:val="auto"/>
        </w:rPr>
      </w:pPr>
    </w:p>
    <w:p>
      <w:pPr>
        <w:ind w:left="600" w:hanging="433"/>
        <w:spacing w:after="0"/>
        <w:tabs>
          <w:tab w:leader="none" w:pos="60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Non-acute care represents other sites of care including outpatient, post acute, physician’s office, surgery centers, and all other.</w:t>
      </w:r>
    </w:p>
    <w:p>
      <w:pPr>
        <w:spacing w:after="0" w:line="197"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December 31,</w:t>
            </w: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0"/>
        </w:trPr>
        <w:tc>
          <w:tcPr>
            <w:tcW w:w="29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6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color w:val="auto"/>
              </w:rPr>
              <w:t>2024</w:t>
            </w:r>
          </w:p>
        </w:tc>
        <w:tc>
          <w:tcPr>
            <w:tcW w:w="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2023</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940" w:type="dxa"/>
            <w:vAlign w:val="bottom"/>
            <w:tcBorders>
              <w:bottom w:val="single" w:sz="8" w:color="CCEEFF"/>
            </w:tcBorders>
            <w:vMerge w:val="restart"/>
            <w:shd w:val="clear" w:color="auto" w:fill="CCEEFF"/>
          </w:tcPr>
          <w:p>
            <w:pPr>
              <w:spacing w:after="0" w:line="154" w:lineRule="exact"/>
              <w:rPr>
                <w:sz w:val="20"/>
                <w:szCs w:val="20"/>
                <w:color w:val="auto"/>
              </w:rPr>
            </w:pPr>
            <w:r>
              <w:rPr>
                <w:rFonts w:ascii="Times New Roman" w:cs="Times New Roman" w:eastAsia="Times New Roman" w:hAnsi="Times New Roman"/>
                <w:sz w:val="17"/>
                <w:szCs w:val="17"/>
                <w:b w:val="1"/>
                <w:bCs w:val="1"/>
                <w:color w:val="auto"/>
              </w:rPr>
              <w:t>Long-lived assets by geographical area</w:t>
            </w:r>
          </w:p>
        </w:tc>
        <w:tc>
          <w:tcPr>
            <w:tcW w:w="160" w:type="dxa"/>
            <w:vAlign w:val="bottom"/>
            <w:tcBorders>
              <w:bottom w:val="single" w:sz="8" w:color="auto"/>
            </w:tcBorders>
            <w:shd w:val="clear" w:color="auto" w:fill="CCEEFF"/>
          </w:tcPr>
          <w:p>
            <w:pPr>
              <w:spacing w:after="0" w:line="94" w:lineRule="exact"/>
              <w:rPr>
                <w:sz w:val="20"/>
                <w:szCs w:val="20"/>
                <w:color w:val="auto"/>
              </w:rPr>
            </w:pPr>
            <w:r>
              <w:rPr>
                <w:rFonts w:ascii="Times New Roman" w:cs="Times New Roman" w:eastAsia="Times New Roman" w:hAnsi="Times New Roman"/>
                <w:sz w:val="10"/>
                <w:szCs w:val="10"/>
                <w:b w:val="1"/>
                <w:bCs w:val="1"/>
                <w:color w:val="auto"/>
              </w:rPr>
              <w:t>(a)</w:t>
            </w:r>
          </w:p>
        </w:tc>
        <w:tc>
          <w:tcPr>
            <w:tcW w:w="2680" w:type="dxa"/>
            <w:vAlign w:val="bottom"/>
            <w:tcBorders>
              <w:bottom w:val="single" w:sz="8" w:color="CCEEFF"/>
            </w:tcBorders>
            <w:vMerge w:val="restart"/>
            <w:shd w:val="clear" w:color="auto" w:fill="CCEEFF"/>
          </w:tcPr>
          <w:p>
            <w:pPr>
              <w:jc w:val="right"/>
              <w:ind w:right="2542"/>
              <w:spacing w:after="0" w:line="154" w:lineRule="exact"/>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2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64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84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64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940" w:type="dxa"/>
            <w:vAlign w:val="bottom"/>
            <w:tcBorders>
              <w:bottom w:val="single" w:sz="8" w:color="auto"/>
            </w:tcBorders>
            <w:vMerge w:val="continue"/>
            <w:shd w:val="clear" w:color="auto" w:fill="CCEEFF"/>
          </w:tcPr>
          <w:p>
            <w:pPr>
              <w:spacing w:after="0"/>
              <w:rPr>
                <w:sz w:val="3"/>
                <w:szCs w:val="3"/>
                <w:color w:val="auto"/>
              </w:rPr>
            </w:pPr>
          </w:p>
        </w:tc>
        <w:tc>
          <w:tcPr>
            <w:tcW w:w="160" w:type="dxa"/>
            <w:vAlign w:val="bottom"/>
            <w:tcBorders>
              <w:bottom w:val="single" w:sz="8" w:color="CCEEFF"/>
            </w:tcBorders>
            <w:shd w:val="clear" w:color="auto" w:fill="CCEEFF"/>
          </w:tcPr>
          <w:p>
            <w:pPr>
              <w:spacing w:after="0"/>
              <w:rPr>
                <w:sz w:val="3"/>
                <w:szCs w:val="3"/>
                <w:color w:val="auto"/>
              </w:rPr>
            </w:pPr>
          </w:p>
        </w:tc>
        <w:tc>
          <w:tcPr>
            <w:tcW w:w="268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140" w:type="dxa"/>
            <w:vAlign w:val="bottom"/>
            <w:tcBorders>
              <w:bottom w:val="single" w:sz="8" w:color="CCEEFF"/>
            </w:tcBorders>
            <w:shd w:val="clear" w:color="auto" w:fill="CCEEFF"/>
          </w:tcPr>
          <w:p>
            <w:pPr>
              <w:spacing w:after="0"/>
              <w:rPr>
                <w:sz w:val="3"/>
                <w:szCs w:val="3"/>
                <w:color w:val="auto"/>
              </w:rPr>
            </w:pPr>
          </w:p>
        </w:tc>
        <w:tc>
          <w:tcPr>
            <w:tcW w:w="64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840" w:type="dxa"/>
            <w:vAlign w:val="bottom"/>
            <w:tcBorders>
              <w:bottom w:val="single" w:sz="8" w:color="CCEEFF"/>
            </w:tcBorders>
            <w:shd w:val="clear" w:color="auto" w:fill="CCEEFF"/>
          </w:tcPr>
          <w:p>
            <w:pPr>
              <w:spacing w:after="0"/>
              <w:rPr>
                <w:sz w:val="3"/>
                <w:szCs w:val="3"/>
                <w:color w:val="auto"/>
              </w:rPr>
            </w:pPr>
          </w:p>
        </w:tc>
        <w:tc>
          <w:tcPr>
            <w:tcW w:w="160" w:type="dxa"/>
            <w:vAlign w:val="bottom"/>
            <w:tcBorders>
              <w:bottom w:val="single" w:sz="8" w:color="CCEEFF"/>
            </w:tcBorders>
            <w:shd w:val="clear" w:color="auto" w:fill="CCEEFF"/>
          </w:tcPr>
          <w:p>
            <w:pPr>
              <w:spacing w:after="0"/>
              <w:rPr>
                <w:sz w:val="3"/>
                <w:szCs w:val="3"/>
                <w:color w:val="auto"/>
              </w:rPr>
            </w:pPr>
          </w:p>
        </w:tc>
        <w:tc>
          <w:tcPr>
            <w:tcW w:w="640" w:type="dxa"/>
            <w:vAlign w:val="bottom"/>
            <w:tcBorders>
              <w:bottom w:val="single" w:sz="8" w:color="CCEEFF"/>
            </w:tcBorders>
            <w:shd w:val="clear" w:color="auto" w:fill="CCEEFF"/>
          </w:tcPr>
          <w:p>
            <w:pPr>
              <w:spacing w:after="0"/>
              <w:rPr>
                <w:sz w:val="3"/>
                <w:szCs w:val="3"/>
                <w:color w:val="auto"/>
              </w:rPr>
            </w:pPr>
          </w:p>
        </w:tc>
        <w:tc>
          <w:tcPr>
            <w:tcW w:w="4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5780" w:type="dxa"/>
            <w:vAlign w:val="bottom"/>
            <w:tcBorders>
              <w:top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4,329</w:t>
            </w: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4,190</w:t>
            </w:r>
          </w:p>
        </w:tc>
        <w:tc>
          <w:tcPr>
            <w:tcW w:w="0" w:type="dxa"/>
            <w:vAlign w:val="bottom"/>
          </w:tcPr>
          <w:p>
            <w:pPr>
              <w:spacing w:after="0"/>
              <w:rPr>
                <w:sz w:val="1"/>
                <w:szCs w:val="1"/>
                <w:color w:val="auto"/>
              </w:rPr>
            </w:pPr>
          </w:p>
        </w:tc>
      </w:tr>
      <w:tr>
        <w:trPr>
          <w:trHeight w:val="214"/>
        </w:trPr>
        <w:tc>
          <w:tcPr>
            <w:tcW w:w="57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21"/>
        </w:trPr>
        <w:tc>
          <w:tcPr>
            <w:tcW w:w="5780" w:type="dxa"/>
            <w:vAlign w:val="bottom"/>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Consolidated long-lived assets, net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2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left="600" w:hanging="433"/>
        <w:spacing w:after="0"/>
        <w:tabs>
          <w:tab w:leader="none" w:pos="600"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property, plant, and equipment, net, and operating lease ROU assets.</w:t>
      </w:r>
    </w:p>
    <w:p>
      <w:pPr>
        <w:spacing w:after="0" w:line="3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19 — SUBSEQUENT EVENTS</w:t>
      </w:r>
    </w:p>
    <w:p>
      <w:pPr>
        <w:spacing w:after="0" w:line="118"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18"/>
          <w:szCs w:val="18"/>
          <w:color w:val="auto"/>
        </w:rPr>
        <w:t>The Company has evaluated its consolidated financial statements for subsequent events through February 28, 2025, the date the consolidated financial statements were available to be issued.</w:t>
      </w:r>
    </w:p>
    <w:p>
      <w:pPr>
        <w:spacing w:after="0" w:line="9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0880"/>
          </w:cols>
          <w:pgMar w:left="320" w:top="452" w:right="69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34"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color w:val="auto"/>
                <w:w w:val="99"/>
              </w:rPr>
              <w:t>As of September 27,</w:t>
            </w:r>
          </w:p>
        </w:tc>
        <w:tc>
          <w:tcPr>
            <w:tcW w:w="960" w:type="dxa"/>
            <w:vAlign w:val="bottom"/>
          </w:tcPr>
          <w:p>
            <w:pPr>
              <w:spacing w:after="0"/>
              <w:rPr>
                <w:sz w:val="13"/>
                <w:szCs w:val="13"/>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w w:val="99"/>
              </w:rPr>
              <w:t>As of December 31,</w:t>
            </w:r>
          </w:p>
        </w:tc>
      </w:tr>
      <w:tr>
        <w:trPr>
          <w:trHeight w:val="170"/>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98"/>
              </w:rPr>
              <w:t>2025 (Unaudited)</w:t>
            </w: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60"/>
              <w:spacing w:after="0"/>
              <w:rPr>
                <w:sz w:val="20"/>
                <w:szCs w:val="20"/>
                <w:color w:val="auto"/>
              </w:rPr>
            </w:pPr>
            <w:r>
              <w:rPr>
                <w:rFonts w:ascii="Times New Roman" w:cs="Times New Roman" w:eastAsia="Times New Roman" w:hAnsi="Times New Roman"/>
                <w:sz w:val="14"/>
                <w:szCs w:val="14"/>
                <w:color w:val="auto"/>
              </w:rPr>
              <w:t>2024</w:t>
            </w:r>
          </w:p>
        </w:tc>
        <w:tc>
          <w:tcPr>
            <w:tcW w:w="4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7580" w:type="dxa"/>
            <w:vAlign w:val="bottom"/>
            <w:tcBorders>
              <w:top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ASSETS</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7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952</w:t>
            </w:r>
          </w:p>
        </w:tc>
        <w:tc>
          <w:tcPr>
            <w:tcW w:w="120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40" w:type="dxa"/>
            <w:vAlign w:val="bottom"/>
            <w:shd w:val="clear" w:color="auto" w:fill="CCEEFF"/>
          </w:tcPr>
          <w:p>
            <w:pPr>
              <w:spacing w:after="0"/>
              <w:rPr>
                <w:sz w:val="17"/>
                <w:szCs w:val="17"/>
                <w:color w:val="auto"/>
              </w:rPr>
            </w:pPr>
          </w:p>
        </w:tc>
      </w:tr>
      <w:tr>
        <w:trPr>
          <w:trHeight w:val="187"/>
        </w:trPr>
        <w:tc>
          <w:tcPr>
            <w:tcW w:w="20" w:type="dxa"/>
            <w:vAlign w:val="bottom"/>
          </w:tcPr>
          <w:p>
            <w:pPr>
              <w:spacing w:after="0"/>
              <w:rPr>
                <w:sz w:val="16"/>
                <w:szCs w:val="16"/>
                <w:color w:val="auto"/>
              </w:rPr>
            </w:pPr>
          </w:p>
        </w:tc>
        <w:tc>
          <w:tcPr>
            <w:tcW w:w="75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Trade accounts receivable, net of allowance for credit losses of $152 and $108 as of</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September 27, 2025 and December 31, 2024, respectively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3,425</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3,219</w:t>
            </w:r>
          </w:p>
        </w:tc>
        <w:tc>
          <w:tcPr>
            <w:tcW w:w="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Inventories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4,752</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4,456</w:t>
            </w:r>
          </w:p>
        </w:tc>
        <w:tc>
          <w:tcPr>
            <w:tcW w:w="4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75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current assets</w:t>
            </w: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4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75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Total current assets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9,558</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8,272</w:t>
            </w:r>
          </w:p>
        </w:tc>
        <w:tc>
          <w:tcPr>
            <w:tcW w:w="4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4,690</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4,595</w:t>
            </w:r>
          </w:p>
        </w:tc>
        <w:tc>
          <w:tcPr>
            <w:tcW w:w="4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75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Goodwill</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8,069</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8,065</w:t>
            </w:r>
          </w:p>
        </w:tc>
        <w:tc>
          <w:tcPr>
            <w:tcW w:w="4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7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Intangible assets, net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14,068</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14,559</w:t>
            </w:r>
          </w:p>
        </w:tc>
        <w:tc>
          <w:tcPr>
            <w:tcW w:w="4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75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long-term assets</w:t>
            </w: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4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75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Total other non-current assets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22,635</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23,111</w:t>
            </w:r>
          </w:p>
        </w:tc>
        <w:tc>
          <w:tcPr>
            <w:tcW w:w="4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Total assets</w:t>
            </w:r>
          </w:p>
        </w:tc>
        <w:tc>
          <w:tcPr>
            <w:tcW w:w="2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36,883</w:t>
            </w: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35,978</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MEZZANINE EQUITY AND PARTNERS’ CAPITAL</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7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Current portion of long-term borrowings and other short-term borrowings</w:t>
            </w: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77</w:t>
            </w:r>
          </w:p>
        </w:tc>
        <w:tc>
          <w:tcPr>
            <w:tcW w:w="120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4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75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990</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4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7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1,514</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4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75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Income taxes payable</w:t>
            </w: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75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2,612</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2,440</w:t>
            </w:r>
          </w:p>
        </w:tc>
        <w:tc>
          <w:tcPr>
            <w:tcW w:w="4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7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Long-term borrowings, less current portion</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16,501</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16,416</w:t>
            </w:r>
          </w:p>
        </w:tc>
        <w:tc>
          <w:tcPr>
            <w:tcW w:w="4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75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4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75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Total other non-current liabilities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17,130</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17,014</w:t>
            </w:r>
          </w:p>
        </w:tc>
        <w:tc>
          <w:tcPr>
            <w:tcW w:w="40" w:type="dxa"/>
            <w:vAlign w:val="bottom"/>
            <w:shd w:val="clear" w:color="auto" w:fill="CCEEFF"/>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Total liabilities</w:t>
            </w:r>
          </w:p>
        </w:tc>
        <w:tc>
          <w:tcPr>
            <w:tcW w:w="2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19,742</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19,454</w:t>
            </w:r>
          </w:p>
        </w:tc>
        <w:tc>
          <w:tcPr>
            <w:tcW w:w="4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Mezzanine equity</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7"/>
        </w:trPr>
        <w:tc>
          <w:tcPr>
            <w:tcW w:w="20" w:type="dxa"/>
            <w:vAlign w:val="bottom"/>
          </w:tcPr>
          <w:p>
            <w:pPr>
              <w:spacing w:after="0"/>
              <w:rPr>
                <w:sz w:val="16"/>
                <w:szCs w:val="16"/>
                <w:color w:val="auto"/>
              </w:rPr>
            </w:pPr>
          </w:p>
        </w:tc>
        <w:tc>
          <w:tcPr>
            <w:tcW w:w="7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Class A Units, no par value; 128 units issued and outstanding as of September 27, 2025 and</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December 31, 2024</w:t>
            </w: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240</w:t>
            </w:r>
          </w:p>
        </w:tc>
        <w:tc>
          <w:tcPr>
            <w:tcW w:w="120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40" w:type="dxa"/>
            <w:vAlign w:val="bottom"/>
            <w:shd w:val="clear" w:color="auto" w:fill="CCEEFF"/>
          </w:tcPr>
          <w:p>
            <w:pPr>
              <w:spacing w:after="0"/>
              <w:rPr>
                <w:sz w:val="18"/>
                <w:szCs w:val="18"/>
                <w:color w:val="auto"/>
              </w:rPr>
            </w:pPr>
          </w:p>
        </w:tc>
      </w:tr>
      <w:tr>
        <w:trPr>
          <w:trHeight w:val="187"/>
        </w:trPr>
        <w:tc>
          <w:tcPr>
            <w:tcW w:w="20" w:type="dxa"/>
            <w:vAlign w:val="bottom"/>
          </w:tcPr>
          <w:p>
            <w:pPr>
              <w:spacing w:after="0"/>
              <w:rPr>
                <w:sz w:val="16"/>
                <w:szCs w:val="16"/>
                <w:color w:val="auto"/>
              </w:rPr>
            </w:pPr>
          </w:p>
        </w:tc>
        <w:tc>
          <w:tcPr>
            <w:tcW w:w="75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Stock-based compensation, no par value; 101 and 106 units outstanding as of September 27, 2025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1"/>
        </w:trPr>
        <w:tc>
          <w:tcPr>
            <w:tcW w:w="20" w:type="dxa"/>
            <w:vAlign w:val="bottom"/>
          </w:tcPr>
          <w:p>
            <w:pPr>
              <w:spacing w:after="0"/>
              <w:rPr>
                <w:sz w:val="19"/>
                <w:szCs w:val="19"/>
                <w:color w:val="auto"/>
              </w:rPr>
            </w:pPr>
          </w:p>
        </w:tc>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and December 31, 2024, respectively</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40" w:type="dxa"/>
            <w:vAlign w:val="bottom"/>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75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Total mezzanine equity</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367</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4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Partners’ capital</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7"/>
        </w:trPr>
        <w:tc>
          <w:tcPr>
            <w:tcW w:w="20" w:type="dxa"/>
            <w:vAlign w:val="bottom"/>
          </w:tcPr>
          <w:p>
            <w:pPr>
              <w:spacing w:after="0"/>
              <w:rPr>
                <w:sz w:val="16"/>
                <w:szCs w:val="16"/>
                <w:color w:val="auto"/>
              </w:rPr>
            </w:pPr>
          </w:p>
        </w:tc>
        <w:tc>
          <w:tcPr>
            <w:tcW w:w="7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Class A Units, no par value; 16,723 units issued and outstanding as of September 27, 2025 and</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December 31, 2024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16,524</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15,976</w:t>
            </w:r>
          </w:p>
        </w:tc>
        <w:tc>
          <w:tcPr>
            <w:tcW w:w="40" w:type="dxa"/>
            <w:vAlign w:val="bottom"/>
            <w:shd w:val="clear" w:color="auto" w:fill="CCEEFF"/>
          </w:tcPr>
          <w:p>
            <w:pPr>
              <w:spacing w:after="0"/>
              <w:rPr>
                <w:sz w:val="18"/>
                <w:szCs w:val="18"/>
                <w:color w:val="auto"/>
              </w:rPr>
            </w:pPr>
          </w:p>
        </w:tc>
      </w:tr>
      <w:tr>
        <w:trPr>
          <w:trHeight w:val="187"/>
        </w:trPr>
        <w:tc>
          <w:tcPr>
            <w:tcW w:w="20" w:type="dxa"/>
            <w:vAlign w:val="bottom"/>
          </w:tcPr>
          <w:p>
            <w:pPr>
              <w:spacing w:after="0"/>
              <w:rPr>
                <w:sz w:val="16"/>
                <w:szCs w:val="16"/>
                <w:color w:val="auto"/>
              </w:rPr>
            </w:pPr>
          </w:p>
        </w:tc>
        <w:tc>
          <w:tcPr>
            <w:tcW w:w="75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Class B Units, no par value; 734 and 721 units issued and outstanding as of September 27, 2025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and December 31, 2024, respectively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147</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40" w:type="dxa"/>
            <w:vAlign w:val="bottom"/>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Class B CUPI Units, no par value; 23 units issued and outstanding as of September 27, 2025 and</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December 31, 2024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51</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40" w:type="dxa"/>
            <w:vAlign w:val="bottom"/>
            <w:shd w:val="clear" w:color="auto" w:fill="CCEEFF"/>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75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r>
      <w:tr>
        <w:trPr>
          <w:trHeight w:val="201"/>
        </w:trPr>
        <w:tc>
          <w:tcPr>
            <w:tcW w:w="20" w:type="dxa"/>
            <w:vAlign w:val="bottom"/>
          </w:tcPr>
          <w:p>
            <w:pPr>
              <w:spacing w:after="0"/>
              <w:rPr>
                <w:sz w:val="17"/>
                <w:szCs w:val="17"/>
                <w:color w:val="auto"/>
              </w:rPr>
            </w:pPr>
          </w:p>
        </w:tc>
        <w:tc>
          <w:tcPr>
            <w:tcW w:w="75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Total partners’ capital</w:t>
            </w:r>
          </w:p>
        </w:tc>
        <w:tc>
          <w:tcPr>
            <w:tcW w:w="20" w:type="dxa"/>
            <w:vAlign w:val="bottom"/>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16,774</w:t>
            </w: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16,158</w:t>
            </w:r>
          </w:p>
        </w:tc>
        <w:tc>
          <w:tcPr>
            <w:tcW w:w="40" w:type="dxa"/>
            <w:vAlign w:val="bottom"/>
            <w:shd w:val="clear" w:color="auto" w:fill="CCEEFF"/>
          </w:tcPr>
          <w:p>
            <w:pPr>
              <w:spacing w:after="0"/>
              <w:rPr>
                <w:sz w:val="17"/>
                <w:szCs w:val="17"/>
                <w:color w:val="auto"/>
              </w:rPr>
            </w:pPr>
          </w:p>
        </w:tc>
      </w:tr>
      <w:tr>
        <w:trPr>
          <w:trHeight w:val="205"/>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liabilities, mezzanine equity and partners’ capital</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36,883</w:t>
            </w:r>
          </w:p>
        </w:tc>
        <w:tc>
          <w:tcPr>
            <w:tcW w:w="20" w:type="dxa"/>
            <w:vAlign w:val="bottom"/>
            <w:tcBorders>
              <w:bottom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35,978</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080"/>
          </w:cols>
          <w:pgMar w:left="320" w:top="452" w:right="49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247" w:lineRule="exact"/>
        <w:rPr>
          <w:sz w:val="20"/>
          <w:szCs w:val="20"/>
          <w:color w:val="auto"/>
        </w:rPr>
      </w:pPr>
    </w:p>
    <w:tbl>
      <w:tblPr>
        <w:tblLayout w:type="fixed"/>
        <w:tblInd w:w="160" w:type="dxa"/>
        <w:tblCellMar>
          <w:top w:w="0" w:type="dxa"/>
          <w:left w:w="0" w:type="dxa"/>
          <w:bottom w:w="0" w:type="dxa"/>
          <w:right w:w="0" w:type="dxa"/>
        </w:tblCellMar>
      </w:tblPr>
      <w:tr>
        <w:trPr>
          <w:trHeight w:val="23"/>
        </w:trPr>
        <w:tc>
          <w:tcPr>
            <w:tcW w:w="3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gridSpan w:val="4"/>
            <w:vMerge w:val="restart"/>
          </w:tcPr>
          <w:p>
            <w:pPr>
              <w:ind w:left="340"/>
              <w:spacing w:after="0"/>
              <w:rPr>
                <w:sz w:val="20"/>
                <w:szCs w:val="20"/>
                <w:color w:val="auto"/>
              </w:rPr>
            </w:pPr>
            <w:r>
              <w:rPr>
                <w:rFonts w:ascii="Times New Roman" w:cs="Times New Roman" w:eastAsia="Times New Roman" w:hAnsi="Times New Roman"/>
                <w:sz w:val="14"/>
                <w:szCs w:val="14"/>
                <w:color w:val="auto"/>
              </w:rPr>
              <w:t>Three months ended</w:t>
            </w: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2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color w:val="auto"/>
              </w:rPr>
              <w:t>Nine months ended</w:t>
            </w: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9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4"/>
            <w:vMerge w:val="continue"/>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3"/>
            <w:vMerge w:val="continue"/>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940" w:type="dxa"/>
            <w:vAlign w:val="bottom"/>
          </w:tcPr>
          <w:p>
            <w:pPr>
              <w:spacing w:after="0"/>
              <w:rPr>
                <w:sz w:val="12"/>
                <w:szCs w:val="12"/>
                <w:color w:val="auto"/>
              </w:rPr>
            </w:pPr>
          </w:p>
        </w:tc>
        <w:tc>
          <w:tcPr>
            <w:tcW w:w="1540" w:type="dxa"/>
            <w:vAlign w:val="bottom"/>
            <w:gridSpan w:val="4"/>
          </w:tcPr>
          <w:p>
            <w:pPr>
              <w:spacing w:after="0" w:line="141" w:lineRule="exact"/>
              <w:rPr>
                <w:sz w:val="20"/>
                <w:szCs w:val="20"/>
                <w:color w:val="auto"/>
              </w:rPr>
            </w:pPr>
            <w:r>
              <w:rPr>
                <w:rFonts w:ascii="Times New Roman" w:cs="Times New Roman" w:eastAsia="Times New Roman" w:hAnsi="Times New Roman"/>
                <w:sz w:val="14"/>
                <w:szCs w:val="14"/>
                <w:color w:val="auto"/>
              </w:rPr>
              <w:t>September 27, 2025</w:t>
            </w:r>
          </w:p>
        </w:tc>
        <w:tc>
          <w:tcPr>
            <w:tcW w:w="114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w w:val="99"/>
              </w:rPr>
              <w:t>September 28, 2024</w:t>
            </w:r>
          </w:p>
        </w:tc>
        <w:tc>
          <w:tcPr>
            <w:tcW w:w="40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188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color w:val="auto"/>
              </w:rPr>
              <w:t>September 27, 2025</w:t>
            </w:r>
          </w:p>
        </w:tc>
        <w:tc>
          <w:tcPr>
            <w:tcW w:w="116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rPr>
              <w:t>September 28, 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400" w:type="dxa"/>
            <w:vAlign w:val="bottom"/>
            <w:tcBorders>
              <w:top w:val="single" w:sz="8" w:color="CCEEFF"/>
              <w:right w:val="single" w:sz="8" w:color="auto"/>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20,645</w:t>
            </w:r>
          </w:p>
        </w:tc>
        <w:tc>
          <w:tcPr>
            <w:tcW w:w="7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4,631</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15,041</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13,598</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1,757</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5,125</w:t>
            </w:r>
          </w:p>
        </w:tc>
        <w:tc>
          <w:tcPr>
            <w:tcW w:w="0" w:type="dxa"/>
            <w:vAlign w:val="bottom"/>
          </w:tcPr>
          <w:p>
            <w:pPr>
              <w:spacing w:after="0"/>
              <w:rPr>
                <w:sz w:val="1"/>
                <w:szCs w:val="1"/>
                <w:color w:val="auto"/>
              </w:rPr>
            </w:pPr>
          </w:p>
        </w:tc>
      </w:tr>
      <w:tr>
        <w:trPr>
          <w:trHeight w:val="21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40" w:type="dxa"/>
            <w:vAlign w:val="bottom"/>
            <w:shd w:val="clear" w:color="auto" w:fill="CCEEFF"/>
          </w:tcPr>
          <w:p>
            <w:pPr>
              <w:ind w:left="360"/>
              <w:spacing w:after="0" w:line="195"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tcBorders>
              <w:right w:val="single" w:sz="8" w:color="auto"/>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expenses</w:t>
            </w:r>
          </w:p>
        </w:tc>
        <w:tc>
          <w:tcPr>
            <w:tcW w:w="4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1,116</w:t>
            </w:r>
          </w:p>
        </w:tc>
        <w:tc>
          <w:tcPr>
            <w:tcW w:w="3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80" w:type="dxa"/>
            <w:vAlign w:val="bottom"/>
            <w:tcBorders>
              <w:right w:val="single" w:sz="8" w:color="auto"/>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988</w:t>
            </w: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7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2,944</w:t>
            </w:r>
          </w:p>
        </w:tc>
        <w:tc>
          <w:tcPr>
            <w:tcW w:w="0" w:type="dxa"/>
            <w:vAlign w:val="bottom"/>
          </w:tcPr>
          <w:p>
            <w:pPr>
              <w:spacing w:after="0"/>
              <w:rPr>
                <w:sz w:val="1"/>
                <w:szCs w:val="1"/>
                <w:color w:val="auto"/>
              </w:rPr>
            </w:pPr>
          </w:p>
        </w:tc>
      </w:tr>
      <w:tr>
        <w:trPr>
          <w:trHeight w:val="214"/>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173</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528</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14"/>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22</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7"/>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w:t>
            </w:r>
          </w:p>
        </w:tc>
        <w:tc>
          <w:tcPr>
            <w:tcW w:w="4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40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74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574</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574</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1,654</w:t>
            </w:r>
          </w:p>
        </w:tc>
        <w:tc>
          <w:tcPr>
            <w:tcW w:w="0" w:type="dxa"/>
            <w:vAlign w:val="bottom"/>
          </w:tcPr>
          <w:p>
            <w:pPr>
              <w:spacing w:after="0"/>
              <w:rPr>
                <w:sz w:val="1"/>
                <w:szCs w:val="1"/>
                <w:color w:val="auto"/>
              </w:rPr>
            </w:pPr>
          </w:p>
        </w:tc>
      </w:tr>
      <w:tr>
        <w:trPr>
          <w:trHeight w:val="221"/>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4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4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(213)</w:t>
            </w:r>
          </w:p>
        </w:tc>
        <w:tc>
          <w:tcPr>
            <w:tcW w:w="56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(213)</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(646)</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14"/>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42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4"/>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loss, net</w:t>
            </w:r>
          </w:p>
        </w:tc>
        <w:tc>
          <w:tcPr>
            <w:tcW w:w="4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(93)</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7"/>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expense</w:t>
            </w:r>
          </w:p>
        </w:tc>
        <w:tc>
          <w:tcPr>
            <w:tcW w:w="4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40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74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345</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338</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1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324</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977</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1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40" w:type="dxa"/>
            <w:vAlign w:val="bottom"/>
            <w:shd w:val="clear" w:color="auto" w:fill="CCEEFF"/>
          </w:tcPr>
          <w:p>
            <w:pPr>
              <w:ind w:left="360"/>
              <w:spacing w:after="0" w:line="195" w:lineRule="exact"/>
              <w:rPr>
                <w:sz w:val="20"/>
                <w:szCs w:val="20"/>
                <w:color w:val="auto"/>
              </w:rPr>
            </w:pPr>
            <w:r>
              <w:rPr>
                <w:rFonts w:ascii="Times New Roman" w:cs="Times New Roman" w:eastAsia="Times New Roman" w:hAnsi="Times New Roman"/>
                <w:sz w:val="18"/>
                <w:szCs w:val="18"/>
                <w:color w:val="auto"/>
              </w:rPr>
              <w:t>Net unrealized loss on derivative</w:t>
            </w: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tcBorders>
              <w:right w:val="single" w:sz="8" w:color="auto"/>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instruments</w:t>
            </w:r>
          </w:p>
        </w:tc>
        <w:tc>
          <w:tcPr>
            <w:tcW w:w="42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w:t>
            </w:r>
          </w:p>
        </w:tc>
        <w:tc>
          <w:tcPr>
            <w:tcW w:w="560" w:type="dxa"/>
            <w:vAlign w:val="bottom"/>
            <w:shd w:val="clear" w:color="auto" w:fill="CCEEFF"/>
          </w:tcPr>
          <w:p>
            <w:pPr>
              <w:spacing w:after="0"/>
              <w:rPr>
                <w:sz w:val="20"/>
                <w:szCs w:val="20"/>
                <w:color w:val="auto"/>
              </w:rPr>
            </w:pPr>
          </w:p>
        </w:tc>
        <w:tc>
          <w:tcPr>
            <w:tcW w:w="98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(112)</w:t>
            </w: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(70)</w:t>
            </w:r>
          </w:p>
        </w:tc>
        <w:tc>
          <w:tcPr>
            <w:tcW w:w="4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1"/>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42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Borders>
              <w:right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w:t>
            </w: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3940" w:type="dxa"/>
            <w:vAlign w:val="bottom"/>
            <w:shd w:val="clear" w:color="auto" w:fill="CCEEFF"/>
          </w:tcPr>
          <w:p>
            <w:pPr>
              <w:ind w:left="360"/>
              <w:spacing w:after="0" w:line="195" w:lineRule="exact"/>
              <w:rPr>
                <w:sz w:val="20"/>
                <w:szCs w:val="20"/>
                <w:color w:val="auto"/>
              </w:rPr>
            </w:pPr>
            <w:r>
              <w:rPr>
                <w:rFonts w:ascii="Times New Roman" w:cs="Times New Roman" w:eastAsia="Times New Roman" w:hAnsi="Times New Roman"/>
                <w:sz w:val="18"/>
                <w:szCs w:val="18"/>
                <w:color w:val="auto"/>
              </w:rPr>
              <w:t>Total other comprehensive (loss)</w:t>
            </w:r>
          </w:p>
        </w:tc>
        <w:tc>
          <w:tcPr>
            <w:tcW w:w="4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right w:val="single" w:sz="8" w:color="auto"/>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income, net of tax</w:t>
            </w:r>
          </w:p>
        </w:tc>
        <w:tc>
          <w:tcPr>
            <w:tcW w:w="42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shd w:val="clear" w:color="auto" w:fill="CCEEFF"/>
          </w:tcPr>
          <w:p>
            <w:pPr>
              <w:spacing w:after="0"/>
              <w:rPr>
                <w:sz w:val="20"/>
                <w:szCs w:val="20"/>
                <w:color w:val="auto"/>
              </w:rPr>
            </w:pPr>
          </w:p>
        </w:tc>
        <w:tc>
          <w:tcPr>
            <w:tcW w:w="98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(96)</w:t>
            </w: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7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1"/>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400" w:type="dxa"/>
            <w:vAlign w:val="bottom"/>
            <w:tcBorders>
              <w:righ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74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080"/>
          </w:cols>
          <w:pgMar w:left="320" w:top="452" w:right="49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MEZZANINE EQUITY AND PARTNERS’ CAPITAL (Unaudited)</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10"/>
          </w:tcPr>
          <w:p>
            <w:pPr>
              <w:jc w:val="right"/>
              <w:ind w:right="340"/>
              <w:spacing w:after="0"/>
              <w:rPr>
                <w:sz w:val="20"/>
                <w:szCs w:val="20"/>
                <w:color w:val="auto"/>
              </w:rPr>
            </w:pPr>
            <w:r>
              <w:rPr>
                <w:rFonts w:ascii="Times New Roman" w:cs="Times New Roman" w:eastAsia="Times New Roman" w:hAnsi="Times New Roman"/>
                <w:sz w:val="12"/>
                <w:szCs w:val="12"/>
                <w:color w:val="auto"/>
              </w:rPr>
              <w:t>Nine months ended September 27, 2025</w:t>
            </w: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8"/>
          </w:tcPr>
          <w:p>
            <w:pPr>
              <w:jc w:val="right"/>
              <w:ind w:right="280"/>
              <w:spacing w:after="0" w:line="128" w:lineRule="exact"/>
              <w:rPr>
                <w:sz w:val="20"/>
                <w:szCs w:val="20"/>
                <w:color w:val="auto"/>
              </w:rPr>
            </w:pPr>
            <w:r>
              <w:rPr>
                <w:rFonts w:ascii="Times New Roman" w:cs="Times New Roman" w:eastAsia="Times New Roman" w:hAnsi="Times New Roman"/>
                <w:sz w:val="12"/>
                <w:szCs w:val="12"/>
                <w:color w:val="auto"/>
              </w:rPr>
              <w:t>Mezzanine Equity</w:t>
            </w: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5"/>
          </w:tcPr>
          <w:p>
            <w:pPr>
              <w:ind w:left="40"/>
              <w:spacing w:after="0" w:line="128" w:lineRule="exact"/>
              <w:rPr>
                <w:sz w:val="20"/>
                <w:szCs w:val="20"/>
                <w:color w:val="auto"/>
              </w:rPr>
            </w:pPr>
            <w:r>
              <w:rPr>
                <w:rFonts w:ascii="Times New Roman" w:cs="Times New Roman" w:eastAsia="Times New Roman" w:hAnsi="Times New Roman"/>
                <w:sz w:val="12"/>
                <w:szCs w:val="12"/>
                <w:color w:val="auto"/>
              </w:rPr>
              <w:t>Partners’ Capital</w:t>
            </w:r>
          </w:p>
        </w:tc>
        <w:tc>
          <w:tcPr>
            <w:tcW w:w="2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6"/>
            <w:vMerge w:val="restart"/>
          </w:tcPr>
          <w:p>
            <w:pPr>
              <w:jc w:val="right"/>
              <w:ind w:right="280"/>
              <w:spacing w:after="0"/>
              <w:rPr>
                <w:sz w:val="20"/>
                <w:szCs w:val="20"/>
                <w:color w:val="auto"/>
              </w:rPr>
            </w:pPr>
            <w:r>
              <w:rPr>
                <w:rFonts w:ascii="Times New Roman" w:cs="Times New Roman" w:eastAsia="Times New Roman" w:hAnsi="Times New Roman"/>
                <w:sz w:val="12"/>
                <w:szCs w:val="12"/>
                <w:color w:val="auto"/>
              </w:rPr>
              <w:t>Stock-based</w:t>
            </w:r>
          </w:p>
        </w:tc>
        <w:tc>
          <w:tcPr>
            <w:tcW w:w="60" w:type="dxa"/>
            <w:vAlign w:val="bottom"/>
          </w:tcPr>
          <w:p>
            <w:pPr>
              <w:spacing w:after="0"/>
              <w:rPr>
                <w:sz w:val="11"/>
                <w:szCs w:val="11"/>
                <w:color w:val="auto"/>
              </w:rPr>
            </w:pPr>
          </w:p>
        </w:tc>
        <w:tc>
          <w:tcPr>
            <w:tcW w:w="48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auto"/>
              </w:rPr>
              <w:t>Total</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3"/>
          </w:tcPr>
          <w:p>
            <w:pPr>
              <w:jc w:val="center"/>
              <w:ind w:right="140"/>
              <w:spacing w:after="0" w:line="128" w:lineRule="exact"/>
              <w:rPr>
                <w:sz w:val="20"/>
                <w:szCs w:val="20"/>
                <w:color w:val="auto"/>
              </w:rPr>
            </w:pPr>
            <w:r>
              <w:rPr>
                <w:rFonts w:ascii="Times New Roman" w:cs="Times New Roman" w:eastAsia="Times New Roman" w:hAnsi="Times New Roman"/>
                <w:sz w:val="12"/>
                <w:szCs w:val="12"/>
                <w:color w:val="auto"/>
              </w:rPr>
              <w:t>Accumulated</w:t>
            </w:r>
          </w:p>
        </w:tc>
        <w:tc>
          <w:tcPr>
            <w:tcW w:w="60" w:type="dxa"/>
            <w:vAlign w:val="bottom"/>
          </w:tcPr>
          <w:p>
            <w:pPr>
              <w:spacing w:after="0"/>
              <w:rPr>
                <w:sz w:val="11"/>
                <w:szCs w:val="11"/>
                <w:color w:val="auto"/>
              </w:rPr>
            </w:pPr>
          </w:p>
        </w:tc>
        <w:tc>
          <w:tcPr>
            <w:tcW w:w="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6"/>
            <w:vMerge w:val="continue"/>
          </w:tcPr>
          <w:p>
            <w:pPr>
              <w:spacing w:after="0"/>
              <w:rPr>
                <w:sz w:val="11"/>
                <w:szCs w:val="11"/>
                <w:color w:val="auto"/>
              </w:rPr>
            </w:pPr>
          </w:p>
        </w:tc>
        <w:tc>
          <w:tcPr>
            <w:tcW w:w="660" w:type="dxa"/>
            <w:vAlign w:val="bottom"/>
            <w:tcBorders>
              <w:right w:val="single" w:sz="8" w:color="auto"/>
            </w:tcBorders>
            <w:gridSpan w:val="3"/>
          </w:tcPr>
          <w:p>
            <w:pPr>
              <w:spacing w:after="0" w:line="130" w:lineRule="exact"/>
              <w:rPr>
                <w:sz w:val="20"/>
                <w:szCs w:val="20"/>
                <w:color w:val="auto"/>
              </w:rPr>
            </w:pPr>
            <w:r>
              <w:rPr>
                <w:rFonts w:ascii="Times New Roman" w:cs="Times New Roman" w:eastAsia="Times New Roman" w:hAnsi="Times New Roman"/>
                <w:sz w:val="12"/>
                <w:szCs w:val="12"/>
                <w:color w:val="auto"/>
              </w:rPr>
              <w:t>Mezzanine</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280"/>
              <w:spacing w:after="0" w:line="130" w:lineRule="exact"/>
              <w:rPr>
                <w:sz w:val="20"/>
                <w:szCs w:val="20"/>
                <w:color w:val="auto"/>
              </w:rPr>
            </w:pPr>
            <w:r>
              <w:rPr>
                <w:rFonts w:ascii="Times New Roman" w:cs="Times New Roman" w:eastAsia="Times New Roman" w:hAnsi="Times New Roman"/>
                <w:sz w:val="12"/>
                <w:szCs w:val="12"/>
                <w:color w:val="auto"/>
              </w:rPr>
              <w:t>other</w:t>
            </w:r>
          </w:p>
        </w:tc>
        <w:tc>
          <w:tcPr>
            <w:tcW w:w="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600" w:type="dxa"/>
            <w:vAlign w:val="bottom"/>
            <w:gridSpan w:val="4"/>
          </w:tcPr>
          <w:p>
            <w:pPr>
              <w:ind w:left="220"/>
              <w:spacing w:after="0" w:line="118" w:lineRule="exact"/>
              <w:rPr>
                <w:sz w:val="20"/>
                <w:szCs w:val="20"/>
                <w:color w:val="auto"/>
              </w:rPr>
            </w:pPr>
            <w:r>
              <w:rPr>
                <w:rFonts w:ascii="Times New Roman" w:cs="Times New Roman" w:eastAsia="Times New Roman" w:hAnsi="Times New Roman"/>
                <w:sz w:val="12"/>
                <w:szCs w:val="12"/>
                <w:color w:val="auto"/>
                <w:w w:val="95"/>
              </w:rPr>
              <w:t>Class A</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6"/>
          </w:tcPr>
          <w:p>
            <w:pPr>
              <w:ind w:left="80"/>
              <w:spacing w:after="0" w:line="118" w:lineRule="exact"/>
              <w:rPr>
                <w:sz w:val="20"/>
                <w:szCs w:val="20"/>
                <w:color w:val="auto"/>
              </w:rPr>
            </w:pPr>
            <w:r>
              <w:rPr>
                <w:rFonts w:ascii="Times New Roman" w:cs="Times New Roman" w:eastAsia="Times New Roman" w:hAnsi="Times New Roman"/>
                <w:sz w:val="12"/>
                <w:szCs w:val="12"/>
                <w:color w:val="auto"/>
              </w:rPr>
              <w:t>Compensation</w:t>
            </w:r>
          </w:p>
        </w:tc>
        <w:tc>
          <w:tcPr>
            <w:tcW w:w="60" w:type="dxa"/>
            <w:vAlign w:val="bottom"/>
          </w:tcPr>
          <w:p>
            <w:pPr>
              <w:spacing w:after="0"/>
              <w:rPr>
                <w:sz w:val="11"/>
                <w:szCs w:val="11"/>
                <w:color w:val="auto"/>
              </w:rPr>
            </w:pPr>
          </w:p>
        </w:tc>
        <w:tc>
          <w:tcPr>
            <w:tcW w:w="600" w:type="dxa"/>
            <w:vAlign w:val="bottom"/>
            <w:tcBorders>
              <w:right w:val="single" w:sz="8" w:color="auto"/>
            </w:tcBorders>
            <w:gridSpan w:val="2"/>
          </w:tcPr>
          <w:p>
            <w:pPr>
              <w:jc w:val="center"/>
              <w:ind w:right="180"/>
              <w:spacing w:after="0" w:line="118" w:lineRule="exact"/>
              <w:rPr>
                <w:sz w:val="20"/>
                <w:szCs w:val="20"/>
                <w:color w:val="auto"/>
              </w:rPr>
            </w:pPr>
            <w:r>
              <w:rPr>
                <w:rFonts w:ascii="Times New Roman" w:cs="Times New Roman" w:eastAsia="Times New Roman" w:hAnsi="Times New Roman"/>
                <w:sz w:val="12"/>
                <w:szCs w:val="12"/>
                <w:color w:val="auto"/>
              </w:rPr>
              <w:t>Equity</w:t>
            </w:r>
          </w:p>
        </w:tc>
        <w:tc>
          <w:tcPr>
            <w:tcW w:w="80" w:type="dxa"/>
            <w:vAlign w:val="bottom"/>
          </w:tcPr>
          <w:p>
            <w:pPr>
              <w:spacing w:after="0"/>
              <w:rPr>
                <w:sz w:val="11"/>
                <w:szCs w:val="11"/>
                <w:color w:val="auto"/>
              </w:rPr>
            </w:pPr>
          </w:p>
        </w:tc>
        <w:tc>
          <w:tcPr>
            <w:tcW w:w="1240" w:type="dxa"/>
            <w:vAlign w:val="bottom"/>
            <w:gridSpan w:val="4"/>
          </w:tcPr>
          <w:p>
            <w:pPr>
              <w:ind w:left="340"/>
              <w:spacing w:after="0" w:line="118" w:lineRule="exact"/>
              <w:rPr>
                <w:sz w:val="20"/>
                <w:szCs w:val="20"/>
                <w:color w:val="auto"/>
              </w:rPr>
            </w:pPr>
            <w:r>
              <w:rPr>
                <w:rFonts w:ascii="Times New Roman" w:cs="Times New Roman" w:eastAsia="Times New Roman" w:hAnsi="Times New Roman"/>
                <w:sz w:val="12"/>
                <w:szCs w:val="12"/>
                <w:color w:val="auto"/>
              </w:rPr>
              <w:t>Class A</w:t>
            </w:r>
          </w:p>
        </w:tc>
        <w:tc>
          <w:tcPr>
            <w:tcW w:w="660" w:type="dxa"/>
            <w:vAlign w:val="bottom"/>
            <w:gridSpan w:val="3"/>
          </w:tcPr>
          <w:p>
            <w:pPr>
              <w:ind w:left="260"/>
              <w:spacing w:after="0" w:line="118" w:lineRule="exact"/>
              <w:rPr>
                <w:sz w:val="20"/>
                <w:szCs w:val="20"/>
                <w:color w:val="auto"/>
              </w:rPr>
            </w:pPr>
            <w:r>
              <w:rPr>
                <w:rFonts w:ascii="Times New Roman" w:cs="Times New Roman" w:eastAsia="Times New Roman" w:hAnsi="Times New Roman"/>
                <w:sz w:val="12"/>
                <w:szCs w:val="12"/>
                <w:color w:val="auto"/>
              </w:rPr>
              <w:t>Class B</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5"/>
          </w:tcPr>
          <w:p>
            <w:pPr>
              <w:ind w:left="60"/>
              <w:spacing w:after="0" w:line="118" w:lineRule="exact"/>
              <w:rPr>
                <w:sz w:val="20"/>
                <w:szCs w:val="20"/>
                <w:color w:val="auto"/>
              </w:rPr>
            </w:pPr>
            <w:r>
              <w:rPr>
                <w:rFonts w:ascii="Times New Roman" w:cs="Times New Roman" w:eastAsia="Times New Roman" w:hAnsi="Times New Roman"/>
                <w:sz w:val="12"/>
                <w:szCs w:val="12"/>
                <w:color w:val="auto"/>
              </w:rPr>
              <w:t>Class B CUPI</w:t>
            </w:r>
          </w:p>
        </w:tc>
        <w:tc>
          <w:tcPr>
            <w:tcW w:w="880" w:type="dxa"/>
            <w:vAlign w:val="bottom"/>
            <w:gridSpan w:val="3"/>
          </w:tcPr>
          <w:p>
            <w:pPr>
              <w:spacing w:after="0" w:line="118" w:lineRule="exact"/>
              <w:rPr>
                <w:sz w:val="20"/>
                <w:szCs w:val="20"/>
                <w:color w:val="auto"/>
              </w:rPr>
            </w:pPr>
            <w:r>
              <w:rPr>
                <w:rFonts w:ascii="Times New Roman" w:cs="Times New Roman" w:eastAsia="Times New Roman" w:hAnsi="Times New Roman"/>
                <w:sz w:val="12"/>
                <w:szCs w:val="12"/>
                <w:color w:val="auto"/>
              </w:rPr>
              <w:t>comprehensive</w:t>
            </w:r>
          </w:p>
        </w:tc>
        <w:tc>
          <w:tcPr>
            <w:tcW w:w="60" w:type="dxa"/>
            <w:vAlign w:val="bottom"/>
          </w:tcPr>
          <w:p>
            <w:pPr>
              <w:spacing w:after="0"/>
              <w:rPr>
                <w:sz w:val="11"/>
                <w:szCs w:val="11"/>
                <w:color w:val="auto"/>
              </w:rPr>
            </w:pPr>
          </w:p>
        </w:tc>
        <w:tc>
          <w:tcPr>
            <w:tcW w:w="58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2"/>
                <w:szCs w:val="12"/>
                <w:color w:val="auto"/>
              </w:rPr>
              <w:t>partners’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Units</w:t>
            </w: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Amount</w:t>
            </w:r>
          </w:p>
        </w:tc>
        <w:tc>
          <w:tcPr>
            <w:tcW w:w="160" w:type="dxa"/>
            <w:vAlign w:val="bottom"/>
          </w:tcPr>
          <w:p>
            <w:pPr>
              <w:spacing w:after="0"/>
              <w:rPr>
                <w:sz w:val="12"/>
                <w:szCs w:val="12"/>
                <w:color w:val="auto"/>
              </w:rPr>
            </w:pPr>
          </w:p>
        </w:tc>
        <w:tc>
          <w:tcPr>
            <w:tcW w:w="4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color w:val="auto"/>
              </w:rPr>
              <w:t>Units</w:t>
            </w: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Amount</w:t>
            </w: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2"/>
                <w:szCs w:val="12"/>
                <w:color w:val="auto"/>
              </w:rPr>
              <w:t>Amount</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color w:val="auto"/>
              </w:rPr>
              <w:t>Units</w:t>
            </w:r>
          </w:p>
        </w:tc>
        <w:tc>
          <w:tcPr>
            <w:tcW w:w="4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Amount</w:t>
            </w:r>
          </w:p>
        </w:tc>
        <w:tc>
          <w:tcPr>
            <w:tcW w:w="180" w:type="dxa"/>
            <w:vAlign w:val="bottom"/>
          </w:tcPr>
          <w:p>
            <w:pPr>
              <w:spacing w:after="0"/>
              <w:rPr>
                <w:sz w:val="12"/>
                <w:szCs w:val="12"/>
                <w:color w:val="auto"/>
              </w:rPr>
            </w:pPr>
          </w:p>
        </w:tc>
        <w:tc>
          <w:tcPr>
            <w:tcW w:w="4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Units</w:t>
            </w:r>
          </w:p>
        </w:tc>
        <w:tc>
          <w:tcPr>
            <w:tcW w:w="4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w w:val="96"/>
              </w:rPr>
              <w:t>Amount</w:t>
            </w:r>
          </w:p>
        </w:tc>
        <w:tc>
          <w:tcPr>
            <w:tcW w:w="200" w:type="dxa"/>
            <w:vAlign w:val="bottom"/>
          </w:tcPr>
          <w:p>
            <w:pPr>
              <w:spacing w:after="0"/>
              <w:rPr>
                <w:sz w:val="12"/>
                <w:szCs w:val="12"/>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2"/>
              </w:rPr>
              <w:t>Units</w:t>
            </w: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color w:val="auto"/>
                <w:w w:val="96"/>
              </w:rPr>
              <w:t>Amount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rPr>
              <w:t>income</w:t>
            </w:r>
          </w:p>
        </w:tc>
        <w:tc>
          <w:tcPr>
            <w:tcW w:w="60" w:type="dxa"/>
            <w:vAlign w:val="bottom"/>
          </w:tcPr>
          <w:p>
            <w:pPr>
              <w:spacing w:after="0"/>
              <w:rPr>
                <w:sz w:val="12"/>
                <w:szCs w:val="12"/>
                <w:color w:val="auto"/>
              </w:rPr>
            </w:pP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capital</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36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Balance, January 1, 2025</w:t>
            </w:r>
          </w:p>
        </w:tc>
        <w:tc>
          <w:tcPr>
            <w:tcW w:w="280" w:type="dxa"/>
            <w:vAlign w:val="bottom"/>
            <w:tcBorders>
              <w:top w:val="single" w:sz="8" w:color="auto"/>
            </w:tcBorders>
            <w:shd w:val="clear" w:color="auto" w:fill="CCEEFF"/>
          </w:tcPr>
          <w:p>
            <w:pPr>
              <w:ind w:left="60"/>
              <w:spacing w:after="0" w:line="141" w:lineRule="exact"/>
              <w:rPr>
                <w:sz w:val="20"/>
                <w:szCs w:val="20"/>
                <w:color w:val="auto"/>
              </w:rPr>
            </w:pPr>
            <w:r>
              <w:rPr>
                <w:rFonts w:ascii="Times New Roman" w:cs="Times New Roman" w:eastAsia="Times New Roman" w:hAnsi="Times New Roman"/>
                <w:sz w:val="14"/>
                <w:szCs w:val="14"/>
                <w:color w:val="auto"/>
                <w:w w:val="95"/>
              </w:rPr>
              <w:t>128</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w w:val="95"/>
              </w:rPr>
              <w:t>237</w:t>
            </w: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ind w:left="80"/>
              <w:spacing w:after="0" w:line="141" w:lineRule="exact"/>
              <w:rPr>
                <w:sz w:val="20"/>
                <w:szCs w:val="20"/>
                <w:color w:val="auto"/>
              </w:rPr>
            </w:pPr>
            <w:r>
              <w:rPr>
                <w:rFonts w:ascii="Times New Roman" w:cs="Times New Roman" w:eastAsia="Times New Roman" w:hAnsi="Times New Roman"/>
                <w:sz w:val="14"/>
                <w:szCs w:val="14"/>
                <w:color w:val="auto"/>
                <w:w w:val="85"/>
              </w:rPr>
              <w:t>106</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129</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366</w:t>
            </w: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16,723</w:t>
            </w:r>
          </w:p>
        </w:tc>
        <w:tc>
          <w:tcPr>
            <w:tcW w:w="1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93"/>
              </w:rPr>
              <w:t>$ 15,976</w:t>
            </w:r>
          </w:p>
        </w:tc>
        <w:tc>
          <w:tcPr>
            <w:tcW w:w="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ind w:left="80"/>
              <w:spacing w:after="0" w:line="141" w:lineRule="exact"/>
              <w:rPr>
                <w:sz w:val="20"/>
                <w:szCs w:val="20"/>
                <w:color w:val="auto"/>
              </w:rPr>
            </w:pPr>
            <w:r>
              <w:rPr>
                <w:rFonts w:ascii="Times New Roman" w:cs="Times New Roman" w:eastAsia="Times New Roman" w:hAnsi="Times New Roman"/>
                <w:sz w:val="14"/>
                <w:szCs w:val="14"/>
                <w:color w:val="auto"/>
                <w:w w:val="85"/>
              </w:rPr>
              <w:t>721</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95"/>
              </w:rPr>
              <w:t>123</w:t>
            </w:r>
          </w:p>
        </w:tc>
        <w:tc>
          <w:tcPr>
            <w:tcW w:w="2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23</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48</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93"/>
              </w:rPr>
              <w:t>$ 16,158</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2</w:t>
            </w:r>
          </w:p>
        </w:tc>
        <w:tc>
          <w:tcPr>
            <w:tcW w:w="40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2"/>
                <w:szCs w:val="12"/>
                <w:color w:val="auto"/>
              </w:rPr>
            </w:pPr>
          </w:p>
        </w:tc>
        <w:tc>
          <w:tcPr>
            <w:tcW w:w="580" w:type="dxa"/>
            <w:vAlign w:val="bottom"/>
            <w:gridSpan w:val="2"/>
          </w:tcPr>
          <w:p>
            <w:pPr>
              <w:ind w:lef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ind w:left="260"/>
              <w:spacing w:after="0" w:line="147" w:lineRule="exact"/>
              <w:rPr>
                <w:sz w:val="20"/>
                <w:szCs w:val="20"/>
                <w:color w:val="auto"/>
              </w:rPr>
            </w:pPr>
            <w:r>
              <w:rPr>
                <w:rFonts w:ascii="Times New Roman" w:cs="Times New Roman" w:eastAsia="Times New Roman" w:hAnsi="Times New Roman"/>
                <w:sz w:val="14"/>
                <w:szCs w:val="14"/>
                <w:color w:val="auto"/>
                <w:w w:val="95"/>
              </w:rPr>
              <w:t>318</w:t>
            </w:r>
          </w:p>
        </w:tc>
        <w:tc>
          <w:tcPr>
            <w:tcW w:w="180" w:type="dxa"/>
            <w:vAlign w:val="bottom"/>
          </w:tcPr>
          <w:p>
            <w:pPr>
              <w:spacing w:after="0"/>
              <w:rPr>
                <w:sz w:val="12"/>
                <w:szCs w:val="12"/>
                <w:color w:val="auto"/>
              </w:rPr>
            </w:pPr>
          </w:p>
        </w:tc>
        <w:tc>
          <w:tcPr>
            <w:tcW w:w="48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42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319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Other comprehensive loss</w:t>
            </w:r>
          </w:p>
        </w:tc>
        <w:tc>
          <w:tcPr>
            <w:tcW w:w="34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600" w:type="dxa"/>
            <w:vAlign w:val="bottom"/>
            <w:tcBorders>
              <w:right w:val="single" w:sz="8" w:color="auto"/>
            </w:tcBorders>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8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280" w:type="dxa"/>
            <w:vAlign w:val="bottom"/>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(4)</w:t>
            </w:r>
          </w:p>
        </w:tc>
        <w:tc>
          <w:tcPr>
            <w:tcW w:w="640" w:type="dxa"/>
            <w:vAlign w:val="bottom"/>
            <w:gridSpan w:val="3"/>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Reclassification from liability-classified units</w:t>
            </w:r>
          </w:p>
        </w:tc>
        <w:tc>
          <w:tcPr>
            <w:tcW w:w="34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580" w:type="dxa"/>
            <w:vAlign w:val="bottom"/>
            <w:gridSpan w:val="2"/>
          </w:tcPr>
          <w:p>
            <w:pPr>
              <w:ind w:lef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ind w:left="2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8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51</w:t>
            </w:r>
          </w:p>
        </w:tc>
        <w:tc>
          <w:tcPr>
            <w:tcW w:w="180" w:type="dxa"/>
            <w:vAlign w:val="bottom"/>
          </w:tcPr>
          <w:p>
            <w:pPr>
              <w:spacing w:after="0"/>
              <w:rPr>
                <w:sz w:val="12"/>
                <w:szCs w:val="12"/>
                <w:color w:val="auto"/>
              </w:rPr>
            </w:pPr>
          </w:p>
        </w:tc>
        <w:tc>
          <w:tcPr>
            <w:tcW w:w="42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10</w:t>
            </w: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Units repurchased</w:t>
            </w:r>
          </w:p>
        </w:tc>
        <w:tc>
          <w:tcPr>
            <w:tcW w:w="34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shd w:val="clear" w:color="auto" w:fill="CCEEFF"/>
          </w:tcPr>
          <w:p>
            <w:pPr>
              <w:ind w:left="160"/>
              <w:spacing w:after="0" w:line="147"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600" w:type="dxa"/>
            <w:vAlign w:val="bottom"/>
            <w:tcBorders>
              <w:right w:val="single" w:sz="8" w:color="auto"/>
            </w:tcBorders>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8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(14)</w:t>
            </w: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(9)</w:t>
            </w:r>
          </w:p>
        </w:tc>
        <w:tc>
          <w:tcPr>
            <w:tcW w:w="280" w:type="dxa"/>
            <w:vAlign w:val="bottom"/>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Compensation expense</w:t>
            </w: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60" w:type="dxa"/>
            <w:vAlign w:val="bottom"/>
          </w:tcPr>
          <w:p>
            <w:pPr>
              <w:spacing w:after="0"/>
              <w:rPr>
                <w:sz w:val="12"/>
                <w:szCs w:val="12"/>
                <w:color w:val="auto"/>
              </w:rPr>
            </w:pPr>
          </w:p>
        </w:tc>
        <w:tc>
          <w:tcPr>
            <w:tcW w:w="280" w:type="dxa"/>
            <w:vAlign w:val="bottom"/>
          </w:tcPr>
          <w:p>
            <w:pPr>
              <w:ind w:left="8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22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480" w:type="dxa"/>
            <w:vAlign w:val="bottom"/>
          </w:tcPr>
          <w:p>
            <w:pPr>
              <w:ind w:left="2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Pr>
          <w:p>
            <w:pPr>
              <w:spacing w:after="0"/>
              <w:rPr>
                <w:sz w:val="12"/>
                <w:szCs w:val="12"/>
                <w:color w:val="auto"/>
              </w:rPr>
            </w:pPr>
          </w:p>
        </w:tc>
        <w:tc>
          <w:tcPr>
            <w:tcW w:w="48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6</w:t>
            </w:r>
          </w:p>
        </w:tc>
        <w:tc>
          <w:tcPr>
            <w:tcW w:w="180" w:type="dxa"/>
            <w:vAlign w:val="bottom"/>
          </w:tcPr>
          <w:p>
            <w:pPr>
              <w:spacing w:after="0"/>
              <w:rPr>
                <w:sz w:val="12"/>
                <w:szCs w:val="12"/>
                <w:color w:val="auto"/>
              </w:rPr>
            </w:pPr>
          </w:p>
        </w:tc>
        <w:tc>
          <w:tcPr>
            <w:tcW w:w="42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16</w:t>
            </w: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33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Balance, March 29, 2025</w:t>
            </w:r>
          </w:p>
        </w:tc>
        <w:tc>
          <w:tcPr>
            <w:tcW w:w="280" w:type="dxa"/>
            <w:vAlign w:val="bottom"/>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128</w:t>
            </w: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239</w:t>
            </w:r>
          </w:p>
        </w:tc>
        <w:tc>
          <w:tcPr>
            <w:tcW w:w="40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104</w:t>
            </w:r>
          </w:p>
        </w:tc>
        <w:tc>
          <w:tcPr>
            <w:tcW w:w="20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129</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right w:val="single" w:sz="8" w:color="auto"/>
            </w:tcBorders>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368</w:t>
            </w:r>
          </w:p>
        </w:tc>
        <w:tc>
          <w:tcPr>
            <w:tcW w:w="660" w:type="dxa"/>
            <w:vAlign w:val="bottom"/>
            <w:gridSpan w:val="3"/>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16,723</w:t>
            </w:r>
          </w:p>
        </w:tc>
        <w:tc>
          <w:tcPr>
            <w:tcW w:w="66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w w:val="93"/>
              </w:rPr>
              <w:t>$ 16,294</w:t>
            </w:r>
          </w:p>
        </w:tc>
        <w:tc>
          <w:tcPr>
            <w:tcW w:w="48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764</w:t>
            </w:r>
          </w:p>
        </w:tc>
        <w:tc>
          <w:tcPr>
            <w:tcW w:w="1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w w:val="95"/>
              </w:rPr>
              <w:t>140</w:t>
            </w:r>
          </w:p>
        </w:tc>
        <w:tc>
          <w:tcPr>
            <w:tcW w:w="2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23</w:t>
            </w:r>
          </w:p>
        </w:tc>
        <w:tc>
          <w:tcPr>
            <w:tcW w:w="260" w:type="dxa"/>
            <w:vAlign w:val="bottom"/>
            <w:gridSpan w:val="2"/>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49</w:t>
            </w:r>
          </w:p>
        </w:tc>
        <w:tc>
          <w:tcPr>
            <w:tcW w:w="1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$ 16,490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2</w:t>
            </w:r>
          </w:p>
        </w:tc>
        <w:tc>
          <w:tcPr>
            <w:tcW w:w="40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2"/>
                <w:szCs w:val="12"/>
                <w:color w:val="auto"/>
              </w:rPr>
            </w:pPr>
          </w:p>
        </w:tc>
        <w:tc>
          <w:tcPr>
            <w:tcW w:w="580" w:type="dxa"/>
            <w:vAlign w:val="bottom"/>
            <w:gridSpan w:val="2"/>
          </w:tcPr>
          <w:p>
            <w:pPr>
              <w:ind w:lef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ind w:left="260"/>
              <w:spacing w:after="0" w:line="147" w:lineRule="exact"/>
              <w:rPr>
                <w:sz w:val="20"/>
                <w:szCs w:val="20"/>
                <w:color w:val="auto"/>
              </w:rPr>
            </w:pPr>
            <w:r>
              <w:rPr>
                <w:rFonts w:ascii="Times New Roman" w:cs="Times New Roman" w:eastAsia="Times New Roman" w:hAnsi="Times New Roman"/>
                <w:sz w:val="14"/>
                <w:szCs w:val="14"/>
                <w:color w:val="auto"/>
                <w:w w:val="95"/>
              </w:rPr>
              <w:t>314</w:t>
            </w:r>
          </w:p>
        </w:tc>
        <w:tc>
          <w:tcPr>
            <w:tcW w:w="180" w:type="dxa"/>
            <w:vAlign w:val="bottom"/>
          </w:tcPr>
          <w:p>
            <w:pPr>
              <w:spacing w:after="0"/>
              <w:rPr>
                <w:sz w:val="12"/>
                <w:szCs w:val="12"/>
                <w:color w:val="auto"/>
              </w:rPr>
            </w:pPr>
          </w:p>
        </w:tc>
        <w:tc>
          <w:tcPr>
            <w:tcW w:w="48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42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14</w:t>
            </w: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329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Other comprehensive income</w:t>
            </w:r>
          </w:p>
        </w:tc>
        <w:tc>
          <w:tcPr>
            <w:tcW w:w="34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600" w:type="dxa"/>
            <w:vAlign w:val="bottom"/>
            <w:tcBorders>
              <w:right w:val="single" w:sz="8" w:color="auto"/>
            </w:tcBorders>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8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280" w:type="dxa"/>
            <w:vAlign w:val="bottom"/>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55</w:t>
            </w:r>
          </w:p>
        </w:tc>
        <w:tc>
          <w:tcPr>
            <w:tcW w:w="1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Units repurchased</w:t>
            </w:r>
          </w:p>
        </w:tc>
        <w:tc>
          <w:tcPr>
            <w:tcW w:w="34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tcPr>
          <w:p>
            <w:pPr>
              <w:ind w:left="160"/>
              <w:spacing w:after="0" w:line="147"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580" w:type="dxa"/>
            <w:vAlign w:val="bottom"/>
            <w:gridSpan w:val="2"/>
          </w:tcPr>
          <w:p>
            <w:pPr>
              <w:ind w:lef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ind w:left="2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8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(8)</w:t>
            </w:r>
          </w:p>
        </w:tc>
        <w:tc>
          <w:tcPr>
            <w:tcW w:w="180" w:type="dxa"/>
            <w:vAlign w:val="bottom"/>
          </w:tcPr>
          <w:p>
            <w:pPr>
              <w:spacing w:after="0"/>
              <w:rPr>
                <w:sz w:val="12"/>
                <w:szCs w:val="12"/>
                <w:color w:val="auto"/>
              </w:rPr>
            </w:pPr>
          </w:p>
        </w:tc>
        <w:tc>
          <w:tcPr>
            <w:tcW w:w="42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(5)</w:t>
            </w: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Compensation expense</w:t>
            </w:r>
          </w:p>
        </w:tc>
        <w:tc>
          <w:tcPr>
            <w:tcW w:w="34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600" w:type="dxa"/>
            <w:vAlign w:val="bottom"/>
            <w:tcBorders>
              <w:right w:val="single" w:sz="8" w:color="auto"/>
            </w:tcBorders>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8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14</w:t>
            </w:r>
          </w:p>
        </w:tc>
        <w:tc>
          <w:tcPr>
            <w:tcW w:w="280" w:type="dxa"/>
            <w:vAlign w:val="bottom"/>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Distribution to partners</w:t>
            </w: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(2)</w:t>
            </w:r>
          </w:p>
        </w:tc>
        <w:tc>
          <w:tcPr>
            <w:tcW w:w="40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2"/>
                <w:szCs w:val="12"/>
                <w:color w:val="auto"/>
              </w:rPr>
            </w:pPr>
          </w:p>
        </w:tc>
        <w:tc>
          <w:tcPr>
            <w:tcW w:w="580" w:type="dxa"/>
            <w:vAlign w:val="bottom"/>
            <w:gridSpan w:val="2"/>
          </w:tcPr>
          <w:p>
            <w:pPr>
              <w:ind w:lef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(284)</w:t>
            </w:r>
          </w:p>
        </w:tc>
        <w:tc>
          <w:tcPr>
            <w:tcW w:w="48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42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(15)</w:t>
            </w: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(299)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33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Balance, June 28, 2025</w:t>
            </w:r>
          </w:p>
        </w:tc>
        <w:tc>
          <w:tcPr>
            <w:tcW w:w="280" w:type="dxa"/>
            <w:vAlign w:val="bottom"/>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128</w:t>
            </w: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239</w:t>
            </w:r>
          </w:p>
        </w:tc>
        <w:tc>
          <w:tcPr>
            <w:tcW w:w="40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103</w:t>
            </w:r>
          </w:p>
        </w:tc>
        <w:tc>
          <w:tcPr>
            <w:tcW w:w="20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128</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right w:val="single" w:sz="8" w:color="auto"/>
            </w:tcBorders>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367</w:t>
            </w:r>
          </w:p>
        </w:tc>
        <w:tc>
          <w:tcPr>
            <w:tcW w:w="660" w:type="dxa"/>
            <w:vAlign w:val="bottom"/>
            <w:gridSpan w:val="3"/>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16,723</w:t>
            </w:r>
          </w:p>
        </w:tc>
        <w:tc>
          <w:tcPr>
            <w:tcW w:w="66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w w:val="93"/>
              </w:rPr>
              <w:t>$ 16,324</w:t>
            </w:r>
          </w:p>
        </w:tc>
        <w:tc>
          <w:tcPr>
            <w:tcW w:w="48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756</w:t>
            </w:r>
          </w:p>
        </w:tc>
        <w:tc>
          <w:tcPr>
            <w:tcW w:w="1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w w:val="95"/>
              </w:rPr>
              <w:t>148</w:t>
            </w:r>
          </w:p>
        </w:tc>
        <w:tc>
          <w:tcPr>
            <w:tcW w:w="2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23</w:t>
            </w:r>
          </w:p>
        </w:tc>
        <w:tc>
          <w:tcPr>
            <w:tcW w:w="260" w:type="dxa"/>
            <w:vAlign w:val="bottom"/>
            <w:gridSpan w:val="2"/>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50</w:t>
            </w:r>
          </w:p>
        </w:tc>
        <w:tc>
          <w:tcPr>
            <w:tcW w:w="1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62</w:t>
            </w:r>
          </w:p>
        </w:tc>
        <w:tc>
          <w:tcPr>
            <w:tcW w:w="1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$ 16,584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2</w:t>
            </w:r>
          </w:p>
        </w:tc>
        <w:tc>
          <w:tcPr>
            <w:tcW w:w="40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2"/>
                <w:szCs w:val="12"/>
                <w:color w:val="auto"/>
              </w:rPr>
            </w:pPr>
          </w:p>
        </w:tc>
        <w:tc>
          <w:tcPr>
            <w:tcW w:w="580" w:type="dxa"/>
            <w:vAlign w:val="bottom"/>
            <w:gridSpan w:val="2"/>
          </w:tcPr>
          <w:p>
            <w:pPr>
              <w:ind w:lef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ind w:left="260"/>
              <w:spacing w:after="0" w:line="147" w:lineRule="exact"/>
              <w:rPr>
                <w:sz w:val="20"/>
                <w:szCs w:val="20"/>
                <w:color w:val="auto"/>
              </w:rPr>
            </w:pPr>
            <w:r>
              <w:rPr>
                <w:rFonts w:ascii="Times New Roman" w:cs="Times New Roman" w:eastAsia="Times New Roman" w:hAnsi="Times New Roman"/>
                <w:sz w:val="14"/>
                <w:szCs w:val="14"/>
                <w:color w:val="auto"/>
                <w:w w:val="95"/>
              </w:rPr>
              <w:t>301</w:t>
            </w:r>
          </w:p>
        </w:tc>
        <w:tc>
          <w:tcPr>
            <w:tcW w:w="180" w:type="dxa"/>
            <w:vAlign w:val="bottom"/>
          </w:tcPr>
          <w:p>
            <w:pPr>
              <w:spacing w:after="0"/>
              <w:rPr>
                <w:sz w:val="12"/>
                <w:szCs w:val="12"/>
                <w:color w:val="auto"/>
              </w:rPr>
            </w:pPr>
          </w:p>
        </w:tc>
        <w:tc>
          <w:tcPr>
            <w:tcW w:w="48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42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16</w:t>
            </w: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318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Other comprehensive loss</w:t>
            </w:r>
          </w:p>
        </w:tc>
        <w:tc>
          <w:tcPr>
            <w:tcW w:w="34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600" w:type="dxa"/>
            <w:vAlign w:val="bottom"/>
            <w:tcBorders>
              <w:right w:val="single" w:sz="8" w:color="auto"/>
            </w:tcBorders>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8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280" w:type="dxa"/>
            <w:vAlign w:val="bottom"/>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(10)</w:t>
            </w:r>
          </w:p>
        </w:tc>
        <w:tc>
          <w:tcPr>
            <w:tcW w:w="640" w:type="dxa"/>
            <w:vAlign w:val="bottom"/>
            <w:gridSpan w:val="3"/>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Units repurchased</w:t>
            </w:r>
          </w:p>
        </w:tc>
        <w:tc>
          <w:tcPr>
            <w:tcW w:w="34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tcPr>
          <w:p>
            <w:pPr>
              <w:ind w:left="160"/>
              <w:spacing w:after="0" w:line="147"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2"/>
                <w:szCs w:val="12"/>
                <w:color w:val="auto"/>
              </w:rPr>
            </w:pPr>
          </w:p>
        </w:tc>
        <w:tc>
          <w:tcPr>
            <w:tcW w:w="580" w:type="dxa"/>
            <w:vAlign w:val="bottom"/>
            <w:gridSpan w:val="2"/>
          </w:tcPr>
          <w:p>
            <w:pPr>
              <w:ind w:lef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ind w:left="2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8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(22)</w:t>
            </w:r>
          </w:p>
        </w:tc>
        <w:tc>
          <w:tcPr>
            <w:tcW w:w="180" w:type="dxa"/>
            <w:vAlign w:val="bottom"/>
          </w:tcPr>
          <w:p>
            <w:pPr>
              <w:spacing w:after="0"/>
              <w:rPr>
                <w:sz w:val="12"/>
                <w:szCs w:val="12"/>
                <w:color w:val="auto"/>
              </w:rPr>
            </w:pPr>
          </w:p>
        </w:tc>
        <w:tc>
          <w:tcPr>
            <w:tcW w:w="42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(15)</w:t>
            </w: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Compensation expense</w:t>
            </w:r>
          </w:p>
        </w:tc>
        <w:tc>
          <w:tcPr>
            <w:tcW w:w="34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600" w:type="dxa"/>
            <w:vAlign w:val="bottom"/>
            <w:tcBorders>
              <w:right w:val="single" w:sz="8" w:color="auto"/>
            </w:tcBorders>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8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14</w:t>
            </w:r>
          </w:p>
        </w:tc>
        <w:tc>
          <w:tcPr>
            <w:tcW w:w="280" w:type="dxa"/>
            <w:vAlign w:val="bottom"/>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Distribution to partners</w:t>
            </w: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(1)</w:t>
            </w:r>
          </w:p>
        </w:tc>
        <w:tc>
          <w:tcPr>
            <w:tcW w:w="40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2"/>
                <w:szCs w:val="12"/>
                <w:color w:val="auto"/>
              </w:rPr>
            </w:pPr>
          </w:p>
        </w:tc>
        <w:tc>
          <w:tcPr>
            <w:tcW w:w="580" w:type="dxa"/>
            <w:vAlign w:val="bottom"/>
            <w:gridSpan w:val="2"/>
          </w:tcPr>
          <w:p>
            <w:pPr>
              <w:ind w:lef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(101)</w:t>
            </w:r>
          </w:p>
        </w:tc>
        <w:tc>
          <w:tcPr>
            <w:tcW w:w="48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42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(16)</w:t>
            </w: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33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Balance, September 27, 2025</w:t>
            </w:r>
          </w:p>
        </w:tc>
        <w:tc>
          <w:tcPr>
            <w:tcW w:w="280" w:type="dxa"/>
            <w:vAlign w:val="bottom"/>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128</w:t>
            </w: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240</w:t>
            </w:r>
          </w:p>
        </w:tc>
        <w:tc>
          <w:tcPr>
            <w:tcW w:w="40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101</w:t>
            </w:r>
          </w:p>
        </w:tc>
        <w:tc>
          <w:tcPr>
            <w:tcW w:w="20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127</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right w:val="single" w:sz="8" w:color="auto"/>
            </w:tcBorders>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367</w:t>
            </w:r>
          </w:p>
        </w:tc>
        <w:tc>
          <w:tcPr>
            <w:tcW w:w="660" w:type="dxa"/>
            <w:vAlign w:val="bottom"/>
            <w:gridSpan w:val="3"/>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16,723</w:t>
            </w:r>
          </w:p>
        </w:tc>
        <w:tc>
          <w:tcPr>
            <w:tcW w:w="66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u w:val="single" w:color="auto"/>
                <w:color w:val="auto"/>
                <w:w w:val="93"/>
              </w:rPr>
              <w:t>$</w:t>
            </w:r>
            <w:r>
              <w:rPr>
                <w:rFonts w:ascii="Times New Roman" w:cs="Times New Roman" w:eastAsia="Times New Roman" w:hAnsi="Times New Roman"/>
                <w:sz w:val="14"/>
                <w:szCs w:val="14"/>
                <w:color w:val="auto"/>
                <w:w w:val="93"/>
              </w:rPr>
              <w:t xml:space="preserve"> 16,524</w:t>
            </w:r>
          </w:p>
        </w:tc>
        <w:tc>
          <w:tcPr>
            <w:tcW w:w="48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734</w:t>
            </w:r>
          </w:p>
        </w:tc>
        <w:tc>
          <w:tcPr>
            <w:tcW w:w="1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w w:val="95"/>
              </w:rPr>
              <w:t>147</w:t>
            </w:r>
          </w:p>
        </w:tc>
        <w:tc>
          <w:tcPr>
            <w:tcW w:w="2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23</w:t>
            </w:r>
          </w:p>
        </w:tc>
        <w:tc>
          <w:tcPr>
            <w:tcW w:w="260" w:type="dxa"/>
            <w:vAlign w:val="bottom"/>
            <w:gridSpan w:val="2"/>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51</w:t>
            </w:r>
          </w:p>
        </w:tc>
        <w:tc>
          <w:tcPr>
            <w:tcW w:w="1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52</w:t>
            </w:r>
          </w:p>
        </w:tc>
        <w:tc>
          <w:tcPr>
            <w:tcW w:w="1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16,774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080"/>
          </w:cols>
          <w:pgMar w:left="320" w:top="451" w:right="49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MEZZANINE EQUITY AND PARTNERS’ CAPITAL (Unaudited)</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11"/>
          </w:tcPr>
          <w:p>
            <w:pPr>
              <w:ind w:left="20"/>
              <w:spacing w:after="0"/>
              <w:rPr>
                <w:sz w:val="20"/>
                <w:szCs w:val="20"/>
                <w:color w:val="auto"/>
              </w:rPr>
            </w:pPr>
            <w:r>
              <w:rPr>
                <w:rFonts w:ascii="Times New Roman" w:cs="Times New Roman" w:eastAsia="Times New Roman" w:hAnsi="Times New Roman"/>
                <w:sz w:val="12"/>
                <w:szCs w:val="12"/>
                <w:color w:val="auto"/>
              </w:rPr>
              <w:t>Nine months ended September 28, 2024</w:t>
            </w:r>
          </w:p>
        </w:tc>
        <w:tc>
          <w:tcPr>
            <w:tcW w:w="2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7"/>
          </w:tcPr>
          <w:p>
            <w:pPr>
              <w:ind w:left="200"/>
              <w:spacing w:after="0" w:line="128" w:lineRule="exact"/>
              <w:rPr>
                <w:sz w:val="20"/>
                <w:szCs w:val="20"/>
                <w:color w:val="auto"/>
              </w:rPr>
            </w:pPr>
            <w:r>
              <w:rPr>
                <w:rFonts w:ascii="Times New Roman" w:cs="Times New Roman" w:eastAsia="Times New Roman" w:hAnsi="Times New Roman"/>
                <w:sz w:val="12"/>
                <w:szCs w:val="12"/>
                <w:color w:val="auto"/>
              </w:rPr>
              <w:t>Mezzanine Equity</w:t>
            </w: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6"/>
          </w:tcPr>
          <w:p>
            <w:pPr>
              <w:jc w:val="right"/>
              <w:ind w:right="22"/>
              <w:spacing w:after="0" w:line="128" w:lineRule="exact"/>
              <w:rPr>
                <w:sz w:val="20"/>
                <w:szCs w:val="20"/>
                <w:color w:val="auto"/>
              </w:rPr>
            </w:pPr>
            <w:r>
              <w:rPr>
                <w:rFonts w:ascii="Times New Roman" w:cs="Times New Roman" w:eastAsia="Times New Roman" w:hAnsi="Times New Roman"/>
                <w:sz w:val="12"/>
                <w:szCs w:val="12"/>
                <w:color w:val="auto"/>
              </w:rPr>
              <w:t>Partners’ Capital</w:t>
            </w:r>
          </w:p>
        </w:tc>
        <w:tc>
          <w:tcPr>
            <w:tcW w:w="2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center"/>
              <w:spacing w:after="0" w:line="114" w:lineRule="exact"/>
              <w:rPr>
                <w:sz w:val="20"/>
                <w:szCs w:val="20"/>
                <w:color w:val="auto"/>
              </w:rPr>
            </w:pPr>
            <w:r>
              <w:rPr>
                <w:rFonts w:ascii="Times New Roman" w:cs="Times New Roman" w:eastAsia="Times New Roman" w:hAnsi="Times New Roman"/>
                <w:sz w:val="12"/>
                <w:szCs w:val="12"/>
                <w:color w:val="auto"/>
              </w:rPr>
              <w:t>Total</w:t>
            </w:r>
          </w:p>
        </w:tc>
        <w:tc>
          <w:tcPr>
            <w:tcW w:w="1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gridSpan w:val="3"/>
          </w:tcPr>
          <w:p>
            <w:pPr>
              <w:jc w:val="center"/>
              <w:ind w:right="140"/>
              <w:spacing w:after="0" w:line="114" w:lineRule="exact"/>
              <w:rPr>
                <w:sz w:val="20"/>
                <w:szCs w:val="20"/>
                <w:color w:val="auto"/>
              </w:rPr>
            </w:pPr>
            <w:r>
              <w:rPr>
                <w:rFonts w:ascii="Times New Roman" w:cs="Times New Roman" w:eastAsia="Times New Roman" w:hAnsi="Times New Roman"/>
                <w:sz w:val="12"/>
                <w:szCs w:val="12"/>
                <w:color w:val="auto"/>
              </w:rPr>
              <w:t>Accumulated</w:t>
            </w: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5"/>
          </w:tcPr>
          <w:p>
            <w:pPr>
              <w:jc w:val="right"/>
              <w:ind w:right="240"/>
              <w:spacing w:after="0" w:line="134" w:lineRule="exact"/>
              <w:rPr>
                <w:sz w:val="20"/>
                <w:szCs w:val="20"/>
                <w:color w:val="auto"/>
              </w:rPr>
            </w:pPr>
            <w:r>
              <w:rPr>
                <w:rFonts w:ascii="Times New Roman" w:cs="Times New Roman" w:eastAsia="Times New Roman" w:hAnsi="Times New Roman"/>
                <w:sz w:val="12"/>
                <w:szCs w:val="12"/>
                <w:color w:val="auto"/>
              </w:rPr>
              <w:t>Stock-based</w:t>
            </w:r>
          </w:p>
        </w:tc>
        <w:tc>
          <w:tcPr>
            <w:tcW w:w="40" w:type="dxa"/>
            <w:vAlign w:val="bottom"/>
          </w:tcPr>
          <w:p>
            <w:pPr>
              <w:spacing w:after="0"/>
              <w:rPr>
                <w:sz w:val="11"/>
                <w:szCs w:val="11"/>
                <w:color w:val="auto"/>
              </w:rPr>
            </w:pPr>
          </w:p>
        </w:tc>
        <w:tc>
          <w:tcPr>
            <w:tcW w:w="680" w:type="dxa"/>
            <w:vAlign w:val="bottom"/>
            <w:tcBorders>
              <w:right w:val="single" w:sz="8" w:color="auto"/>
            </w:tcBorders>
            <w:gridSpan w:val="3"/>
          </w:tcPr>
          <w:p>
            <w:pPr>
              <w:spacing w:after="0" w:line="134" w:lineRule="exact"/>
              <w:rPr>
                <w:sz w:val="20"/>
                <w:szCs w:val="20"/>
                <w:color w:val="auto"/>
              </w:rPr>
            </w:pPr>
            <w:r>
              <w:rPr>
                <w:rFonts w:ascii="Times New Roman" w:cs="Times New Roman" w:eastAsia="Times New Roman" w:hAnsi="Times New Roman"/>
                <w:sz w:val="12"/>
                <w:szCs w:val="12"/>
                <w:color w:val="auto"/>
              </w:rPr>
              <w:t>Mezzanine</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2"/>
                <w:szCs w:val="12"/>
                <w:color w:val="auto"/>
              </w:rPr>
              <w:t>other</w:t>
            </w:r>
          </w:p>
        </w:tc>
        <w:tc>
          <w:tcPr>
            <w:tcW w:w="60" w:type="dxa"/>
            <w:vAlign w:val="bottom"/>
          </w:tcPr>
          <w:p>
            <w:pPr>
              <w:spacing w:after="0"/>
              <w:rPr>
                <w:sz w:val="11"/>
                <w:szCs w:val="11"/>
                <w:color w:val="auto"/>
              </w:rPr>
            </w:pPr>
          </w:p>
        </w:tc>
        <w:tc>
          <w:tcPr>
            <w:tcW w:w="58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color w:val="auto"/>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00" w:type="dxa"/>
            <w:vAlign w:val="bottom"/>
            <w:gridSpan w:val="3"/>
          </w:tcPr>
          <w:p>
            <w:pPr>
              <w:ind w:left="220"/>
              <w:spacing w:after="0"/>
              <w:rPr>
                <w:sz w:val="20"/>
                <w:szCs w:val="20"/>
                <w:color w:val="auto"/>
              </w:rPr>
            </w:pPr>
            <w:r>
              <w:rPr>
                <w:rFonts w:ascii="Times New Roman" w:cs="Times New Roman" w:eastAsia="Times New Roman" w:hAnsi="Times New Roman"/>
                <w:sz w:val="12"/>
                <w:szCs w:val="12"/>
                <w:color w:val="auto"/>
                <w:w w:val="95"/>
              </w:rPr>
              <w:t>Class A</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5"/>
          </w:tcPr>
          <w:p>
            <w:pPr>
              <w:jc w:val="right"/>
              <w:ind w:right="180"/>
              <w:spacing w:after="0"/>
              <w:rPr>
                <w:sz w:val="20"/>
                <w:szCs w:val="20"/>
                <w:color w:val="auto"/>
              </w:rPr>
            </w:pPr>
            <w:r>
              <w:rPr>
                <w:rFonts w:ascii="Times New Roman" w:cs="Times New Roman" w:eastAsia="Times New Roman" w:hAnsi="Times New Roman"/>
                <w:sz w:val="12"/>
                <w:szCs w:val="12"/>
                <w:color w:val="auto"/>
              </w:rPr>
              <w:t>Compensation</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color w:val="auto"/>
              </w:rPr>
              <w:t>Equity</w:t>
            </w:r>
          </w:p>
        </w:tc>
        <w:tc>
          <w:tcPr>
            <w:tcW w:w="60" w:type="dxa"/>
            <w:vAlign w:val="bottom"/>
          </w:tcPr>
          <w:p>
            <w:pPr>
              <w:spacing w:after="0"/>
              <w:rPr>
                <w:sz w:val="12"/>
                <w:szCs w:val="12"/>
                <w:color w:val="auto"/>
              </w:rPr>
            </w:pPr>
          </w:p>
        </w:tc>
        <w:tc>
          <w:tcPr>
            <w:tcW w:w="1240" w:type="dxa"/>
            <w:vAlign w:val="bottom"/>
            <w:gridSpan w:val="5"/>
          </w:tcPr>
          <w:p>
            <w:pPr>
              <w:ind w:left="340"/>
              <w:spacing w:after="0"/>
              <w:rPr>
                <w:sz w:val="20"/>
                <w:szCs w:val="20"/>
                <w:color w:val="auto"/>
              </w:rPr>
            </w:pPr>
            <w:r>
              <w:rPr>
                <w:rFonts w:ascii="Times New Roman" w:cs="Times New Roman" w:eastAsia="Times New Roman" w:hAnsi="Times New Roman"/>
                <w:sz w:val="12"/>
                <w:szCs w:val="12"/>
                <w:color w:val="auto"/>
              </w:rPr>
              <w:t>Class A</w:t>
            </w:r>
          </w:p>
        </w:tc>
        <w:tc>
          <w:tcPr>
            <w:tcW w:w="660" w:type="dxa"/>
            <w:vAlign w:val="bottom"/>
            <w:gridSpan w:val="4"/>
          </w:tcPr>
          <w:p>
            <w:pPr>
              <w:ind w:left="260"/>
              <w:spacing w:after="0"/>
              <w:rPr>
                <w:sz w:val="20"/>
                <w:szCs w:val="20"/>
                <w:color w:val="auto"/>
              </w:rPr>
            </w:pPr>
            <w:r>
              <w:rPr>
                <w:rFonts w:ascii="Times New Roman" w:cs="Times New Roman" w:eastAsia="Times New Roman" w:hAnsi="Times New Roman"/>
                <w:sz w:val="12"/>
                <w:szCs w:val="12"/>
                <w:color w:val="auto"/>
              </w:rPr>
              <w:t>Class B</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6"/>
          </w:tcPr>
          <w:p>
            <w:pPr>
              <w:ind w:left="60"/>
              <w:spacing w:after="0"/>
              <w:rPr>
                <w:sz w:val="20"/>
                <w:szCs w:val="20"/>
                <w:color w:val="auto"/>
              </w:rPr>
            </w:pPr>
            <w:r>
              <w:rPr>
                <w:rFonts w:ascii="Times New Roman" w:cs="Times New Roman" w:eastAsia="Times New Roman" w:hAnsi="Times New Roman"/>
                <w:sz w:val="12"/>
                <w:szCs w:val="12"/>
                <w:color w:val="auto"/>
              </w:rPr>
              <w:t>Class B CUPI</w:t>
            </w:r>
          </w:p>
        </w:tc>
        <w:tc>
          <w:tcPr>
            <w:tcW w:w="8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comprehensive</w:t>
            </w:r>
          </w:p>
        </w:tc>
        <w:tc>
          <w:tcPr>
            <w:tcW w:w="60" w:type="dxa"/>
            <w:vAlign w:val="bottom"/>
          </w:tcPr>
          <w:p>
            <w:pPr>
              <w:spacing w:after="0"/>
              <w:rPr>
                <w:sz w:val="12"/>
                <w:szCs w:val="12"/>
                <w:color w:val="auto"/>
              </w:rPr>
            </w:pP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partners’</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80" w:type="dxa"/>
            <w:vAlign w:val="bottom"/>
            <w:tcBorders>
              <w:top w:val="single" w:sz="8" w:color="auto"/>
            </w:tcBorders>
          </w:tcPr>
          <w:p>
            <w:pPr>
              <w:spacing w:after="0" w:line="128" w:lineRule="exact"/>
              <w:rPr>
                <w:sz w:val="20"/>
                <w:szCs w:val="20"/>
                <w:color w:val="auto"/>
              </w:rPr>
            </w:pPr>
            <w:r>
              <w:rPr>
                <w:rFonts w:ascii="Times New Roman" w:cs="Times New Roman" w:eastAsia="Times New Roman" w:hAnsi="Times New Roman"/>
                <w:sz w:val="12"/>
                <w:szCs w:val="12"/>
                <w:color w:val="auto"/>
                <w:w w:val="99"/>
              </w:rPr>
              <w:t>Units</w:t>
            </w:r>
          </w:p>
        </w:tc>
        <w:tc>
          <w:tcPr>
            <w:tcW w:w="1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w w:val="96"/>
              </w:rPr>
              <w:t>Amount</w:t>
            </w:r>
          </w:p>
        </w:tc>
        <w:tc>
          <w:tcPr>
            <w:tcW w:w="140" w:type="dxa"/>
            <w:vAlign w:val="bottom"/>
          </w:tcPr>
          <w:p>
            <w:pPr>
              <w:spacing w:after="0"/>
              <w:rPr>
                <w:sz w:val="11"/>
                <w:szCs w:val="11"/>
                <w:color w:val="auto"/>
              </w:rPr>
            </w:pPr>
          </w:p>
        </w:tc>
        <w:tc>
          <w:tcPr>
            <w:tcW w:w="460" w:type="dxa"/>
            <w:vAlign w:val="bottom"/>
            <w:tcBorders>
              <w:top w:val="single" w:sz="8" w:color="auto"/>
            </w:tcBorders>
            <w:gridSpan w:val="2"/>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w w:val="99"/>
              </w:rPr>
              <w:t>Units</w:t>
            </w:r>
          </w:p>
        </w:tc>
        <w:tc>
          <w:tcPr>
            <w:tcW w:w="420" w:type="dxa"/>
            <w:vAlign w:val="bottom"/>
            <w:tcBorders>
              <w:top w:val="single" w:sz="8" w:color="auto"/>
            </w:tcBorders>
            <w:gridSpan w:val="2"/>
          </w:tcPr>
          <w:p>
            <w:pPr>
              <w:ind w:left="20"/>
              <w:spacing w:after="0" w:line="128" w:lineRule="exact"/>
              <w:rPr>
                <w:sz w:val="20"/>
                <w:szCs w:val="20"/>
                <w:color w:val="auto"/>
              </w:rPr>
            </w:pPr>
            <w:r>
              <w:rPr>
                <w:rFonts w:ascii="Times New Roman" w:cs="Times New Roman" w:eastAsia="Times New Roman" w:hAnsi="Times New Roman"/>
                <w:sz w:val="12"/>
                <w:szCs w:val="12"/>
                <w:color w:val="auto"/>
                <w:w w:val="96"/>
              </w:rPr>
              <w:t>Amount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color w:val="auto"/>
              </w:rPr>
              <w:t>Amount</w:t>
            </w: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top w:val="single" w:sz="8" w:color="auto"/>
            </w:tcBorders>
            <w:gridSpan w:val="2"/>
          </w:tcPr>
          <w:p>
            <w:pPr>
              <w:ind w:left="100"/>
              <w:spacing w:after="0" w:line="128" w:lineRule="exact"/>
              <w:rPr>
                <w:sz w:val="20"/>
                <w:szCs w:val="20"/>
                <w:color w:val="auto"/>
              </w:rPr>
            </w:pPr>
            <w:r>
              <w:rPr>
                <w:rFonts w:ascii="Times New Roman" w:cs="Times New Roman" w:eastAsia="Times New Roman" w:hAnsi="Times New Roman"/>
                <w:sz w:val="12"/>
                <w:szCs w:val="12"/>
                <w:color w:val="auto"/>
              </w:rPr>
              <w:t>Units</w:t>
            </w: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2"/>
                <w:szCs w:val="12"/>
                <w:color w:val="auto"/>
              </w:rPr>
              <w:t>Amount</w:t>
            </w:r>
          </w:p>
        </w:tc>
        <w:tc>
          <w:tcPr>
            <w:tcW w:w="180" w:type="dxa"/>
            <w:vAlign w:val="bottom"/>
          </w:tcPr>
          <w:p>
            <w:pPr>
              <w:spacing w:after="0"/>
              <w:rPr>
                <w:sz w:val="11"/>
                <w:szCs w:val="11"/>
                <w:color w:val="auto"/>
              </w:rPr>
            </w:pPr>
          </w:p>
        </w:tc>
        <w:tc>
          <w:tcPr>
            <w:tcW w:w="400" w:type="dxa"/>
            <w:vAlign w:val="bottom"/>
            <w:tcBorders>
              <w:top w:val="single" w:sz="8" w:color="auto"/>
            </w:tcBorders>
            <w:gridSpan w:val="2"/>
          </w:tcPr>
          <w:p>
            <w:pPr>
              <w:ind w:left="20"/>
              <w:spacing w:after="0" w:line="128" w:lineRule="exact"/>
              <w:rPr>
                <w:sz w:val="20"/>
                <w:szCs w:val="20"/>
                <w:color w:val="auto"/>
              </w:rPr>
            </w:pPr>
            <w:r>
              <w:rPr>
                <w:rFonts w:ascii="Times New Roman" w:cs="Times New Roman" w:eastAsia="Times New Roman" w:hAnsi="Times New Roman"/>
                <w:sz w:val="12"/>
                <w:szCs w:val="12"/>
                <w:color w:val="auto"/>
              </w:rPr>
              <w:t>Units</w:t>
            </w: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gridSpan w:val="2"/>
          </w:tcPr>
          <w:p>
            <w:pPr>
              <w:spacing w:after="0" w:line="128" w:lineRule="exact"/>
              <w:rPr>
                <w:sz w:val="20"/>
                <w:szCs w:val="20"/>
                <w:color w:val="auto"/>
              </w:rPr>
            </w:pPr>
            <w:r>
              <w:rPr>
                <w:rFonts w:ascii="Times New Roman" w:cs="Times New Roman" w:eastAsia="Times New Roman" w:hAnsi="Times New Roman"/>
                <w:sz w:val="12"/>
                <w:szCs w:val="12"/>
                <w:color w:val="auto"/>
              </w:rPr>
              <w:t>Amount</w:t>
            </w:r>
          </w:p>
        </w:tc>
        <w:tc>
          <w:tcPr>
            <w:tcW w:w="180" w:type="dxa"/>
            <w:vAlign w:val="bottom"/>
          </w:tcPr>
          <w:p>
            <w:pPr>
              <w:spacing w:after="0"/>
              <w:rPr>
                <w:sz w:val="11"/>
                <w:szCs w:val="11"/>
                <w:color w:val="auto"/>
              </w:rPr>
            </w:pPr>
          </w:p>
        </w:tc>
        <w:tc>
          <w:tcPr>
            <w:tcW w:w="340" w:type="dxa"/>
            <w:vAlign w:val="bottom"/>
            <w:tcBorders>
              <w:top w:val="single" w:sz="8" w:color="auto"/>
            </w:tcBorders>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w w:val="99"/>
              </w:rPr>
              <w:t>Units</w:t>
            </w: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w w:val="96"/>
              </w:rPr>
              <w:t>Amount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2"/>
                <w:szCs w:val="12"/>
                <w:color w:val="auto"/>
              </w:rPr>
              <w:t>income</w:t>
            </w:r>
          </w:p>
        </w:tc>
        <w:tc>
          <w:tcPr>
            <w:tcW w:w="60" w:type="dxa"/>
            <w:vAlign w:val="bottom"/>
          </w:tcPr>
          <w:p>
            <w:pPr>
              <w:spacing w:after="0"/>
              <w:rPr>
                <w:sz w:val="11"/>
                <w:szCs w:val="11"/>
                <w:color w:val="auto"/>
              </w:rPr>
            </w:pPr>
          </w:p>
        </w:tc>
        <w:tc>
          <w:tcPr>
            <w:tcW w:w="58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2"/>
                <w:szCs w:val="12"/>
                <w:color w:val="auto"/>
              </w:rPr>
              <w:t>capital</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32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Balance, January 1, 2024</w:t>
            </w:r>
          </w:p>
        </w:tc>
        <w:tc>
          <w:tcPr>
            <w:tcW w:w="280" w:type="dxa"/>
            <w:vAlign w:val="bottom"/>
            <w:tcBorders>
              <w:top w:val="single" w:sz="8" w:color="auto"/>
            </w:tcBorders>
            <w:shd w:val="clear" w:color="auto" w:fill="CCEEFF"/>
          </w:tcPr>
          <w:p>
            <w:pPr>
              <w:ind w:left="60"/>
              <w:spacing w:after="0" w:line="141" w:lineRule="exact"/>
              <w:rPr>
                <w:sz w:val="20"/>
                <w:szCs w:val="20"/>
                <w:color w:val="auto"/>
              </w:rPr>
            </w:pPr>
            <w:r>
              <w:rPr>
                <w:rFonts w:ascii="Times New Roman" w:cs="Times New Roman" w:eastAsia="Times New Roman" w:hAnsi="Times New Roman"/>
                <w:sz w:val="14"/>
                <w:szCs w:val="14"/>
                <w:color w:val="auto"/>
                <w:w w:val="95"/>
              </w:rPr>
              <w:t>128</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w w:val="85"/>
              </w:rPr>
              <w:t>178</w:t>
            </w:r>
          </w:p>
        </w:tc>
        <w:tc>
          <w:tcPr>
            <w:tcW w:w="1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82</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233</w:t>
            </w:r>
          </w:p>
        </w:tc>
        <w:tc>
          <w:tcPr>
            <w:tcW w:w="14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ind w:left="60"/>
              <w:spacing w:after="0" w:line="141" w:lineRule="exact"/>
              <w:rPr>
                <w:sz w:val="20"/>
                <w:szCs w:val="20"/>
                <w:color w:val="auto"/>
              </w:rPr>
            </w:pPr>
            <w:r>
              <w:rPr>
                <w:rFonts w:ascii="Times New Roman" w:cs="Times New Roman" w:eastAsia="Times New Roman" w:hAnsi="Times New Roman"/>
                <w:sz w:val="14"/>
                <w:szCs w:val="14"/>
                <w:color w:val="auto"/>
                <w:w w:val="93"/>
              </w:rPr>
              <w:t>16,723</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93"/>
              </w:rPr>
              <w:t>$ 16,422</w:t>
            </w:r>
          </w:p>
        </w:tc>
        <w:tc>
          <w:tcPr>
            <w:tcW w:w="1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ind w:left="80"/>
              <w:spacing w:after="0" w:line="141" w:lineRule="exact"/>
              <w:rPr>
                <w:sz w:val="20"/>
                <w:szCs w:val="20"/>
                <w:color w:val="auto"/>
              </w:rPr>
            </w:pPr>
            <w:r>
              <w:rPr>
                <w:rFonts w:ascii="Times New Roman" w:cs="Times New Roman" w:eastAsia="Times New Roman" w:hAnsi="Times New Roman"/>
                <w:sz w:val="14"/>
                <w:szCs w:val="14"/>
                <w:color w:val="auto"/>
                <w:w w:val="95"/>
              </w:rPr>
              <w:t>754</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108</w:t>
            </w:r>
          </w:p>
        </w:tc>
        <w:tc>
          <w:tcPr>
            <w:tcW w:w="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23</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26</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ind w:left="400"/>
              <w:spacing w:after="0" w:line="141" w:lineRule="exact"/>
              <w:rPr>
                <w:sz w:val="20"/>
                <w:szCs w:val="20"/>
                <w:color w:val="auto"/>
              </w:rPr>
            </w:pPr>
            <w:r>
              <w:rPr>
                <w:rFonts w:ascii="Times New Roman" w:cs="Times New Roman" w:eastAsia="Times New Roman" w:hAnsi="Times New Roman"/>
                <w:sz w:val="14"/>
                <w:szCs w:val="14"/>
                <w:color w:val="auto"/>
                <w:w w:val="95"/>
              </w:rPr>
              <w:t>188</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93"/>
              </w:rPr>
              <w:t>$ 16,744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2</w:t>
            </w:r>
          </w:p>
        </w:tc>
        <w:tc>
          <w:tcPr>
            <w:tcW w:w="46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38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ind w:left="2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293</w:t>
            </w:r>
          </w:p>
        </w:tc>
        <w:tc>
          <w:tcPr>
            <w:tcW w:w="40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34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740" w:type="dxa"/>
            <w:vAlign w:val="bottom"/>
            <w:gridSpan w:val="2"/>
          </w:tcPr>
          <w:p>
            <w:pPr>
              <w:ind w:left="4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Other comprehensive income</w:t>
            </w:r>
          </w:p>
        </w:tc>
        <w:tc>
          <w:tcPr>
            <w:tcW w:w="280" w:type="dxa"/>
            <w:vAlign w:val="bottom"/>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34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Reclassification from liability-classified units</w:t>
            </w: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38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520" w:type="dxa"/>
            <w:vAlign w:val="bottom"/>
            <w:gridSpan w:val="2"/>
          </w:tcPr>
          <w:p>
            <w:pPr>
              <w:ind w:left="2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6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11</w:t>
            </w:r>
          </w:p>
        </w:tc>
        <w:tc>
          <w:tcPr>
            <w:tcW w:w="34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740" w:type="dxa"/>
            <w:vAlign w:val="bottom"/>
            <w:gridSpan w:val="2"/>
          </w:tcPr>
          <w:p>
            <w:pPr>
              <w:ind w:left="4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Units repurchased</w:t>
            </w:r>
          </w:p>
        </w:tc>
        <w:tc>
          <w:tcPr>
            <w:tcW w:w="280" w:type="dxa"/>
            <w:vAlign w:val="bottom"/>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(10)</w:t>
            </w:r>
          </w:p>
        </w:tc>
        <w:tc>
          <w:tcPr>
            <w:tcW w:w="34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Compensation expense</w:t>
            </w: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2"/>
                <w:szCs w:val="12"/>
                <w:color w:val="auto"/>
              </w:rPr>
            </w:pPr>
          </w:p>
        </w:tc>
        <w:tc>
          <w:tcPr>
            <w:tcW w:w="38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520" w:type="dxa"/>
            <w:vAlign w:val="bottom"/>
            <w:gridSpan w:val="2"/>
          </w:tcPr>
          <w:p>
            <w:pPr>
              <w:ind w:left="2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6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13</w:t>
            </w:r>
          </w:p>
        </w:tc>
        <w:tc>
          <w:tcPr>
            <w:tcW w:w="180" w:type="dxa"/>
            <w:vAlign w:val="bottom"/>
          </w:tcPr>
          <w:p>
            <w:pPr>
              <w:spacing w:after="0"/>
              <w:rPr>
                <w:sz w:val="12"/>
                <w:szCs w:val="12"/>
                <w:color w:val="auto"/>
              </w:rPr>
            </w:pPr>
          </w:p>
        </w:tc>
        <w:tc>
          <w:tcPr>
            <w:tcW w:w="34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740" w:type="dxa"/>
            <w:vAlign w:val="bottom"/>
            <w:gridSpan w:val="2"/>
          </w:tcPr>
          <w:p>
            <w:pPr>
              <w:ind w:left="4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32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Adjustment of puttable common units to redemption</w:t>
            </w:r>
          </w:p>
        </w:tc>
        <w:tc>
          <w:tcPr>
            <w:tcW w:w="2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28</w:t>
            </w:r>
          </w:p>
        </w:tc>
        <w:tc>
          <w:tcPr>
            <w:tcW w:w="4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(28)</w:t>
            </w:r>
          </w:p>
        </w:tc>
        <w:tc>
          <w:tcPr>
            <w:tcW w:w="4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85"/>
              </w:rPr>
              <w:t>— </w:t>
            </w:r>
          </w:p>
        </w:tc>
        <w:tc>
          <w:tcPr>
            <w:tcW w:w="3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value</w:t>
            </w:r>
          </w:p>
        </w:tc>
        <w:tc>
          <w:tcPr>
            <w:tcW w:w="2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4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32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Adjustment of stock-based compensation to redemption</w:t>
            </w: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0"/>
                <w:szCs w:val="10"/>
                <w:color w:val="auto"/>
              </w:rPr>
            </w:pPr>
          </w:p>
        </w:tc>
        <w:tc>
          <w:tcPr>
            <w:tcW w:w="3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23</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(23)</w:t>
            </w:r>
          </w:p>
        </w:tc>
        <w:tc>
          <w:tcPr>
            <w:tcW w:w="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w w:val="85"/>
              </w:rPr>
              <w:t>— </w:t>
            </w:r>
          </w:p>
        </w:tc>
        <w:tc>
          <w:tcPr>
            <w:tcW w:w="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0"/>
                <w:szCs w:val="10"/>
                <w:color w:val="auto"/>
              </w:rPr>
            </w:pPr>
          </w:p>
        </w:tc>
        <w:tc>
          <w:tcPr>
            <w:tcW w:w="7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value</w:t>
            </w:r>
          </w:p>
        </w:tc>
        <w:tc>
          <w:tcPr>
            <w:tcW w:w="2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Distribution to partners</w:t>
            </w:r>
          </w:p>
        </w:tc>
        <w:tc>
          <w:tcPr>
            <w:tcW w:w="280" w:type="dxa"/>
            <w:vAlign w:val="bottom"/>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(2)</w:t>
            </w:r>
          </w:p>
        </w:tc>
        <w:tc>
          <w:tcPr>
            <w:tcW w:w="40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34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54"/>
        </w:trPr>
        <w:tc>
          <w:tcPr>
            <w:tcW w:w="3340" w:type="dxa"/>
            <w:vAlign w:val="bottom"/>
            <w:gridSpan w:val="2"/>
          </w:tcPr>
          <w:p>
            <w:pPr>
              <w:spacing w:after="0" w:line="154" w:lineRule="exact"/>
              <w:rPr>
                <w:sz w:val="20"/>
                <w:szCs w:val="20"/>
                <w:color w:val="auto"/>
              </w:rPr>
            </w:pPr>
            <w:r>
              <w:rPr>
                <w:rFonts w:ascii="Times New Roman" w:cs="Times New Roman" w:eastAsia="Times New Roman" w:hAnsi="Times New Roman"/>
                <w:sz w:val="14"/>
                <w:szCs w:val="14"/>
                <w:color w:val="auto"/>
              </w:rPr>
              <w:t>Balance, March 30, 2024</w:t>
            </w:r>
          </w:p>
        </w:tc>
        <w:tc>
          <w:tcPr>
            <w:tcW w:w="280" w:type="dxa"/>
            <w:vAlign w:val="bottom"/>
            <w:tcBorders>
              <w:top w:val="single" w:sz="8" w:color="auto"/>
            </w:tcBorders>
          </w:tcPr>
          <w:p>
            <w:pPr>
              <w:ind w:left="60"/>
              <w:spacing w:after="0" w:line="154" w:lineRule="exact"/>
              <w:rPr>
                <w:sz w:val="20"/>
                <w:szCs w:val="20"/>
                <w:color w:val="auto"/>
              </w:rPr>
            </w:pPr>
            <w:r>
              <w:rPr>
                <w:rFonts w:ascii="Times New Roman" w:cs="Times New Roman" w:eastAsia="Times New Roman" w:hAnsi="Times New Roman"/>
                <w:sz w:val="14"/>
                <w:szCs w:val="14"/>
                <w:color w:val="auto"/>
                <w:w w:val="95"/>
              </w:rPr>
              <w:t>128</w:t>
            </w:r>
          </w:p>
        </w:tc>
        <w:tc>
          <w:tcPr>
            <w:tcW w:w="140" w:type="dxa"/>
            <w:vAlign w:val="bottom"/>
          </w:tcPr>
          <w:p>
            <w:pPr>
              <w:spacing w:after="0"/>
              <w:rPr>
                <w:sz w:val="13"/>
                <w:szCs w:val="13"/>
                <w:color w:val="auto"/>
              </w:rPr>
            </w:pPr>
          </w:p>
        </w:tc>
        <w:tc>
          <w:tcPr>
            <w:tcW w:w="180" w:type="dxa"/>
            <w:vAlign w:val="bottom"/>
            <w:tcBorders>
              <w:top w:val="single" w:sz="8" w:color="auto"/>
            </w:tcBorders>
          </w:tcPr>
          <w:p>
            <w:pPr>
              <w:jc w:val="right"/>
              <w:ind w:right="62"/>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tcPr>
          <w:p>
            <w:pPr>
              <w:ind w:left="20"/>
              <w:spacing w:after="0" w:line="154" w:lineRule="exact"/>
              <w:rPr>
                <w:sz w:val="20"/>
                <w:szCs w:val="20"/>
                <w:color w:val="auto"/>
              </w:rPr>
            </w:pPr>
            <w:r>
              <w:rPr>
                <w:rFonts w:ascii="Times New Roman" w:cs="Times New Roman" w:eastAsia="Times New Roman" w:hAnsi="Times New Roman"/>
                <w:sz w:val="14"/>
                <w:szCs w:val="14"/>
                <w:color w:val="auto"/>
                <w:w w:val="85"/>
              </w:rPr>
              <w:t>208</w:t>
            </w:r>
          </w:p>
        </w:tc>
        <w:tc>
          <w:tcPr>
            <w:tcW w:w="140" w:type="dxa"/>
            <w:vAlign w:val="bottom"/>
          </w:tcPr>
          <w:p>
            <w:pPr>
              <w:spacing w:after="0"/>
              <w:rPr>
                <w:sz w:val="13"/>
                <w:szCs w:val="13"/>
                <w:color w:val="auto"/>
              </w:rPr>
            </w:pPr>
          </w:p>
        </w:tc>
        <w:tc>
          <w:tcPr>
            <w:tcW w:w="28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89</w:t>
            </w: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285</w:t>
            </w: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top w:val="single" w:sz="8" w:color="auto"/>
            </w:tcBorders>
          </w:tcPr>
          <w:p>
            <w:pPr>
              <w:ind w:left="60"/>
              <w:spacing w:after="0" w:line="154" w:lineRule="exact"/>
              <w:rPr>
                <w:sz w:val="20"/>
                <w:szCs w:val="20"/>
                <w:color w:val="auto"/>
              </w:rPr>
            </w:pPr>
            <w:r>
              <w:rPr>
                <w:rFonts w:ascii="Times New Roman" w:cs="Times New Roman" w:eastAsia="Times New Roman" w:hAnsi="Times New Roman"/>
                <w:sz w:val="14"/>
                <w:szCs w:val="14"/>
                <w:color w:val="auto"/>
                <w:w w:val="93"/>
              </w:rPr>
              <w:t>16,723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w w:val="93"/>
              </w:rPr>
              <w:t>$ 16,662</w:t>
            </w:r>
          </w:p>
        </w:tc>
        <w:tc>
          <w:tcPr>
            <w:tcW w:w="180" w:type="dxa"/>
            <w:vAlign w:val="bottom"/>
          </w:tcPr>
          <w:p>
            <w:pPr>
              <w:spacing w:after="0"/>
              <w:rPr>
                <w:sz w:val="13"/>
                <w:szCs w:val="13"/>
                <w:color w:val="auto"/>
              </w:rPr>
            </w:pPr>
          </w:p>
        </w:tc>
        <w:tc>
          <w:tcPr>
            <w:tcW w:w="300" w:type="dxa"/>
            <w:vAlign w:val="bottom"/>
            <w:tcBorders>
              <w:top w:val="single" w:sz="8" w:color="auto"/>
            </w:tcBorders>
          </w:tcPr>
          <w:p>
            <w:pPr>
              <w:ind w:left="80"/>
              <w:spacing w:after="0" w:line="154" w:lineRule="exact"/>
              <w:rPr>
                <w:sz w:val="20"/>
                <w:szCs w:val="20"/>
                <w:color w:val="auto"/>
              </w:rPr>
            </w:pPr>
            <w:r>
              <w:rPr>
                <w:rFonts w:ascii="Times New Roman" w:cs="Times New Roman" w:eastAsia="Times New Roman" w:hAnsi="Times New Roman"/>
                <w:sz w:val="14"/>
                <w:szCs w:val="14"/>
                <w:color w:val="auto"/>
                <w:w w:val="95"/>
              </w:rPr>
              <w:t>796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122</w:t>
            </w:r>
          </w:p>
        </w:tc>
        <w:tc>
          <w:tcPr>
            <w:tcW w:w="180" w:type="dxa"/>
            <w:vAlign w:val="bottom"/>
          </w:tcPr>
          <w:p>
            <w:pPr>
              <w:spacing w:after="0"/>
              <w:rPr>
                <w:sz w:val="13"/>
                <w:szCs w:val="13"/>
                <w:color w:val="auto"/>
              </w:rPr>
            </w:pPr>
          </w:p>
        </w:tc>
        <w:tc>
          <w:tcPr>
            <w:tcW w:w="28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23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26</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ind w:left="400"/>
              <w:spacing w:after="0" w:line="154" w:lineRule="exact"/>
              <w:rPr>
                <w:sz w:val="20"/>
                <w:szCs w:val="20"/>
                <w:color w:val="auto"/>
              </w:rPr>
            </w:pPr>
            <w:r>
              <w:rPr>
                <w:rFonts w:ascii="Times New Roman" w:cs="Times New Roman" w:eastAsia="Times New Roman" w:hAnsi="Times New Roman"/>
                <w:sz w:val="14"/>
                <w:szCs w:val="14"/>
                <w:color w:val="auto"/>
                <w:w w:val="95"/>
              </w:rPr>
              <w:t>201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w w:val="93"/>
              </w:rPr>
              <w:t>$ 17,011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2</w:t>
            </w:r>
          </w:p>
        </w:tc>
        <w:tc>
          <w:tcPr>
            <w:tcW w:w="46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w:t>
            </w: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270</w:t>
            </w:r>
          </w:p>
        </w:tc>
        <w:tc>
          <w:tcPr>
            <w:tcW w:w="40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18</w:t>
            </w:r>
          </w:p>
        </w:tc>
        <w:tc>
          <w:tcPr>
            <w:tcW w:w="1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Other comprehensive loss</w:t>
            </w: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38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520" w:type="dxa"/>
            <w:vAlign w:val="bottom"/>
            <w:gridSpan w:val="2"/>
          </w:tcPr>
          <w:p>
            <w:pPr>
              <w:ind w:left="2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6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34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(50)</w:t>
            </w:r>
          </w:p>
        </w:tc>
        <w:tc>
          <w:tcPr>
            <w:tcW w:w="640" w:type="dxa"/>
            <w:vAlign w:val="bottom"/>
            <w:gridSpan w:val="3"/>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Reclassification from liability-classified units</w:t>
            </w:r>
          </w:p>
        </w:tc>
        <w:tc>
          <w:tcPr>
            <w:tcW w:w="280" w:type="dxa"/>
            <w:vAlign w:val="bottom"/>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(1)</w:t>
            </w:r>
          </w:p>
        </w:tc>
        <w:tc>
          <w:tcPr>
            <w:tcW w:w="34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Units repurchased</w:t>
            </w: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38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520" w:type="dxa"/>
            <w:vAlign w:val="bottom"/>
            <w:gridSpan w:val="2"/>
          </w:tcPr>
          <w:p>
            <w:pPr>
              <w:ind w:left="2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6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(5)</w:t>
            </w:r>
          </w:p>
        </w:tc>
        <w:tc>
          <w:tcPr>
            <w:tcW w:w="34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740" w:type="dxa"/>
            <w:vAlign w:val="bottom"/>
            <w:gridSpan w:val="2"/>
          </w:tcPr>
          <w:p>
            <w:pPr>
              <w:ind w:left="4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Compensation expense</w:t>
            </w:r>
          </w:p>
        </w:tc>
        <w:tc>
          <w:tcPr>
            <w:tcW w:w="280" w:type="dxa"/>
            <w:vAlign w:val="bottom"/>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14</w:t>
            </w:r>
          </w:p>
        </w:tc>
        <w:tc>
          <w:tcPr>
            <w:tcW w:w="1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32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Adjustment of puttable common units to redemption</w:t>
            </w: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w:t>
            </w:r>
          </w:p>
        </w:tc>
        <w:tc>
          <w:tcPr>
            <w:tcW w:w="4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0"/>
                <w:szCs w:val="10"/>
                <w:color w:val="auto"/>
              </w:rPr>
            </w:pPr>
          </w:p>
        </w:tc>
        <w:tc>
          <w:tcPr>
            <w:tcW w:w="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w:t>
            </w:r>
          </w:p>
        </w:tc>
        <w:tc>
          <w:tcPr>
            <w:tcW w:w="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w w:val="85"/>
              </w:rPr>
              <w:t>— </w:t>
            </w:r>
          </w:p>
        </w:tc>
        <w:tc>
          <w:tcPr>
            <w:tcW w:w="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0"/>
                <w:szCs w:val="10"/>
                <w:color w:val="auto"/>
              </w:rPr>
            </w:pPr>
          </w:p>
        </w:tc>
        <w:tc>
          <w:tcPr>
            <w:tcW w:w="7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value</w:t>
            </w:r>
          </w:p>
        </w:tc>
        <w:tc>
          <w:tcPr>
            <w:tcW w:w="2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32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Adjustment of stock-based compensation to redemption</w:t>
            </w:r>
          </w:p>
        </w:tc>
        <w:tc>
          <w:tcPr>
            <w:tcW w:w="2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w:t>
            </w:r>
          </w:p>
        </w:tc>
        <w:tc>
          <w:tcPr>
            <w:tcW w:w="4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85"/>
              </w:rPr>
              <w:t>— </w:t>
            </w:r>
          </w:p>
        </w:tc>
        <w:tc>
          <w:tcPr>
            <w:tcW w:w="3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value</w:t>
            </w:r>
          </w:p>
        </w:tc>
        <w:tc>
          <w:tcPr>
            <w:tcW w:w="2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4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Distribution to partners</w:t>
            </w: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rPr>
                <w:sz w:val="12"/>
                <w:szCs w:val="12"/>
                <w:color w:val="auto"/>
              </w:rPr>
            </w:pPr>
          </w:p>
        </w:tc>
        <w:tc>
          <w:tcPr>
            <w:tcW w:w="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12"/>
                <w:szCs w:val="12"/>
                <w:color w:val="auto"/>
              </w:rPr>
            </w:pPr>
          </w:p>
        </w:tc>
        <w:tc>
          <w:tcPr>
            <w:tcW w:w="520" w:type="dxa"/>
            <w:vAlign w:val="bottom"/>
            <w:gridSpan w:val="2"/>
          </w:tcPr>
          <w:p>
            <w:pPr>
              <w:ind w:left="2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(51)</w:t>
            </w:r>
          </w:p>
        </w:tc>
        <w:tc>
          <w:tcPr>
            <w:tcW w:w="40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(57)</w:t>
            </w:r>
          </w:p>
        </w:tc>
        <w:tc>
          <w:tcPr>
            <w:tcW w:w="34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ind w:left="160"/>
              <w:spacing w:after="0" w:line="147"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740" w:type="dxa"/>
            <w:vAlign w:val="bottom"/>
            <w:gridSpan w:val="2"/>
          </w:tcPr>
          <w:p>
            <w:pPr>
              <w:ind w:left="4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Balance, June 29, 2024</w:t>
            </w:r>
          </w:p>
        </w:tc>
        <w:tc>
          <w:tcPr>
            <w:tcW w:w="280" w:type="dxa"/>
            <w:vAlign w:val="bottom"/>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128</w:t>
            </w:r>
          </w:p>
        </w:tc>
        <w:tc>
          <w:tcPr>
            <w:tcW w:w="320" w:type="dxa"/>
            <w:vAlign w:val="bottom"/>
            <w:gridSpan w:val="2"/>
            <w:shd w:val="clear" w:color="auto" w:fill="CCEEFF"/>
          </w:tcPr>
          <w:p>
            <w:pPr>
              <w:jc w:val="right"/>
              <w:ind w:right="62"/>
              <w:spacing w:after="0" w:line="147"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224</w:t>
            </w:r>
          </w:p>
        </w:tc>
        <w:tc>
          <w:tcPr>
            <w:tcW w:w="46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89</w:t>
            </w:r>
          </w:p>
        </w:tc>
        <w:tc>
          <w:tcPr>
            <w:tcW w:w="1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86</w:t>
            </w:r>
          </w:p>
        </w:tc>
        <w:tc>
          <w:tcPr>
            <w:tcW w:w="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310</w:t>
            </w: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16,723</w:t>
            </w:r>
          </w:p>
        </w:tc>
        <w:tc>
          <w:tcPr>
            <w:tcW w:w="720" w:type="dxa"/>
            <w:vAlign w:val="bottom"/>
            <w:gridSpan w:val="3"/>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16,853</w:t>
            </w:r>
          </w:p>
        </w:tc>
        <w:tc>
          <w:tcPr>
            <w:tcW w:w="300" w:type="dxa"/>
            <w:vAlign w:val="bottom"/>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w w:val="95"/>
              </w:rPr>
              <w:t>780</w:t>
            </w: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91</w:t>
            </w:r>
          </w:p>
        </w:tc>
        <w:tc>
          <w:tcPr>
            <w:tcW w:w="1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23</w:t>
            </w:r>
          </w:p>
        </w:tc>
        <w:tc>
          <w:tcPr>
            <w:tcW w:w="220" w:type="dxa"/>
            <w:vAlign w:val="bottom"/>
            <w:gridSpan w:val="2"/>
            <w:shd w:val="clear" w:color="auto" w:fill="CCEEFF"/>
          </w:tcPr>
          <w:p>
            <w:pPr>
              <w:jc w:val="right"/>
              <w:ind w:right="22"/>
              <w:spacing w:after="0" w:line="147"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26</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ind w:left="400"/>
              <w:spacing w:after="0" w:line="147" w:lineRule="exact"/>
              <w:rPr>
                <w:sz w:val="20"/>
                <w:szCs w:val="20"/>
                <w:color w:val="auto"/>
              </w:rPr>
            </w:pPr>
            <w:r>
              <w:rPr>
                <w:rFonts w:ascii="Times New Roman" w:cs="Times New Roman" w:eastAsia="Times New Roman" w:hAnsi="Times New Roman"/>
                <w:sz w:val="14"/>
                <w:szCs w:val="14"/>
                <w:color w:val="auto"/>
                <w:w w:val="95"/>
              </w:rPr>
              <w:t>151</w:t>
            </w:r>
          </w:p>
        </w:tc>
        <w:tc>
          <w:tcPr>
            <w:tcW w:w="1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17,121</w:t>
            </w:r>
          </w:p>
        </w:tc>
        <w:tc>
          <w:tcPr>
            <w:tcW w:w="0" w:type="dxa"/>
            <w:vAlign w:val="bottom"/>
          </w:tcPr>
          <w:p>
            <w:pPr>
              <w:spacing w:after="0"/>
              <w:rPr>
                <w:sz w:val="1"/>
                <w:szCs w:val="1"/>
                <w:color w:val="auto"/>
              </w:rPr>
            </w:pPr>
          </w:p>
        </w:tc>
      </w:tr>
      <w:tr>
        <w:trPr>
          <w:trHeight w:val="154"/>
        </w:trPr>
        <w:tc>
          <w:tcPr>
            <w:tcW w:w="3340" w:type="dxa"/>
            <w:vAlign w:val="bottom"/>
            <w:gridSpan w:val="2"/>
          </w:tcPr>
          <w:p>
            <w:pPr>
              <w:spacing w:after="0" w:line="154" w:lineRule="exact"/>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tcBorders>
              <w:top w:val="single" w:sz="8" w:color="auto"/>
            </w:tcBorders>
          </w:tcPr>
          <w:p>
            <w:pPr>
              <w:ind w:left="60"/>
              <w:spacing w:after="0" w:line="154"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3"/>
                <w:szCs w:val="13"/>
                <w:color w:val="auto"/>
              </w:rPr>
            </w:pPr>
          </w:p>
        </w:tc>
        <w:tc>
          <w:tcPr>
            <w:tcW w:w="28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31</w:t>
            </w: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top w:val="single" w:sz="8" w:color="auto"/>
            </w:tcBorders>
          </w:tcPr>
          <w:p>
            <w:pPr>
              <w:ind w:left="240"/>
              <w:spacing w:after="0" w:line="154"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223</w:t>
            </w:r>
          </w:p>
        </w:tc>
        <w:tc>
          <w:tcPr>
            <w:tcW w:w="180" w:type="dxa"/>
            <w:vAlign w:val="bottom"/>
          </w:tcPr>
          <w:p>
            <w:pPr>
              <w:spacing w:after="0"/>
              <w:rPr>
                <w:sz w:val="13"/>
                <w:szCs w:val="13"/>
                <w:color w:val="auto"/>
              </w:rPr>
            </w:pPr>
          </w:p>
        </w:tc>
        <w:tc>
          <w:tcPr>
            <w:tcW w:w="300" w:type="dxa"/>
            <w:vAlign w:val="bottom"/>
            <w:tcBorders>
              <w:top w:val="single" w:sz="8" w:color="auto"/>
            </w:tcBorders>
          </w:tcPr>
          <w:p>
            <w:pPr>
              <w:ind w:left="80"/>
              <w:spacing w:after="0" w:line="154" w:lineRule="exact"/>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46</w:t>
            </w:r>
          </w:p>
        </w:tc>
        <w:tc>
          <w:tcPr>
            <w:tcW w:w="180" w:type="dxa"/>
            <w:vAlign w:val="bottom"/>
          </w:tcPr>
          <w:p>
            <w:pPr>
              <w:spacing w:after="0"/>
              <w:rPr>
                <w:sz w:val="13"/>
                <w:szCs w:val="13"/>
                <w:color w:val="auto"/>
              </w:rPr>
            </w:pPr>
          </w:p>
        </w:tc>
        <w:tc>
          <w:tcPr>
            <w:tcW w:w="280" w:type="dxa"/>
            <w:vAlign w:val="bottom"/>
            <w:tcBorders>
              <w:top w:val="single" w:sz="8" w:color="auto"/>
            </w:tcBorders>
          </w:tcPr>
          <w:p>
            <w:pPr>
              <w:ind w:left="60"/>
              <w:spacing w:after="0" w:line="154" w:lineRule="exact"/>
              <w:rPr>
                <w:sz w:val="20"/>
                <w:szCs w:val="20"/>
                <w:color w:val="auto"/>
              </w:rPr>
            </w:pPr>
            <w:r>
              <w:rPr>
                <w:rFonts w:ascii="Times New Roman" w:cs="Times New Roman" w:eastAsia="Times New Roman" w:hAnsi="Times New Roman"/>
                <w:sz w:val="14"/>
                <w:szCs w:val="14"/>
                <w:color w:val="auto"/>
                <w:w w:val="95"/>
              </w:rPr>
              <w:t>— </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24</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ind w:left="400"/>
              <w:spacing w:after="0" w:line="154"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Other comprehensive loss</w:t>
            </w:r>
          </w:p>
        </w:tc>
        <w:tc>
          <w:tcPr>
            <w:tcW w:w="280" w:type="dxa"/>
            <w:vAlign w:val="bottom"/>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34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(96)</w:t>
            </w:r>
          </w:p>
        </w:tc>
        <w:tc>
          <w:tcPr>
            <w:tcW w:w="640" w:type="dxa"/>
            <w:vAlign w:val="bottom"/>
            <w:gridSpan w:val="3"/>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Units repurchased</w:t>
            </w: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2"/>
                <w:szCs w:val="12"/>
                <w:color w:val="auto"/>
              </w:rPr>
            </w:pPr>
          </w:p>
        </w:tc>
        <w:tc>
          <w:tcPr>
            <w:tcW w:w="38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520" w:type="dxa"/>
            <w:vAlign w:val="bottom"/>
            <w:gridSpan w:val="2"/>
          </w:tcPr>
          <w:p>
            <w:pPr>
              <w:ind w:left="2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6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(2)</w:t>
            </w:r>
          </w:p>
        </w:tc>
        <w:tc>
          <w:tcPr>
            <w:tcW w:w="34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740" w:type="dxa"/>
            <w:vAlign w:val="bottom"/>
            <w:gridSpan w:val="2"/>
          </w:tcPr>
          <w:p>
            <w:pPr>
              <w:ind w:left="4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Compensation expense</w:t>
            </w:r>
          </w:p>
        </w:tc>
        <w:tc>
          <w:tcPr>
            <w:tcW w:w="280" w:type="dxa"/>
            <w:vAlign w:val="bottom"/>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12</w:t>
            </w:r>
          </w:p>
        </w:tc>
        <w:tc>
          <w:tcPr>
            <w:tcW w:w="1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14</w:t>
            </w:r>
          </w:p>
        </w:tc>
        <w:tc>
          <w:tcPr>
            <w:tcW w:w="1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32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Adjustment of puttable common units to redemption</w:t>
            </w: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16</w:t>
            </w:r>
          </w:p>
        </w:tc>
        <w:tc>
          <w:tcPr>
            <w:tcW w:w="4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0"/>
                <w:szCs w:val="10"/>
                <w:color w:val="auto"/>
              </w:rPr>
            </w:pPr>
          </w:p>
        </w:tc>
        <w:tc>
          <w:tcPr>
            <w:tcW w:w="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(16)</w:t>
            </w:r>
          </w:p>
        </w:tc>
        <w:tc>
          <w:tcPr>
            <w:tcW w:w="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w w:val="85"/>
              </w:rPr>
              <w:t>— </w:t>
            </w:r>
          </w:p>
        </w:tc>
        <w:tc>
          <w:tcPr>
            <w:tcW w:w="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0"/>
                <w:szCs w:val="10"/>
                <w:color w:val="auto"/>
              </w:rPr>
            </w:pPr>
          </w:p>
        </w:tc>
        <w:tc>
          <w:tcPr>
            <w:tcW w:w="7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value</w:t>
            </w:r>
          </w:p>
        </w:tc>
        <w:tc>
          <w:tcPr>
            <w:tcW w:w="2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32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Adjustment of stock-based compensation to redemption</w:t>
            </w:r>
          </w:p>
        </w:tc>
        <w:tc>
          <w:tcPr>
            <w:tcW w:w="2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w:t>
            </w:r>
          </w:p>
        </w:tc>
        <w:tc>
          <w:tcPr>
            <w:tcW w:w="4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85"/>
              </w:rPr>
              <w:t>— </w:t>
            </w:r>
          </w:p>
        </w:tc>
        <w:tc>
          <w:tcPr>
            <w:tcW w:w="3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value</w:t>
            </w:r>
          </w:p>
        </w:tc>
        <w:tc>
          <w:tcPr>
            <w:tcW w:w="2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4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Distribution to partners</w:t>
            </w:r>
          </w:p>
        </w:tc>
        <w:tc>
          <w:tcPr>
            <w:tcW w:w="28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Pr>
          <w:p>
            <w:pPr>
              <w:spacing w:after="0"/>
              <w:rPr>
                <w:sz w:val="12"/>
                <w:szCs w:val="12"/>
                <w:color w:val="auto"/>
              </w:rPr>
            </w:pPr>
          </w:p>
        </w:tc>
        <w:tc>
          <w:tcPr>
            <w:tcW w:w="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2"/>
                <w:szCs w:val="12"/>
                <w:color w:val="auto"/>
              </w:rPr>
            </w:pPr>
          </w:p>
        </w:tc>
        <w:tc>
          <w:tcPr>
            <w:tcW w:w="520" w:type="dxa"/>
            <w:vAlign w:val="bottom"/>
            <w:gridSpan w:val="2"/>
          </w:tcPr>
          <w:p>
            <w:pPr>
              <w:ind w:left="2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(33)</w:t>
            </w:r>
          </w:p>
        </w:tc>
        <w:tc>
          <w:tcPr>
            <w:tcW w:w="40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(7)</w:t>
            </w:r>
          </w:p>
        </w:tc>
        <w:tc>
          <w:tcPr>
            <w:tcW w:w="34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740" w:type="dxa"/>
            <w:vAlign w:val="bottom"/>
            <w:gridSpan w:val="2"/>
          </w:tcPr>
          <w:p>
            <w:pPr>
              <w:ind w:left="40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Balance, September 28, 2024</w:t>
            </w:r>
          </w:p>
        </w:tc>
        <w:tc>
          <w:tcPr>
            <w:tcW w:w="280" w:type="dxa"/>
            <w:vAlign w:val="bottom"/>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128</w:t>
            </w:r>
          </w:p>
        </w:tc>
        <w:tc>
          <w:tcPr>
            <w:tcW w:w="320" w:type="dxa"/>
            <w:vAlign w:val="bottom"/>
            <w:gridSpan w:val="2"/>
            <w:shd w:val="clear" w:color="auto" w:fill="CCEEFF"/>
          </w:tcPr>
          <w:p>
            <w:pPr>
              <w:jc w:val="right"/>
              <w:ind w:right="62"/>
              <w:spacing w:after="0" w:line="147"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242</w:t>
            </w:r>
          </w:p>
        </w:tc>
        <w:tc>
          <w:tcPr>
            <w:tcW w:w="46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99</w:t>
            </w:r>
          </w:p>
        </w:tc>
        <w:tc>
          <w:tcPr>
            <w:tcW w:w="1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127</w:t>
            </w:r>
          </w:p>
        </w:tc>
        <w:tc>
          <w:tcPr>
            <w:tcW w:w="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369</w:t>
            </w: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rPr>
              <w:t>16,723</w:t>
            </w:r>
          </w:p>
        </w:tc>
        <w:tc>
          <w:tcPr>
            <w:tcW w:w="720" w:type="dxa"/>
            <w:vAlign w:val="bottom"/>
            <w:gridSpan w:val="3"/>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17,012</w:t>
            </w:r>
          </w:p>
        </w:tc>
        <w:tc>
          <w:tcPr>
            <w:tcW w:w="300" w:type="dxa"/>
            <w:vAlign w:val="bottom"/>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w w:val="95"/>
              </w:rPr>
              <w:t>765</w:t>
            </w: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142</w:t>
            </w:r>
          </w:p>
        </w:tc>
        <w:tc>
          <w:tcPr>
            <w:tcW w:w="1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23</w:t>
            </w:r>
          </w:p>
        </w:tc>
        <w:tc>
          <w:tcPr>
            <w:tcW w:w="220" w:type="dxa"/>
            <w:vAlign w:val="bottom"/>
            <w:gridSpan w:val="2"/>
            <w:shd w:val="clear" w:color="auto" w:fill="CCEEFF"/>
          </w:tcPr>
          <w:p>
            <w:pPr>
              <w:jc w:val="right"/>
              <w:ind w:right="22"/>
              <w:spacing w:after="0" w:line="147"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50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55</w:t>
            </w:r>
          </w:p>
        </w:tc>
        <w:tc>
          <w:tcPr>
            <w:tcW w:w="1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17,259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080"/>
          </w:cols>
          <w:pgMar w:left="320" w:top="451" w:right="49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4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color w:val="auto"/>
              </w:rPr>
              <w:t>Nine months ended</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222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color w:val="auto"/>
              </w:rPr>
              <w:t>September 27, 2025</w:t>
            </w:r>
          </w:p>
        </w:tc>
        <w:tc>
          <w:tcPr>
            <w:tcW w:w="116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rPr>
              <w:t>September 28, 2024</w:t>
            </w:r>
          </w:p>
        </w:tc>
        <w:tc>
          <w:tcPr>
            <w:tcW w:w="100" w:type="dxa"/>
            <w:vAlign w:val="bottom"/>
          </w:tcPr>
          <w:p>
            <w:pPr>
              <w:spacing w:after="0"/>
              <w:rPr>
                <w:sz w:val="12"/>
                <w:szCs w:val="12"/>
                <w:color w:val="auto"/>
              </w:rPr>
            </w:pPr>
          </w:p>
        </w:tc>
      </w:tr>
      <w:tr>
        <w:trPr>
          <w:trHeight w:val="194"/>
        </w:trPr>
        <w:tc>
          <w:tcPr>
            <w:tcW w:w="20" w:type="dxa"/>
            <w:vAlign w:val="bottom"/>
          </w:tcPr>
          <w:p>
            <w:pPr>
              <w:spacing w:after="0"/>
              <w:rPr>
                <w:sz w:val="16"/>
                <w:szCs w:val="16"/>
                <w:color w:val="auto"/>
              </w:rPr>
            </w:pPr>
          </w:p>
        </w:tc>
        <w:tc>
          <w:tcPr>
            <w:tcW w:w="742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977</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911</w:t>
            </w:r>
          </w:p>
        </w:tc>
      </w:tr>
      <w:tr>
        <w:trPr>
          <w:trHeight w:val="214"/>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4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18"/>
                <w:szCs w:val="18"/>
                <w:color w:val="auto"/>
              </w:rPr>
            </w:pPr>
          </w:p>
        </w:tc>
        <w:tc>
          <w:tcPr>
            <w:tcW w:w="182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750</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724</w:t>
            </w:r>
          </w:p>
        </w:tc>
      </w:tr>
      <w:tr>
        <w:trPr>
          <w:trHeight w:val="214"/>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4"/>
        </w:trPr>
        <w:tc>
          <w:tcPr>
            <w:tcW w:w="20" w:type="dxa"/>
            <w:vAlign w:val="bottom"/>
          </w:tcPr>
          <w:p>
            <w:pPr>
              <w:spacing w:after="0"/>
              <w:rPr>
                <w:sz w:val="18"/>
                <w:szCs w:val="18"/>
                <w:color w:val="auto"/>
              </w:rPr>
            </w:pPr>
          </w:p>
        </w:tc>
        <w:tc>
          <w:tcPr>
            <w:tcW w:w="74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r>
      <w:tr>
        <w:trPr>
          <w:trHeight w:val="214"/>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Credit losses</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4"/>
        </w:trPr>
        <w:tc>
          <w:tcPr>
            <w:tcW w:w="20" w:type="dxa"/>
            <w:vAlign w:val="bottom"/>
          </w:tcPr>
          <w:p>
            <w:pPr>
              <w:spacing w:after="0"/>
              <w:rPr>
                <w:sz w:val="18"/>
                <w:szCs w:val="18"/>
                <w:color w:val="auto"/>
              </w:rPr>
            </w:pPr>
          </w:p>
        </w:tc>
        <w:tc>
          <w:tcPr>
            <w:tcW w:w="74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Unrealized foreign exchange loss, net</w:t>
            </w:r>
          </w:p>
        </w:tc>
        <w:tc>
          <w:tcPr>
            <w:tcW w:w="400" w:type="dxa"/>
            <w:vAlign w:val="bottom"/>
          </w:tcPr>
          <w:p>
            <w:pPr>
              <w:spacing w:after="0"/>
              <w:rPr>
                <w:sz w:val="18"/>
                <w:szCs w:val="18"/>
                <w:color w:val="auto"/>
              </w:rPr>
            </w:pPr>
          </w:p>
        </w:tc>
        <w:tc>
          <w:tcPr>
            <w:tcW w:w="182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103</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14"/>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Amortization of inventory step-up</w:t>
            </w:r>
          </w:p>
        </w:tc>
        <w:tc>
          <w:tcPr>
            <w:tcW w:w="4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4"/>
        </w:trPr>
        <w:tc>
          <w:tcPr>
            <w:tcW w:w="20" w:type="dxa"/>
            <w:vAlign w:val="bottom"/>
          </w:tcPr>
          <w:p>
            <w:pPr>
              <w:spacing w:after="0"/>
              <w:rPr>
                <w:sz w:val="18"/>
                <w:szCs w:val="18"/>
                <w:color w:val="auto"/>
              </w:rPr>
            </w:pPr>
          </w:p>
        </w:tc>
        <w:tc>
          <w:tcPr>
            <w:tcW w:w="74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00" w:type="dxa"/>
            <w:vAlign w:val="bottom"/>
          </w:tcPr>
          <w:p>
            <w:pPr>
              <w:spacing w:after="0"/>
              <w:rPr>
                <w:sz w:val="18"/>
                <w:szCs w:val="18"/>
                <w:color w:val="auto"/>
              </w:rPr>
            </w:pPr>
          </w:p>
        </w:tc>
        <w:tc>
          <w:tcPr>
            <w:tcW w:w="182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14"/>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Non-cash lease expense</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r>
      <w:tr>
        <w:trPr>
          <w:trHeight w:val="214"/>
        </w:trPr>
        <w:tc>
          <w:tcPr>
            <w:tcW w:w="20" w:type="dxa"/>
            <w:vAlign w:val="bottom"/>
          </w:tcPr>
          <w:p>
            <w:pPr>
              <w:spacing w:after="0"/>
              <w:rPr>
                <w:sz w:val="18"/>
                <w:szCs w:val="18"/>
                <w:color w:val="auto"/>
              </w:rPr>
            </w:pPr>
          </w:p>
        </w:tc>
        <w:tc>
          <w:tcPr>
            <w:tcW w:w="74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Other non-cash adjustments</w:t>
            </w:r>
          </w:p>
        </w:tc>
        <w:tc>
          <w:tcPr>
            <w:tcW w:w="400" w:type="dxa"/>
            <w:vAlign w:val="bottom"/>
          </w:tcPr>
          <w:p>
            <w:pPr>
              <w:spacing w:after="0"/>
              <w:rPr>
                <w:sz w:val="18"/>
                <w:szCs w:val="18"/>
                <w:color w:val="auto"/>
              </w:rPr>
            </w:pPr>
          </w:p>
        </w:tc>
        <w:tc>
          <w:tcPr>
            <w:tcW w:w="182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14"/>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4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400" w:type="dxa"/>
            <w:vAlign w:val="bottom"/>
          </w:tcPr>
          <w:p>
            <w:pPr>
              <w:spacing w:after="0"/>
              <w:rPr>
                <w:sz w:val="18"/>
                <w:szCs w:val="18"/>
                <w:color w:val="auto"/>
              </w:rPr>
            </w:pPr>
          </w:p>
        </w:tc>
        <w:tc>
          <w:tcPr>
            <w:tcW w:w="182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(239)</w:t>
            </w:r>
          </w:p>
        </w:tc>
        <w:tc>
          <w:tcPr>
            <w:tcW w:w="4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r>
      <w:tr>
        <w:trPr>
          <w:trHeight w:val="214"/>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Inventories</w:t>
            </w:r>
          </w:p>
        </w:tc>
        <w:tc>
          <w:tcPr>
            <w:tcW w:w="4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(249)</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w:t>
            </w:r>
          </w:p>
        </w:tc>
      </w:tr>
      <w:tr>
        <w:trPr>
          <w:trHeight w:val="214"/>
        </w:trPr>
        <w:tc>
          <w:tcPr>
            <w:tcW w:w="20" w:type="dxa"/>
            <w:vAlign w:val="bottom"/>
          </w:tcPr>
          <w:p>
            <w:pPr>
              <w:spacing w:after="0"/>
              <w:rPr>
                <w:sz w:val="18"/>
                <w:szCs w:val="18"/>
                <w:color w:val="auto"/>
              </w:rPr>
            </w:pPr>
          </w:p>
        </w:tc>
        <w:tc>
          <w:tcPr>
            <w:tcW w:w="74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Other assets</w:t>
            </w:r>
          </w:p>
        </w:tc>
        <w:tc>
          <w:tcPr>
            <w:tcW w:w="400" w:type="dxa"/>
            <w:vAlign w:val="bottom"/>
          </w:tcPr>
          <w:p>
            <w:pPr>
              <w:spacing w:after="0"/>
              <w:rPr>
                <w:sz w:val="18"/>
                <w:szCs w:val="18"/>
                <w:color w:val="auto"/>
              </w:rPr>
            </w:pPr>
          </w:p>
        </w:tc>
        <w:tc>
          <w:tcPr>
            <w:tcW w:w="182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(124)</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r>
      <w:tr>
        <w:trPr>
          <w:trHeight w:val="214"/>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140</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r>
      <w:tr>
        <w:trPr>
          <w:trHeight w:val="214"/>
        </w:trPr>
        <w:tc>
          <w:tcPr>
            <w:tcW w:w="20" w:type="dxa"/>
            <w:vAlign w:val="bottom"/>
          </w:tcPr>
          <w:p>
            <w:pPr>
              <w:spacing w:after="0"/>
              <w:rPr>
                <w:sz w:val="18"/>
                <w:szCs w:val="18"/>
                <w:color w:val="auto"/>
              </w:rPr>
            </w:pPr>
          </w:p>
        </w:tc>
        <w:tc>
          <w:tcPr>
            <w:tcW w:w="74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00" w:type="dxa"/>
            <w:vAlign w:val="bottom"/>
          </w:tcPr>
          <w:p>
            <w:pPr>
              <w:spacing w:after="0"/>
              <w:rPr>
                <w:sz w:val="18"/>
                <w:szCs w:val="18"/>
                <w:color w:val="auto"/>
              </w:rPr>
            </w:pPr>
          </w:p>
        </w:tc>
        <w:tc>
          <w:tcPr>
            <w:tcW w:w="182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(17)</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214"/>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Other liabilities</w:t>
            </w:r>
          </w:p>
        </w:tc>
        <w:tc>
          <w:tcPr>
            <w:tcW w:w="4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221"/>
        </w:trPr>
        <w:tc>
          <w:tcPr>
            <w:tcW w:w="20" w:type="dxa"/>
            <w:vAlign w:val="bottom"/>
          </w:tcPr>
          <w:p>
            <w:pPr>
              <w:spacing w:after="0"/>
              <w:rPr>
                <w:sz w:val="19"/>
                <w:szCs w:val="19"/>
                <w:color w:val="auto"/>
              </w:rPr>
            </w:pP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4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Purchases of property and equipment, net</w:t>
            </w:r>
          </w:p>
        </w:tc>
        <w:tc>
          <w:tcPr>
            <w:tcW w:w="400" w:type="dxa"/>
            <w:vAlign w:val="bottom"/>
          </w:tcPr>
          <w:p>
            <w:pPr>
              <w:spacing w:after="0"/>
              <w:rPr>
                <w:sz w:val="18"/>
                <w:szCs w:val="18"/>
                <w:color w:val="auto"/>
              </w:rPr>
            </w:pPr>
          </w:p>
        </w:tc>
        <w:tc>
          <w:tcPr>
            <w:tcW w:w="182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(309)</w:t>
            </w:r>
          </w:p>
        </w:tc>
        <w:tc>
          <w:tcPr>
            <w:tcW w:w="4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w:t>
            </w:r>
          </w:p>
        </w:tc>
      </w:tr>
      <w:tr>
        <w:trPr>
          <w:trHeight w:val="214"/>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4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6</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(1,120)</w:t>
            </w:r>
          </w:p>
        </w:tc>
      </w:tr>
      <w:tr>
        <w:trPr>
          <w:trHeight w:val="214"/>
        </w:trPr>
        <w:tc>
          <w:tcPr>
            <w:tcW w:w="20" w:type="dxa"/>
            <w:vAlign w:val="bottom"/>
          </w:tcPr>
          <w:p>
            <w:pPr>
              <w:spacing w:after="0"/>
              <w:rPr>
                <w:sz w:val="18"/>
                <w:szCs w:val="18"/>
                <w:color w:val="auto"/>
              </w:rPr>
            </w:pPr>
          </w:p>
        </w:tc>
        <w:tc>
          <w:tcPr>
            <w:tcW w:w="74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Cash paid for asset acquisitions</w:t>
            </w:r>
          </w:p>
        </w:tc>
        <w:tc>
          <w:tcPr>
            <w:tcW w:w="400" w:type="dxa"/>
            <w:vAlign w:val="bottom"/>
          </w:tcPr>
          <w:p>
            <w:pPr>
              <w:spacing w:after="0"/>
              <w:rPr>
                <w:sz w:val="18"/>
                <w:szCs w:val="18"/>
                <w:color w:val="auto"/>
              </w:rPr>
            </w:pPr>
          </w:p>
        </w:tc>
        <w:tc>
          <w:tcPr>
            <w:tcW w:w="182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(33)</w:t>
            </w:r>
          </w:p>
        </w:tc>
        <w:tc>
          <w:tcPr>
            <w:tcW w:w="4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4"/>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4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21"/>
        </w:trPr>
        <w:tc>
          <w:tcPr>
            <w:tcW w:w="20" w:type="dxa"/>
            <w:vAlign w:val="bottom"/>
          </w:tcPr>
          <w:p>
            <w:pPr>
              <w:spacing w:after="0"/>
              <w:rPr>
                <w:sz w:val="19"/>
                <w:szCs w:val="19"/>
                <w:color w:val="auto"/>
              </w:rPr>
            </w:pPr>
          </w:p>
        </w:tc>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4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Proceeds from long-term borrowings</w:t>
            </w:r>
          </w:p>
        </w:tc>
        <w:tc>
          <w:tcPr>
            <w:tcW w:w="400" w:type="dxa"/>
            <w:vAlign w:val="bottom"/>
          </w:tcPr>
          <w:p>
            <w:pPr>
              <w:spacing w:after="0"/>
              <w:rPr>
                <w:sz w:val="18"/>
                <w:szCs w:val="18"/>
                <w:color w:val="auto"/>
              </w:rPr>
            </w:pPr>
          </w:p>
        </w:tc>
        <w:tc>
          <w:tcPr>
            <w:tcW w:w="182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7,569</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9,806</w:t>
            </w:r>
          </w:p>
        </w:tc>
      </w:tr>
      <w:tr>
        <w:trPr>
          <w:trHeight w:val="214"/>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Repayment for long-term borrowings</w:t>
            </w:r>
          </w:p>
        </w:tc>
        <w:tc>
          <w:tcPr>
            <w:tcW w:w="4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(7,612)</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(9,848)</w:t>
            </w:r>
          </w:p>
        </w:tc>
      </w:tr>
      <w:tr>
        <w:trPr>
          <w:trHeight w:val="214"/>
        </w:trPr>
        <w:tc>
          <w:tcPr>
            <w:tcW w:w="20" w:type="dxa"/>
            <w:vAlign w:val="bottom"/>
          </w:tcPr>
          <w:p>
            <w:pPr>
              <w:spacing w:after="0"/>
              <w:rPr>
                <w:sz w:val="18"/>
                <w:szCs w:val="18"/>
                <w:color w:val="auto"/>
              </w:rPr>
            </w:pPr>
          </w:p>
        </w:tc>
        <w:tc>
          <w:tcPr>
            <w:tcW w:w="74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Repayments under lines of credit</w:t>
            </w:r>
          </w:p>
        </w:tc>
        <w:tc>
          <w:tcPr>
            <w:tcW w:w="400" w:type="dxa"/>
            <w:vAlign w:val="bottom"/>
          </w:tcPr>
          <w:p>
            <w:pPr>
              <w:spacing w:after="0"/>
              <w:rPr>
                <w:sz w:val="18"/>
                <w:szCs w:val="18"/>
                <w:color w:val="auto"/>
              </w:rPr>
            </w:pPr>
          </w:p>
        </w:tc>
        <w:tc>
          <w:tcPr>
            <w:tcW w:w="182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(179)</w:t>
            </w:r>
          </w:p>
        </w:tc>
        <w:tc>
          <w:tcPr>
            <w:tcW w:w="4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4"/>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Proceeds from lines of credit</w:t>
            </w:r>
          </w:p>
        </w:tc>
        <w:tc>
          <w:tcPr>
            <w:tcW w:w="4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179</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4"/>
        </w:trPr>
        <w:tc>
          <w:tcPr>
            <w:tcW w:w="20" w:type="dxa"/>
            <w:vAlign w:val="bottom"/>
          </w:tcPr>
          <w:p>
            <w:pPr>
              <w:spacing w:after="0"/>
              <w:rPr>
                <w:sz w:val="18"/>
                <w:szCs w:val="18"/>
                <w:color w:val="auto"/>
              </w:rPr>
            </w:pPr>
          </w:p>
        </w:tc>
        <w:tc>
          <w:tcPr>
            <w:tcW w:w="74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Payment for debt issuance cost</w:t>
            </w:r>
          </w:p>
        </w:tc>
        <w:tc>
          <w:tcPr>
            <w:tcW w:w="400" w:type="dxa"/>
            <w:vAlign w:val="bottom"/>
          </w:tcPr>
          <w:p>
            <w:pPr>
              <w:spacing w:after="0"/>
              <w:rPr>
                <w:sz w:val="18"/>
                <w:szCs w:val="18"/>
                <w:color w:val="auto"/>
              </w:rPr>
            </w:pPr>
          </w:p>
        </w:tc>
        <w:tc>
          <w:tcPr>
            <w:tcW w:w="182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4"/>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Payment towards Class B unit repurchases</w:t>
            </w:r>
          </w:p>
        </w:tc>
        <w:tc>
          <w:tcPr>
            <w:tcW w:w="4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(33)</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14"/>
        </w:trPr>
        <w:tc>
          <w:tcPr>
            <w:tcW w:w="20" w:type="dxa"/>
            <w:vAlign w:val="bottom"/>
          </w:tcPr>
          <w:p>
            <w:pPr>
              <w:spacing w:after="0"/>
              <w:rPr>
                <w:sz w:val="18"/>
                <w:szCs w:val="18"/>
                <w:color w:val="auto"/>
              </w:rPr>
            </w:pPr>
          </w:p>
        </w:tc>
        <w:tc>
          <w:tcPr>
            <w:tcW w:w="74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Distributions to partners</w:t>
            </w:r>
          </w:p>
        </w:tc>
        <w:tc>
          <w:tcPr>
            <w:tcW w:w="400" w:type="dxa"/>
            <w:vAlign w:val="bottom"/>
          </w:tcPr>
          <w:p>
            <w:pPr>
              <w:spacing w:after="0"/>
              <w:rPr>
                <w:sz w:val="18"/>
                <w:szCs w:val="18"/>
                <w:color w:val="auto"/>
              </w:rPr>
            </w:pPr>
          </w:p>
        </w:tc>
        <w:tc>
          <w:tcPr>
            <w:tcW w:w="182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(422)</w:t>
            </w:r>
          </w:p>
        </w:tc>
        <w:tc>
          <w:tcPr>
            <w:tcW w:w="4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w:t>
            </w: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(498)</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w:t>
            </w:r>
          </w:p>
        </w:tc>
      </w:tr>
      <w:tr>
        <w:trPr>
          <w:trHeight w:val="221"/>
        </w:trPr>
        <w:tc>
          <w:tcPr>
            <w:tcW w:w="20" w:type="dxa"/>
            <w:vAlign w:val="bottom"/>
          </w:tcPr>
          <w:p>
            <w:pPr>
              <w:spacing w:after="0"/>
              <w:rPr>
                <w:sz w:val="19"/>
                <w:szCs w:val="19"/>
                <w:color w:val="auto"/>
              </w:rPr>
            </w:pPr>
          </w:p>
        </w:tc>
        <w:tc>
          <w:tcPr>
            <w:tcW w:w="74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 and restricted cash</w:t>
            </w:r>
          </w:p>
        </w:tc>
        <w:tc>
          <w:tcPr>
            <w:tcW w:w="4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705</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r>
      <w:tr>
        <w:trPr>
          <w:trHeight w:val="221"/>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beginning of year</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00" w:type="dxa"/>
            <w:vAlign w:val="bottom"/>
            <w:shd w:val="clear" w:color="auto" w:fill="CCEEFF"/>
          </w:tcPr>
          <w:p>
            <w:pPr>
              <w:spacing w:after="0"/>
              <w:rPr>
                <w:sz w:val="18"/>
                <w:szCs w:val="18"/>
                <w:color w:val="auto"/>
              </w:rPr>
            </w:pPr>
          </w:p>
        </w:tc>
      </w:tr>
    </w:tbl>
    <w:p>
      <w:pPr>
        <w:spacing w:after="0" w:line="2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080"/>
          </w:cols>
          <w:pgMar w:left="320" w:top="451" w:right="49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 (Continued)</w:t>
      </w:r>
    </w:p>
    <w:p>
      <w:pPr>
        <w:spacing w:after="0" w:line="24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74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Nine months ended</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0"/>
        </w:trPr>
        <w:tc>
          <w:tcPr>
            <w:tcW w:w="744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gridSpan w:val="2"/>
          </w:tcPr>
          <w:p>
            <w:pPr>
              <w:spacing w:after="0" w:line="141" w:lineRule="exact"/>
              <w:rPr>
                <w:sz w:val="20"/>
                <w:szCs w:val="20"/>
                <w:color w:val="auto"/>
              </w:rPr>
            </w:pPr>
            <w:r>
              <w:rPr>
                <w:rFonts w:ascii="Times New Roman" w:cs="Times New Roman" w:eastAsia="Times New Roman" w:hAnsi="Times New Roman"/>
                <w:sz w:val="14"/>
                <w:szCs w:val="14"/>
                <w:color w:val="auto"/>
              </w:rPr>
              <w:t>September 27, 2025</w:t>
            </w:r>
          </w:p>
        </w:tc>
        <w:tc>
          <w:tcPr>
            <w:tcW w:w="112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gridSpan w:val="2"/>
          </w:tcPr>
          <w:p>
            <w:pPr>
              <w:spacing w:after="0" w:line="141" w:lineRule="exact"/>
              <w:rPr>
                <w:sz w:val="20"/>
                <w:szCs w:val="20"/>
                <w:color w:val="auto"/>
              </w:rPr>
            </w:pPr>
            <w:r>
              <w:rPr>
                <w:rFonts w:ascii="Times New Roman" w:cs="Times New Roman" w:eastAsia="Times New Roman" w:hAnsi="Times New Roman"/>
                <w:sz w:val="14"/>
                <w:szCs w:val="14"/>
                <w:color w:val="auto"/>
                <w:w w:val="99"/>
              </w:rPr>
              <w:t>September 28, 2024</w:t>
            </w:r>
          </w:p>
        </w:tc>
        <w:tc>
          <w:tcPr>
            <w:tcW w:w="60" w:type="dxa"/>
            <w:vAlign w:val="bottom"/>
            <w:tcBorders>
              <w:bottom w:val="single" w:sz="8" w:color="CCEEFF"/>
            </w:tcBorders>
          </w:tcPr>
          <w:p>
            <w:pPr>
              <w:spacing w:after="0"/>
              <w:rPr>
                <w:sz w:val="12"/>
                <w:szCs w:val="12"/>
                <w:color w:val="auto"/>
              </w:rPr>
            </w:pPr>
          </w:p>
        </w:tc>
      </w:tr>
      <w:tr>
        <w:trPr>
          <w:trHeight w:val="194"/>
        </w:trPr>
        <w:tc>
          <w:tcPr>
            <w:tcW w:w="74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4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4"/>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payments for interest on borrowings</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6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670</w:t>
            </w:r>
          </w:p>
        </w:tc>
      </w:tr>
      <w:tr>
        <w:trPr>
          <w:trHeight w:val="214"/>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received from interest rate hedging activities</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w:t>
            </w:r>
          </w:p>
        </w:tc>
      </w:tr>
    </w:tbl>
    <w:p>
      <w:pPr>
        <w:spacing w:after="0" w:line="196" w:lineRule="exact"/>
        <w:rPr>
          <w:sz w:val="20"/>
          <w:szCs w:val="20"/>
          <w:color w:val="auto"/>
        </w:rPr>
      </w:pPr>
    </w:p>
    <w:p>
      <w:pPr>
        <w:ind w:left="160" w:right="360"/>
        <w:spacing w:after="0" w:line="278" w:lineRule="auto"/>
        <w:rPr>
          <w:sz w:val="20"/>
          <w:szCs w:val="20"/>
          <w:color w:val="auto"/>
        </w:rPr>
      </w:pPr>
      <w:r>
        <w:rPr>
          <w:rFonts w:ascii="Times New Roman" w:cs="Times New Roman" w:eastAsia="Times New Roman" w:hAnsi="Times New Roman"/>
          <w:sz w:val="18"/>
          <w:szCs w:val="18"/>
          <w:color w:val="auto"/>
        </w:rPr>
        <w:t>The following table provides reconciliation of cash, cash equivalents and restricted cash shown above to the amounts reported within the condensed consolidated balance sheets as of September 27, 2025 and December 31, 2024:</w:t>
      </w:r>
    </w:p>
    <w:p>
      <w:pPr>
        <w:spacing w:after="0" w:line="185"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September 27, 2025</w:t>
            </w:r>
          </w:p>
        </w:tc>
        <w:tc>
          <w:tcPr>
            <w:tcW w:w="5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5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48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955</w:t>
            </w:r>
          </w:p>
        </w:tc>
        <w:tc>
          <w:tcPr>
            <w:tcW w:w="10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080"/>
          </w:cols>
          <w:pgMar w:left="320" w:top="451" w:right="49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1 - NATURE OF BUSINESS AND SIGNIFICANT ACCOUNTING POLICIES</w:t>
      </w:r>
    </w:p>
    <w:p>
      <w:pPr>
        <w:spacing w:after="0" w:line="118" w:lineRule="exact"/>
        <w:rPr>
          <w:sz w:val="20"/>
          <w:szCs w:val="20"/>
          <w:color w:val="auto"/>
        </w:rPr>
      </w:pPr>
    </w:p>
    <w:p>
      <w:pPr>
        <w:ind w:left="160" w:right="80"/>
        <w:spacing w:after="0" w:line="255" w:lineRule="auto"/>
        <w:rPr>
          <w:sz w:val="20"/>
          <w:szCs w:val="20"/>
          <w:color w:val="auto"/>
        </w:rPr>
      </w:pPr>
      <w:r>
        <w:rPr>
          <w:rFonts w:ascii="Times New Roman" w:cs="Times New Roman" w:eastAsia="Times New Roman" w:hAnsi="Times New Roman"/>
          <w:sz w:val="18"/>
          <w:szCs w:val="18"/>
          <w:u w:val="single" w:color="auto"/>
          <w:color w:val="auto"/>
        </w:rPr>
        <w:t>Nature of Business</w:t>
      </w:r>
      <w:r>
        <w:rPr>
          <w:rFonts w:ascii="Times New Roman" w:cs="Times New Roman" w:eastAsia="Times New Roman" w:hAnsi="Times New Roman"/>
          <w:sz w:val="18"/>
          <w:szCs w:val="18"/>
          <w:color w:val="auto"/>
        </w:rPr>
        <w:t>: Medline Holdings, LP (“Medline Holdings”), the indirect parent of Medline Industries, LP (formally known as Medline Industries, Inc.) (“Medline”), and its subsidiaries (together, the “Company”) are a medical-surgical products and supply chain company, serving healthcare providers across the continuum of care. Its customers are primarily composed of hospitals, nursing homes and other health care providers located in the United States of America, Canada, Europe, Asia-Pacific (which includes Southeast Asia, Japan and Australia), Latin America (which includes Mexico), the Middle East and Africa.</w:t>
      </w:r>
    </w:p>
    <w:p>
      <w:pPr>
        <w:spacing w:after="0" w:line="184" w:lineRule="exact"/>
        <w:rPr>
          <w:sz w:val="20"/>
          <w:szCs w:val="20"/>
          <w:color w:val="auto"/>
        </w:rPr>
      </w:pPr>
    </w:p>
    <w:p>
      <w:pPr>
        <w:ind w:left="160" w:right="120"/>
        <w:spacing w:after="0" w:line="263" w:lineRule="auto"/>
        <w:rPr>
          <w:sz w:val="20"/>
          <w:szCs w:val="20"/>
          <w:color w:val="auto"/>
        </w:rPr>
      </w:pPr>
      <w:r>
        <w:rPr>
          <w:rFonts w:ascii="Times New Roman" w:cs="Times New Roman" w:eastAsia="Times New Roman" w:hAnsi="Times New Roman"/>
          <w:sz w:val="18"/>
          <w:szCs w:val="18"/>
          <w:color w:val="auto"/>
        </w:rPr>
        <w:t>On June 5, 2021, the owners of Medline agreed to sell a majority ownership in the Company to a private equity consortium led by Blackstone Inc., The Carlyle Group Inc. and Hellman &amp; Friedman LLC, which was consummated on October 21, 2021 (the private equity consortium described herein is referred to as the “Sponsors” and the transaction described herein is referred to as the “Transaction” or the “Acquisition”).</w:t>
      </w:r>
    </w:p>
    <w:p>
      <w:pPr>
        <w:spacing w:after="0" w:line="175" w:lineRule="exact"/>
        <w:rPr>
          <w:sz w:val="20"/>
          <w:szCs w:val="20"/>
          <w:color w:val="auto"/>
        </w:rPr>
      </w:pPr>
    </w:p>
    <w:p>
      <w:pPr>
        <w:ind w:left="160" w:right="780"/>
        <w:spacing w:after="0" w:line="278" w:lineRule="auto"/>
        <w:rPr>
          <w:sz w:val="20"/>
          <w:szCs w:val="20"/>
          <w:color w:val="auto"/>
        </w:rPr>
      </w:pPr>
      <w:r>
        <w:rPr>
          <w:rFonts w:ascii="Times New Roman" w:cs="Times New Roman" w:eastAsia="Times New Roman" w:hAnsi="Times New Roman"/>
          <w:sz w:val="18"/>
          <w:szCs w:val="18"/>
          <w:u w:val="single" w:color="auto"/>
          <w:color w:val="auto"/>
        </w:rPr>
        <w:t>Principles of Consolidation</w:t>
      </w:r>
      <w:r>
        <w:rPr>
          <w:rFonts w:ascii="Times New Roman" w:cs="Times New Roman" w:eastAsia="Times New Roman" w:hAnsi="Times New Roman"/>
          <w:sz w:val="18"/>
          <w:szCs w:val="18"/>
          <w:color w:val="auto"/>
        </w:rPr>
        <w:t>: The condensed consolidated financial statements include the accounts of Medline Holdings and its wholly owned subsidiaries. All intercompany transactions and balances have been eliminated in consolidation.</w:t>
      </w:r>
    </w:p>
    <w:p>
      <w:pPr>
        <w:spacing w:after="0" w:line="162" w:lineRule="exact"/>
        <w:rPr>
          <w:sz w:val="20"/>
          <w:szCs w:val="20"/>
          <w:color w:val="auto"/>
        </w:rPr>
      </w:pPr>
    </w:p>
    <w:p>
      <w:pPr>
        <w:ind w:left="160" w:right="40"/>
        <w:spacing w:after="0" w:line="253" w:lineRule="auto"/>
        <w:rPr>
          <w:sz w:val="20"/>
          <w:szCs w:val="20"/>
          <w:color w:val="auto"/>
        </w:rPr>
      </w:pPr>
      <w:r>
        <w:rPr>
          <w:rFonts w:ascii="Times New Roman" w:cs="Times New Roman" w:eastAsia="Times New Roman" w:hAnsi="Times New Roman"/>
          <w:sz w:val="18"/>
          <w:szCs w:val="18"/>
          <w:u w:val="single" w:color="auto"/>
          <w:color w:val="auto"/>
        </w:rPr>
        <w:t>Basis of Presentation</w:t>
      </w:r>
      <w:r>
        <w:rPr>
          <w:rFonts w:ascii="Times New Roman" w:cs="Times New Roman" w:eastAsia="Times New Roman" w:hAnsi="Times New Roman"/>
          <w:sz w:val="18"/>
          <w:szCs w:val="18"/>
          <w:color w:val="auto"/>
        </w:rPr>
        <w:t>: The unaudited condensed consolidated financial statements and accompanying notes are prepared in accordance with United States (“U.S.”) generally accepted accounting principles (“GAAP”) for interim financial information. Accordingly, certain information and footnote disclosures normally included in annual financial statements prepared in accordance with GAAP have been omitted. These unaudited interim condensed consolidated financial statements should be read in conjunction with the Company’s consolidated financial statements for the year ended December 31, 2024. The results of businesses acquired or disposed of are included in the consolidated financial statements from the date of the acquisition or up to the date of disposal, respectively. All adjustments, in the opinion of management, necessary to a fair statement of the results for the interim and annual periods presented have been made.</w:t>
      </w:r>
    </w:p>
    <w:p>
      <w:pPr>
        <w:spacing w:after="0" w:line="184" w:lineRule="exact"/>
        <w:rPr>
          <w:sz w:val="20"/>
          <w:szCs w:val="20"/>
          <w:color w:val="auto"/>
        </w:rPr>
      </w:pPr>
    </w:p>
    <w:p>
      <w:pPr>
        <w:ind w:left="160"/>
        <w:spacing w:after="0" w:line="258" w:lineRule="auto"/>
        <w:rPr>
          <w:sz w:val="20"/>
          <w:szCs w:val="20"/>
          <w:color w:val="auto"/>
        </w:rPr>
      </w:pPr>
      <w:r>
        <w:rPr>
          <w:rFonts w:ascii="Times New Roman" w:cs="Times New Roman" w:eastAsia="Times New Roman" w:hAnsi="Times New Roman"/>
          <w:sz w:val="18"/>
          <w:szCs w:val="18"/>
          <w:color w:val="auto"/>
        </w:rPr>
        <w:t>The Company reports its financial results in two reportable segments: Medline Brand and Supply Chain Solutions. The Medline Brand segment procures and manufactures products from three product categories — Surgical Solutions, Front Line Care, and Laboratory &amp; Diagnostics. The Supply Chain Solutions segment distributes a variety of third-party products from national brands and also provides tailored logistics and supply chain optimization services to domestic and international consumers. See “Note 15 — Segment Information” for additional details.</w:t>
      </w:r>
    </w:p>
    <w:p>
      <w:pPr>
        <w:spacing w:after="0" w:line="180" w:lineRule="exact"/>
        <w:rPr>
          <w:sz w:val="20"/>
          <w:szCs w:val="20"/>
          <w:color w:val="auto"/>
        </w:rPr>
      </w:pPr>
    </w:p>
    <w:p>
      <w:pPr>
        <w:ind w:left="160" w:right="120"/>
        <w:spacing w:after="0" w:line="263" w:lineRule="auto"/>
        <w:rPr>
          <w:sz w:val="20"/>
          <w:szCs w:val="20"/>
          <w:color w:val="auto"/>
        </w:rPr>
      </w:pPr>
      <w:r>
        <w:rPr>
          <w:rFonts w:ascii="Times New Roman" w:cs="Times New Roman" w:eastAsia="Times New Roman" w:hAnsi="Times New Roman"/>
          <w:sz w:val="18"/>
          <w:szCs w:val="18"/>
          <w:color w:val="auto"/>
        </w:rPr>
        <w:t>The Company reclassified certain prior period amounts to make them comparable to the current period. The changes relate to presenting operating cash flows for leases gross rather than net with supplemental disclosures, presenting other operating expenses in the dedicated caption, and presenting mezzanine equity.</w:t>
      </w:r>
    </w:p>
    <w:p>
      <w:pPr>
        <w:spacing w:after="0" w:line="175" w:lineRule="exact"/>
        <w:rPr>
          <w:sz w:val="20"/>
          <w:szCs w:val="20"/>
          <w:color w:val="auto"/>
        </w:rPr>
      </w:pPr>
    </w:p>
    <w:p>
      <w:pPr>
        <w:ind w:left="160" w:right="340"/>
        <w:spacing w:after="0" w:line="263" w:lineRule="auto"/>
        <w:rPr>
          <w:sz w:val="20"/>
          <w:szCs w:val="20"/>
          <w:color w:val="auto"/>
        </w:rPr>
      </w:pPr>
      <w:r>
        <w:rPr>
          <w:rFonts w:ascii="Times New Roman" w:cs="Times New Roman" w:eastAsia="Times New Roman" w:hAnsi="Times New Roman"/>
          <w:sz w:val="18"/>
          <w:szCs w:val="18"/>
          <w:u w:val="single" w:color="auto"/>
          <w:color w:val="auto"/>
        </w:rPr>
        <w:t>Fiscal Periods</w:t>
      </w:r>
      <w:r>
        <w:rPr>
          <w:rFonts w:ascii="Times New Roman" w:cs="Times New Roman" w:eastAsia="Times New Roman" w:hAnsi="Times New Roman"/>
          <w:sz w:val="18"/>
          <w:szCs w:val="18"/>
          <w:color w:val="auto"/>
        </w:rPr>
        <w:t>: The Company’s fiscal year begins on January 1 and ends on December 31. The fiscal quarters are based on a four-four-five-week calendar with periods ending on the Saturday of the last week in the quarter, with the exception of December 31, which is always the fiscal year-end date.</w:t>
      </w:r>
    </w:p>
    <w:p>
      <w:pPr>
        <w:spacing w:after="0" w:line="175" w:lineRule="exact"/>
        <w:rPr>
          <w:sz w:val="20"/>
          <w:szCs w:val="20"/>
          <w:color w:val="auto"/>
        </w:rPr>
      </w:pPr>
    </w:p>
    <w:p>
      <w:pPr>
        <w:jc w:val="both"/>
        <w:ind w:left="160" w:right="260"/>
        <w:spacing w:after="0" w:line="258" w:lineRule="auto"/>
        <w:rPr>
          <w:sz w:val="20"/>
          <w:szCs w:val="20"/>
          <w:color w:val="auto"/>
        </w:rPr>
      </w:pPr>
      <w:r>
        <w:rPr>
          <w:rFonts w:ascii="Times New Roman" w:cs="Times New Roman" w:eastAsia="Times New Roman" w:hAnsi="Times New Roman"/>
          <w:sz w:val="18"/>
          <w:szCs w:val="18"/>
          <w:u w:val="single" w:color="auto"/>
          <w:color w:val="auto"/>
        </w:rPr>
        <w:t>Use of Estimates</w:t>
      </w:r>
      <w:r>
        <w:rPr>
          <w:rFonts w:ascii="Times New Roman" w:cs="Times New Roman" w:eastAsia="Times New Roman" w:hAnsi="Times New Roman"/>
          <w:sz w:val="18"/>
          <w:szCs w:val="18"/>
          <w:color w:val="auto"/>
        </w:rPr>
        <w:t>: The preparation of the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Such estimates include, but are not limited to, allowance for credit losses, inventory valuation reserves, fair value of financial</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080"/>
          </w:cols>
          <w:pgMar w:left="320" w:top="451" w:right="49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1 - NATURE OF BUSINESS AND SIGNIFICANT ACCOUNTING POLICIES (Continued)</w:t>
      </w:r>
    </w:p>
    <w:p>
      <w:pPr>
        <w:spacing w:after="0" w:line="131" w:lineRule="exact"/>
        <w:rPr>
          <w:sz w:val="20"/>
          <w:szCs w:val="20"/>
          <w:color w:val="auto"/>
        </w:rPr>
      </w:pPr>
    </w:p>
    <w:p>
      <w:pPr>
        <w:ind w:left="160" w:right="120"/>
        <w:spacing w:after="0" w:line="278" w:lineRule="auto"/>
        <w:rPr>
          <w:sz w:val="20"/>
          <w:szCs w:val="20"/>
          <w:color w:val="auto"/>
        </w:rPr>
      </w:pPr>
      <w:r>
        <w:rPr>
          <w:rFonts w:ascii="Times New Roman" w:cs="Times New Roman" w:eastAsia="Times New Roman" w:hAnsi="Times New Roman"/>
          <w:sz w:val="18"/>
          <w:szCs w:val="18"/>
          <w:color w:val="auto"/>
        </w:rPr>
        <w:t>instruments, impairment of long-lived assets and goodwill, deferred tax valuations, depreciation and amortization, actuarial assumptions, and fair value allocations related to business combinations. Actual results could differ from those estimates.</w:t>
      </w:r>
    </w:p>
    <w:p>
      <w:pPr>
        <w:spacing w:after="0" w:line="162" w:lineRule="exact"/>
        <w:rPr>
          <w:sz w:val="20"/>
          <w:szCs w:val="20"/>
          <w:color w:val="auto"/>
        </w:rPr>
      </w:pPr>
    </w:p>
    <w:p>
      <w:pPr>
        <w:ind w:left="160" w:right="120"/>
        <w:spacing w:after="0" w:line="258" w:lineRule="auto"/>
        <w:rPr>
          <w:sz w:val="20"/>
          <w:szCs w:val="20"/>
          <w:color w:val="auto"/>
        </w:rPr>
      </w:pPr>
      <w:r>
        <w:rPr>
          <w:rFonts w:ascii="Times New Roman" w:cs="Times New Roman" w:eastAsia="Times New Roman" w:hAnsi="Times New Roman"/>
          <w:sz w:val="18"/>
          <w:szCs w:val="18"/>
          <w:u w:val="single" w:color="auto"/>
          <w:color w:val="auto"/>
        </w:rPr>
        <w:t>Restricted Cash</w:t>
      </w:r>
      <w:r>
        <w:rPr>
          <w:rFonts w:ascii="Times New Roman" w:cs="Times New Roman" w:eastAsia="Times New Roman" w:hAnsi="Times New Roman"/>
          <w:sz w:val="18"/>
          <w:szCs w:val="18"/>
          <w:color w:val="auto"/>
        </w:rPr>
        <w:t>: Restricted cash represents cash balances restricted as to withdrawal or use and are included in other current assets on the condensed consolidated balance sheets. As of September 27, 2025, restricted cash was not material. As of December 31, 2024, restricted cash includes $47 held in an escrow account related to settlement for ethylene oxide sterilization (“EtO”) litigation. See “Note 9 — Commitments and Contingencies” for additional information on EtO related claims and litigation.</w:t>
      </w:r>
    </w:p>
    <w:p>
      <w:pPr>
        <w:spacing w:after="0" w:line="180" w:lineRule="exact"/>
        <w:rPr>
          <w:sz w:val="20"/>
          <w:szCs w:val="20"/>
          <w:color w:val="auto"/>
        </w:rPr>
      </w:pPr>
    </w:p>
    <w:p>
      <w:pPr>
        <w:ind w:left="160"/>
        <w:spacing w:after="0" w:line="266" w:lineRule="auto"/>
        <w:rPr>
          <w:sz w:val="20"/>
          <w:szCs w:val="20"/>
          <w:color w:val="auto"/>
        </w:rPr>
      </w:pPr>
      <w:r>
        <w:rPr>
          <w:rFonts w:ascii="Times New Roman" w:cs="Times New Roman" w:eastAsia="Times New Roman" w:hAnsi="Times New Roman"/>
          <w:sz w:val="17"/>
          <w:szCs w:val="17"/>
          <w:u w:val="single" w:color="auto"/>
          <w:color w:val="auto"/>
        </w:rPr>
        <w:t>Recently Issued Accounting Standards Not Yet Adopted:</w:t>
      </w:r>
      <w:r>
        <w:rPr>
          <w:rFonts w:ascii="Times New Roman" w:cs="Times New Roman" w:eastAsia="Times New Roman" w:hAnsi="Times New Roman"/>
          <w:sz w:val="17"/>
          <w:szCs w:val="17"/>
          <w:color w:val="auto"/>
        </w:rPr>
        <w:t xml:space="preserve"> In September 2025, the Financial Accounting Standards Board (“FASB”) issued Accounting Standards Update (“ASU”) 2025-07, Derivatives and Hedging (Topic 815) and Revenue from Contracts with Customers (Topic 606): Derivatives Scope Refinements and Scope Clarification for Share-Based Noncash Consideration from a Customer in a Revenue Contract. ASU 2025-07 refines the scope of derivative accounting by excluding certain non-exchange-traded contracts with underlyings that are based on operations or activities specific to one of the parties to the contract. The scope exception does not apply to variables based on a market rate, market price, market index, the price, or performance of a financial asset or liability, contracts (or features) involving an issuer’s own equity or options on debt instruments. In addition, the amendments clarify that share-based noncash consideration received from a customer should be accounted for under the noncash consideration guidance in Topic</w:t>
      </w:r>
    </w:p>
    <w:p>
      <w:pPr>
        <w:ind w:left="160" w:right="120" w:firstLine="7"/>
        <w:spacing w:after="0" w:line="252" w:lineRule="auto"/>
        <w:tabs>
          <w:tab w:leader="none" w:pos="517"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amendments are effective for annual periods beginning after December 15, 2026, and interim periods within those annual periods. Early adoption is permitted. Entities may adopt the guidance either prospectively or on a modified retrospective basis. The Company expects adoption of this ASU would not have a material impact on the consolidated financial statements.</w:t>
      </w:r>
    </w:p>
    <w:p>
      <w:pPr>
        <w:spacing w:after="0" w:line="185" w:lineRule="exact"/>
        <w:rPr>
          <w:sz w:val="20"/>
          <w:szCs w:val="20"/>
          <w:color w:val="auto"/>
        </w:rPr>
      </w:pPr>
    </w:p>
    <w:p>
      <w:pPr>
        <w:ind w:left="160" w:right="60"/>
        <w:spacing w:after="0" w:line="253"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Internal-Use Software. ASU 2025-06 updates the guidance for internal-use software by eliminating references to development stages and clarifying the criteria for capitalization. Under the new guidance, capitalization begins when (1) management authorizes and commits to funding the project and (2) it is probable that the project will be completed, and the software will be used as intended. The amendments are effective for annual periods beginning after December 15, 2027, and interim periods within those annual periods. Early adoption is permitted. Entities may adopt the guidance using a prospective, retrospective, or modified transition approach. The Company expects adoption of this ASU would not have a material impact on the consolidated financial statements.</w:t>
      </w:r>
    </w:p>
    <w:p>
      <w:pPr>
        <w:spacing w:after="0" w:line="184" w:lineRule="exact"/>
        <w:rPr>
          <w:sz w:val="20"/>
          <w:szCs w:val="20"/>
          <w:color w:val="auto"/>
        </w:rPr>
      </w:pPr>
    </w:p>
    <w:p>
      <w:pPr>
        <w:ind w:left="160"/>
        <w:spacing w:after="0" w:line="255"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Instruments—Credit Losses (Topic 326): Measurement of Credit Losses for Accounts Receivable and Contract Assets. ASU 2025-05 introduces a practical expedient allowing entities to assume current economic conditions, as of the balance sheet date, remain unchanged when estimating expected credit losses for current trade receivables and contract assets. The standard is effective for fiscal years beginning after December 15, 2025 on a prospective basis, and including interim periods, with early adoption permitted. The Company is currently evaluating the impact of adopting this new standard on its financial statements.</w:t>
      </w:r>
    </w:p>
    <w:p>
      <w:pPr>
        <w:spacing w:after="0" w:line="184" w:lineRule="exact"/>
        <w:rPr>
          <w:sz w:val="20"/>
          <w:szCs w:val="20"/>
          <w:color w:val="auto"/>
        </w:rPr>
      </w:pPr>
    </w:p>
    <w:p>
      <w:pPr>
        <w:ind w:left="160" w:right="160"/>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requires enhanced income tax disclosures, including specific categories and disaggregation of information in the effective tax rate reconciliation, disaggregated amounts by certain jurisdictions related to income taxes paid, income or loss from continuing operations before income tax expense or benefit, and income tax expense or benefit from continuing operations. The standard will be effective for the Company in the annual period of 2025. The Company is currently evaluating the impact of adopting this new standard on its financial statements.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080"/>
          </w:cols>
          <w:pgMar w:left="320" w:top="451" w:right="49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1 - NATURE OF BUSINESS AND SIGNIFICANT ACCOUNTING POLICIES (Continued)</w:t>
      </w:r>
    </w:p>
    <w:p>
      <w:pPr>
        <w:spacing w:after="0" w:line="131" w:lineRule="exact"/>
        <w:rPr>
          <w:sz w:val="20"/>
          <w:szCs w:val="20"/>
          <w:color w:val="auto"/>
        </w:rPr>
      </w:pPr>
    </w:p>
    <w:p>
      <w:pPr>
        <w:ind w:left="160" w:right="160"/>
        <w:spacing w:after="0" w:line="268"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Statement—Reporting Comprehensive Income—Expense Disaggregation Disclosures (Subtopic 220-40): Disaggregation of Income Statement Expenses. The standard, later clarified by ASU No. 2025-01, requires public business entities to, among other things, 1) disclose disaggregated information about certain income statement line items into one or more of the natural expense categories such as purchases of inventory; employee compensation, depreciation, and intangible asset amortization, where such expenses are included;</w:t>
      </w:r>
    </w:p>
    <w:p>
      <w:pPr>
        <w:spacing w:after="0" w:line="2" w:lineRule="exact"/>
        <w:rPr>
          <w:sz w:val="20"/>
          <w:szCs w:val="20"/>
          <w:color w:val="auto"/>
        </w:rPr>
      </w:pPr>
    </w:p>
    <w:p>
      <w:pPr>
        <w:ind w:left="160" w:right="20" w:firstLine="7"/>
        <w:spacing w:after="0" w:line="268" w:lineRule="auto"/>
        <w:tabs>
          <w:tab w:leader="none" w:pos="353"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present certain other expenses and gains or losses that must be disclosed under existing U.S. GAAP in tabular disclosure on an annual and, when applicable, interim basis; and 3) disclose the total amount of selling expenses and, in annual reporting periods, an entity’s definition of selling expenses. The standard is effective for fiscal years beginning after December 15, 2026, and interim periods within fiscal years beginning after December 15, 2027. Early adoption is permitted. Upon adoption, the amendments may be applied prospectively to reporting periods after the effective date or retrospectively to all periods presented in the financial statements. The Company is currently evaluating the impact that this guidance will have on its disclosures.</w:t>
      </w:r>
    </w:p>
    <w:p>
      <w:pPr>
        <w:spacing w:after="0" w:line="2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2 - ACQUISITIONS</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Microtek</w:t>
      </w:r>
    </w:p>
    <w:p>
      <w:pPr>
        <w:spacing w:after="0" w:line="118" w:lineRule="exact"/>
        <w:rPr>
          <w:sz w:val="20"/>
          <w:szCs w:val="20"/>
          <w:color w:val="auto"/>
        </w:rPr>
      </w:pPr>
    </w:p>
    <w:p>
      <w:pPr>
        <w:ind w:left="160"/>
        <w:spacing w:after="0" w:line="253" w:lineRule="auto"/>
        <w:rPr>
          <w:sz w:val="20"/>
          <w:szCs w:val="20"/>
          <w:color w:val="auto"/>
        </w:rPr>
      </w:pPr>
      <w:r>
        <w:rPr>
          <w:rFonts w:ascii="Times New Roman" w:cs="Times New Roman" w:eastAsia="Times New Roman" w:hAnsi="Times New Roman"/>
          <w:sz w:val="18"/>
          <w:szCs w:val="18"/>
          <w:color w:val="auto"/>
        </w:rPr>
        <w:t>On August 1, 2024, the Company acquired all of the outstanding shares of the global surgical solutions business of Ecolab (the “Microtek” business) pursuant to a share purchase agreement for $905 cash consideration. The primary purpose of the business combination was to expand the Medline Brand business (defined in “Note 15—Segment Information”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by creating synergies based on Ecolab’s expertise in innovative sterile drape solutions for patients and operating room equipment, while also bolstering a capability for temperature management systems used in the operating room. This acquisition also creates an opportunity for the Company to add design and development capabilities to support original equipment manufacturer (“OEM”) customers. With these new capabilities, the Company will be able to support cutting edge medical device companies to bring innovative solutions to healthcare customers. The Company will also use its existing platform to expand margins on acquired Microtek contracts.</w:t>
      </w:r>
    </w:p>
    <w:p>
      <w:pPr>
        <w:spacing w:after="0" w:line="184" w:lineRule="exact"/>
        <w:rPr>
          <w:sz w:val="20"/>
          <w:szCs w:val="20"/>
          <w:color w:val="auto"/>
        </w:rPr>
      </w:pPr>
    </w:p>
    <w:p>
      <w:pPr>
        <w:ind w:left="160" w:right="60"/>
        <w:spacing w:after="0" w:line="254" w:lineRule="auto"/>
        <w:rPr>
          <w:sz w:val="20"/>
          <w:szCs w:val="20"/>
          <w:color w:val="auto"/>
        </w:rPr>
      </w:pPr>
      <w:r>
        <w:rPr>
          <w:rFonts w:ascii="Times New Roman" w:cs="Times New Roman" w:eastAsia="Times New Roman" w:hAnsi="Times New Roman"/>
          <w:sz w:val="18"/>
          <w:szCs w:val="18"/>
          <w:color w:val="auto"/>
        </w:rPr>
        <w:t>The acquisition met the requirements to be considered a business combination under Accounting Standards Codification 805 Business Combinations (“ASC 805”) and was accounted for using the acquisition method of accounting. Results of operations of this acquired business are included in the Company’s condensed consolidated financial statements beginning from the date of acquisition. The Microtek acquisition contributed $56 of net sales and an immaterial amount of net income for the three and nine months ended September 28, 2024. The Company has allocated the purchase price to the tangible and identifiable intangible assets acquired and liabilities assumed based on their fair market values at the acquisition date as required under ASC 805.</w:t>
      </w:r>
    </w:p>
    <w:p>
      <w:pPr>
        <w:spacing w:after="0" w:line="184" w:lineRule="exact"/>
        <w:rPr>
          <w:sz w:val="20"/>
          <w:szCs w:val="20"/>
          <w:color w:val="auto"/>
        </w:rPr>
      </w:pPr>
    </w:p>
    <w:p>
      <w:pPr>
        <w:ind w:left="160" w:right="20"/>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27, 2025, the Company recorded measurement period adjustments as a result of additional facts and circumstances that existed as of the acquisition date. Total net adjustments of $4 were offset by an increase in goodwill acquired from $418 to $422. The adjustments primarily relate to updated valuations of trade accounts receivable, inventories, other long-term assets and other long-term liabilities as well as a reclassification of $11 from other long-term liabilities to accrued expenses and other current liabilities. In addition, an adjustment which decreased trade accounts receivable also reduced the purchase price by $6. These adjustments did not have a material impact on the condensed consolidated statements of comprehensive income.</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060"/>
          </w:cols>
          <w:pgMar w:left="320" w:top="451" w:right="51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2 - ACQUISITIONS (Continued)</w:t>
      </w:r>
    </w:p>
    <w:p>
      <w:pPr>
        <w:spacing w:after="0" w:line="118" w:lineRule="exact"/>
        <w:rPr>
          <w:sz w:val="20"/>
          <w:szCs w:val="20"/>
          <w:color w:val="auto"/>
        </w:rPr>
      </w:pPr>
    </w:p>
    <w:p>
      <w:pPr>
        <w:ind w:left="160" w:right="140"/>
        <w:spacing w:after="0" w:line="278" w:lineRule="auto"/>
        <w:rPr>
          <w:sz w:val="20"/>
          <w:szCs w:val="20"/>
          <w:color w:val="auto"/>
        </w:rPr>
      </w:pPr>
      <w:r>
        <w:rPr>
          <w:rFonts w:ascii="Times New Roman" w:cs="Times New Roman" w:eastAsia="Times New Roman" w:hAnsi="Times New Roman"/>
          <w:sz w:val="18"/>
          <w:szCs w:val="18"/>
          <w:color w:val="auto"/>
        </w:rPr>
        <w:t>The Company has allocated the final purchase price to the assets acquired and the liabilities assumed based on their fair values as of August 1, 2024 as below:</w:t>
      </w:r>
    </w:p>
    <w:p>
      <w:pPr>
        <w:spacing w:after="0" w:line="183" w:lineRule="exact"/>
        <w:rPr>
          <w:sz w:val="20"/>
          <w:szCs w:val="20"/>
          <w:color w:val="auto"/>
        </w:rPr>
      </w:pPr>
    </w:p>
    <w:tbl>
      <w:tblPr>
        <w:tblLayout w:type="fixed"/>
        <w:tblInd w:w="1920" w:type="dxa"/>
        <w:tblCellMar>
          <w:top w:w="0" w:type="dxa"/>
          <w:left w:w="0" w:type="dxa"/>
          <w:bottom w:w="0" w:type="dxa"/>
          <w:right w:w="0" w:type="dxa"/>
        </w:tblCellMar>
      </w:tblPr>
      <w:tr>
        <w:trPr>
          <w:trHeight w:val="172"/>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7"/>
              </w:rPr>
              <w:t>Amount</w:t>
            </w:r>
          </w:p>
        </w:tc>
      </w:tr>
      <w:tr>
        <w:trPr>
          <w:trHeight w:val="207"/>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8"/>
                <w:szCs w:val="18"/>
                <w:color w:val="auto"/>
              </w:rPr>
            </w:pPr>
          </w:p>
        </w:tc>
      </w:tr>
      <w:tr>
        <w:trPr>
          <w:trHeight w:val="21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r>
      <w:tr>
        <w:trPr>
          <w:trHeight w:val="21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18"/>
                <w:szCs w:val="18"/>
                <w:color w:val="auto"/>
              </w:rPr>
            </w:pPr>
          </w:p>
        </w:tc>
      </w:tr>
      <w:tr>
        <w:trPr>
          <w:trHeight w:val="21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8"/>
                <w:szCs w:val="18"/>
                <w:color w:val="auto"/>
              </w:rPr>
            </w:pPr>
          </w:p>
        </w:tc>
      </w:tr>
      <w:tr>
        <w:trPr>
          <w:trHeight w:val="21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r>
      <w:tr>
        <w:trPr>
          <w:trHeight w:val="21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shd w:val="clear" w:color="auto" w:fill="CCEEFF"/>
          </w:tcPr>
          <w:p>
            <w:pPr>
              <w:spacing w:after="0"/>
              <w:rPr>
                <w:sz w:val="18"/>
                <w:szCs w:val="18"/>
                <w:color w:val="auto"/>
              </w:rPr>
            </w:pPr>
          </w:p>
        </w:tc>
      </w:tr>
      <w:tr>
        <w:trPr>
          <w:trHeight w:val="21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r>
      <w:tr>
        <w:trPr>
          <w:trHeight w:val="21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r>
      <w:tr>
        <w:trPr>
          <w:trHeight w:val="21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1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21"/>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shd w:val="clear" w:color="auto" w:fill="CCEEFF"/>
          </w:tcPr>
          <w:p>
            <w:pPr>
              <w:spacing w:after="0"/>
              <w:rPr>
                <w:sz w:val="18"/>
                <w:szCs w:val="18"/>
                <w:color w:val="auto"/>
              </w:rPr>
            </w:pPr>
          </w:p>
        </w:tc>
      </w:tr>
      <w:tr>
        <w:trPr>
          <w:trHeight w:val="221"/>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assets acquired, at fair value</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right="80"/>
        <w:spacing w:after="0" w:line="263" w:lineRule="auto"/>
        <w:rPr>
          <w:sz w:val="20"/>
          <w:szCs w:val="20"/>
          <w:color w:val="auto"/>
        </w:rPr>
      </w:pPr>
      <w:r>
        <w:rPr>
          <w:rFonts w:ascii="Times New Roman" w:cs="Times New Roman" w:eastAsia="Times New Roman" w:hAnsi="Times New Roman"/>
          <w:sz w:val="18"/>
          <w:szCs w:val="18"/>
          <w:color w:val="auto"/>
        </w:rPr>
        <w:t>The excess of the purchase price over the fair value of the net identifiable tangible and intangible assets was recorded as goodwill. $427 of the goodwill is estimated to be tax deductible over the amortizable period. Goodwill is comprised of expected synergies related to the combined operations, trade name, and customer relationships acquired in the business combination.</w:t>
      </w:r>
    </w:p>
    <w:p>
      <w:pPr>
        <w:spacing w:after="0" w:line="1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At the date of acquisition, the fair values for trade name and developed technology were determined using the relief from royalty method and the fair</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value of customer relationships was determined using the distributor method. The Company considers the fair value of the intangible assets to be</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Level 3 measurements due to the significant estimates and assumptions used by management in establishing the fair value which includes discount rates,</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revenue growth and royalty rates. The identifiable intangible assets acquired subject to amortization have a weighted average useful life of 11 years.</w:t>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Below is a summary of the intangible assets acquired in the acquisition:</w:t>
      </w:r>
    </w:p>
    <w:p>
      <w:pPr>
        <w:spacing w:after="0" w:line="241"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07"/>
        </w:trPr>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60" w:type="dxa"/>
            <w:vAlign w:val="bottom"/>
            <w:tcBorders>
              <w:top w:val="single" w:sz="8" w:color="CCEEFF"/>
            </w:tcBorders>
            <w:shd w:val="clear" w:color="auto" w:fill="CCEEFF"/>
          </w:tcPr>
          <w:p>
            <w:pPr>
              <w:spacing w:after="0"/>
              <w:rPr>
                <w:sz w:val="18"/>
                <w:szCs w:val="18"/>
                <w:color w:val="auto"/>
              </w:rPr>
            </w:pPr>
          </w:p>
        </w:tc>
      </w:tr>
      <w:tr>
        <w:trPr>
          <w:trHeight w:val="214"/>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w:t>
            </w:r>
          </w:p>
        </w:tc>
        <w:tc>
          <w:tcPr>
            <w:tcW w:w="3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 years</w:t>
            </w:r>
          </w:p>
        </w:tc>
      </w:tr>
      <w:tr>
        <w:trPr>
          <w:trHeight w:val="214"/>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 years</w:t>
            </w:r>
          </w:p>
        </w:tc>
      </w:tr>
      <w:tr>
        <w:trPr>
          <w:trHeight w:val="221"/>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right="20"/>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results were prepared using the acquisition method of accounting and was based on the historical financial information of the Company and Microtek. In order to reflect the occurrence of the acquisition of January 1, 2023 as required, the unaudited pro forma financial information includes adjustments to reflect the incremental amortization expense to be incurred based on the fair value of the intangible assets acquired, incremental cost of sales related to the fair value adjustments on acquisition-date inventory, and the reclassification of acquisition-related costs incurred for the three and nine months ended September 28, 2024. The pro forma results below are not</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060"/>
          </w:cols>
          <w:pgMar w:left="320" w:top="451" w:right="51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2 - ACQUISITIONS (Continued)</w:t>
      </w:r>
    </w:p>
    <w:p>
      <w:pPr>
        <w:spacing w:after="0" w:line="131" w:lineRule="exact"/>
        <w:rPr>
          <w:sz w:val="20"/>
          <w:szCs w:val="20"/>
          <w:color w:val="auto"/>
        </w:rPr>
      </w:pPr>
    </w:p>
    <w:p>
      <w:pPr>
        <w:ind w:left="160" w:right="20"/>
        <w:spacing w:after="0" w:line="308" w:lineRule="auto"/>
        <w:rPr>
          <w:sz w:val="20"/>
          <w:szCs w:val="20"/>
          <w:color w:val="auto"/>
        </w:rPr>
      </w:pPr>
      <w:r>
        <w:rPr>
          <w:rFonts w:ascii="Times New Roman" w:cs="Times New Roman" w:eastAsia="Times New Roman" w:hAnsi="Times New Roman"/>
          <w:sz w:val="17"/>
          <w:szCs w:val="17"/>
          <w:color w:val="auto"/>
        </w:rPr>
        <w:t>necessarily indicative of the results that would have been if this acquisition had occurred on the dates indicated, nor are the pro forma results indicative of results which may occur in the future. The proforma result does not reflect any realization of cost savings or synergies associated with the acquisition.</w:t>
      </w:r>
    </w:p>
    <w:p>
      <w:pPr>
        <w:spacing w:after="0" w:line="161"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47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0"/>
        </w:trPr>
        <w:tc>
          <w:tcPr>
            <w:tcW w:w="4700" w:type="dxa"/>
            <w:vAlign w:val="bottom"/>
          </w:tcPr>
          <w:p>
            <w:pPr>
              <w:spacing w:after="0"/>
              <w:rPr>
                <w:sz w:val="12"/>
                <w:szCs w:val="12"/>
                <w:color w:val="auto"/>
              </w:rPr>
            </w:pPr>
          </w:p>
        </w:tc>
        <w:tc>
          <w:tcPr>
            <w:tcW w:w="2360" w:type="dxa"/>
            <w:vAlign w:val="bottom"/>
            <w:gridSpan w:val="3"/>
          </w:tcPr>
          <w:p>
            <w:pPr>
              <w:jc w:val="right"/>
              <w:ind w:right="1120"/>
              <w:spacing w:after="0" w:line="141" w:lineRule="exact"/>
              <w:rPr>
                <w:sz w:val="20"/>
                <w:szCs w:val="20"/>
                <w:color w:val="auto"/>
              </w:rPr>
            </w:pPr>
            <w:r>
              <w:rPr>
                <w:rFonts w:ascii="Times New Roman" w:cs="Times New Roman" w:eastAsia="Times New Roman" w:hAnsi="Times New Roman"/>
                <w:sz w:val="14"/>
                <w:szCs w:val="14"/>
                <w:b w:val="1"/>
                <w:bCs w:val="1"/>
                <w:color w:val="auto"/>
                <w:w w:val="99"/>
              </w:rPr>
              <w:t>Three months ended</w:t>
            </w:r>
          </w:p>
        </w:tc>
        <w:tc>
          <w:tcPr>
            <w:tcW w:w="118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40" w:type="dxa"/>
            <w:vAlign w:val="bottom"/>
          </w:tcPr>
          <w:p>
            <w:pPr>
              <w:spacing w:after="0"/>
              <w:rPr>
                <w:sz w:val="12"/>
                <w:szCs w:val="12"/>
                <w:color w:val="auto"/>
              </w:rPr>
            </w:pPr>
          </w:p>
        </w:tc>
      </w:tr>
      <w:tr>
        <w:trPr>
          <w:trHeight w:val="207"/>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460" w:type="dxa"/>
            <w:vAlign w:val="bottom"/>
            <w:tcBorders>
              <w:top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1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18,905</w:t>
            </w:r>
          </w:p>
        </w:tc>
        <w:tc>
          <w:tcPr>
            <w:tcW w:w="40" w:type="dxa"/>
            <w:vAlign w:val="bottom"/>
            <w:tcBorders>
              <w:top w:val="single" w:sz="8" w:color="CCEEFF"/>
            </w:tcBorders>
            <w:shd w:val="clear" w:color="auto" w:fill="CCEEFF"/>
          </w:tcPr>
          <w:p>
            <w:pPr>
              <w:spacing w:after="0"/>
              <w:rPr>
                <w:sz w:val="18"/>
                <w:szCs w:val="18"/>
                <w:color w:val="auto"/>
              </w:rPr>
            </w:pPr>
          </w:p>
        </w:tc>
      </w:tr>
      <w:tr>
        <w:trPr>
          <w:trHeight w:val="23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tcPr>
          <w:p>
            <w:pPr>
              <w:spacing w:after="0"/>
              <w:rPr>
                <w:sz w:val="20"/>
                <w:szCs w:val="20"/>
                <w:color w:val="auto"/>
              </w:rPr>
            </w:pPr>
          </w:p>
        </w:tc>
        <w:tc>
          <w:tcPr>
            <w:tcW w:w="190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344</w:t>
            </w:r>
          </w:p>
        </w:tc>
        <w:tc>
          <w:tcPr>
            <w:tcW w:w="3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966</w:t>
            </w:r>
          </w:p>
        </w:tc>
      </w:tr>
    </w:tbl>
    <w:p>
      <w:pPr>
        <w:spacing w:after="0" w:line="177" w:lineRule="exact"/>
        <w:rPr>
          <w:sz w:val="20"/>
          <w:szCs w:val="20"/>
          <w:color w:val="auto"/>
        </w:rPr>
      </w:pPr>
    </w:p>
    <w:p>
      <w:pPr>
        <w:ind w:left="160"/>
        <w:spacing w:after="0" w:line="255" w:lineRule="auto"/>
        <w:rPr>
          <w:sz w:val="20"/>
          <w:szCs w:val="20"/>
          <w:color w:val="auto"/>
        </w:rPr>
      </w:pPr>
      <w:r>
        <w:rPr>
          <w:rFonts w:ascii="Times New Roman" w:cs="Times New Roman" w:eastAsia="Times New Roman" w:hAnsi="Times New Roman"/>
          <w:sz w:val="18"/>
          <w:szCs w:val="18"/>
          <w:color w:val="auto"/>
        </w:rPr>
        <w:t>For the three and nine months ended September 28, 2024, the Company incurred $13 of incremental cost of sales from the fair value step-ups on acquired Microtek inventory that was sold in 2024. The Company also incurred $3 of additional amortization expense from the fair values of identifiable intangible assets acquired. The unaudited pro forma combined financial information includes adjustments to reflect incremental amortization expense based on the fair values of the identifiable intangible assets acquired and some immaterial nonrecurring transaction expenses directly attributable to the acquisition.</w:t>
      </w:r>
    </w:p>
    <w:p>
      <w:pPr>
        <w:spacing w:after="0" w:line="184" w:lineRule="exact"/>
        <w:rPr>
          <w:sz w:val="20"/>
          <w:szCs w:val="20"/>
          <w:color w:val="auto"/>
        </w:rPr>
      </w:pPr>
    </w:p>
    <w:p>
      <w:pPr>
        <w:ind w:left="160" w:right="720"/>
        <w:spacing w:after="0" w:line="278" w:lineRule="auto"/>
        <w:rPr>
          <w:sz w:val="20"/>
          <w:szCs w:val="20"/>
          <w:color w:val="auto"/>
        </w:rPr>
      </w:pPr>
      <w:r>
        <w:rPr>
          <w:rFonts w:ascii="Times New Roman" w:cs="Times New Roman" w:eastAsia="Times New Roman" w:hAnsi="Times New Roman"/>
          <w:sz w:val="18"/>
          <w:szCs w:val="18"/>
          <w:color w:val="auto"/>
        </w:rPr>
        <w:t>Acquisition-related costs for Microtek were included in selling, general and administrative expenses in the Company’s condensed consolidated statements of comprehensive income as incurred during the first nine months of 2024 and 2025 and were not material.</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Sinclair Dental</w:t>
      </w:r>
    </w:p>
    <w:p>
      <w:pPr>
        <w:spacing w:after="0" w:line="118" w:lineRule="exact"/>
        <w:rPr>
          <w:sz w:val="20"/>
          <w:szCs w:val="20"/>
          <w:color w:val="auto"/>
        </w:rPr>
      </w:pPr>
    </w:p>
    <w:p>
      <w:pPr>
        <w:ind w:left="160" w:right="60"/>
        <w:spacing w:after="0" w:line="255" w:lineRule="auto"/>
        <w:rPr>
          <w:sz w:val="20"/>
          <w:szCs w:val="20"/>
          <w:color w:val="auto"/>
        </w:rPr>
      </w:pPr>
      <w:r>
        <w:rPr>
          <w:rFonts w:ascii="Times New Roman" w:cs="Times New Roman" w:eastAsia="Times New Roman" w:hAnsi="Times New Roman"/>
          <w:sz w:val="18"/>
          <w:szCs w:val="18"/>
          <w:color w:val="auto"/>
        </w:rPr>
        <w:t>On February 1, 2024, the Company, through its indirect wholly-owned subsidiary Medline Canada, Corporation, acquired all the outstanding shares of Sinclair Dental Co. Ltd. (“Sinclair Dental”) pursuant to the terms of a share purchase agreement in exchange for $195 cash consideration. The primary purpose of the acquisition was to expand Medline Supply Chain Solutions business (defined in “Note 15—Segment Information”) by creating synergies based on Sinclair Dental’s expertise in dental equipment and supplies distribution and expand the Company’s product and service offerings. The Company will also use its existing platform to expand margins on acquired Sinclair Dental contracts.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080"/>
          </w:cols>
          <w:pgMar w:left="320" w:top="451" w:right="49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2 - ACQUISITIONS (Continued)</w:t>
      </w:r>
    </w:p>
    <w:p>
      <w:pPr>
        <w:spacing w:after="0" w:line="131" w:lineRule="exact"/>
        <w:rPr>
          <w:sz w:val="20"/>
          <w:szCs w:val="20"/>
          <w:color w:val="auto"/>
        </w:rPr>
      </w:pPr>
    </w:p>
    <w:p>
      <w:pPr>
        <w:ind w:left="160" w:right="120"/>
        <w:spacing w:after="0" w:line="255" w:lineRule="auto"/>
        <w:rPr>
          <w:sz w:val="20"/>
          <w:szCs w:val="20"/>
          <w:color w:val="auto"/>
        </w:rPr>
      </w:pPr>
      <w:r>
        <w:rPr>
          <w:rFonts w:ascii="Times New Roman" w:cs="Times New Roman" w:eastAsia="Times New Roman" w:hAnsi="Times New Roman"/>
          <w:sz w:val="18"/>
          <w:szCs w:val="18"/>
          <w:color w:val="auto"/>
        </w:rPr>
        <w:t>The acquisition met the requirements to be considered a business combination under ASC 805 and was accounted for using the acquisition method of accounting. Results of operations of this acquired business are included in the Company’s condensed consolidated financial statements beginning from the date of acquisition. The Company has allocated the purchase price to the tangible and identifiable intangible assets acquired and liabilities assumed based on their fair market values at the acquisition date as required under ASC 805. The Company has allocated the final purchase price to the assets acquired and the liabilities assumed based on their fair values as of February 1, 2024 as below:</w:t>
      </w:r>
    </w:p>
    <w:p>
      <w:pPr>
        <w:spacing w:after="0" w:line="205" w:lineRule="exact"/>
        <w:rPr>
          <w:sz w:val="20"/>
          <w:szCs w:val="20"/>
          <w:color w:val="auto"/>
        </w:rPr>
      </w:pPr>
    </w:p>
    <w:tbl>
      <w:tblPr>
        <w:tblLayout w:type="fixed"/>
        <w:tblInd w:w="1920" w:type="dxa"/>
        <w:tblCellMar>
          <w:top w:w="0" w:type="dxa"/>
          <w:left w:w="0" w:type="dxa"/>
          <w:bottom w:w="0" w:type="dxa"/>
          <w:right w:w="0" w:type="dxa"/>
        </w:tblCellMar>
      </w:tblPr>
      <w:tr>
        <w:trPr>
          <w:trHeight w:val="172"/>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7"/>
              </w:rPr>
              <w:t>Amount</w:t>
            </w:r>
          </w:p>
        </w:tc>
      </w:tr>
      <w:tr>
        <w:trPr>
          <w:trHeight w:val="207"/>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8"/>
                <w:szCs w:val="18"/>
                <w:color w:val="auto"/>
              </w:rPr>
            </w:pPr>
          </w:p>
        </w:tc>
      </w:tr>
      <w:tr>
        <w:trPr>
          <w:trHeight w:val="21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r>
      <w:tr>
        <w:trPr>
          <w:trHeight w:val="21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r>
      <w:tr>
        <w:trPr>
          <w:trHeight w:val="21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r>
      <w:tr>
        <w:trPr>
          <w:trHeight w:val="21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r>
      <w:tr>
        <w:trPr>
          <w:trHeight w:val="21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8"/>
                <w:szCs w:val="18"/>
                <w:color w:val="auto"/>
              </w:rPr>
            </w:pPr>
          </w:p>
        </w:tc>
      </w:tr>
      <w:tr>
        <w:trPr>
          <w:trHeight w:val="21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1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1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21"/>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18"/>
                <w:szCs w:val="18"/>
                <w:color w:val="auto"/>
              </w:rPr>
            </w:pPr>
          </w:p>
        </w:tc>
      </w:tr>
      <w:tr>
        <w:trPr>
          <w:trHeight w:val="221"/>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assets acquired, at fair value</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right="100"/>
        <w:spacing w:after="0" w:line="263" w:lineRule="auto"/>
        <w:rPr>
          <w:sz w:val="20"/>
          <w:szCs w:val="20"/>
          <w:color w:val="auto"/>
        </w:rPr>
      </w:pPr>
      <w:r>
        <w:rPr>
          <w:rFonts w:ascii="Times New Roman" w:cs="Times New Roman" w:eastAsia="Times New Roman" w:hAnsi="Times New Roman"/>
          <w:sz w:val="18"/>
          <w:szCs w:val="18"/>
          <w:color w:val="auto"/>
        </w:rPr>
        <w:t>The excess of the purchase price over the fair value of the net identifiable tangible and intangible assets was recorded as goodwill and is not deductible for tax purposes. Goodwill is comprised of expected synergies for the combined operations, trade name, and customer relationships acquired in the business combination.</w:t>
      </w:r>
    </w:p>
    <w:p>
      <w:pPr>
        <w:spacing w:after="0" w:line="175" w:lineRule="exact"/>
        <w:rPr>
          <w:sz w:val="20"/>
          <w:szCs w:val="20"/>
          <w:color w:val="auto"/>
        </w:rPr>
      </w:pPr>
    </w:p>
    <w:p>
      <w:pPr>
        <w:ind w:left="160"/>
        <w:spacing w:after="0" w:line="255" w:lineRule="auto"/>
        <w:rPr>
          <w:sz w:val="20"/>
          <w:szCs w:val="20"/>
          <w:color w:val="auto"/>
        </w:rPr>
      </w:pPr>
      <w:r>
        <w:rPr>
          <w:rFonts w:ascii="Times New Roman" w:cs="Times New Roman" w:eastAsia="Times New Roman" w:hAnsi="Times New Roman"/>
          <w:sz w:val="18"/>
          <w:szCs w:val="18"/>
          <w:color w:val="auto"/>
        </w:rPr>
        <w:t>At the date of acquisition, the fair value for trade name was determined using the relief from royalty method and the fair value of customer relationships was determined using the excess earnings method. The Company considers the fair value of the intangible assets to be Level 3 measurements due to the significant estimates and assumptions used by management in establishing the fair value which includes discount rates, revenue growth and royalty rates. The intangible assets acquired subject to amortization have a weighted average useful life of 13 years. Below is a summary of the intangible assets acquired in the acquisition:</w:t>
      </w:r>
    </w:p>
    <w:p>
      <w:pPr>
        <w:spacing w:after="0" w:line="191"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98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Useful</w:t>
            </w:r>
          </w:p>
        </w:tc>
        <w:tc>
          <w:tcPr>
            <w:tcW w:w="0" w:type="dxa"/>
            <w:vAlign w:val="bottom"/>
          </w:tcPr>
          <w:p>
            <w:pPr>
              <w:spacing w:after="0"/>
              <w:rPr>
                <w:sz w:val="1"/>
                <w:szCs w:val="1"/>
                <w:color w:val="auto"/>
              </w:rPr>
            </w:pPr>
          </w:p>
        </w:tc>
      </w:tr>
      <w:tr>
        <w:trPr>
          <w:trHeight w:val="172"/>
        </w:trPr>
        <w:tc>
          <w:tcPr>
            <w:tcW w:w="660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life</w:t>
            </w:r>
          </w:p>
        </w:tc>
        <w:tc>
          <w:tcPr>
            <w:tcW w:w="0" w:type="dxa"/>
            <w:vAlign w:val="bottom"/>
          </w:tcPr>
          <w:p>
            <w:pPr>
              <w:spacing w:after="0"/>
              <w:rPr>
                <w:sz w:val="1"/>
                <w:szCs w:val="1"/>
                <w:color w:val="auto"/>
              </w:rPr>
            </w:pPr>
          </w:p>
        </w:tc>
      </w:tr>
      <w:tr>
        <w:trPr>
          <w:trHeight w:val="207"/>
        </w:trPr>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years</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 years</w:t>
            </w: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7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93</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right="260"/>
        <w:spacing w:after="0" w:line="278" w:lineRule="auto"/>
        <w:rPr>
          <w:sz w:val="20"/>
          <w:szCs w:val="20"/>
          <w:color w:val="auto"/>
        </w:rPr>
      </w:pPr>
      <w:r>
        <w:rPr>
          <w:rFonts w:ascii="Times New Roman" w:cs="Times New Roman" w:eastAsia="Times New Roman" w:hAnsi="Times New Roman"/>
          <w:sz w:val="18"/>
          <w:szCs w:val="18"/>
          <w:color w:val="auto"/>
        </w:rPr>
        <w:t>Acquisition-related costs for Sinclair Dental were included in selling, general and administrative expenses in the Company’s condensed consolidated statements of comprehensive income as incurred during 2024 and were not material.</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040"/>
          </w:cols>
          <w:pgMar w:left="320" w:top="451" w:right="53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2 - ACQUISITIONS (Continued)</w:t>
      </w:r>
    </w:p>
    <w:p>
      <w:pPr>
        <w:spacing w:after="0" w:line="1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United Medco</w:t>
      </w:r>
    </w:p>
    <w:p>
      <w:pPr>
        <w:spacing w:after="0" w:line="118" w:lineRule="exact"/>
        <w:rPr>
          <w:sz w:val="20"/>
          <w:szCs w:val="20"/>
          <w:color w:val="auto"/>
        </w:rPr>
      </w:pPr>
    </w:p>
    <w:p>
      <w:pPr>
        <w:ind w:left="160" w:right="100"/>
        <w:spacing w:after="0" w:line="255" w:lineRule="auto"/>
        <w:rPr>
          <w:sz w:val="20"/>
          <w:szCs w:val="20"/>
          <w:color w:val="auto"/>
        </w:rPr>
      </w:pPr>
      <w:r>
        <w:rPr>
          <w:rFonts w:ascii="Times New Roman" w:cs="Times New Roman" w:eastAsia="Times New Roman" w:hAnsi="Times New Roman"/>
          <w:sz w:val="18"/>
          <w:szCs w:val="18"/>
          <w:color w:val="auto"/>
        </w:rPr>
        <w:t>On January 4, 2024, the Company acquired 100% of the shares of United Medco, LLC. United Medco, LLC is a national wholesaler and distributor of over-the-counter drugs, personal care, and daily living products to the managed care marketplace. Total purchase consideration of $53 consisted of $33 cash consideration and a contingent liability at a fair value of $20 at closing. United Medco, LLC brought growth to the Company’s health plans business by augmenting the Company’s best-in-class distribution capabilities and expanding the Company’s supplemental benefits offerings. The Company gained access to United Medco, LLC’s valued customer base and further grew in the managed care space.</w:t>
      </w:r>
    </w:p>
    <w:p>
      <w:pPr>
        <w:spacing w:after="0" w:line="184" w:lineRule="exact"/>
        <w:rPr>
          <w:sz w:val="20"/>
          <w:szCs w:val="20"/>
          <w:color w:val="auto"/>
        </w:rPr>
      </w:pPr>
    </w:p>
    <w:p>
      <w:pPr>
        <w:jc w:val="both"/>
        <w:ind w:left="160" w:right="120"/>
        <w:spacing w:after="0" w:line="258" w:lineRule="auto"/>
        <w:rPr>
          <w:sz w:val="20"/>
          <w:szCs w:val="20"/>
          <w:color w:val="auto"/>
        </w:rPr>
      </w:pPr>
      <w:r>
        <w:rPr>
          <w:rFonts w:ascii="Times New Roman" w:cs="Times New Roman" w:eastAsia="Times New Roman" w:hAnsi="Times New Roman"/>
          <w:sz w:val="18"/>
          <w:szCs w:val="18"/>
          <w:color w:val="auto"/>
        </w:rPr>
        <w:t>The acquisition met the requirements to be considered a business combination under ASC 805 and was accounted for using the acquisition method of accounting. Results of operations of this acquired business are included in the Company’s condensed consolidated financial statements beginning as of the date of acquisition. The Company has allocated the purchase price to the tangible and identifiable intangible assets acquired and liabilities assumed based on their fair market values at the acquisition date as required under ASC 805.</w:t>
      </w:r>
    </w:p>
    <w:p>
      <w:pPr>
        <w:spacing w:after="0" w:line="180" w:lineRule="exact"/>
        <w:rPr>
          <w:sz w:val="20"/>
          <w:szCs w:val="20"/>
          <w:color w:val="auto"/>
        </w:rPr>
      </w:pPr>
    </w:p>
    <w:p>
      <w:pPr>
        <w:ind w:left="160"/>
        <w:spacing w:after="0" w:line="254" w:lineRule="auto"/>
        <w:rPr>
          <w:sz w:val="20"/>
          <w:szCs w:val="20"/>
          <w:color w:val="auto"/>
        </w:rPr>
      </w:pPr>
      <w:r>
        <w:rPr>
          <w:rFonts w:ascii="Times New Roman" w:cs="Times New Roman" w:eastAsia="Times New Roman" w:hAnsi="Times New Roman"/>
          <w:sz w:val="18"/>
          <w:szCs w:val="18"/>
          <w:color w:val="auto"/>
        </w:rPr>
        <w:t>The maximum payout amount under the contingent liability is $35. The actual payout amount is based on the defined metrics for fiscal year 2024 and 2025 and will be paid over two years. The Company recorded the contingent liability of $20 on the acquisition date. $8 was considered current and recorded as other current liabilities, and the remaining $12 was considered non-current and recorded as other long-term liabilities in the Company’s condensed consolidated balance sheets. At the date of acquisition, the fair value of contingent consideration liability was estimated using a Monte Carlo simulation model. The contingent liability will be remeasured to fair value at each reporting date until the liability is resolved, with changes in fair value being recognized within other operating expenses in the Company’s condensed consolidated statements of comprehensive income.</w:t>
      </w:r>
    </w:p>
    <w:p>
      <w:pPr>
        <w:spacing w:after="0" w:line="184" w:lineRule="exact"/>
        <w:rPr>
          <w:sz w:val="20"/>
          <w:szCs w:val="20"/>
          <w:color w:val="auto"/>
        </w:rPr>
      </w:pPr>
    </w:p>
    <w:p>
      <w:pPr>
        <w:ind w:left="160" w:right="80"/>
        <w:spacing w:after="0" w:line="278" w:lineRule="auto"/>
        <w:rPr>
          <w:sz w:val="20"/>
          <w:szCs w:val="20"/>
          <w:color w:val="auto"/>
        </w:rPr>
      </w:pPr>
      <w:r>
        <w:rPr>
          <w:rFonts w:ascii="Times New Roman" w:cs="Times New Roman" w:eastAsia="Times New Roman" w:hAnsi="Times New Roman"/>
          <w:sz w:val="18"/>
          <w:szCs w:val="18"/>
          <w:color w:val="auto"/>
        </w:rPr>
        <w:t>The Company has allocated the final purchase price to the assets acquired and the liabilities assumed based on their fair values as of January 4, 2024 as below:</w:t>
      </w:r>
    </w:p>
    <w:p>
      <w:pPr>
        <w:spacing w:after="0" w:line="183" w:lineRule="exact"/>
        <w:rPr>
          <w:sz w:val="20"/>
          <w:szCs w:val="20"/>
          <w:color w:val="auto"/>
        </w:rPr>
      </w:pPr>
    </w:p>
    <w:tbl>
      <w:tblPr>
        <w:tblLayout w:type="fixed"/>
        <w:tblInd w:w="1920" w:type="dxa"/>
        <w:tblCellMar>
          <w:top w:w="0" w:type="dxa"/>
          <w:left w:w="0" w:type="dxa"/>
          <w:bottom w:w="0" w:type="dxa"/>
          <w:right w:w="0" w:type="dxa"/>
        </w:tblCellMar>
      </w:tblPr>
      <w:tr>
        <w:trPr>
          <w:trHeight w:val="172"/>
        </w:trPr>
        <w:tc>
          <w:tcPr>
            <w:tcW w:w="6800" w:type="dxa"/>
            <w:vAlign w:val="bottom"/>
          </w:tcPr>
          <w:p>
            <w:pPr>
              <w:spacing w:after="0"/>
              <w:rPr>
                <w:sz w:val="14"/>
                <w:szCs w:val="14"/>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7"/>
              </w:rPr>
              <w:t>Amount</w:t>
            </w:r>
          </w:p>
        </w:tc>
      </w:tr>
      <w:tr>
        <w:trPr>
          <w:trHeight w:val="207"/>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2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1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1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1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6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assets acquired, at fair value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6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18"/>
          <w:szCs w:val="18"/>
          <w:color w:val="auto"/>
        </w:rPr>
        <w:t>The excess of the purchase price over the fair value of the net identifiable tangible and intangible assets was recorded as goodwill and is fully deductible for tax purposes. Goodwill is comprised of expected synergies for the combined operations.</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040"/>
          </w:cols>
          <w:pgMar w:left="320" w:top="451" w:right="53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2 - ACQUISITIONS (Continued)</w:t>
      </w:r>
    </w:p>
    <w:p>
      <w:pPr>
        <w:spacing w:after="0" w:line="131" w:lineRule="exact"/>
        <w:rPr>
          <w:sz w:val="20"/>
          <w:szCs w:val="20"/>
          <w:color w:val="auto"/>
        </w:rPr>
      </w:pPr>
    </w:p>
    <w:p>
      <w:pPr>
        <w:ind w:left="160" w:right="40"/>
        <w:spacing w:after="0" w:line="255" w:lineRule="auto"/>
        <w:rPr>
          <w:sz w:val="20"/>
          <w:szCs w:val="20"/>
          <w:color w:val="auto"/>
        </w:rPr>
      </w:pPr>
      <w:r>
        <w:rPr>
          <w:rFonts w:ascii="Times New Roman" w:cs="Times New Roman" w:eastAsia="Times New Roman" w:hAnsi="Times New Roman"/>
          <w:sz w:val="18"/>
          <w:szCs w:val="18"/>
          <w:color w:val="auto"/>
        </w:rPr>
        <w:t>At the date of acquisition, the fair value for trade name was determined using the relief from royalty method and the fair value of customer relationships was determined using the excess earnings method. The Company considers the fair value of the intangible assets to be Level 3 measurements due to the significant estimates and assumptions used by management in establishing the fair value which includes discount rates, revenue growth and royalty rates. The intangible assets acquired subject to amortization have a weighted average useful life of 10 years. Below is a summary of the intangible assets acquired in the acquisition:</w:t>
      </w:r>
    </w:p>
    <w:p>
      <w:pPr>
        <w:spacing w:after="0" w:line="205"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66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07"/>
        </w:trPr>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years</w:t>
            </w:r>
          </w:p>
        </w:tc>
        <w:tc>
          <w:tcPr>
            <w:tcW w:w="40" w:type="dxa"/>
            <w:vAlign w:val="bottom"/>
            <w:tcBorders>
              <w:top w:val="single" w:sz="8" w:color="CCEEFF"/>
            </w:tcBorders>
            <w:shd w:val="clear" w:color="auto" w:fill="CCEEFF"/>
          </w:tcPr>
          <w:p>
            <w:pPr>
              <w:spacing w:after="0"/>
              <w:rPr>
                <w:sz w:val="18"/>
                <w:szCs w:val="18"/>
                <w:color w:val="auto"/>
              </w:rPr>
            </w:pPr>
          </w:p>
        </w:tc>
      </w:tr>
      <w:tr>
        <w:trPr>
          <w:trHeight w:val="221"/>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 years</w:t>
            </w:r>
          </w:p>
        </w:tc>
      </w:tr>
      <w:tr>
        <w:trPr>
          <w:trHeight w:val="214"/>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7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24</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right="340"/>
        <w:spacing w:after="0" w:line="278" w:lineRule="auto"/>
        <w:rPr>
          <w:sz w:val="20"/>
          <w:szCs w:val="20"/>
          <w:color w:val="auto"/>
        </w:rPr>
      </w:pPr>
      <w:r>
        <w:rPr>
          <w:rFonts w:ascii="Times New Roman" w:cs="Times New Roman" w:eastAsia="Times New Roman" w:hAnsi="Times New Roman"/>
          <w:sz w:val="18"/>
          <w:szCs w:val="18"/>
          <w:color w:val="auto"/>
        </w:rPr>
        <w:t>Acquisition-related costs for United Medco were included in selling, general and administrative expenses in the Company’s condensed consolidated statements of comprehensive income as incurred during 2024 and were not material.</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3 - INVENTORIES</w:t>
      </w:r>
    </w:p>
    <w:p>
      <w:pPr>
        <w:spacing w:after="0" w:line="1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Inventories consisted of the following as of:</w:t>
      </w:r>
    </w:p>
    <w:p>
      <w:pPr>
        <w:spacing w:after="0" w:line="243" w:lineRule="exact"/>
        <w:rPr>
          <w:sz w:val="20"/>
          <w:szCs w:val="20"/>
          <w:color w:val="auto"/>
        </w:rPr>
      </w:pPr>
    </w:p>
    <w:tbl>
      <w:tblPr>
        <w:tblLayout w:type="fixed"/>
        <w:tblInd w:w="148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2240" w:type="dxa"/>
            <w:vAlign w:val="bottom"/>
            <w:gridSpan w:val="3"/>
          </w:tcPr>
          <w:p>
            <w:pPr>
              <w:jc w:val="right"/>
              <w:ind w:right="1100"/>
              <w:spacing w:after="0"/>
              <w:rPr>
                <w:sz w:val="20"/>
                <w:szCs w:val="20"/>
                <w:color w:val="auto"/>
              </w:rPr>
            </w:pPr>
            <w:r>
              <w:rPr>
                <w:rFonts w:ascii="Times New Roman" w:cs="Times New Roman" w:eastAsia="Times New Roman" w:hAnsi="Times New Roman"/>
                <w:sz w:val="14"/>
                <w:szCs w:val="14"/>
                <w:color w:val="auto"/>
                <w:w w:val="99"/>
              </w:rPr>
              <w:t>September 27, 2025</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 2024</w:t>
            </w:r>
          </w:p>
        </w:tc>
      </w:tr>
      <w:tr>
        <w:trPr>
          <w:trHeight w:val="207"/>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work in process, net</w:t>
            </w:r>
          </w:p>
        </w:tc>
        <w:tc>
          <w:tcPr>
            <w:tcW w:w="420" w:type="dxa"/>
            <w:vAlign w:val="bottom"/>
            <w:tcBorders>
              <w:top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40" w:type="dxa"/>
            <w:vAlign w:val="bottom"/>
            <w:tcBorders>
              <w:top w:val="single" w:sz="8" w:color="CCEEFF"/>
            </w:tcBorders>
            <w:shd w:val="clear" w:color="auto" w:fill="CCEEFF"/>
          </w:tcPr>
          <w:p>
            <w:pPr>
              <w:spacing w:after="0"/>
              <w:rPr>
                <w:sz w:val="18"/>
                <w:szCs w:val="18"/>
                <w:color w:val="auto"/>
              </w:rPr>
            </w:pPr>
          </w:p>
        </w:tc>
      </w:tr>
      <w:tr>
        <w:trPr>
          <w:trHeight w:val="21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 net</w:t>
            </w:r>
          </w:p>
        </w:tc>
        <w:tc>
          <w:tcPr>
            <w:tcW w:w="420" w:type="dxa"/>
            <w:vAlign w:val="bottom"/>
          </w:tcPr>
          <w:p>
            <w:pPr>
              <w:spacing w:after="0"/>
              <w:rPr>
                <w:sz w:val="18"/>
                <w:szCs w:val="18"/>
                <w:color w:val="auto"/>
              </w:rPr>
            </w:pPr>
          </w:p>
        </w:tc>
        <w:tc>
          <w:tcPr>
            <w:tcW w:w="182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4,001</w:t>
            </w:r>
          </w:p>
        </w:tc>
        <w:tc>
          <w:tcPr>
            <w:tcW w:w="4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3,780</w:t>
            </w:r>
          </w:p>
        </w:tc>
      </w:tr>
      <w:tr>
        <w:trPr>
          <w:trHeight w:val="27"/>
        </w:trPr>
        <w:tc>
          <w:tcPr>
            <w:tcW w:w="48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4"/>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Inventories, net</w:t>
            </w:r>
          </w:p>
        </w:tc>
        <w:tc>
          <w:tcPr>
            <w:tcW w:w="42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4,752</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4,456</w:t>
            </w:r>
          </w:p>
        </w:tc>
      </w:tr>
      <w:tr>
        <w:trPr>
          <w:trHeight w:val="20"/>
        </w:trPr>
        <w:tc>
          <w:tcPr>
            <w:tcW w:w="48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If last-in, first-out (“LIFO”) inventories had been valued on a current cost or first-in, first-out (“FIFO”) basis, they would have been greater by $314 and $276 as of September 27, 2025 and December 31, 2024, respectively. The inventory reserve for obsolescence was $53 and $35 as of September 27, 2025 and December 31, 2024, respectively.</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4 - GOODWILL AND INTANGIBLE ASSETS</w:t>
      </w:r>
    </w:p>
    <w:p>
      <w:pPr>
        <w:spacing w:after="0" w:line="118" w:lineRule="exact"/>
        <w:rPr>
          <w:sz w:val="20"/>
          <w:szCs w:val="20"/>
          <w:color w:val="auto"/>
        </w:rPr>
      </w:pPr>
    </w:p>
    <w:p>
      <w:pPr>
        <w:jc w:val="both"/>
        <w:ind w:left="160" w:right="320"/>
        <w:spacing w:after="0" w:line="263" w:lineRule="auto"/>
        <w:rPr>
          <w:sz w:val="20"/>
          <w:szCs w:val="20"/>
          <w:color w:val="auto"/>
        </w:rPr>
      </w:pPr>
      <w:r>
        <w:rPr>
          <w:rFonts w:ascii="Times New Roman" w:cs="Times New Roman" w:eastAsia="Times New Roman" w:hAnsi="Times New Roman"/>
          <w:sz w:val="18"/>
          <w:szCs w:val="18"/>
          <w:color w:val="auto"/>
        </w:rPr>
        <w:t>During 2024, the Company reorganized operations to align around its two primary reportable segments, Medline Brand and Supply Chain Solutions. Subsequent to the reorganization, each of the reportable segments also represents a single reporting unit. See “Note 15 — Segment Information” for additional details.</w:t>
      </w:r>
    </w:p>
    <w:p>
      <w:pPr>
        <w:spacing w:after="0" w:line="1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During the nine months ended September 27, 2025, the Company did not identify any indicators of impairment within the reporting units.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Changes in the carrying amount of goodwill were as follows:</w:t>
      </w:r>
    </w:p>
    <w:p>
      <w:pPr>
        <w:spacing w:after="0" w:line="230"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180" w:type="dxa"/>
            <w:vAlign w:val="bottom"/>
            <w:gridSpan w:val="3"/>
            <w:vMerge w:val="restart"/>
          </w:tcPr>
          <w:p>
            <w:pPr>
              <w:ind w:left="2300"/>
              <w:spacing w:after="0"/>
              <w:rPr>
                <w:sz w:val="20"/>
                <w:szCs w:val="20"/>
                <w:color w:val="auto"/>
              </w:rPr>
            </w:pPr>
            <w:r>
              <w:rPr>
                <w:rFonts w:ascii="Times New Roman" w:cs="Times New Roman" w:eastAsia="Times New Roman" w:hAnsi="Times New Roman"/>
                <w:sz w:val="14"/>
                <w:szCs w:val="14"/>
                <w:color w:val="auto"/>
              </w:rPr>
              <w:t>Medline Brand</w:t>
            </w:r>
          </w:p>
        </w:tc>
        <w:tc>
          <w:tcPr>
            <w:tcW w:w="1420" w:type="dxa"/>
            <w:vAlign w:val="bottom"/>
            <w:gridSpan w:val="3"/>
          </w:tcPr>
          <w:p>
            <w:pPr>
              <w:ind w:left="620"/>
              <w:spacing w:after="0"/>
              <w:rPr>
                <w:sz w:val="20"/>
                <w:szCs w:val="20"/>
                <w:color w:val="auto"/>
              </w:rPr>
            </w:pPr>
            <w:r>
              <w:rPr>
                <w:rFonts w:ascii="Times New Roman" w:cs="Times New Roman" w:eastAsia="Times New Roman" w:hAnsi="Times New Roman"/>
                <w:sz w:val="14"/>
                <w:szCs w:val="14"/>
                <w:color w:val="auto"/>
              </w:rPr>
              <w:t>Supply Chain</w:t>
            </w:r>
          </w:p>
        </w:tc>
        <w:tc>
          <w:tcPr>
            <w:tcW w:w="620" w:type="dxa"/>
            <w:vAlign w:val="bottom"/>
          </w:tcPr>
          <w:p>
            <w:pPr>
              <w:spacing w:after="0"/>
              <w:rPr>
                <w:sz w:val="13"/>
                <w:szCs w:val="13"/>
                <w:color w:val="auto"/>
              </w:rPr>
            </w:pPr>
          </w:p>
        </w:tc>
        <w:tc>
          <w:tcPr>
            <w:tcW w:w="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1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Solutions</w:t>
            </w:r>
          </w:p>
        </w:tc>
        <w:tc>
          <w:tcPr>
            <w:tcW w:w="6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2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6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$8,065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— </w:t>
            </w:r>
          </w:p>
        </w:tc>
        <w:tc>
          <w:tcPr>
            <w:tcW w:w="6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1"/>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September 27, 2025</w:t>
            </w:r>
          </w:p>
        </w:tc>
        <w:tc>
          <w:tcPr>
            <w:tcW w:w="23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6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8,069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5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F-65</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4 - GOODWILL AND INTANGIBLE ASSETS (Continued)</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Identifiable intangible assets consist of the following as of:</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4"/>
                <w:szCs w:val="14"/>
                <w:color w:val="auto"/>
              </w:rPr>
              <w:t>September 27, 2025</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jc w:val="right"/>
              <w:ind w:right="520"/>
              <w:spacing w:after="0"/>
              <w:rPr>
                <w:sz w:val="20"/>
                <w:szCs w:val="20"/>
                <w:color w:val="auto"/>
              </w:rPr>
            </w:pPr>
            <w:r>
              <w:rPr>
                <w:rFonts w:ascii="Times New Roman" w:cs="Times New Roman" w:eastAsia="Times New Roman" w:hAnsi="Times New Roman"/>
                <w:sz w:val="14"/>
                <w:szCs w:val="14"/>
                <w:color w:val="auto"/>
              </w:rPr>
              <w:t>December 31, 2024</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88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color w:val="auto"/>
              </w:rPr>
              <w:t>Weighted</w:t>
            </w:r>
          </w:p>
        </w:tc>
        <w:tc>
          <w:tcPr>
            <w:tcW w:w="100" w:type="dxa"/>
            <w:vAlign w:val="bottom"/>
          </w:tcPr>
          <w:p>
            <w:pPr>
              <w:spacing w:after="0"/>
              <w:rPr>
                <w:sz w:val="10"/>
                <w:szCs w:val="10"/>
                <w:color w:val="auto"/>
              </w:rPr>
            </w:pPr>
          </w:p>
        </w:tc>
        <w:tc>
          <w:tcPr>
            <w:tcW w:w="7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w w:val="97"/>
              </w:rPr>
              <w:t>Gross</w:t>
            </w: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w w:val="98"/>
              </w:rPr>
              <w:t>Net</w:t>
            </w:r>
          </w:p>
        </w:tc>
        <w:tc>
          <w:tcPr>
            <w:tcW w:w="76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color w:val="auto"/>
              </w:rPr>
              <w:t>Weighted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Gross</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w w:val="98"/>
              </w:rPr>
              <w:t>Net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8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color w:val="auto"/>
                <w:w w:val="96"/>
              </w:rPr>
              <w:t>Average</w:t>
            </w: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6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color w:val="auto"/>
              </w:rPr>
              <w:t>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8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color w:val="auto"/>
              </w:rPr>
              <w:t>Remaining</w:t>
            </w:r>
          </w:p>
        </w:tc>
        <w:tc>
          <w:tcPr>
            <w:tcW w:w="820" w:type="dxa"/>
            <w:vAlign w:val="bottom"/>
            <w:gridSpan w:val="3"/>
          </w:tcPr>
          <w:p>
            <w:pPr>
              <w:jc w:val="center"/>
              <w:ind w:right="240"/>
              <w:spacing w:after="0" w:line="147" w:lineRule="exact"/>
              <w:rPr>
                <w:sz w:val="20"/>
                <w:szCs w:val="20"/>
                <w:color w:val="auto"/>
              </w:rPr>
            </w:pPr>
            <w:r>
              <w:rPr>
                <w:rFonts w:ascii="Times New Roman" w:cs="Times New Roman" w:eastAsia="Times New Roman" w:hAnsi="Times New Roman"/>
                <w:sz w:val="14"/>
                <w:szCs w:val="14"/>
                <w:color w:val="auto"/>
              </w:rPr>
              <w:t>Carrying</w:t>
            </w:r>
          </w:p>
        </w:tc>
        <w:tc>
          <w:tcPr>
            <w:tcW w:w="1040" w:type="dxa"/>
            <w:vAlign w:val="bottom"/>
            <w:gridSpan w:val="3"/>
            <w:vMerge w:val="continue"/>
          </w:tcPr>
          <w:p>
            <w:pPr>
              <w:spacing w:after="0"/>
              <w:rPr>
                <w:sz w:val="12"/>
                <w:szCs w:val="12"/>
                <w:color w:val="auto"/>
              </w:rPr>
            </w:pPr>
          </w:p>
        </w:tc>
        <w:tc>
          <w:tcPr>
            <w:tcW w:w="820" w:type="dxa"/>
            <w:vAlign w:val="bottom"/>
            <w:gridSpan w:val="3"/>
          </w:tcPr>
          <w:p>
            <w:pPr>
              <w:jc w:val="center"/>
              <w:ind w:right="240"/>
              <w:spacing w:after="0" w:line="147" w:lineRule="exact"/>
              <w:rPr>
                <w:sz w:val="20"/>
                <w:szCs w:val="20"/>
                <w:color w:val="auto"/>
              </w:rPr>
            </w:pPr>
            <w:r>
              <w:rPr>
                <w:rFonts w:ascii="Times New Roman" w:cs="Times New Roman" w:eastAsia="Times New Roman" w:hAnsi="Times New Roman"/>
                <w:sz w:val="14"/>
                <w:szCs w:val="14"/>
                <w:color w:val="auto"/>
              </w:rPr>
              <w:t>Carrying</w:t>
            </w:r>
          </w:p>
        </w:tc>
        <w:tc>
          <w:tcPr>
            <w:tcW w:w="76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color w:val="auto"/>
              </w:rPr>
              <w:t>Remaining</w:t>
            </w:r>
          </w:p>
        </w:tc>
        <w:tc>
          <w:tcPr>
            <w:tcW w:w="120" w:type="dxa"/>
            <w:vAlign w:val="bottom"/>
          </w:tcPr>
          <w:p>
            <w:pPr>
              <w:spacing w:after="0"/>
              <w:rPr>
                <w:sz w:val="12"/>
                <w:szCs w:val="12"/>
                <w:color w:val="auto"/>
              </w:rPr>
            </w:pPr>
          </w:p>
        </w:tc>
        <w:tc>
          <w:tcPr>
            <w:tcW w:w="700" w:type="dxa"/>
            <w:vAlign w:val="bottom"/>
            <w:gridSpan w:val="3"/>
          </w:tcPr>
          <w:p>
            <w:pPr>
              <w:jc w:val="center"/>
              <w:ind w:right="120"/>
              <w:spacing w:after="0" w:line="147" w:lineRule="exact"/>
              <w:rPr>
                <w:sz w:val="20"/>
                <w:szCs w:val="20"/>
                <w:color w:val="auto"/>
              </w:rPr>
            </w:pPr>
            <w:r>
              <w:rPr>
                <w:rFonts w:ascii="Times New Roman" w:cs="Times New Roman" w:eastAsia="Times New Roman" w:hAnsi="Times New Roman"/>
                <w:sz w:val="14"/>
                <w:szCs w:val="14"/>
                <w:color w:val="auto"/>
              </w:rPr>
              <w:t>Carrying</w:t>
            </w:r>
          </w:p>
        </w:tc>
        <w:tc>
          <w:tcPr>
            <w:tcW w:w="1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640" w:type="dxa"/>
            <w:vAlign w:val="bottom"/>
            <w:gridSpan w:val="3"/>
          </w:tcPr>
          <w:p>
            <w:pPr>
              <w:jc w:val="center"/>
              <w:ind w:right="60"/>
              <w:spacing w:after="0" w:line="147" w:lineRule="exact"/>
              <w:rPr>
                <w:sz w:val="20"/>
                <w:szCs w:val="20"/>
                <w:color w:val="auto"/>
              </w:rPr>
            </w:pPr>
            <w:r>
              <w:rPr>
                <w:rFonts w:ascii="Times New Roman" w:cs="Times New Roman" w:eastAsia="Times New Roman" w:hAnsi="Times New Roman"/>
                <w:sz w:val="14"/>
                <w:szCs w:val="14"/>
                <w:color w:val="auto"/>
              </w:rPr>
              <w:t>Carrying</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Useful Life</w:t>
            </w:r>
          </w:p>
        </w:tc>
        <w:tc>
          <w:tcPr>
            <w:tcW w:w="8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Amount</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Amortization</w:t>
            </w:r>
          </w:p>
        </w:tc>
        <w:tc>
          <w:tcPr>
            <w:tcW w:w="8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Amount</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Useful Life</w:t>
            </w:r>
          </w:p>
        </w:tc>
        <w:tc>
          <w:tcPr>
            <w:tcW w:w="120" w:type="dxa"/>
            <w:vAlign w:val="bottom"/>
          </w:tcPr>
          <w:p>
            <w:pPr>
              <w:spacing w:after="0"/>
              <w:rPr>
                <w:sz w:val="14"/>
                <w:szCs w:val="14"/>
                <w:color w:val="auto"/>
              </w:rPr>
            </w:pPr>
          </w:p>
        </w:tc>
        <w:tc>
          <w:tcPr>
            <w:tcW w:w="7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Amortization</w:t>
            </w:r>
          </w:p>
        </w:tc>
        <w:tc>
          <w:tcPr>
            <w:tcW w:w="6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6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Finite-lived intangible assets:</w:t>
            </w: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10,691</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8,471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2"/>
              </w:rPr>
              <w:t>10,679</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1,750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12,883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2"/>
              </w:rPr>
              <w:t>10,238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2"/>
              </w:rPr>
              <w:t>12,845</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2"/>
              </w:rPr>
              <w:t>10,729</w:t>
            </w:r>
          </w:p>
        </w:tc>
        <w:tc>
          <w:tcPr>
            <w:tcW w:w="0" w:type="dxa"/>
            <w:vAlign w:val="bottom"/>
          </w:tcPr>
          <w:p>
            <w:pPr>
              <w:spacing w:after="0"/>
              <w:rPr>
                <w:sz w:val="1"/>
                <w:szCs w:val="1"/>
                <w:color w:val="auto"/>
              </w:rPr>
            </w:pPr>
          </w:p>
        </w:tc>
      </w:tr>
      <w:tr>
        <w:trPr>
          <w:trHeight w:val="227"/>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Indefinite-lived trade names</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16,713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2"/>
              </w:rPr>
              <w:t>14,068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2"/>
              </w:rPr>
              <w:t>16,675</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2"/>
              </w:rPr>
              <w:t>14,559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right="620"/>
        <w:spacing w:after="0" w:line="259" w:lineRule="auto"/>
        <w:rPr>
          <w:sz w:val="20"/>
          <w:szCs w:val="20"/>
          <w:color w:val="auto"/>
        </w:rPr>
      </w:pPr>
      <w:r>
        <w:rPr>
          <w:rFonts w:ascii="Times New Roman" w:cs="Times New Roman" w:eastAsia="Times New Roman" w:hAnsi="Times New Roman"/>
          <w:sz w:val="18"/>
          <w:szCs w:val="18"/>
          <w:color w:val="auto"/>
        </w:rPr>
        <w:t>The carrying amount of intangible assets, net as of September 27, 2025 includes the final fair values for customer relationships, trade names and developed technology assets. See “Note 2 — Acquisitions” for further details.</w:t>
      </w:r>
    </w:p>
    <w:p>
      <w:pPr>
        <w:ind w:left="160"/>
        <w:spacing w:after="0"/>
        <w:rPr>
          <w:sz w:val="20"/>
          <w:szCs w:val="20"/>
          <w:color w:val="auto"/>
        </w:rPr>
      </w:pPr>
      <w:r>
        <w:rPr>
          <w:rFonts w:ascii="Times New Roman" w:cs="Times New Roman" w:eastAsia="Times New Roman" w:hAnsi="Times New Roman"/>
          <w:sz w:val="18"/>
          <w:szCs w:val="18"/>
          <w:color w:val="auto"/>
        </w:rPr>
        <w:t>During the nine months ended September 27, 2025, the Company did not identify any indicators of impairment of intangible assets.</w:t>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Estimated amortization expense for the remainder of fiscal year 2025 and over the next four years and thereafter is as follows:</w:t>
      </w:r>
    </w:p>
    <w:p>
      <w:pPr>
        <w:spacing w:after="0" w:line="243" w:lineRule="exact"/>
        <w:rPr>
          <w:sz w:val="20"/>
          <w:szCs w:val="20"/>
          <w:color w:val="auto"/>
        </w:rPr>
      </w:pPr>
    </w:p>
    <w:tbl>
      <w:tblPr>
        <w:tblLayout w:type="fixed"/>
        <w:tblInd w:w="1920" w:type="dxa"/>
        <w:tblCellMar>
          <w:top w:w="0" w:type="dxa"/>
          <w:left w:w="0" w:type="dxa"/>
          <w:bottom w:w="0" w:type="dxa"/>
          <w:right w:w="0" w:type="dxa"/>
        </w:tblCellMar>
      </w:tblPr>
      <w:tr>
        <w:trPr>
          <w:trHeight w:val="170"/>
        </w:trPr>
        <w:tc>
          <w:tcPr>
            <w:tcW w:w="21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Total</w:t>
            </w:r>
          </w:p>
        </w:tc>
      </w:tr>
      <w:tr>
        <w:trPr>
          <w:trHeight w:val="207"/>
        </w:trPr>
        <w:tc>
          <w:tcPr>
            <w:tcW w:w="2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60" w:type="dxa"/>
            <w:vAlign w:val="bottom"/>
            <w:tcBorders>
              <w:top w:val="single" w:sz="8" w:color="CCEEFF"/>
            </w:tcBorders>
            <w:shd w:val="clear" w:color="auto" w:fill="CCEEFF"/>
          </w:tcPr>
          <w:p>
            <w:pPr>
              <w:spacing w:after="0"/>
              <w:rPr>
                <w:sz w:val="18"/>
                <w:szCs w:val="18"/>
                <w:color w:val="auto"/>
              </w:rPr>
            </w:pPr>
          </w:p>
        </w:tc>
      </w:tr>
      <w:tr>
        <w:trPr>
          <w:trHeight w:val="21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704</w:t>
            </w:r>
          </w:p>
        </w:tc>
      </w:tr>
      <w:tr>
        <w:trPr>
          <w:trHeight w:val="214"/>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704</w:t>
            </w:r>
          </w:p>
        </w:tc>
      </w:tr>
      <w:tr>
        <w:trPr>
          <w:trHeight w:val="21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704</w:t>
            </w:r>
          </w:p>
        </w:tc>
      </w:tr>
      <w:tr>
        <w:trPr>
          <w:trHeight w:val="214"/>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702</w:t>
            </w:r>
          </w:p>
        </w:tc>
      </w:tr>
      <w:tr>
        <w:trPr>
          <w:trHeight w:val="21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7,248</w:t>
            </w:r>
          </w:p>
        </w:tc>
      </w:tr>
      <w:tr>
        <w:trPr>
          <w:trHeight w:val="27"/>
        </w:trPr>
        <w:tc>
          <w:tcPr>
            <w:tcW w:w="21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4"/>
        </w:trPr>
        <w:tc>
          <w:tcPr>
            <w:tcW w:w="214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10,238</w:t>
            </w:r>
          </w:p>
        </w:tc>
      </w:tr>
      <w:tr>
        <w:trPr>
          <w:trHeight w:val="20"/>
        </w:trPr>
        <w:tc>
          <w:tcPr>
            <w:tcW w:w="21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5"/>
        </w:trPr>
        <w:tc>
          <w:tcPr>
            <w:tcW w:w="2140" w:type="dxa"/>
            <w:vAlign w:val="bottom"/>
          </w:tcPr>
          <w:p>
            <w:pPr>
              <w:spacing w:after="0"/>
              <w:rPr>
                <w:sz w:val="24"/>
                <w:szCs w:val="24"/>
                <w:color w:val="auto"/>
              </w:rPr>
            </w:pPr>
          </w:p>
        </w:tc>
        <w:tc>
          <w:tcPr>
            <w:tcW w:w="4700" w:type="dxa"/>
            <w:vAlign w:val="bottom"/>
            <w:gridSpan w:val="2"/>
          </w:tcPr>
          <w:p>
            <w:pPr>
              <w:jc w:val="right"/>
              <w:ind w:right="2871"/>
              <w:spacing w:after="0"/>
              <w:rPr>
                <w:sz w:val="20"/>
                <w:szCs w:val="20"/>
                <w:color w:val="auto"/>
              </w:rPr>
            </w:pPr>
            <w:r>
              <w:rPr>
                <w:rFonts w:ascii="Times New Roman" w:cs="Times New Roman" w:eastAsia="Times New Roman" w:hAnsi="Times New Roman"/>
                <w:sz w:val="18"/>
                <w:szCs w:val="18"/>
                <w:color w:val="auto"/>
              </w:rPr>
              <w:t>F-66</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1" w:right="49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5 - ACCRUED EXPENSES AND OTHER CURRENT LIABILITIES</w:t>
      </w:r>
    </w:p>
    <w:p>
      <w:pPr>
        <w:spacing w:after="0" w:line="1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elements of accrued expenses and other current liabilities are as follows as of:</w:t>
      </w:r>
    </w:p>
    <w:p>
      <w:pPr>
        <w:spacing w:after="0" w:line="243" w:lineRule="exact"/>
        <w:rPr>
          <w:sz w:val="20"/>
          <w:szCs w:val="20"/>
          <w:color w:val="auto"/>
        </w:rPr>
      </w:pPr>
    </w:p>
    <w:tbl>
      <w:tblPr>
        <w:tblLayout w:type="fixed"/>
        <w:tblInd w:w="1480" w:type="dxa"/>
        <w:tblCellMar>
          <w:top w:w="0" w:type="dxa"/>
          <w:left w:w="0" w:type="dxa"/>
          <w:bottom w:w="0" w:type="dxa"/>
          <w:right w:w="0" w:type="dxa"/>
        </w:tblCellMar>
      </w:tblPr>
      <w:tr>
        <w:trPr>
          <w:trHeight w:val="170"/>
        </w:trPr>
        <w:tc>
          <w:tcPr>
            <w:tcW w:w="4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September 27, 2025</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 2024</w:t>
            </w:r>
          </w:p>
        </w:tc>
      </w:tr>
      <w:tr>
        <w:trPr>
          <w:trHeight w:val="207"/>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40" w:type="dxa"/>
            <w:vAlign w:val="bottom"/>
            <w:tcBorders>
              <w:top w:val="single" w:sz="8" w:color="CCEEFF"/>
            </w:tcBorders>
            <w:shd w:val="clear" w:color="auto" w:fill="CCEEFF"/>
          </w:tcPr>
          <w:p>
            <w:pPr>
              <w:spacing w:after="0"/>
              <w:rPr>
                <w:sz w:val="18"/>
                <w:szCs w:val="18"/>
                <w:color w:val="auto"/>
              </w:rPr>
            </w:pPr>
          </w:p>
        </w:tc>
      </w:tr>
      <w:tr>
        <w:trPr>
          <w:trHeight w:val="21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Customer rebates and distributor chargebacks</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367</w:t>
            </w:r>
          </w:p>
        </w:tc>
        <w:tc>
          <w:tcPr>
            <w:tcW w:w="4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365</w:t>
            </w:r>
          </w:p>
        </w:tc>
      </w:tr>
      <w:tr>
        <w:trPr>
          <w:trHeight w:val="214"/>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 net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258</w:t>
            </w: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w:t>
            </w:r>
          </w:p>
        </w:tc>
      </w:tr>
      <w:tr>
        <w:trPr>
          <w:trHeight w:val="21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Indirect tax payable</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r>
      <w:tr>
        <w:trPr>
          <w:trHeight w:val="214"/>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r>
      <w:tr>
        <w:trPr>
          <w:trHeight w:val="21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Litigation accrual (EtO)</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w:t>
            </w:r>
          </w:p>
        </w:tc>
      </w:tr>
      <w:tr>
        <w:trPr>
          <w:trHeight w:val="214"/>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379</w:t>
            </w: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298</w:t>
            </w:r>
          </w:p>
        </w:tc>
      </w:tr>
      <w:tr>
        <w:trPr>
          <w:trHeight w:val="198"/>
        </w:trPr>
        <w:tc>
          <w:tcPr>
            <w:tcW w:w="4940" w:type="dxa"/>
            <w:vAlign w:val="bottom"/>
          </w:tcPr>
          <w:p>
            <w:pPr>
              <w:ind w:left="360"/>
              <w:spacing w:after="0" w:line="199" w:lineRule="exact"/>
              <w:rPr>
                <w:sz w:val="20"/>
                <w:szCs w:val="20"/>
                <w:color w:val="auto"/>
              </w:rPr>
            </w:pPr>
            <w:r>
              <w:rPr>
                <w:rFonts w:ascii="Times New Roman" w:cs="Times New Roman" w:eastAsia="Times New Roman" w:hAnsi="Times New Roman"/>
                <w:sz w:val="18"/>
                <w:szCs w:val="18"/>
                <w:b w:val="1"/>
                <w:bCs w:val="1"/>
                <w:color w:val="auto"/>
              </w:rPr>
              <w:t>Total accrued expenses and other current</w:t>
            </w:r>
          </w:p>
        </w:tc>
        <w:tc>
          <w:tcPr>
            <w:tcW w:w="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36"/>
        </w:trPr>
        <w:tc>
          <w:tcPr>
            <w:tcW w:w="49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1,489</w:t>
            </w:r>
          </w:p>
        </w:tc>
      </w:tr>
      <w:tr>
        <w:trPr>
          <w:trHeight w:val="20"/>
        </w:trPr>
        <w:tc>
          <w:tcPr>
            <w:tcW w:w="4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6 - CREDIT AGREEMENTS AND BORROWINGS</w:t>
      </w:r>
    </w:p>
    <w:p>
      <w:pPr>
        <w:spacing w:after="0" w:line="1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Company’s current portion of long-term borrowings and other short-term borrowings consists of the following:</w:t>
      </w:r>
    </w:p>
    <w:p>
      <w:pPr>
        <w:spacing w:after="0" w:line="243" w:lineRule="exact"/>
        <w:rPr>
          <w:sz w:val="20"/>
          <w:szCs w:val="20"/>
          <w:color w:val="auto"/>
        </w:rPr>
      </w:pPr>
    </w:p>
    <w:tbl>
      <w:tblPr>
        <w:tblLayout w:type="fixed"/>
        <w:tblInd w:w="1480" w:type="dxa"/>
        <w:tblCellMar>
          <w:top w:w="0" w:type="dxa"/>
          <w:left w:w="0" w:type="dxa"/>
          <w:bottom w:w="0" w:type="dxa"/>
          <w:right w:w="0" w:type="dxa"/>
        </w:tblCellMar>
      </w:tblPr>
      <w:tr>
        <w:trPr>
          <w:trHeight w:val="170"/>
        </w:trPr>
        <w:tc>
          <w:tcPr>
            <w:tcW w:w="3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180" w:type="dxa"/>
            <w:vAlign w:val="bottom"/>
            <w:gridSpan w:val="3"/>
          </w:tcPr>
          <w:p>
            <w:pPr>
              <w:jc w:val="right"/>
              <w:ind w:right="1040"/>
              <w:spacing w:after="0"/>
              <w:rPr>
                <w:sz w:val="20"/>
                <w:szCs w:val="20"/>
                <w:color w:val="auto"/>
              </w:rPr>
            </w:pPr>
            <w:r>
              <w:rPr>
                <w:rFonts w:ascii="Times New Roman" w:cs="Times New Roman" w:eastAsia="Times New Roman" w:hAnsi="Times New Roman"/>
                <w:sz w:val="14"/>
                <w:szCs w:val="14"/>
                <w:color w:val="auto"/>
                <w:w w:val="99"/>
              </w:rPr>
              <w:t>September 27, 2025</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 2024</w:t>
            </w:r>
          </w:p>
        </w:tc>
      </w:tr>
      <w:tr>
        <w:trPr>
          <w:trHeight w:val="207"/>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tcBorders>
              <w:top w:val="single" w:sz="8" w:color="CCEEFF"/>
            </w:tcBorders>
            <w:shd w:val="clear" w:color="auto" w:fill="CCEEFF"/>
          </w:tcPr>
          <w:p>
            <w:pPr>
              <w:spacing w:after="0"/>
              <w:rPr>
                <w:sz w:val="18"/>
                <w:szCs w:val="18"/>
                <w:color w:val="auto"/>
              </w:rPr>
            </w:pPr>
          </w:p>
        </w:tc>
      </w:tr>
      <w:tr>
        <w:trPr>
          <w:trHeight w:val="21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Other short-term debt</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3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4"/>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2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      77</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78</w:t>
            </w:r>
          </w:p>
        </w:tc>
      </w:tr>
      <w:tr>
        <w:trPr>
          <w:trHeight w:val="20"/>
        </w:trPr>
        <w:tc>
          <w:tcPr>
            <w:tcW w:w="3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ind w:left="160"/>
        <w:spacing w:after="0"/>
        <w:rPr>
          <w:sz w:val="20"/>
          <w:szCs w:val="20"/>
          <w:color w:val="auto"/>
        </w:rPr>
      </w:pPr>
      <w:r>
        <w:rPr>
          <w:rFonts w:ascii="Times New Roman" w:cs="Times New Roman" w:eastAsia="Times New Roman" w:hAnsi="Times New Roman"/>
          <w:sz w:val="18"/>
          <w:szCs w:val="18"/>
          <w:color w:val="auto"/>
        </w:rPr>
        <w:t>The long-term borrowings and the effective interest rates as of September 27, 2025 and December 31, 2024 are summarized as follows:</w:t>
      </w:r>
    </w:p>
    <w:p>
      <w:pPr>
        <w:spacing w:after="0" w:line="238"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4"/>
          </w:tcPr>
          <w:p>
            <w:pPr>
              <w:jc w:val="right"/>
              <w:ind w:right="1080"/>
              <w:spacing w:after="0"/>
              <w:rPr>
                <w:sz w:val="20"/>
                <w:szCs w:val="20"/>
                <w:color w:val="auto"/>
              </w:rPr>
            </w:pPr>
            <w:r>
              <w:rPr>
                <w:rFonts w:ascii="Times New Roman" w:cs="Times New Roman" w:eastAsia="Times New Roman" w:hAnsi="Times New Roman"/>
                <w:sz w:val="14"/>
                <w:szCs w:val="14"/>
                <w:color w:val="auto"/>
              </w:rPr>
              <w:t>September 27, 2025</w:t>
            </w:r>
          </w:p>
        </w:tc>
        <w:tc>
          <w:tcPr>
            <w:tcW w:w="100" w:type="dxa"/>
            <w:vAlign w:val="bottom"/>
          </w:tcPr>
          <w:p>
            <w:pPr>
              <w:spacing w:after="0"/>
              <w:rPr>
                <w:sz w:val="14"/>
                <w:szCs w:val="14"/>
                <w:color w:val="auto"/>
              </w:rPr>
            </w:pPr>
          </w:p>
        </w:tc>
        <w:tc>
          <w:tcPr>
            <w:tcW w:w="218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color w:val="auto"/>
              </w:rPr>
              <w:t>December 31, 2024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Maturity dates</w:t>
            </w: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color w:val="auto"/>
              </w:rPr>
              <w:t>Average</w:t>
            </w:r>
          </w:p>
        </w:tc>
        <w:tc>
          <w:tcPr>
            <w:tcW w:w="6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color w:val="auto"/>
              </w:rPr>
              <w:t>Average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4"/>
                <w:szCs w:val="14"/>
                <w:color w:val="auto"/>
              </w:rPr>
              <w:t>Amount</w:t>
            </w:r>
          </w:p>
        </w:tc>
        <w:tc>
          <w:tcPr>
            <w:tcW w:w="1580" w:type="dxa"/>
            <w:vAlign w:val="bottom"/>
            <w:gridSpan w:val="2"/>
          </w:tcPr>
          <w:p>
            <w:pPr>
              <w:jc w:val="center"/>
              <w:ind w:right="600"/>
              <w:spacing w:after="0" w:line="147" w:lineRule="exact"/>
              <w:rPr>
                <w:sz w:val="20"/>
                <w:szCs w:val="20"/>
                <w:color w:val="auto"/>
              </w:rPr>
            </w:pPr>
            <w:r>
              <w:rPr>
                <w:rFonts w:ascii="Times New Roman" w:cs="Times New Roman" w:eastAsia="Times New Roman" w:hAnsi="Times New Roman"/>
                <w:sz w:val="14"/>
                <w:szCs w:val="14"/>
                <w:color w:val="auto"/>
              </w:rPr>
              <w:t>effective interest</w:t>
            </w:r>
          </w:p>
        </w:tc>
        <w:tc>
          <w:tcPr>
            <w:tcW w:w="112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4"/>
                <w:szCs w:val="14"/>
                <w:color w:val="auto"/>
              </w:rPr>
              <w:t>Amount</w:t>
            </w:r>
          </w:p>
        </w:tc>
        <w:tc>
          <w:tcPr>
            <w:tcW w:w="116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color w:val="auto"/>
              </w:rPr>
              <w:t>effective interest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by fiscal year</w:t>
            </w:r>
          </w:p>
        </w:tc>
        <w:tc>
          <w:tcPr>
            <w:tcW w:w="48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5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rPr>
              <w:t>rate</w:t>
            </w:r>
          </w:p>
        </w:tc>
        <w:tc>
          <w:tcPr>
            <w:tcW w:w="1120" w:type="dxa"/>
            <w:vAlign w:val="bottom"/>
            <w:gridSpan w:val="3"/>
            <w:vMerge w:val="continue"/>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5"/>
              </w:rPr>
              <w:t>rate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4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Long-term borrowings</w:t>
            </w:r>
          </w:p>
        </w:tc>
        <w:tc>
          <w:tcPr>
            <w:tcW w:w="9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Unsecured debt</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Fixed</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2,500</w:t>
            </w:r>
          </w:p>
        </w:tc>
        <w:tc>
          <w:tcPr>
            <w:tcW w:w="15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21"/>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unsecured debt</w:t>
            </w: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Secured debt</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Fixed</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6,000</w:t>
            </w: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5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line="214" w:lineRule="exact"/>
              <w:rPr>
                <w:sz w:val="20"/>
                <w:szCs w:val="20"/>
                <w:color w:val="auto"/>
              </w:rPr>
            </w:pPr>
            <w:r>
              <w:rPr>
                <w:rFonts w:ascii="Times New Roman" w:cs="Times New Roman" w:eastAsia="Times New Roman" w:hAnsi="Times New Roman"/>
                <w:sz w:val="17"/>
                <w:szCs w:val="17"/>
                <w:color w:val="auto"/>
              </w:rPr>
              <w:t>Variable (euro denominated)</w:t>
            </w:r>
            <w:r>
              <w:rPr>
                <w:rFonts w:ascii="Times New Roman" w:cs="Times New Roman" w:eastAsia="Times New Roman" w:hAnsi="Times New Roman"/>
                <w:sz w:val="24"/>
                <w:szCs w:val="24"/>
                <w:color w:val="auto"/>
                <w:vertAlign w:val="superscript"/>
              </w:rPr>
              <w:t>1</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729</w:t>
            </w:r>
          </w:p>
        </w:tc>
        <w:tc>
          <w:tcPr>
            <w:tcW w:w="15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645</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Variable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2025 - 2030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7,574</w:t>
            </w: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7,612</w:t>
            </w:r>
          </w:p>
        </w:tc>
        <w:tc>
          <w:tcPr>
            <w:tcW w:w="5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secured debt</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2"/>
              </w:rPr>
              <w:t>14,303</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6"/>
              </w:rPr>
              <w:t>14,257</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16,803</w:t>
            </w: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16,757</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amounts due within one year</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(76)</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(76)</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tcPr>
          <w:p>
            <w:pPr>
              <w:ind w:left="340"/>
              <w:spacing w:after="0" w:line="214" w:lineRule="exact"/>
              <w:rPr>
                <w:sz w:val="20"/>
                <w:szCs w:val="20"/>
                <w:color w:val="auto"/>
              </w:rPr>
            </w:pPr>
            <w:r>
              <w:rPr>
                <w:rFonts w:ascii="Times New Roman" w:cs="Times New Roman" w:eastAsia="Times New Roman" w:hAnsi="Times New Roman"/>
                <w:sz w:val="17"/>
                <w:szCs w:val="17"/>
                <w:color w:val="auto"/>
              </w:rPr>
              <w:t>Total other</w:t>
            </w:r>
            <w:r>
              <w:rPr>
                <w:rFonts w:ascii="Times New Roman" w:cs="Times New Roman" w:eastAsia="Times New Roman" w:hAnsi="Times New Roman"/>
                <w:sz w:val="24"/>
                <w:szCs w:val="24"/>
                <w:color w:val="auto"/>
                <w:vertAlign w:val="superscript"/>
              </w:rPr>
              <w:t>2</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(226)</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(265)</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borrowings</w:t>
            </w:r>
          </w:p>
        </w:tc>
        <w:tc>
          <w:tcPr>
            <w:tcW w:w="9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2"/>
              </w:rPr>
              <w:t>16,501</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6"/>
              </w:rPr>
              <w:t>16,416</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color w:val="auto"/>
        </w:rPr>
        <w:t>(1)</w:t>
        <w:tab/>
        <w:t>includes exchange rate adjustments.</w:t>
      </w:r>
    </w:p>
    <w:p>
      <w:pPr>
        <w:spacing w:after="0" w:line="26"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color w:val="auto"/>
        </w:rPr>
        <w:t>(2)</w:t>
        <w:tab/>
        <w:t>includes deferred financing costs.</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080"/>
          </w:cols>
          <w:pgMar w:left="320" w:top="451" w:right="49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6 - CREDIT AGREEMENTS AND BORROWINGS (Continued)</w:t>
      </w:r>
    </w:p>
    <w:p>
      <w:pPr>
        <w:spacing w:after="0" w:line="1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u w:val="single" w:color="auto"/>
          <w:color w:val="auto"/>
        </w:rPr>
        <w:t>Long-Term Debt</w:t>
      </w:r>
    </w:p>
    <w:p>
      <w:pPr>
        <w:spacing w:after="0" w:line="118" w:lineRule="exact"/>
        <w:rPr>
          <w:sz w:val="20"/>
          <w:szCs w:val="20"/>
          <w:color w:val="auto"/>
        </w:rPr>
      </w:pPr>
    </w:p>
    <w:p>
      <w:pPr>
        <w:ind w:left="160" w:right="20"/>
        <w:spacing w:after="0" w:line="250" w:lineRule="auto"/>
        <w:rPr>
          <w:sz w:val="20"/>
          <w:szCs w:val="20"/>
          <w:color w:val="auto"/>
        </w:rPr>
      </w:pPr>
      <w:r>
        <w:rPr>
          <w:rFonts w:ascii="Times New Roman" w:cs="Times New Roman" w:eastAsia="Times New Roman" w:hAnsi="Times New Roman"/>
          <w:sz w:val="18"/>
          <w:szCs w:val="18"/>
          <w:color w:val="auto"/>
        </w:rPr>
        <w:t>On October 21, 2021, the Company received total net proceeds of $7,461 from the borrowings under a senior secured term loan facility, which included both the Initial Dollar Term Loan Facility and the loans thereunder (the “Initial Dollar Term Loans”) and the Initial Euro Term Loan Facility and the loans thereunder (the “Initial Euro Term Loans”) under the credit agreement that governs the Senior Secured Credit Facilities (as defined below) (the “Credit Agreement”) in connection with the Acquisition. The term loans borrowed under the Credit Agreement consist of two tranches with a principal amount of $7,270 and a principal amount of €435. Until June 27, 2023, the Initial Dollar Term Loans mature on October 21, 2028, and accrued interest at a variable rate based on the USD London Interbank Offered Rate (“LIBOR”) plus an applicable spread. Pursuant to the amendment in the Credit Agreement effective June 28, 2023, the Secured Overnight Financing Rate (“SOFR”) plus a new spread became the variable interest rate applicable to Initial Dollar Term Loans. The New Euro Term Loans (as defined below) accrue interest at a variable rate based on the EURO Interbank Offer Rate (“EURIBOR”), plus an applicable spread and mature on October 21, 2028. The amortization payments equal to 0.25% of initial aggregate principal amount of the New Dollar Term Loans (as defined below) are due quarterly, commencing with the three months ending June 25, 2022 and the remaining principal is set to mature on October 21, 2028. The Company made payments of $38 and $46 towards principal of the New Dollar Term Loans, the Additional Dollar Term Loans (as defined below), the Refinanced Dollar Term Loans (as defined below) and the Initial Dollar Term Loans, as applicable, for the nine months ended September 27, 2025 and the year ended December 31, 2024, respectively. The Euro Term Loans do not have any mandatory amortization.</w:t>
      </w:r>
    </w:p>
    <w:p>
      <w:pPr>
        <w:spacing w:after="0" w:line="191" w:lineRule="exact"/>
        <w:rPr>
          <w:sz w:val="20"/>
          <w:szCs w:val="20"/>
          <w:color w:val="auto"/>
        </w:rPr>
      </w:pPr>
    </w:p>
    <w:p>
      <w:pPr>
        <w:ind w:left="160" w:right="480"/>
        <w:spacing w:after="0" w:line="278" w:lineRule="auto"/>
        <w:rPr>
          <w:sz w:val="20"/>
          <w:szCs w:val="20"/>
          <w:color w:val="auto"/>
        </w:rPr>
      </w:pPr>
      <w:r>
        <w:rPr>
          <w:rFonts w:ascii="Times New Roman" w:cs="Times New Roman" w:eastAsia="Times New Roman" w:hAnsi="Times New Roman"/>
          <w:sz w:val="18"/>
          <w:szCs w:val="18"/>
          <w:color w:val="auto"/>
        </w:rPr>
        <w:t>On October 21, 2021, the Company received net proceeds of $4,421 for a 3.875% fixed rate note issued with a maturity date of April 1, 2029. The principal amount of the senior secured notes issued was $4,500.</w:t>
      </w:r>
    </w:p>
    <w:p>
      <w:pPr>
        <w:spacing w:after="0" w:line="162" w:lineRule="exact"/>
        <w:rPr>
          <w:sz w:val="20"/>
          <w:szCs w:val="20"/>
          <w:color w:val="auto"/>
        </w:rPr>
      </w:pPr>
    </w:p>
    <w:p>
      <w:pPr>
        <w:ind w:left="160" w:right="280"/>
        <w:spacing w:after="0" w:line="278" w:lineRule="auto"/>
        <w:rPr>
          <w:sz w:val="20"/>
          <w:szCs w:val="20"/>
          <w:color w:val="auto"/>
        </w:rPr>
      </w:pPr>
      <w:r>
        <w:rPr>
          <w:rFonts w:ascii="Times New Roman" w:cs="Times New Roman" w:eastAsia="Times New Roman" w:hAnsi="Times New Roman"/>
          <w:sz w:val="18"/>
          <w:szCs w:val="18"/>
          <w:color w:val="auto"/>
        </w:rPr>
        <w:t>On October 21, 2021, the Company received net proceeds of $2,442 for a 5.250% fixed rate note issued with a maturity date of October 1, 2029. The principal amount of the senior unsecured notes issued was $2,500.</w:t>
      </w:r>
    </w:p>
    <w:p>
      <w:pPr>
        <w:spacing w:after="0" w:line="162" w:lineRule="exact"/>
        <w:rPr>
          <w:sz w:val="20"/>
          <w:szCs w:val="20"/>
          <w:color w:val="auto"/>
        </w:rPr>
      </w:pPr>
    </w:p>
    <w:p>
      <w:pPr>
        <w:ind w:left="160" w:right="40"/>
        <w:spacing w:after="0" w:line="266" w:lineRule="auto"/>
        <w:rPr>
          <w:sz w:val="20"/>
          <w:szCs w:val="20"/>
          <w:color w:val="auto"/>
        </w:rPr>
      </w:pPr>
      <w:r>
        <w:rPr>
          <w:rFonts w:ascii="Times New Roman" w:cs="Times New Roman" w:eastAsia="Times New Roman" w:hAnsi="Times New Roman"/>
          <w:sz w:val="17"/>
          <w:szCs w:val="17"/>
          <w:color w:val="auto"/>
        </w:rPr>
        <w:t>On March 27, 2024, the Company received net proceeds of $993 under an indenture for 6.250% senior secured notes issued with a maturity date of April 1, 2029. The principal amount of the new senior secured notes issued was $1,000. On the same day, the Company entered into a second amendment to the Credit Agreement to pay down and refinance the Initial Dollar Term Loans (the Initial Dollar Term Loan Facility after giving effect to such refinancing, the “Refinanced Dollar Term Loan Facility” and the loans thereunder, the “Refinanced Dollar Term Loans”) and refinance the Initial Euro Term Loans (the Initial Euro Term Loan Facility after giving effect to such refinancing, the “Refinanced Euro Term Loan Facility” and the loans thereunder, the “Refinanced Euro Term Loans”). The proceeds from the senior secured notes issued on the same day were used to pay down the principal balance of the Initial Dollar Term Loans by $1,000. The amendment lowered the applicable margin of the Refinanced Dollar Term Loans by</w:t>
      </w:r>
    </w:p>
    <w:p>
      <w:pPr>
        <w:ind w:left="160"/>
        <w:spacing w:after="0" w:line="270" w:lineRule="auto"/>
        <w:rPr>
          <w:sz w:val="20"/>
          <w:szCs w:val="20"/>
          <w:color w:val="auto"/>
        </w:rPr>
      </w:pPr>
      <w:r>
        <w:rPr>
          <w:rFonts w:ascii="Times New Roman" w:cs="Times New Roman" w:eastAsia="Times New Roman" w:hAnsi="Times New Roman"/>
          <w:sz w:val="17"/>
          <w:szCs w:val="17"/>
          <w:color w:val="auto"/>
        </w:rPr>
        <w:t>0.36%, resulting in a margin spread of SOFR plus 2.75% per annum. The amortization payments equal to 0.25% of revised aggregate principal amount of $6,143 of the Refinanced Dollar Term Loans were still due quarterly on each calendar quarter end. The maturity date of the Refinanced Dollar Term Loans remains October 21, 2028. For the financing transaction on March 27, 2024, the Company recorded $29 of debt extinguishment costs, which were included in other expense, net on the condensed consolidated statements of comprehensive income during the nine months ended September 28, 2024.</w:t>
      </w:r>
    </w:p>
    <w:p>
      <w:pPr>
        <w:spacing w:after="0" w:line="171" w:lineRule="exact"/>
        <w:rPr>
          <w:sz w:val="20"/>
          <w:szCs w:val="20"/>
          <w:color w:val="auto"/>
        </w:rPr>
      </w:pPr>
    </w:p>
    <w:p>
      <w:pPr>
        <w:ind w:left="160" w:right="80"/>
        <w:spacing w:after="0" w:line="285" w:lineRule="auto"/>
        <w:rPr>
          <w:sz w:val="20"/>
          <w:szCs w:val="20"/>
          <w:color w:val="auto"/>
        </w:rPr>
      </w:pPr>
      <w:r>
        <w:rPr>
          <w:rFonts w:ascii="Times New Roman" w:cs="Times New Roman" w:eastAsia="Times New Roman" w:hAnsi="Times New Roman"/>
          <w:sz w:val="17"/>
          <w:szCs w:val="17"/>
          <w:color w:val="auto"/>
        </w:rPr>
        <w:t>On June 24, 2024, the Company received net proceeds of $495 for 6.250% senior secured notes issued with a maturity date of April 1, 2029. The principal amount of the senior secured notes issued was $500. The notes issued are additional notes under the indenture pursuant to which the Company previously issued senior secured notes of $1,000 principal on March 27, 2024. On July 8, 2024, the Company entered into a third amendment to</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080"/>
          </w:cols>
          <w:pgMar w:left="320" w:top="451" w:right="49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6 - CREDIT AGREEMENTS AND BORROWINGS (Continued)</w:t>
      </w:r>
    </w:p>
    <w:p>
      <w:pPr>
        <w:spacing w:after="0" w:line="131" w:lineRule="exact"/>
        <w:rPr>
          <w:sz w:val="20"/>
          <w:szCs w:val="20"/>
          <w:color w:val="auto"/>
        </w:rPr>
      </w:pPr>
    </w:p>
    <w:p>
      <w:pPr>
        <w:ind w:left="160"/>
        <w:spacing w:after="0" w:line="250" w:lineRule="auto"/>
        <w:rPr>
          <w:sz w:val="20"/>
          <w:szCs w:val="20"/>
          <w:color w:val="auto"/>
        </w:rPr>
      </w:pPr>
      <w:r>
        <w:rPr>
          <w:rFonts w:ascii="Times New Roman" w:cs="Times New Roman" w:eastAsia="Times New Roman" w:hAnsi="Times New Roman"/>
          <w:sz w:val="18"/>
          <w:szCs w:val="18"/>
          <w:color w:val="auto"/>
        </w:rPr>
        <w:t>the Credit Agreement and received net proceeds of $1,503 of additional dollar denominated term loans of a different class than the Initial Dollar Term Loans (the “Additional Dollar Term Loan Facility” and the loans thereunder, the “Additional Dollar Term Loans”) and net proceeds of $198 of additional euro-denominated term loans of the same class as the Refinanced Euro Term Loans (the “Additional Euro Term Loan Facility” and the loans thereunder, the “Additional Euro Term Loans”). The principal amount of the Additional Dollar Term Loans was $1,519, and the principal amount of the Additional Euro Term Loans was €185. The Company used these proceeds as well as the $495 proceeds received on June 24, 2024 to repay the CMBS Loan on July 9, 2024. The Additional Dollar Term Loans accrue interest at a variable rate based on SOFR plus 2.25%, and the Additional Euro Term Loans accrue interest at a variable rate based on the EURIBOR plus an applicable spread. The third amendment lowered the applicable margin of the Refinanced Euro Term Loans by 0.5%, resulting in a margin spread of EURIBOR plus 2.5% per annum, and caused the Refinanced Euro Term Loans and the Additional Euro Term Loans to be a single fungible class of term loans (the “New Euro Term Loan Facility” and the loans thereunder, the “New Euro Term Loans”). Similar to the Refinanced Dollar Term Loans under the same Credit Agreement, the Additional Dollar Term Loans require quarterly amortization payments equal to 0.25% of aggregate principal amount of the Additional Dollar Term Loans on each calendar quarter end, commencing on December 31, 2024 while the remaining principal is set to mature on October 21, 2028. Like the Refinanced Euro Term Loans, the Additional Euro Term Loans do not have any mandatory amortization and mature on October 21, 2028. For the financing transaction on July 8, 2024, the Company recorded $2 of debt extinguishment costs, which were included in other expense, net on the condensed consolidated statements of comprehensive income during the three and nine months ended September 28, 2024.</w:t>
      </w:r>
    </w:p>
    <w:p>
      <w:pPr>
        <w:spacing w:after="0" w:line="1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On November 19, 2024, the Company entered into the fourth amendment to the credit agreement that governs the Senior Secured Credit Facilities to</w:t>
      </w:r>
    </w:p>
    <w:p>
      <w:pPr>
        <w:spacing w:after="0" w:line="26" w:lineRule="exact"/>
        <w:rPr>
          <w:sz w:val="20"/>
          <w:szCs w:val="20"/>
          <w:color w:val="auto"/>
        </w:rPr>
      </w:pPr>
    </w:p>
    <w:p>
      <w:pPr>
        <w:ind w:left="160" w:right="100" w:firstLine="7"/>
        <w:spacing w:after="0" w:line="250" w:lineRule="auto"/>
        <w:tabs>
          <w:tab w:leader="none" w:pos="37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applicable margin for the Refinanced Dollar Term Loans by 0.50% overall to match the applicable margin for the Additional Dollar Term Loans, resulting in a margin spread of SOFR plus 2.25% per annum and (ii) cause the Refinanced Dollar Term Loans and the Additional Dollar Term Loans to be a single fungible class of term loans (the “New Dollar Term Loan Facility” and the loans thereunder, the “New Dollar Term Loans”). Amortization payments equal to 0.25% of revised aggregate principal amount of $7,631 of the New Dollar Term Loans are still due quarterly on each calendar quarter end.</w:t>
      </w:r>
    </w:p>
    <w:p>
      <w:pPr>
        <w:spacing w:after="0" w:line="187" w:lineRule="exact"/>
        <w:rPr>
          <w:sz w:val="20"/>
          <w:szCs w:val="20"/>
          <w:color w:val="auto"/>
        </w:rPr>
      </w:pPr>
    </w:p>
    <w:p>
      <w:pPr>
        <w:jc w:val="both"/>
        <w:ind w:left="160" w:right="100"/>
        <w:spacing w:after="0" w:line="263" w:lineRule="auto"/>
        <w:rPr>
          <w:sz w:val="20"/>
          <w:szCs w:val="20"/>
          <w:color w:val="auto"/>
        </w:rPr>
      </w:pPr>
      <w:r>
        <w:rPr>
          <w:rFonts w:ascii="Times New Roman" w:cs="Times New Roman" w:eastAsia="Times New Roman" w:hAnsi="Times New Roman"/>
          <w:sz w:val="18"/>
          <w:szCs w:val="18"/>
          <w:color w:val="auto"/>
        </w:rPr>
        <w:t>On March 28, 2025, the Company entered into the fifth amendment to the Credit Agreement to permit letter of credit issuers to issue letters of credit in excess of their respective letter of credit commitments and to obligate the other lenders under the Company’s Revolving Credit Facility to participate in such letters of credit, subject to other customary limitations.</w:t>
      </w:r>
    </w:p>
    <w:p>
      <w:pPr>
        <w:spacing w:after="0" w:line="175" w:lineRule="exact"/>
        <w:rPr>
          <w:sz w:val="20"/>
          <w:szCs w:val="20"/>
          <w:color w:val="auto"/>
        </w:rPr>
      </w:pPr>
    </w:p>
    <w:p>
      <w:pPr>
        <w:ind w:left="160"/>
        <w:spacing w:after="0" w:line="251" w:lineRule="auto"/>
        <w:rPr>
          <w:sz w:val="20"/>
          <w:szCs w:val="20"/>
          <w:color w:val="auto"/>
        </w:rPr>
      </w:pPr>
      <w:r>
        <w:rPr>
          <w:rFonts w:ascii="Times New Roman" w:cs="Times New Roman" w:eastAsia="Times New Roman" w:hAnsi="Times New Roman"/>
          <w:sz w:val="18"/>
          <w:szCs w:val="18"/>
          <w:color w:val="auto"/>
        </w:rPr>
        <w:t>On July 31, 2025, the Company entered into the sixth amendment to the Credit Agreement to (i) reduce the applicable margin for an aggregate principal amount of New Dollar Term Loans equal to $4,074 (the “2028 Refinancing Term Loans”) by 0.25% overall, resulting in a margin spread of SOFR plus 2.00% per annum and (ii) reduce the applicable margin for an aggregate principal amount of the New Dollar Term Loans equal to $3,500 (the “2030 Refinancing Term Loans”, together with the 2028 Refinancing Dollar Term Loans, the “2025 Refinancing Dollar Term Loans” or the “2025 Refinancing Dollar Term Facility) by 0.25% overall, resulting in a margin spread of SOFR plus 2.00% per annum. Except as set forth in the preceding sentence, the 2028 Refinancing Term Loans have substantially the same terms as the New Dollar Term Loans outstanding under the Credit Agreement prior to the sixth amendment. The 2030 Refinancing Term Loans have the same terms as the 2028 Refinancing Term Loans, except that the 2030 Refinancing Term Loans will mature on October 23, 2030. Amortization payments equal to 0.25% of the revised aggregate $7,574 principal of the 2025 Refinancing Dollar Term Loans are still due on each calendar quarter end, commencing with September 30, 2025. The Company incurred debt modification expense of $6 and an immaterial loss on debt extinguishment, which were included in</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060"/>
          </w:cols>
          <w:pgMar w:left="320" w:top="451" w:right="51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6 - CREDIT AGREEMENTS AND BORROWINGS (Continued)</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other expense, net, on the condensed consolidated statements of comprehensive income during the three and nine months ended September 27, 2025.</w:t>
      </w:r>
    </w:p>
    <w:p>
      <w:pPr>
        <w:spacing w:after="0" w:line="221" w:lineRule="exact"/>
        <w:rPr>
          <w:sz w:val="20"/>
          <w:szCs w:val="20"/>
          <w:color w:val="auto"/>
        </w:rPr>
      </w:pPr>
    </w:p>
    <w:p>
      <w:pPr>
        <w:ind w:left="160" w:right="40"/>
        <w:spacing w:after="0" w:line="254" w:lineRule="auto"/>
        <w:rPr>
          <w:sz w:val="20"/>
          <w:szCs w:val="20"/>
          <w:color w:val="auto"/>
        </w:rPr>
      </w:pPr>
      <w:r>
        <w:rPr>
          <w:rFonts w:ascii="Times New Roman" w:cs="Times New Roman" w:eastAsia="Times New Roman" w:hAnsi="Times New Roman"/>
          <w:sz w:val="18"/>
          <w:szCs w:val="18"/>
          <w:color w:val="auto"/>
        </w:rPr>
        <w:t>The fair value of the 2025 Refinancing Dollar Term Loans and New Euro Term Loans as of September 27, 2025 was $7,579 and $735, respectively. The fair value of the New Dollar Term Loans and New Euro Term Loans as of December 31, 2024 was $7,660 and $647, respectively. The fair value of the 3.875% fixed rate note, the 5.250% fixed rate note, and the 6.250% fixed rate note as of September 27, 2025 was $4,326, $2,478 and $1,541, respectively. The fair value of the 3.875% fixed rate note, the 5.250% fixed rate note, and the 6.250% fixed rate note as of December 31, 2024 was $4,166, $2,411 and $1,517, respectively. The estimated fair value of these loans was based on recent trades as reported by a third-party bond pricing service. Due to the infrequency of trades, these inputs are considered to be Level 2 inputs.</w:t>
      </w:r>
    </w:p>
    <w:p>
      <w:pPr>
        <w:spacing w:after="0" w:line="184" w:lineRule="exact"/>
        <w:rPr>
          <w:sz w:val="20"/>
          <w:szCs w:val="20"/>
          <w:color w:val="auto"/>
        </w:rPr>
      </w:pPr>
    </w:p>
    <w:p>
      <w:pPr>
        <w:ind w:left="160" w:right="280"/>
        <w:spacing w:after="0" w:line="278" w:lineRule="auto"/>
        <w:rPr>
          <w:sz w:val="20"/>
          <w:szCs w:val="20"/>
          <w:color w:val="auto"/>
        </w:rPr>
      </w:pPr>
      <w:r>
        <w:rPr>
          <w:rFonts w:ascii="Times New Roman" w:cs="Times New Roman" w:eastAsia="Times New Roman" w:hAnsi="Times New Roman"/>
          <w:sz w:val="18"/>
          <w:szCs w:val="18"/>
          <w:color w:val="auto"/>
        </w:rPr>
        <w:t>Compliance with the covenants does not significantly impact the Company’s operations. As of September 27, 2025, the Company was in compliance with all the covenants under the Credit Agreement.</w:t>
      </w:r>
    </w:p>
    <w:p>
      <w:pPr>
        <w:spacing w:after="0" w:line="1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Future aggregate principal amounts for the remainder of fiscal year 2025 and over the next four years and thereafter are as follows:</w:t>
      </w:r>
    </w:p>
    <w:p>
      <w:pPr>
        <w:spacing w:after="0" w:line="241" w:lineRule="exact"/>
        <w:rPr>
          <w:sz w:val="20"/>
          <w:szCs w:val="20"/>
          <w:color w:val="auto"/>
        </w:rPr>
      </w:pPr>
    </w:p>
    <w:tbl>
      <w:tblPr>
        <w:tblLayout w:type="fixed"/>
        <w:tblInd w:w="1920" w:type="dxa"/>
        <w:tblCellMar>
          <w:top w:w="0" w:type="dxa"/>
          <w:left w:w="0" w:type="dxa"/>
          <w:bottom w:w="0" w:type="dxa"/>
          <w:right w:w="0" w:type="dxa"/>
        </w:tblCellMar>
      </w:tblPr>
      <w:tr>
        <w:trPr>
          <w:trHeight w:val="172"/>
        </w:trPr>
        <w:tc>
          <w:tcPr>
            <w:tcW w:w="34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Annual Maturities</w:t>
            </w:r>
          </w:p>
        </w:tc>
      </w:tr>
      <w:tr>
        <w:trPr>
          <w:trHeight w:val="207"/>
        </w:trPr>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7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Borders>
              <w:top w:val="single" w:sz="8" w:color="CCEEFF"/>
            </w:tcBorders>
            <w:shd w:val="clear" w:color="auto" w:fill="CCEEFF"/>
          </w:tcPr>
          <w:p>
            <w:pPr>
              <w:spacing w:after="0"/>
              <w:rPr>
                <w:sz w:val="18"/>
                <w:szCs w:val="18"/>
                <w:color w:val="auto"/>
              </w:rPr>
            </w:pPr>
          </w:p>
        </w:tc>
      </w:tr>
      <w:tr>
        <w:trPr>
          <w:trHeight w:val="21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tcPr>
          <w:p>
            <w:pPr>
              <w:spacing w:after="0"/>
              <w:rPr>
                <w:sz w:val="18"/>
                <w:szCs w:val="18"/>
                <w:color w:val="auto"/>
              </w:rPr>
            </w:pPr>
          </w:p>
        </w:tc>
      </w:tr>
      <w:tr>
        <w:trPr>
          <w:trHeight w:val="214"/>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shd w:val="clear" w:color="auto" w:fill="CCEEFF"/>
          </w:tcPr>
          <w:p>
            <w:pPr>
              <w:spacing w:after="0"/>
              <w:rPr>
                <w:sz w:val="18"/>
                <w:szCs w:val="18"/>
                <w:color w:val="auto"/>
              </w:rPr>
            </w:pPr>
          </w:p>
        </w:tc>
      </w:tr>
      <w:tr>
        <w:trPr>
          <w:trHeight w:val="21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4,735</w:t>
            </w:r>
          </w:p>
        </w:tc>
      </w:tr>
      <w:tr>
        <w:trPr>
          <w:trHeight w:val="214"/>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8,535</w:t>
            </w:r>
          </w:p>
        </w:tc>
      </w:tr>
      <w:tr>
        <w:trPr>
          <w:trHeight w:val="221"/>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7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40" w:type="dxa"/>
            <w:vAlign w:val="bottom"/>
          </w:tcPr>
          <w:p>
            <w:pPr>
              <w:spacing w:after="0"/>
              <w:rPr>
                <w:sz w:val="19"/>
                <w:szCs w:val="19"/>
                <w:color w:val="auto"/>
              </w:rPr>
            </w:pPr>
          </w:p>
        </w:tc>
      </w:tr>
      <w:tr>
        <w:trPr>
          <w:trHeight w:val="214"/>
        </w:trPr>
        <w:tc>
          <w:tcPr>
            <w:tcW w:w="348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ind w:left="27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16,803</w:t>
            </w:r>
          </w:p>
        </w:tc>
      </w:tr>
      <w:tr>
        <w:trPr>
          <w:trHeight w:val="20"/>
        </w:trPr>
        <w:tc>
          <w:tcPr>
            <w:tcW w:w="34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u w:val="single" w:color="auto"/>
          <w:color w:val="auto"/>
        </w:rPr>
        <w:t>Revolving Credit Facilities</w:t>
      </w:r>
    </w:p>
    <w:p>
      <w:pPr>
        <w:spacing w:after="0" w:line="118" w:lineRule="exact"/>
        <w:rPr>
          <w:sz w:val="20"/>
          <w:szCs w:val="20"/>
          <w:color w:val="auto"/>
        </w:rPr>
      </w:pPr>
    </w:p>
    <w:p>
      <w:pPr>
        <w:ind w:left="160" w:right="120"/>
        <w:spacing w:after="0" w:line="255" w:lineRule="auto"/>
        <w:rPr>
          <w:sz w:val="20"/>
          <w:szCs w:val="20"/>
          <w:color w:val="auto"/>
        </w:rPr>
      </w:pPr>
      <w:r>
        <w:rPr>
          <w:rFonts w:ascii="Times New Roman" w:cs="Times New Roman" w:eastAsia="Times New Roman" w:hAnsi="Times New Roman"/>
          <w:sz w:val="18"/>
          <w:szCs w:val="18"/>
          <w:color w:val="auto"/>
        </w:rPr>
        <w:t>As part of the Transaction, on October 21, 2021, certain lenders have provided the Company with commitments under a senior secured revolving credit facility (the “Revolving Credit Facility”, together with the 2025 Refinancing Dollar Term Facility and the New Euro Term Loan Facility, the “Senior Secured Credit Facilities”) under the Credit Agreement. The Revolving Credit Facility also accrues commitment fees in respect of unfunded commitments thereunder. Letters of credit issued under the Revolving Credit Facility reduce availability under the Revolving Credit Facility, dollar-for-dollar.</w:t>
      </w:r>
    </w:p>
    <w:p>
      <w:pPr>
        <w:spacing w:after="0" w:line="184" w:lineRule="exact"/>
        <w:rPr>
          <w:sz w:val="20"/>
          <w:szCs w:val="20"/>
          <w:color w:val="auto"/>
        </w:rPr>
      </w:pPr>
    </w:p>
    <w:p>
      <w:pPr>
        <w:ind w:left="160"/>
        <w:spacing w:after="0" w:line="253" w:lineRule="auto"/>
        <w:rPr>
          <w:sz w:val="20"/>
          <w:szCs w:val="20"/>
          <w:color w:val="auto"/>
        </w:rPr>
      </w:pPr>
      <w:r>
        <w:rPr>
          <w:rFonts w:ascii="Times New Roman" w:cs="Times New Roman" w:eastAsia="Times New Roman" w:hAnsi="Times New Roman"/>
          <w:sz w:val="18"/>
          <w:szCs w:val="18"/>
          <w:color w:val="auto"/>
        </w:rPr>
        <w:t>As of September 27, 2025 and December 31, 2024, the Revolving Credit Facility had several financial institutions as lenders for a maximum borrowing capacity of $1,000. As of September 27, 2025 and December 31, 2024, availability under the Revolving Credit Facility was $946 and $951, respectively, after taking into account outstanding letters of credit of $54 and $49, respectively. The Company borrowed and repaid $179 and $166 under the Revolving Credit Facility during the nine months ended September 27, 2025 and the year ended December 31, 2024, respectively, which resulted in no amounts outstanding as of September 27, 2025 or December 31, 2024. The revolving credit facilities enable the Company to borrow at various rates, all of which float with relevant rate indices, i.e., SOFR. The Revolving Credit Facility was originally set to mature on October 21, 2026. The third amendment to the Credit Agreement on July 8, 2024 extended the maturity date of the Credit Facility to July 8, 2029.</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080"/>
          </w:cols>
          <w:pgMar w:left="320" w:top="451" w:right="49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6 - CREDIT AGREEMENTS AND BORROWINGS (Continued)</w:t>
      </w:r>
    </w:p>
    <w:p>
      <w:pPr>
        <w:spacing w:after="0" w:line="131" w:lineRule="exact"/>
        <w:rPr>
          <w:sz w:val="20"/>
          <w:szCs w:val="20"/>
          <w:color w:val="auto"/>
        </w:rPr>
      </w:pPr>
    </w:p>
    <w:p>
      <w:pPr>
        <w:ind w:left="160" w:right="80"/>
        <w:spacing w:after="0" w:line="278" w:lineRule="auto"/>
        <w:rPr>
          <w:sz w:val="20"/>
          <w:szCs w:val="20"/>
          <w:color w:val="auto"/>
        </w:rPr>
      </w:pPr>
      <w:r>
        <w:rPr>
          <w:rFonts w:ascii="Times New Roman" w:cs="Times New Roman" w:eastAsia="Times New Roman" w:hAnsi="Times New Roman"/>
          <w:sz w:val="18"/>
          <w:szCs w:val="18"/>
          <w:color w:val="auto"/>
        </w:rPr>
        <w:t>Borrowings under the Revolving Credit Facility may be repaid and borrowed again, partially or wholly at any time, from time to time, as elected by the Company and interest is typically paid on a monthly or quarterly basis, depending on the interest period elected.</w:t>
      </w:r>
    </w:p>
    <w:p>
      <w:pPr>
        <w:spacing w:after="0" w:line="162" w:lineRule="exact"/>
        <w:rPr>
          <w:sz w:val="20"/>
          <w:szCs w:val="20"/>
          <w:color w:val="auto"/>
        </w:rPr>
      </w:pPr>
    </w:p>
    <w:p>
      <w:pPr>
        <w:ind w:left="160" w:right="300"/>
        <w:spacing w:after="0" w:line="278" w:lineRule="auto"/>
        <w:rPr>
          <w:sz w:val="20"/>
          <w:szCs w:val="20"/>
          <w:color w:val="auto"/>
        </w:rPr>
      </w:pPr>
      <w:r>
        <w:rPr>
          <w:rFonts w:ascii="Times New Roman" w:cs="Times New Roman" w:eastAsia="Times New Roman" w:hAnsi="Times New Roman"/>
          <w:sz w:val="18"/>
          <w:szCs w:val="18"/>
          <w:color w:val="auto"/>
        </w:rPr>
        <w:t>The indentures contain certain affirmative and negative covenants, which require, among other provisions, delivery of these condensed consolidated financial statements to the relevant note holders. As of September 27, 2025, the Company was in compliance with all covenants.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7 - INTEREST EXPENSE, NET</w:t>
      </w:r>
    </w:p>
    <w:p>
      <w:pPr>
        <w:spacing w:after="0" w:line="1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Interest expense, net consists of the following for the three and nine months ended September 27, 2025 and September 28, 2024:</w:t>
      </w:r>
    </w:p>
    <w:p>
      <w:pPr>
        <w:spacing w:after="0" w:line="243"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4"/>
                <w:szCs w:val="14"/>
                <w:color w:val="auto"/>
              </w:rPr>
              <w:t>Three months ended</w:t>
            </w:r>
          </w:p>
        </w:tc>
        <w:tc>
          <w:tcPr>
            <w:tcW w:w="6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4"/>
                <w:szCs w:val="14"/>
                <w:color w:val="auto"/>
              </w:rPr>
              <w:t>Nine months ended</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4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color w:val="auto"/>
              </w:rPr>
              <w:t>September 27, 2025</w:t>
            </w:r>
          </w:p>
        </w:tc>
        <w:tc>
          <w:tcPr>
            <w:tcW w:w="400" w:type="dxa"/>
            <w:vAlign w:val="bottom"/>
          </w:tcPr>
          <w:p>
            <w:pPr>
              <w:spacing w:after="0"/>
              <w:rPr>
                <w:sz w:val="12"/>
                <w:szCs w:val="12"/>
                <w:color w:val="auto"/>
              </w:rPr>
            </w:pPr>
          </w:p>
        </w:tc>
        <w:tc>
          <w:tcPr>
            <w:tcW w:w="116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4"/>
                <w:szCs w:val="14"/>
                <w:color w:val="auto"/>
                <w:w w:val="99"/>
              </w:rPr>
              <w:t>September 28, 2024</w:t>
            </w: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2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color w:val="auto"/>
              </w:rPr>
              <w:t>September 27, 2025</w:t>
            </w:r>
          </w:p>
        </w:tc>
        <w:tc>
          <w:tcPr>
            <w:tcW w:w="420" w:type="dxa"/>
            <w:vAlign w:val="bottom"/>
          </w:tcPr>
          <w:p>
            <w:pPr>
              <w:spacing w:after="0"/>
              <w:rPr>
                <w:sz w:val="12"/>
                <w:szCs w:val="12"/>
                <w:color w:val="auto"/>
              </w:rPr>
            </w:pPr>
          </w:p>
        </w:tc>
        <w:tc>
          <w:tcPr>
            <w:tcW w:w="116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rPr>
              <w:t>September 28, 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4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99</w:t>
            </w: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(213)</w:t>
            </w: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(213)</w:t>
            </w:r>
          </w:p>
        </w:tc>
        <w:tc>
          <w:tcPr>
            <w:tcW w:w="8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(646)</w:t>
            </w:r>
          </w:p>
        </w:tc>
        <w:tc>
          <w:tcPr>
            <w:tcW w:w="8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8 - INCOME TAXES</w:t>
      </w:r>
    </w:p>
    <w:p>
      <w:pPr>
        <w:spacing w:after="0" w:line="118" w:lineRule="exact"/>
        <w:rPr>
          <w:sz w:val="20"/>
          <w:szCs w:val="20"/>
          <w:color w:val="auto"/>
        </w:rPr>
      </w:pPr>
    </w:p>
    <w:p>
      <w:pPr>
        <w:ind w:left="160" w:right="160"/>
        <w:spacing w:after="0" w:line="263" w:lineRule="auto"/>
        <w:rPr>
          <w:sz w:val="20"/>
          <w:szCs w:val="20"/>
          <w:color w:val="auto"/>
        </w:rPr>
      </w:pPr>
      <w:r>
        <w:rPr>
          <w:rFonts w:ascii="Times New Roman" w:cs="Times New Roman" w:eastAsia="Times New Roman" w:hAnsi="Times New Roman"/>
          <w:sz w:val="18"/>
          <w:szCs w:val="18"/>
          <w:color w:val="auto"/>
        </w:rPr>
        <w:t>The Company’s effective income tax rate was 6.30% and 3.17% for the nine months ended September 27, 2025 and September 28, 2024, respectively. The Company’s effective income tax rate can differ from the 21% U.S. federal statutory rate due to a number of factors, including the operating partnership, tax incentives, foreign rate differences, state income taxes, non-deductible expenses, and non-taxable income.</w:t>
      </w:r>
    </w:p>
    <w:p>
      <w:pPr>
        <w:spacing w:after="0" w:line="175" w:lineRule="exact"/>
        <w:rPr>
          <w:sz w:val="20"/>
          <w:szCs w:val="20"/>
          <w:color w:val="auto"/>
        </w:rPr>
      </w:pPr>
    </w:p>
    <w:p>
      <w:pPr>
        <w:ind w:left="160" w:right="100"/>
        <w:spacing w:after="0" w:line="278" w:lineRule="auto"/>
        <w:rPr>
          <w:sz w:val="20"/>
          <w:szCs w:val="20"/>
          <w:color w:val="auto"/>
        </w:rPr>
      </w:pPr>
      <w:r>
        <w:rPr>
          <w:rFonts w:ascii="Times New Roman" w:cs="Times New Roman" w:eastAsia="Times New Roman" w:hAnsi="Times New Roman"/>
          <w:sz w:val="18"/>
          <w:szCs w:val="18"/>
          <w:color w:val="auto"/>
        </w:rPr>
        <w:t>For the nine months ended September 27, 2025, the difference between the Company’s effective income tax rate and the U.S. federal statutory rate was primarily driven by the operating partnership, tax incentives, foreign rate differences, and state income taxes.</w:t>
      </w:r>
    </w:p>
    <w:p>
      <w:pPr>
        <w:spacing w:after="0" w:line="162" w:lineRule="exact"/>
        <w:rPr>
          <w:sz w:val="20"/>
          <w:szCs w:val="20"/>
          <w:color w:val="auto"/>
        </w:rPr>
      </w:pPr>
    </w:p>
    <w:p>
      <w:pPr>
        <w:ind w:left="160"/>
        <w:spacing w:after="0" w:line="258" w:lineRule="auto"/>
        <w:rPr>
          <w:sz w:val="20"/>
          <w:szCs w:val="20"/>
          <w:color w:val="auto"/>
        </w:rPr>
      </w:pPr>
      <w:r>
        <w:rPr>
          <w:rFonts w:ascii="Times New Roman" w:cs="Times New Roman" w:eastAsia="Times New Roman" w:hAnsi="Times New Roman"/>
          <w:sz w:val="18"/>
          <w:szCs w:val="18"/>
          <w:color w:val="auto"/>
        </w:rPr>
        <w:t>On July 4, 2025, H.R. 1, commonly referred to as the One Big Beautiful Bill Act (“OBBBA”) was enacted, which includes permanent extensions of most expiring Tax Cuts and Jobs Act provisions and limitations on certain deductions and modifications to international tax provisions. The Company is still evaluating the potential impacts of the OBBBA; however, the Company does not anticipate it will have a material impact on the Company’s consolidated financial statements.</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1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116" w:lineRule="exact"/>
        <w:rPr>
          <w:sz w:val="20"/>
          <w:szCs w:val="20"/>
          <w:color w:val="auto"/>
        </w:rPr>
      </w:pPr>
    </w:p>
    <w:p>
      <w:pPr>
        <w:ind w:left="160" w:right="400"/>
        <w:spacing w:after="0" w:line="277" w:lineRule="auto"/>
        <w:rPr>
          <w:sz w:val="20"/>
          <w:szCs w:val="20"/>
          <w:color w:val="auto"/>
        </w:rPr>
      </w:pPr>
      <w:r>
        <w:rPr>
          <w:rFonts w:ascii="Times New Roman" w:cs="Times New Roman" w:eastAsia="Times New Roman" w:hAnsi="Times New Roman"/>
          <w:sz w:val="17"/>
          <w:szCs w:val="17"/>
          <w:color w:val="auto"/>
        </w:rPr>
        <w:t>The Company is subject to various legal actions that are ordinary course and incidental to the business, including contract disputes, employment, workers’ compensation, product liability, auto liability, regulatory and other matters. The Company maintains insurance coverage for employment, product liability, workers’ compensation and other personal injury litigation matters, subject to policy limits, applicable deductibles and insurer solvency. The Company establishes reserves from time to time based upon periodic assessment of the potential outcomes of pending matters.</w:t>
      </w:r>
    </w:p>
    <w:p>
      <w:pPr>
        <w:spacing w:after="0" w:line="10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040"/>
          </w:cols>
          <w:pgMar w:left="320" w:top="451" w:right="53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 (Continued)</w:t>
      </w:r>
    </w:p>
    <w:p>
      <w:pPr>
        <w:spacing w:after="0" w:line="131" w:lineRule="exact"/>
        <w:rPr>
          <w:sz w:val="20"/>
          <w:szCs w:val="20"/>
          <w:color w:val="auto"/>
        </w:rPr>
      </w:pPr>
    </w:p>
    <w:p>
      <w:pPr>
        <w:ind w:left="160" w:right="220"/>
        <w:spacing w:after="0" w:line="258" w:lineRule="auto"/>
        <w:rPr>
          <w:sz w:val="20"/>
          <w:szCs w:val="20"/>
          <w:color w:val="auto"/>
        </w:rPr>
      </w:pPr>
      <w:r>
        <w:rPr>
          <w:rFonts w:ascii="Times New Roman" w:cs="Times New Roman" w:eastAsia="Times New Roman" w:hAnsi="Times New Roman"/>
          <w:sz w:val="18"/>
          <w:szCs w:val="18"/>
          <w:color w:val="auto"/>
        </w:rPr>
        <w:t>In January 2019, the Company was named as a defendant in mass tort litigation in Cook County, Illinois involving claims by approximately 380 plaintiffs that allege personal injuries associated with the Company’s EtO activities in Lake County, Illinois. Through settlement discussions with mediators, the Company reached binding settlements with 7 plaintiffs, as well as a contingent settlement encompassing substantially all the remaining claimants. The group settlement was finalized in March 2025 (the “EtO settlements”).</w:t>
      </w:r>
    </w:p>
    <w:p>
      <w:pPr>
        <w:spacing w:after="0" w:line="180" w:lineRule="exact"/>
        <w:rPr>
          <w:sz w:val="20"/>
          <w:szCs w:val="20"/>
          <w:color w:val="auto"/>
        </w:rPr>
      </w:pPr>
    </w:p>
    <w:p>
      <w:pPr>
        <w:ind w:left="160"/>
        <w:spacing w:after="0" w:line="258" w:lineRule="auto"/>
        <w:rPr>
          <w:sz w:val="20"/>
          <w:szCs w:val="20"/>
          <w:color w:val="auto"/>
        </w:rPr>
      </w:pPr>
      <w:r>
        <w:rPr>
          <w:rFonts w:ascii="Times New Roman" w:cs="Times New Roman" w:eastAsia="Times New Roman" w:hAnsi="Times New Roman"/>
          <w:sz w:val="18"/>
          <w:szCs w:val="18"/>
          <w:color w:val="auto"/>
        </w:rPr>
        <w:t>As of September 27, 2025, there was no outstanding liability related to the EtO settlements. As of December 31, 2024, the outstanding liability related to the EtO settlements was $174, which was reduced to $166 in the first quarter of 2025. The reduction in the liability was recorded in other operating expenses in the condensed consolidated statements of comprehensive income for the nine months ended September 27, 2025. In the second quarter of 2025, the Company made total cash payments of $166, of which $47 was released from escrow deposited in 2024.</w:t>
      </w:r>
    </w:p>
    <w:p>
      <w:pPr>
        <w:spacing w:after="0" w:line="180" w:lineRule="exact"/>
        <w:rPr>
          <w:sz w:val="20"/>
          <w:szCs w:val="20"/>
          <w:color w:val="auto"/>
        </w:rPr>
      </w:pPr>
    </w:p>
    <w:p>
      <w:pPr>
        <w:ind w:left="160" w:right="40"/>
        <w:spacing w:after="0" w:line="254" w:lineRule="auto"/>
        <w:rPr>
          <w:sz w:val="20"/>
          <w:szCs w:val="20"/>
          <w:color w:val="auto"/>
        </w:rPr>
      </w:pPr>
      <w:r>
        <w:rPr>
          <w:rFonts w:ascii="Times New Roman" w:cs="Times New Roman" w:eastAsia="Times New Roman" w:hAnsi="Times New Roman"/>
          <w:sz w:val="18"/>
          <w:szCs w:val="18"/>
          <w:color w:val="auto"/>
        </w:rPr>
        <w:t>As of September 27, 2025, there were no outstanding receivables with the primary insurance carriers for recovery of the EtO settlements. As of December 31, 2024, the Company carried receivables of $10 related to agreements with the primary insurance carriers for recovery of the EtO settlements. The Company is actively pursuing litigation with its excess insurance carriers related to their obligations to reimburse the Company for substantially all remaining settlement payments in connection with the lawsuits described above. The Company is confident in its position on this matter and will aggressively litigate to enforce its contractual rights. The Company has not recorded a receivable for expected recoveries of the remaining settlement payments from excess insurance carriers as of September 27, 2025.</w:t>
      </w:r>
    </w:p>
    <w:p>
      <w:pPr>
        <w:spacing w:after="0" w:line="184" w:lineRule="exact"/>
        <w:rPr>
          <w:sz w:val="20"/>
          <w:szCs w:val="20"/>
          <w:color w:val="auto"/>
        </w:rPr>
      </w:pPr>
    </w:p>
    <w:p>
      <w:pPr>
        <w:jc w:val="both"/>
        <w:ind w:left="160" w:right="260"/>
        <w:spacing w:after="0" w:line="263" w:lineRule="auto"/>
        <w:rPr>
          <w:sz w:val="20"/>
          <w:szCs w:val="20"/>
          <w:color w:val="auto"/>
        </w:rPr>
      </w:pPr>
      <w:r>
        <w:rPr>
          <w:rFonts w:ascii="Times New Roman" w:cs="Times New Roman" w:eastAsia="Times New Roman" w:hAnsi="Times New Roman"/>
          <w:sz w:val="18"/>
          <w:szCs w:val="18"/>
          <w:color w:val="auto"/>
        </w:rPr>
        <w:t>In March 2025, the Company reached a legal settlement related to an intellectual property dispute with a third party and recorded gains of $43 for the nine months ended September 27, 2025, in selling, general, and administrative expenses in the condensed consolidated statements of comprehensive income. No gains were recorded during the three months ended September 27, 2025.</w:t>
      </w:r>
    </w:p>
    <w:p>
      <w:pPr>
        <w:spacing w:after="0" w:line="175" w:lineRule="exact"/>
        <w:rPr>
          <w:sz w:val="20"/>
          <w:szCs w:val="20"/>
          <w:color w:val="auto"/>
        </w:rPr>
      </w:pPr>
    </w:p>
    <w:p>
      <w:pPr>
        <w:ind w:left="160" w:right="60"/>
        <w:spacing w:after="0" w:line="254" w:lineRule="auto"/>
        <w:rPr>
          <w:sz w:val="20"/>
          <w:szCs w:val="20"/>
          <w:color w:val="auto"/>
        </w:rPr>
      </w:pPr>
      <w:r>
        <w:rPr>
          <w:rFonts w:ascii="Times New Roman" w:cs="Times New Roman" w:eastAsia="Times New Roman" w:hAnsi="Times New Roman"/>
          <w:sz w:val="18"/>
          <w:szCs w:val="18"/>
          <w:color w:val="auto"/>
        </w:rPr>
        <w:t>Based on current knowledge and the advice of legal counsel, management believes that the reserve as of September 27, 2025 for other pending matters considered probable of gain or loss contingencies is sufficient. In addition, management believes that other currently pending matters are not reasonably likely to result in a material loss, as payment of the amounts claimed is remote, the claims are insignificant, individually and in the aggregate, or the claims are expected to be adequately covered by insurance. The Company is of the opinion that, although the outcome of any such legal proceedings cannot be predicted with any certainty, the ultimate liability, if any, will not have a material adverse effect on the Company’s condensed consolidated financial statements.</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Unconditional purchase obligations</w:t>
      </w:r>
    </w:p>
    <w:p>
      <w:pPr>
        <w:spacing w:after="0" w:line="116" w:lineRule="exact"/>
        <w:rPr>
          <w:sz w:val="20"/>
          <w:szCs w:val="20"/>
          <w:color w:val="auto"/>
        </w:rPr>
      </w:pPr>
    </w:p>
    <w:p>
      <w:pPr>
        <w:ind w:left="160" w:right="20"/>
        <w:spacing w:after="0" w:line="254" w:lineRule="auto"/>
        <w:rPr>
          <w:sz w:val="20"/>
          <w:szCs w:val="20"/>
          <w:color w:val="auto"/>
        </w:rPr>
      </w:pPr>
      <w:r>
        <w:rPr>
          <w:rFonts w:ascii="Times New Roman" w:cs="Times New Roman" w:eastAsia="Times New Roman" w:hAnsi="Times New Roman"/>
          <w:sz w:val="18"/>
          <w:szCs w:val="18"/>
          <w:color w:val="auto"/>
        </w:rPr>
        <w:t>Unconditional purchase obligations are defined as agreements to purchase goods or services that are enforceable and legally binding (non-cancelable, or cancelable only in certain circumstances) and that specify all significant terms, including fixed or minimum quantities to be purchased, fixed, minimum, or variable price provisions, and the approximate timing of the transaction. In the normal course of business, the Company enters into arrangements with vendors that supply goods or services. These arrangements can include unconditional purchase obligations and commitments. Payments made under the unconditional purchase obligations for the three months ended September 27, 2025 and September 28, 2024 were $58 and $87, respectively, and were $151 and $207 for the nine months ended September 27, 2025 and September 28, 2024, respectively.</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080"/>
          </w:cols>
          <w:pgMar w:left="320" w:top="452" w:right="49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 (Continued)</w:t>
      </w:r>
    </w:p>
    <w:p>
      <w:pPr>
        <w:spacing w:after="0" w:line="131" w:lineRule="exact"/>
        <w:rPr>
          <w:sz w:val="20"/>
          <w:szCs w:val="20"/>
          <w:color w:val="auto"/>
        </w:rPr>
      </w:pPr>
    </w:p>
    <w:p>
      <w:pPr>
        <w:ind w:left="160" w:right="80"/>
        <w:spacing w:after="0" w:line="278" w:lineRule="auto"/>
        <w:rPr>
          <w:sz w:val="20"/>
          <w:szCs w:val="20"/>
          <w:color w:val="auto"/>
        </w:rPr>
      </w:pPr>
      <w:r>
        <w:rPr>
          <w:rFonts w:ascii="Times New Roman" w:cs="Times New Roman" w:eastAsia="Times New Roman" w:hAnsi="Times New Roman"/>
          <w:sz w:val="18"/>
          <w:szCs w:val="18"/>
          <w:color w:val="auto"/>
        </w:rPr>
        <w:t>As of September 27, 2025, future payments related to commitments for the remainder of fiscal year 2025 and over the next four years and thereafter are as follows:</w:t>
      </w:r>
    </w:p>
    <w:p>
      <w:pPr>
        <w:spacing w:after="0" w:line="183" w:lineRule="exact"/>
        <w:rPr>
          <w:sz w:val="20"/>
          <w:szCs w:val="20"/>
          <w:color w:val="auto"/>
        </w:rPr>
      </w:pPr>
    </w:p>
    <w:tbl>
      <w:tblPr>
        <w:tblLayout w:type="fixed"/>
        <w:tblInd w:w="1920" w:type="dxa"/>
        <w:tblCellMar>
          <w:top w:w="0" w:type="dxa"/>
          <w:left w:w="0" w:type="dxa"/>
          <w:bottom w:w="0" w:type="dxa"/>
          <w:right w:w="0" w:type="dxa"/>
        </w:tblCellMar>
      </w:tblPr>
      <w:tr>
        <w:trPr>
          <w:trHeight w:val="172"/>
        </w:trPr>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7"/>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Borders>
              <w:top w:val="single" w:sz="8" w:color="CCEEFF"/>
            </w:tcBorders>
            <w:shd w:val="clear" w:color="auto" w:fill="CCEEFF"/>
          </w:tcPr>
          <w:p>
            <w:pPr>
              <w:spacing w:after="0"/>
              <w:rPr>
                <w:sz w:val="18"/>
                <w:szCs w:val="18"/>
                <w:color w:val="auto"/>
              </w:rPr>
            </w:pPr>
          </w:p>
        </w:tc>
      </w:tr>
      <w:tr>
        <w:trPr>
          <w:trHeight w:val="21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w:t>
            </w:r>
          </w:p>
        </w:tc>
      </w:tr>
      <w:tr>
        <w:trPr>
          <w:trHeight w:val="21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w:t>
            </w:r>
          </w:p>
        </w:tc>
      </w:tr>
      <w:tr>
        <w:trPr>
          <w:trHeight w:val="21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r>
      <w:tr>
        <w:trPr>
          <w:trHeight w:val="21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w:t>
            </w:r>
          </w:p>
        </w:tc>
      </w:tr>
      <w:tr>
        <w:trPr>
          <w:trHeight w:val="221"/>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40" w:type="dxa"/>
            <w:vAlign w:val="bottom"/>
          </w:tcPr>
          <w:p>
            <w:pPr>
              <w:spacing w:after="0"/>
              <w:rPr>
                <w:sz w:val="19"/>
                <w:szCs w:val="19"/>
                <w:color w:val="auto"/>
              </w:rPr>
            </w:pPr>
          </w:p>
        </w:tc>
      </w:tr>
      <w:tr>
        <w:trPr>
          <w:trHeight w:val="214"/>
        </w:trPr>
        <w:tc>
          <w:tcPr>
            <w:tcW w:w="6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1"/>
              </w:rPr>
              <w:t>   898</w:t>
            </w:r>
          </w:p>
        </w:tc>
      </w:tr>
      <w:tr>
        <w:trPr>
          <w:trHeight w:val="20"/>
        </w:trPr>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10 - FAIR VALUE MEASUREMENTS</w:t>
      </w:r>
    </w:p>
    <w:p>
      <w:pPr>
        <w:spacing w:after="0" w:line="118" w:lineRule="exact"/>
        <w:rPr>
          <w:sz w:val="20"/>
          <w:szCs w:val="20"/>
          <w:color w:val="auto"/>
        </w:rPr>
      </w:pPr>
    </w:p>
    <w:p>
      <w:pPr>
        <w:ind w:left="160" w:right="540"/>
        <w:spacing w:after="0" w:line="278" w:lineRule="auto"/>
        <w:rPr>
          <w:sz w:val="20"/>
          <w:szCs w:val="20"/>
          <w:color w:val="auto"/>
        </w:rPr>
      </w:pPr>
      <w:r>
        <w:rPr>
          <w:rFonts w:ascii="Times New Roman" w:cs="Times New Roman" w:eastAsia="Times New Roman" w:hAnsi="Times New Roman"/>
          <w:sz w:val="18"/>
          <w:szCs w:val="18"/>
          <w:color w:val="auto"/>
        </w:rPr>
        <w:t>The following descriptions of the valuation methods and assumptions used by the Company to estimate the fair values of investments apply to all investments held directly by the Company:</w:t>
      </w:r>
    </w:p>
    <w:p>
      <w:pPr>
        <w:spacing w:after="0" w:line="162" w:lineRule="exact"/>
        <w:rPr>
          <w:sz w:val="20"/>
          <w:szCs w:val="20"/>
          <w:color w:val="auto"/>
        </w:rPr>
      </w:pPr>
    </w:p>
    <w:p>
      <w:pPr>
        <w:ind w:left="160"/>
        <w:spacing w:after="0" w:line="258" w:lineRule="auto"/>
        <w:rPr>
          <w:sz w:val="20"/>
          <w:szCs w:val="20"/>
          <w:color w:val="auto"/>
        </w:rPr>
      </w:pPr>
      <w:r>
        <w:rPr>
          <w:rFonts w:ascii="Times New Roman" w:cs="Times New Roman" w:eastAsia="Times New Roman" w:hAnsi="Times New Roman"/>
          <w:sz w:val="18"/>
          <w:szCs w:val="18"/>
          <w:u w:val="single" w:color="auto"/>
          <w:color w:val="auto"/>
        </w:rPr>
        <w:t>Interest Rate Contracts</w:t>
      </w:r>
      <w:r>
        <w:rPr>
          <w:rFonts w:ascii="Times New Roman" w:cs="Times New Roman" w:eastAsia="Times New Roman" w:hAnsi="Times New Roman"/>
          <w:sz w:val="18"/>
          <w:szCs w:val="18"/>
          <w:color w:val="auto"/>
        </w:rPr>
        <w:t>: The Company uses interest rate swaps and interest rate caps to manage its interest rate risk. The valuation of these instruments is determined by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volatility.</w:t>
      </w:r>
    </w:p>
    <w:p>
      <w:pPr>
        <w:spacing w:after="0" w:line="180" w:lineRule="exact"/>
        <w:rPr>
          <w:sz w:val="20"/>
          <w:szCs w:val="20"/>
          <w:color w:val="auto"/>
        </w:rPr>
      </w:pPr>
    </w:p>
    <w:p>
      <w:pPr>
        <w:ind w:left="160" w:right="80"/>
        <w:spacing w:after="0" w:line="253" w:lineRule="auto"/>
        <w:rPr>
          <w:sz w:val="20"/>
          <w:szCs w:val="20"/>
          <w:color w:val="auto"/>
        </w:rPr>
      </w:pPr>
      <w:r>
        <w:rPr>
          <w:rFonts w:ascii="Times New Roman" w:cs="Times New Roman" w:eastAsia="Times New Roman" w:hAnsi="Times New Roman"/>
          <w:sz w:val="18"/>
          <w:szCs w:val="18"/>
          <w:color w:val="auto"/>
        </w:rPr>
        <w:t>The Company incorporates credit valuation adjustments to appropriately reflect both our own nonperformance risk and the respective counterparty’s nonperformance risk in certain fair value measurements. Although the Company has determined that the majority of the inputs used to value the derivatives utilize Level 2 of the fair value hierarchy, the credit valuation adjustments associated with the derivatives utilize Level 3 inputs, such as estimates of current credit spreads to evaluate the likelihood of default by the Company and its counterparties. The Company has determined that the significance of the impact of the credit valuation adjustments made to the derivative contracts, which determination was based on the fair value of each individual contract, was not significant to the overall valuation. As a result, all of the derivatives held as of September 27, 2025 and December 31, 2024 were classified as Level 2 of the fair value hierarchy.</w:t>
      </w:r>
    </w:p>
    <w:p>
      <w:pPr>
        <w:spacing w:after="0" w:line="1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See “Note 11 — Derivatives and Hedging Activities Risk Management” for additional information regarding interest rate contracts.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u w:val="single" w:color="auto"/>
          <w:color w:val="auto"/>
        </w:rPr>
        <w:t>Acquisition-Related Contingent Consideration:</w:t>
      </w:r>
    </w:p>
    <w:p>
      <w:pPr>
        <w:spacing w:after="0" w:line="114" w:lineRule="exact"/>
        <w:rPr>
          <w:sz w:val="20"/>
          <w:szCs w:val="20"/>
          <w:color w:val="auto"/>
        </w:rPr>
      </w:pPr>
    </w:p>
    <w:p>
      <w:pPr>
        <w:ind w:left="160" w:right="120"/>
        <w:spacing w:after="0" w:line="271" w:lineRule="auto"/>
        <w:rPr>
          <w:sz w:val="20"/>
          <w:szCs w:val="20"/>
          <w:color w:val="auto"/>
        </w:rPr>
      </w:pPr>
      <w:r>
        <w:rPr>
          <w:rFonts w:ascii="Times New Roman" w:cs="Times New Roman" w:eastAsia="Times New Roman" w:hAnsi="Times New Roman"/>
          <w:sz w:val="17"/>
          <w:szCs w:val="17"/>
          <w:color w:val="auto"/>
        </w:rPr>
        <w:t>The Company recorded payments related to acquisition-related contingent consideration that required fair value measurement every reporting period. The fair value of the contingent payments was determined using a Monte Carlo simulation model. The significant assumptions used in the Monte Carlo simulation include risk-free rate (4.62%), revenue forecast, revenue discount rate (9.5%), revenue volatility (13%), estimated operational leverage and the Company’s credit spread (3%), most of which are unobservable inputs. These significant unobservable inputs used in the determination of the fair value of the contingent payments classified as Level 3 have an inherent measurement of uncertainty that if changed, could result in higher or lower fair value measurements as of the reporting date. See “Note 2 — Acquisitions” for additional information regarding the acquisition.</w:t>
      </w:r>
    </w:p>
    <w:p>
      <w:pPr>
        <w:spacing w:after="0" w:line="1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F-73</w:t>
      </w:r>
    </w:p>
    <w:p>
      <w:pPr>
        <w:sectPr>
          <w:pgSz w:w="11900" w:h="16838" w:orient="portrait"/>
          <w:cols w:equalWidth="0" w:num="1">
            <w:col w:w="11080"/>
          </w:cols>
          <w:pgMar w:left="320" w:top="452" w:right="49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10 - FAIR VALUE MEASUREMENTS (Continued)</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are summarized below:</w:t>
      </w:r>
    </w:p>
    <w:p>
      <w:pPr>
        <w:spacing w:after="0" w:line="243"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right="139"/>
              <w:spacing w:after="0"/>
              <w:rPr>
                <w:sz w:val="20"/>
                <w:szCs w:val="20"/>
                <w:color w:val="auto"/>
              </w:rPr>
            </w:pPr>
            <w:r>
              <w:rPr>
                <w:rFonts w:ascii="Times New Roman" w:cs="Times New Roman" w:eastAsia="Times New Roman" w:hAnsi="Times New Roman"/>
                <w:sz w:val="14"/>
                <w:szCs w:val="14"/>
                <w:color w:val="auto"/>
              </w:rPr>
              <w:t>September 27, 2025</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540" w:type="dxa"/>
            <w:vAlign w:val="bottom"/>
            <w:tcBorders>
              <w:bottom w:val="single" w:sz="8" w:color="auto"/>
            </w:tcBorders>
            <w:gridSpan w:val="5"/>
          </w:tcPr>
          <w:p>
            <w:pPr>
              <w:jc w:val="center"/>
              <w:ind w:left="457"/>
              <w:spacing w:after="0" w:line="141" w:lineRule="exact"/>
              <w:rPr>
                <w:sz w:val="20"/>
                <w:szCs w:val="20"/>
                <w:color w:val="auto"/>
              </w:rPr>
            </w:pPr>
            <w:r>
              <w:rPr>
                <w:rFonts w:ascii="Times New Roman" w:cs="Times New Roman" w:eastAsia="Times New Roman" w:hAnsi="Times New Roman"/>
                <w:sz w:val="14"/>
                <w:szCs w:val="14"/>
                <w:color w:val="auto"/>
              </w:rPr>
              <w:t>Basis of fair value measurement</w:t>
            </w: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9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Quoted prices in</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740"/>
              <w:spacing w:after="0" w:line="118" w:lineRule="exact"/>
              <w:rPr>
                <w:sz w:val="20"/>
                <w:szCs w:val="20"/>
                <w:color w:val="auto"/>
              </w:rPr>
            </w:pPr>
            <w:r>
              <w:rPr>
                <w:rFonts w:ascii="Times New Roman" w:cs="Times New Roman" w:eastAsia="Times New Roman" w:hAnsi="Times New Roman"/>
                <w:sz w:val="13"/>
                <w:szCs w:val="13"/>
                <w:color w:val="auto"/>
              </w:rPr>
              <w:t>Other</w:t>
            </w:r>
          </w:p>
        </w:tc>
        <w:tc>
          <w:tcPr>
            <w:tcW w:w="1600" w:type="dxa"/>
            <w:vAlign w:val="bottom"/>
            <w:gridSpan w:val="3"/>
            <w:vMerge w:val="restart"/>
          </w:tcPr>
          <w:p>
            <w:pPr>
              <w:jc w:val="center"/>
              <w:ind w:right="680"/>
              <w:spacing w:after="0"/>
              <w:rPr>
                <w:sz w:val="20"/>
                <w:szCs w:val="20"/>
                <w:color w:val="auto"/>
              </w:rPr>
            </w:pPr>
            <w:r>
              <w:rPr>
                <w:rFonts w:ascii="Times New Roman" w:cs="Times New Roman" w:eastAsia="Times New Roman" w:hAnsi="Times New Roman"/>
                <w:sz w:val="14"/>
                <w:szCs w:val="14"/>
                <w:color w:val="auto"/>
              </w:rPr>
              <w:t>Significant</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98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w w:val="92"/>
              </w:rPr>
              <w:t>active markets for</w:t>
            </w:r>
          </w:p>
        </w:tc>
        <w:tc>
          <w:tcPr>
            <w:tcW w:w="680" w:type="dxa"/>
            <w:vAlign w:val="bottom"/>
          </w:tcPr>
          <w:p>
            <w:pPr>
              <w:spacing w:after="0"/>
              <w:rPr>
                <w:sz w:val="12"/>
                <w:szCs w:val="12"/>
                <w:color w:val="auto"/>
              </w:rPr>
            </w:pPr>
          </w:p>
        </w:tc>
        <w:tc>
          <w:tcPr>
            <w:tcW w:w="1280" w:type="dxa"/>
            <w:vAlign w:val="bottom"/>
            <w:gridSpan w:val="3"/>
          </w:tcPr>
          <w:p>
            <w:pPr>
              <w:jc w:val="center"/>
              <w:ind w:right="620"/>
              <w:spacing w:after="0" w:line="147" w:lineRule="exact"/>
              <w:rPr>
                <w:sz w:val="20"/>
                <w:szCs w:val="20"/>
                <w:color w:val="auto"/>
              </w:rPr>
            </w:pPr>
            <w:r>
              <w:rPr>
                <w:rFonts w:ascii="Times New Roman" w:cs="Times New Roman" w:eastAsia="Times New Roman" w:hAnsi="Times New Roman"/>
                <w:sz w:val="14"/>
                <w:szCs w:val="14"/>
                <w:color w:val="auto"/>
              </w:rPr>
              <w:t>observable</w:t>
            </w:r>
          </w:p>
        </w:tc>
        <w:tc>
          <w:tcPr>
            <w:tcW w:w="1600" w:type="dxa"/>
            <w:vAlign w:val="bottom"/>
            <w:gridSpan w:val="3"/>
            <w:vMerge w:val="continue"/>
          </w:tcPr>
          <w:p>
            <w:pPr>
              <w:spacing w:after="0"/>
              <w:rPr>
                <w:sz w:val="12"/>
                <w:szCs w:val="12"/>
                <w:color w:val="auto"/>
              </w:rPr>
            </w:pPr>
          </w:p>
        </w:tc>
        <w:tc>
          <w:tcPr>
            <w:tcW w:w="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Carrying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98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identical assets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740"/>
              <w:spacing w:after="0" w:line="147" w:lineRule="exact"/>
              <w:rPr>
                <w:sz w:val="20"/>
                <w:szCs w:val="20"/>
                <w:color w:val="auto"/>
              </w:rPr>
            </w:pPr>
            <w:r>
              <w:rPr>
                <w:rFonts w:ascii="Times New Roman" w:cs="Times New Roman" w:eastAsia="Times New Roman" w:hAnsi="Times New Roman"/>
                <w:sz w:val="14"/>
                <w:szCs w:val="14"/>
                <w:color w:val="auto"/>
              </w:rPr>
              <w:t>inputs</w:t>
            </w:r>
          </w:p>
        </w:tc>
        <w:tc>
          <w:tcPr>
            <w:tcW w:w="1600" w:type="dxa"/>
            <w:vAlign w:val="bottom"/>
            <w:gridSpan w:val="3"/>
          </w:tcPr>
          <w:p>
            <w:pPr>
              <w:jc w:val="center"/>
              <w:ind w:right="680"/>
              <w:spacing w:after="0" w:line="147" w:lineRule="exact"/>
              <w:rPr>
                <w:sz w:val="20"/>
                <w:szCs w:val="20"/>
                <w:color w:val="auto"/>
              </w:rPr>
            </w:pPr>
            <w:r>
              <w:rPr>
                <w:rFonts w:ascii="Times New Roman" w:cs="Times New Roman" w:eastAsia="Times New Roman" w:hAnsi="Times New Roman"/>
                <w:sz w:val="14"/>
                <w:szCs w:val="14"/>
                <w:color w:val="auto"/>
              </w:rPr>
              <w:t>unobservable</w:t>
            </w:r>
          </w:p>
        </w:tc>
        <w:tc>
          <w:tcPr>
            <w:tcW w:w="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(Level 1)</w:t>
            </w:r>
          </w:p>
        </w:tc>
        <w:tc>
          <w:tcPr>
            <w:tcW w:w="680" w:type="dxa"/>
            <w:vAlign w:val="bottom"/>
          </w:tcPr>
          <w:p>
            <w:pPr>
              <w:spacing w:after="0"/>
              <w:rPr>
                <w:sz w:val="14"/>
                <w:szCs w:val="14"/>
                <w:color w:val="auto"/>
              </w:rPr>
            </w:pPr>
          </w:p>
        </w:tc>
        <w:tc>
          <w:tcPr>
            <w:tcW w:w="128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color w:val="auto"/>
              </w:rPr>
              <w:t>(Level 2)</w:t>
            </w: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inputs (Level 3)</w:t>
            </w:r>
          </w:p>
        </w:tc>
        <w:tc>
          <w:tcPr>
            <w:tcW w:w="10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98"/>
              </w:rPr>
              <w:t>value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860" w:type="dxa"/>
            <w:vAlign w:val="bottom"/>
            <w:tcBorders>
              <w:top w:val="single" w:sz="8" w:color="CCEEFF"/>
              <w:right w:val="single" w:sz="8" w:color="CCEEFF"/>
            </w:tcBorders>
            <w:gridSpan w:val="3"/>
            <w:shd w:val="clear" w:color="auto" w:fill="CCEEFF"/>
          </w:tcPr>
          <w:p>
            <w:pPr>
              <w:spacing w:after="0" w:line="154" w:lineRule="exact"/>
              <w:rPr>
                <w:sz w:val="20"/>
                <w:szCs w:val="20"/>
                <w:color w:val="auto"/>
              </w:rPr>
            </w:pPr>
            <w:r>
              <w:rPr>
                <w:rFonts w:ascii="Times New Roman" w:cs="Times New Roman" w:eastAsia="Times New Roman" w:hAnsi="Times New Roman"/>
                <w:sz w:val="17"/>
                <w:szCs w:val="17"/>
                <w:b w:val="1"/>
                <w:bCs w:val="1"/>
                <w:color w:val="auto"/>
              </w:rPr>
              <w:t>Financial assets</w:t>
            </w: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CCEEFF"/>
              <w:left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CCEEFF"/>
              <w:left w:val="single" w:sz="8" w:color="CCEEFF"/>
              <w:right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CCEEFF"/>
              <w:lef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60" w:type="dxa"/>
            <w:vAlign w:val="bottom"/>
            <w:tcBorders>
              <w:right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rate contracts (hedge)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left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right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56</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1"/>
        </w:trPr>
        <w:tc>
          <w:tcPr>
            <w:tcW w:w="4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w w:val="70"/>
              </w:rPr>
              <w:t>56</w:t>
            </w:r>
          </w:p>
        </w:tc>
        <w:tc>
          <w:tcPr>
            <w:tcW w:w="66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73"/>
              </w:rPr>
              <w:t>— </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440" w:type="dxa"/>
            <w:vAlign w:val="bottom"/>
            <w:tcBorders>
              <w:bottom w:val="single" w:sz="8" w:color="auto"/>
            </w:tcBorders>
            <w:gridSpan w:val="2"/>
            <w:shd w:val="clear" w:color="auto" w:fill="CCEEFF"/>
          </w:tcPr>
          <w:p>
            <w:pPr>
              <w:spacing w:after="0" w:line="168" w:lineRule="exact"/>
              <w:rPr>
                <w:sz w:val="20"/>
                <w:szCs w:val="20"/>
                <w:color w:val="auto"/>
              </w:rPr>
            </w:pPr>
            <w:r>
              <w:rPr>
                <w:rFonts w:ascii="Times New Roman" w:cs="Times New Roman" w:eastAsia="Times New Roman" w:hAnsi="Times New Roman"/>
                <w:sz w:val="18"/>
                <w:szCs w:val="18"/>
                <w:b w:val="1"/>
                <w:bCs w:val="1"/>
                <w:color w:val="auto"/>
                <w:w w:val="96"/>
              </w:rPr>
              <w:t>Financial liabilities</w:t>
            </w:r>
          </w:p>
        </w:tc>
        <w:tc>
          <w:tcPr>
            <w:tcW w:w="3420" w:type="dxa"/>
            <w:vAlign w:val="bottom"/>
            <w:tcBorders>
              <w:bottom w:val="single" w:sz="8" w:color="CCEEFF"/>
              <w:right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left w:val="single" w:sz="8" w:color="CCEEFF"/>
              <w:bottom w:val="single" w:sz="8" w:color="CCEEFF"/>
              <w:right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left w:val="single" w:sz="8" w:color="CCEEFF"/>
              <w:bottom w:val="single" w:sz="8" w:color="CCEEFF"/>
              <w:right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left w:val="single" w:sz="8" w:color="CCEEFF"/>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xml:space="preserve">— </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8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Borders>
              <w:lef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8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at fair value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left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right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xml:space="preserve">— </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center"/>
              <w:ind w:right="199"/>
              <w:spacing w:after="0"/>
              <w:rPr>
                <w:sz w:val="20"/>
                <w:szCs w:val="20"/>
                <w:color w:val="auto"/>
              </w:rPr>
            </w:pPr>
            <w:r>
              <w:rPr>
                <w:rFonts w:ascii="Times New Roman" w:cs="Times New Roman" w:eastAsia="Times New Roman" w:hAnsi="Times New Roman"/>
                <w:sz w:val="14"/>
                <w:szCs w:val="14"/>
                <w:color w:val="auto"/>
              </w:rPr>
              <w:t>December 31, 2024</w:t>
            </w: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540" w:type="dxa"/>
            <w:vAlign w:val="bottom"/>
            <w:tcBorders>
              <w:bottom w:val="single" w:sz="8" w:color="auto"/>
            </w:tcBorders>
            <w:gridSpan w:val="5"/>
          </w:tcPr>
          <w:p>
            <w:pPr>
              <w:jc w:val="center"/>
              <w:ind w:left="417"/>
              <w:spacing w:after="0" w:line="141" w:lineRule="exact"/>
              <w:rPr>
                <w:sz w:val="20"/>
                <w:szCs w:val="20"/>
                <w:color w:val="auto"/>
              </w:rPr>
            </w:pPr>
            <w:r>
              <w:rPr>
                <w:rFonts w:ascii="Times New Roman" w:cs="Times New Roman" w:eastAsia="Times New Roman" w:hAnsi="Times New Roman"/>
                <w:sz w:val="14"/>
                <w:szCs w:val="14"/>
                <w:color w:val="auto"/>
              </w:rPr>
              <w:t>Basis of fair value measurement</w:t>
            </w: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9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Quoted prices in</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780"/>
              <w:spacing w:after="0" w:line="118" w:lineRule="exact"/>
              <w:rPr>
                <w:sz w:val="20"/>
                <w:szCs w:val="20"/>
                <w:color w:val="auto"/>
              </w:rPr>
            </w:pPr>
            <w:r>
              <w:rPr>
                <w:rFonts w:ascii="Times New Roman" w:cs="Times New Roman" w:eastAsia="Times New Roman" w:hAnsi="Times New Roman"/>
                <w:sz w:val="13"/>
                <w:szCs w:val="13"/>
                <w:color w:val="auto"/>
              </w:rPr>
              <w:t>Other</w:t>
            </w:r>
          </w:p>
        </w:tc>
        <w:tc>
          <w:tcPr>
            <w:tcW w:w="1600" w:type="dxa"/>
            <w:vAlign w:val="bottom"/>
            <w:gridSpan w:val="3"/>
            <w:vMerge w:val="restart"/>
          </w:tcPr>
          <w:p>
            <w:pPr>
              <w:jc w:val="center"/>
              <w:ind w:right="700"/>
              <w:spacing w:after="0"/>
              <w:rPr>
                <w:sz w:val="20"/>
                <w:szCs w:val="20"/>
                <w:color w:val="auto"/>
              </w:rPr>
            </w:pPr>
            <w:r>
              <w:rPr>
                <w:rFonts w:ascii="Times New Roman" w:cs="Times New Roman" w:eastAsia="Times New Roman" w:hAnsi="Times New Roman"/>
                <w:sz w:val="14"/>
                <w:szCs w:val="14"/>
                <w:color w:val="auto"/>
              </w:rPr>
              <w:t>Significant</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98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w w:val="94"/>
              </w:rPr>
              <w:t>active markets for</w:t>
            </w:r>
          </w:p>
        </w:tc>
        <w:tc>
          <w:tcPr>
            <w:tcW w:w="680" w:type="dxa"/>
            <w:vAlign w:val="bottom"/>
          </w:tcPr>
          <w:p>
            <w:pPr>
              <w:spacing w:after="0"/>
              <w:rPr>
                <w:sz w:val="12"/>
                <w:szCs w:val="12"/>
                <w:color w:val="auto"/>
              </w:rPr>
            </w:pPr>
          </w:p>
        </w:tc>
        <w:tc>
          <w:tcPr>
            <w:tcW w:w="128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color w:val="auto"/>
              </w:rPr>
              <w:t>observable</w:t>
            </w:r>
          </w:p>
        </w:tc>
        <w:tc>
          <w:tcPr>
            <w:tcW w:w="1600" w:type="dxa"/>
            <w:vAlign w:val="bottom"/>
            <w:gridSpan w:val="3"/>
            <w:vMerge w:val="continue"/>
          </w:tcPr>
          <w:p>
            <w:pPr>
              <w:spacing w:after="0"/>
              <w:rPr>
                <w:sz w:val="12"/>
                <w:szCs w:val="12"/>
                <w:color w:val="auto"/>
              </w:rPr>
            </w:pPr>
          </w:p>
        </w:tc>
        <w:tc>
          <w:tcPr>
            <w:tcW w:w="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Carrying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98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identical assets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780"/>
              <w:spacing w:after="0" w:line="147" w:lineRule="exact"/>
              <w:rPr>
                <w:sz w:val="20"/>
                <w:szCs w:val="20"/>
                <w:color w:val="auto"/>
              </w:rPr>
            </w:pPr>
            <w:r>
              <w:rPr>
                <w:rFonts w:ascii="Times New Roman" w:cs="Times New Roman" w:eastAsia="Times New Roman" w:hAnsi="Times New Roman"/>
                <w:sz w:val="14"/>
                <w:szCs w:val="14"/>
                <w:color w:val="auto"/>
              </w:rPr>
              <w:t>inputs</w:t>
            </w:r>
          </w:p>
        </w:tc>
        <w:tc>
          <w:tcPr>
            <w:tcW w:w="1600" w:type="dxa"/>
            <w:vAlign w:val="bottom"/>
            <w:gridSpan w:val="3"/>
          </w:tcPr>
          <w:p>
            <w:pPr>
              <w:jc w:val="center"/>
              <w:ind w:right="720"/>
              <w:spacing w:after="0" w:line="147" w:lineRule="exact"/>
              <w:rPr>
                <w:sz w:val="20"/>
                <w:szCs w:val="20"/>
                <w:color w:val="auto"/>
              </w:rPr>
            </w:pPr>
            <w:r>
              <w:rPr>
                <w:rFonts w:ascii="Times New Roman" w:cs="Times New Roman" w:eastAsia="Times New Roman" w:hAnsi="Times New Roman"/>
                <w:sz w:val="14"/>
                <w:szCs w:val="14"/>
                <w:color w:val="auto"/>
              </w:rPr>
              <w:t>unobservable</w:t>
            </w:r>
          </w:p>
        </w:tc>
        <w:tc>
          <w:tcPr>
            <w:tcW w:w="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154"/>
              <w:spacing w:after="0"/>
              <w:rPr>
                <w:sz w:val="20"/>
                <w:szCs w:val="20"/>
                <w:color w:val="auto"/>
              </w:rPr>
            </w:pPr>
            <w:r>
              <w:rPr>
                <w:rFonts w:ascii="Times New Roman" w:cs="Times New Roman" w:eastAsia="Times New Roman" w:hAnsi="Times New Roman"/>
                <w:sz w:val="14"/>
                <w:szCs w:val="14"/>
                <w:color w:val="auto"/>
              </w:rPr>
              <w:t>(Level 1)</w:t>
            </w:r>
          </w:p>
        </w:tc>
        <w:tc>
          <w:tcPr>
            <w:tcW w:w="680" w:type="dxa"/>
            <w:vAlign w:val="bottom"/>
          </w:tcPr>
          <w:p>
            <w:pPr>
              <w:spacing w:after="0"/>
              <w:rPr>
                <w:sz w:val="14"/>
                <w:szCs w:val="14"/>
                <w:color w:val="auto"/>
              </w:rPr>
            </w:pPr>
          </w:p>
        </w:tc>
        <w:tc>
          <w:tcPr>
            <w:tcW w:w="128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color w:val="auto"/>
              </w:rPr>
              <w:t>(Level 2)</w:t>
            </w: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inputs (Level 3)</w:t>
            </w:r>
          </w:p>
        </w:tc>
        <w:tc>
          <w:tcPr>
            <w:tcW w:w="10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98"/>
              </w:rPr>
              <w:t>value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860" w:type="dxa"/>
            <w:vAlign w:val="bottom"/>
            <w:tcBorders>
              <w:top w:val="single" w:sz="8" w:color="CCEEFF"/>
              <w:right w:val="single" w:sz="8" w:color="CCEEFF"/>
            </w:tcBorders>
            <w:gridSpan w:val="3"/>
            <w:shd w:val="clear" w:color="auto" w:fill="CCEEFF"/>
          </w:tcPr>
          <w:p>
            <w:pPr>
              <w:spacing w:after="0" w:line="154" w:lineRule="exact"/>
              <w:rPr>
                <w:sz w:val="20"/>
                <w:szCs w:val="20"/>
                <w:color w:val="auto"/>
              </w:rPr>
            </w:pPr>
            <w:r>
              <w:rPr>
                <w:rFonts w:ascii="Times New Roman" w:cs="Times New Roman" w:eastAsia="Times New Roman" w:hAnsi="Times New Roman"/>
                <w:sz w:val="17"/>
                <w:szCs w:val="17"/>
                <w:b w:val="1"/>
                <w:bCs w:val="1"/>
                <w:color w:val="auto"/>
              </w:rPr>
              <w:t>Financial assets</w:t>
            </w: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CCEEFF"/>
              <w:left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CCEEFF"/>
              <w:left w:val="single" w:sz="8" w:color="CCEEFF"/>
              <w:right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CCEEFF"/>
              <w:lef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60" w:type="dxa"/>
            <w:vAlign w:val="bottom"/>
            <w:tcBorders>
              <w:right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rate contracts (hedge)</w:t>
            </w:r>
          </w:p>
        </w:tc>
        <w:tc>
          <w:tcPr>
            <w:tcW w:w="1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4"/>
                <w:szCs w:val="4"/>
                <w:color w:val="auto"/>
                <w:w w:val="97"/>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left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127</w:t>
            </w:r>
          </w:p>
        </w:tc>
        <w:tc>
          <w:tcPr>
            <w:tcW w:w="660" w:type="dxa"/>
            <w:vAlign w:val="bottom"/>
            <w:tcBorders>
              <w:left w:val="single" w:sz="8" w:color="CCEEFF"/>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1"/>
        </w:trPr>
        <w:tc>
          <w:tcPr>
            <w:tcW w:w="4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14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4"/>
                <w:szCs w:val="4"/>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8"/>
              </w:rPr>
              <w:t>127</w:t>
            </w:r>
          </w:p>
        </w:tc>
        <w:tc>
          <w:tcPr>
            <w:tcW w:w="66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1"/>
              </w:rPr>
              <w:t>— </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440" w:type="dxa"/>
            <w:vAlign w:val="bottom"/>
            <w:tcBorders>
              <w:bottom w:val="single" w:sz="8" w:color="auto"/>
            </w:tcBorders>
            <w:gridSpan w:val="2"/>
            <w:shd w:val="clear" w:color="auto" w:fill="CCEEFF"/>
          </w:tcPr>
          <w:p>
            <w:pPr>
              <w:spacing w:after="0" w:line="168" w:lineRule="exact"/>
              <w:rPr>
                <w:sz w:val="20"/>
                <w:szCs w:val="20"/>
                <w:color w:val="auto"/>
              </w:rPr>
            </w:pPr>
            <w:r>
              <w:rPr>
                <w:rFonts w:ascii="Times New Roman" w:cs="Times New Roman" w:eastAsia="Times New Roman" w:hAnsi="Times New Roman"/>
                <w:sz w:val="18"/>
                <w:szCs w:val="18"/>
                <w:b w:val="1"/>
                <w:bCs w:val="1"/>
                <w:color w:val="auto"/>
                <w:w w:val="96"/>
              </w:rPr>
              <w:t>Financial liabilities</w:t>
            </w:r>
          </w:p>
        </w:tc>
        <w:tc>
          <w:tcPr>
            <w:tcW w:w="3420" w:type="dxa"/>
            <w:vAlign w:val="bottom"/>
            <w:tcBorders>
              <w:bottom w:val="single" w:sz="8" w:color="CCEEFF"/>
              <w:right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left w:val="single" w:sz="8" w:color="CCEEFF"/>
              <w:bottom w:val="single" w:sz="8" w:color="CCEEFF"/>
              <w:right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left w:val="single" w:sz="8" w:color="CCEEFF"/>
              <w:bottom w:val="single" w:sz="8" w:color="CCEEFF"/>
              <w:right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left w:val="single" w:sz="8" w:color="CCEEFF"/>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140" w:type="dxa"/>
            <w:vAlign w:val="bottom"/>
          </w:tcPr>
          <w:p>
            <w:pPr>
              <w:jc w:val="right"/>
              <w:ind w:right="38"/>
              <w:spacing w:after="0"/>
              <w:rPr>
                <w:sz w:val="20"/>
                <w:szCs w:val="20"/>
                <w:color w:val="auto"/>
              </w:rPr>
            </w:pPr>
            <w:r>
              <w:rPr>
                <w:rFonts w:ascii="Times New Roman" w:cs="Times New Roman" w:eastAsia="Times New Roman" w:hAnsi="Times New Roman"/>
                <w:sz w:val="4"/>
                <w:szCs w:val="4"/>
                <w:color w:val="auto"/>
                <w:w w:val="97"/>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 </w:t>
            </w:r>
          </w:p>
        </w:tc>
        <w:tc>
          <w:tcPr>
            <w:tcW w:w="66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8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at fair value</w:t>
            </w:r>
          </w:p>
        </w:tc>
        <w:tc>
          <w:tcPr>
            <w:tcW w:w="1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4"/>
                <w:szCs w:val="4"/>
                <w:color w:val="auto"/>
                <w:w w:val="97"/>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xml:space="preserve">— </w:t>
            </w:r>
          </w:p>
        </w:tc>
        <w:tc>
          <w:tcPr>
            <w:tcW w:w="660" w:type="dxa"/>
            <w:vAlign w:val="bottom"/>
            <w:tcBorders>
              <w:left w:val="single" w:sz="8" w:color="CCEEFF"/>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right="40"/>
        <w:spacing w:after="0" w:line="258" w:lineRule="auto"/>
        <w:rPr>
          <w:sz w:val="20"/>
          <w:szCs w:val="20"/>
          <w:color w:val="auto"/>
        </w:rPr>
      </w:pPr>
      <w:r>
        <w:rPr>
          <w:rFonts w:ascii="Times New Roman" w:cs="Times New Roman" w:eastAsia="Times New Roman" w:hAnsi="Times New Roman"/>
          <w:sz w:val="18"/>
          <w:szCs w:val="18"/>
          <w:color w:val="auto"/>
        </w:rPr>
        <w:t>Equity investments without readily determinable fair values, unless measured using the equity method of accounting, are measured at cost, less impairments. When applicable, the Company also adjusts the carrying values of such equity investments for observable prices in orderly transactions for an identical or similar investment of the same issuer. These investments are included in other long-term assets in the condensed consolidated balance sheets and are immaterial.</w:t>
      </w:r>
    </w:p>
    <w:p>
      <w:pPr>
        <w:spacing w:after="0" w:line="283" w:lineRule="exact"/>
        <w:rPr>
          <w:sz w:val="20"/>
          <w:szCs w:val="20"/>
          <w:color w:val="auto"/>
        </w:rPr>
      </w:pPr>
    </w:p>
    <w:p>
      <w:pPr>
        <w:ind w:left="160" w:right="4540"/>
        <w:spacing w:after="0" w:line="374" w:lineRule="auto"/>
        <w:rPr>
          <w:sz w:val="20"/>
          <w:szCs w:val="20"/>
          <w:color w:val="auto"/>
        </w:rPr>
      </w:pPr>
      <w:r>
        <w:rPr>
          <w:rFonts w:ascii="Times New Roman" w:cs="Times New Roman" w:eastAsia="Times New Roman" w:hAnsi="Times New Roman"/>
          <w:sz w:val="18"/>
          <w:szCs w:val="18"/>
          <w:b w:val="1"/>
          <w:bCs w:val="1"/>
          <w:color w:val="auto"/>
        </w:rPr>
        <w:t>NOTE 11 - DERIVATIVES AND HEDGING ACTIVITIES RISK MANAGEMENT Risk Management Objective of Using Derivatives</w:t>
      </w:r>
    </w:p>
    <w:p>
      <w:pPr>
        <w:spacing w:after="0" w:line="1" w:lineRule="exact"/>
        <w:rPr>
          <w:sz w:val="20"/>
          <w:szCs w:val="20"/>
          <w:color w:val="auto"/>
        </w:rPr>
      </w:pPr>
    </w:p>
    <w:p>
      <w:pPr>
        <w:ind w:left="160"/>
        <w:spacing w:after="0" w:line="255" w:lineRule="auto"/>
        <w:rPr>
          <w:sz w:val="20"/>
          <w:szCs w:val="20"/>
          <w:color w:val="auto"/>
        </w:rPr>
      </w:pPr>
      <w:r>
        <w:rPr>
          <w:rFonts w:ascii="Times New Roman" w:cs="Times New Roman" w:eastAsia="Times New Roman" w:hAnsi="Times New Roman"/>
          <w:sz w:val="18"/>
          <w:szCs w:val="18"/>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credit risk and foreign currency exchange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F-74</w:t>
      </w:r>
    </w:p>
    <w:p>
      <w:pPr>
        <w:sectPr>
          <w:pgSz w:w="11900" w:h="16838" w:orient="portrait"/>
          <w:cols w:equalWidth="0" w:num="1">
            <w:col w:w="11080"/>
          </w:cols>
          <w:pgMar w:left="320" w:top="452" w:right="49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11 - DERIVATIVES AND HEDGING ACTIVITIES RISK MANAGEMENT (Continued)</w:t>
      </w:r>
    </w:p>
    <w:p>
      <w:pPr>
        <w:spacing w:after="0" w:line="131" w:lineRule="exact"/>
        <w:rPr>
          <w:sz w:val="20"/>
          <w:szCs w:val="20"/>
          <w:color w:val="auto"/>
        </w:rPr>
      </w:pPr>
    </w:p>
    <w:p>
      <w:pPr>
        <w:jc w:val="both"/>
        <w:ind w:left="160" w:right="280"/>
        <w:spacing w:after="0" w:line="263" w:lineRule="auto"/>
        <w:rPr>
          <w:sz w:val="20"/>
          <w:szCs w:val="20"/>
          <w:color w:val="auto"/>
        </w:rPr>
      </w:pPr>
      <w:r>
        <w:rPr>
          <w:rFonts w:ascii="Times New Roman" w:cs="Times New Roman" w:eastAsia="Times New Roman" w:hAnsi="Times New Roman"/>
          <w:sz w:val="18"/>
          <w:szCs w:val="18"/>
          <w:color w:val="auto"/>
        </w:rPr>
        <w:t>or payment of future known and uncertain cash amounts, the value of which are determined by interest rates or foreign currency exchange rates. The Company’s derivative financial instruments are used to manage differences in the amount, timing, and duration of the Company’s known or expected cash receipts and its known or expected cash payments principally related to the Company’s borrowings and acquisitions.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Cash Flow Hedges of Interest Rate Risk</w:t>
      </w:r>
    </w:p>
    <w:p>
      <w:pPr>
        <w:spacing w:after="0" w:line="118" w:lineRule="exact"/>
        <w:rPr>
          <w:sz w:val="20"/>
          <w:szCs w:val="20"/>
          <w:color w:val="auto"/>
        </w:rPr>
      </w:pPr>
    </w:p>
    <w:p>
      <w:pPr>
        <w:ind w:left="160" w:right="100"/>
        <w:spacing w:after="0" w:line="253" w:lineRule="auto"/>
        <w:rPr>
          <w:sz w:val="20"/>
          <w:szCs w:val="20"/>
          <w:color w:val="auto"/>
        </w:rPr>
      </w:pPr>
      <w:r>
        <w:rPr>
          <w:rFonts w:ascii="Times New Roman" w:cs="Times New Roman" w:eastAsia="Times New Roman" w:hAnsi="Times New Roman"/>
          <w:sz w:val="18"/>
          <w:szCs w:val="18"/>
          <w:color w:val="auto"/>
        </w:rPr>
        <w:t>The Company’s objectives in using interest rate derivatives are to add stability to interest expense and to manage its exposure to interest rate movements. To accomplish these objectives, the Company primarily uses interest rate swaps and caps as part of its interest rate risk management strategy. The Company designates certain of its interest rate derivatives as hedging instruments in cash flow hedges. Interest rate swaps designated as cash flow hedges involve the receipt of variable amounts from a counterparty in exchange for the Company making fixed-rate payments over the life of the agreements without exchange of the underlying notional amount. Interest rate caps designated as cash flow hedges involve the receipt of variable amounts from a counterparty if interest rates rise above the strike rate on the contract in exchange for a premium. During 2025 and 2024, such derivatives were used to hedge the variable cash flows associated with existing variable-rate debt.</w:t>
      </w:r>
    </w:p>
    <w:p>
      <w:pPr>
        <w:spacing w:after="0" w:line="184" w:lineRule="exact"/>
        <w:rPr>
          <w:sz w:val="20"/>
          <w:szCs w:val="20"/>
          <w:color w:val="auto"/>
        </w:rPr>
      </w:pPr>
    </w:p>
    <w:p>
      <w:pPr>
        <w:ind w:left="160" w:right="240"/>
        <w:spacing w:after="0" w:line="263" w:lineRule="auto"/>
        <w:rPr>
          <w:sz w:val="20"/>
          <w:szCs w:val="20"/>
          <w:color w:val="auto"/>
        </w:rPr>
      </w:pPr>
      <w:r>
        <w:rPr>
          <w:rFonts w:ascii="Times New Roman" w:cs="Times New Roman" w:eastAsia="Times New Roman" w:hAnsi="Times New Roman"/>
          <w:sz w:val="18"/>
          <w:szCs w:val="18"/>
          <w:color w:val="auto"/>
        </w:rPr>
        <w:t>Amounts reported in accumulated other comprehensive income (loss) related to derivatives will be reclassified to interest expense, net, as interest payments are made on the Company’s variable-rate debt. The Company estimates that $46 will be reclassified as a decrease to interest expense in one year after September 27, 2025.</w:t>
      </w:r>
    </w:p>
    <w:p>
      <w:pPr>
        <w:spacing w:after="0" w:line="1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notional amounts of outstanding interest rate derivatives are summarized as follows:</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820" w:type="dxa"/>
            <w:vAlign w:val="bottom"/>
          </w:tcPr>
          <w:p>
            <w:pPr>
              <w:spacing w:after="0"/>
              <w:rPr>
                <w:sz w:val="14"/>
                <w:szCs w:val="14"/>
                <w:color w:val="auto"/>
              </w:rPr>
            </w:pPr>
          </w:p>
        </w:tc>
        <w:tc>
          <w:tcPr>
            <w:tcW w:w="162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color w:val="auto"/>
              </w:rPr>
              <w:t>Currency</w:t>
            </w:r>
          </w:p>
        </w:tc>
        <w:tc>
          <w:tcPr>
            <w:tcW w:w="340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3080" w:type="dxa"/>
            <w:vAlign w:val="bottom"/>
            <w:gridSpan w:val="3"/>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0"/>
        </w:trPr>
        <w:tc>
          <w:tcPr>
            <w:tcW w:w="28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160" w:type="dxa"/>
            <w:vAlign w:val="bottom"/>
            <w:tcBorders>
              <w:top w:val="single" w:sz="8" w:color="auto"/>
            </w:tcBorders>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w w:val="99"/>
              </w:rPr>
              <w:t>Notional amount</w:t>
            </w:r>
          </w:p>
        </w:tc>
        <w:tc>
          <w:tcPr>
            <w:tcW w:w="1880" w:type="dxa"/>
            <w:vAlign w:val="bottom"/>
            <w:tcBorders>
              <w:top w:val="single" w:sz="8" w:color="auto"/>
            </w:tcBorders>
          </w:tcPr>
          <w:p>
            <w:pPr>
              <w:jc w:val="right"/>
              <w:ind w:right="397"/>
              <w:spacing w:after="0" w:line="141" w:lineRule="exact"/>
              <w:rPr>
                <w:sz w:val="20"/>
                <w:szCs w:val="20"/>
                <w:color w:val="auto"/>
              </w:rPr>
            </w:pPr>
            <w:r>
              <w:rPr>
                <w:rFonts w:ascii="Times New Roman" w:cs="Times New Roman" w:eastAsia="Times New Roman" w:hAnsi="Times New Roman"/>
                <w:sz w:val="14"/>
                <w:szCs w:val="14"/>
                <w:color w:val="auto"/>
              </w:rPr>
              <w:t>Maturity date</w:t>
            </w:r>
          </w:p>
        </w:tc>
        <w:tc>
          <w:tcPr>
            <w:tcW w:w="360" w:type="dxa"/>
            <w:vAlign w:val="bottom"/>
          </w:tcPr>
          <w:p>
            <w:pPr>
              <w:spacing w:after="0"/>
              <w:rPr>
                <w:sz w:val="12"/>
                <w:szCs w:val="12"/>
                <w:color w:val="auto"/>
              </w:rPr>
            </w:pPr>
          </w:p>
        </w:tc>
        <w:tc>
          <w:tcPr>
            <w:tcW w:w="1160" w:type="dxa"/>
            <w:vAlign w:val="bottom"/>
            <w:tcBorders>
              <w:top w:val="single" w:sz="8" w:color="auto"/>
            </w:tcBorders>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w w:val="99"/>
              </w:rPr>
              <w:t>Notional amount</w:t>
            </w:r>
          </w:p>
        </w:tc>
        <w:tc>
          <w:tcPr>
            <w:tcW w:w="1860" w:type="dxa"/>
            <w:vAlign w:val="bottom"/>
            <w:tcBorders>
              <w:top w:val="single" w:sz="8" w:color="auto"/>
            </w:tcBorders>
          </w:tcPr>
          <w:p>
            <w:pPr>
              <w:jc w:val="right"/>
              <w:ind w:right="377"/>
              <w:spacing w:after="0" w:line="141" w:lineRule="exact"/>
              <w:rPr>
                <w:sz w:val="20"/>
                <w:szCs w:val="20"/>
                <w:color w:val="auto"/>
              </w:rPr>
            </w:pPr>
            <w:r>
              <w:rPr>
                <w:rFonts w:ascii="Times New Roman" w:cs="Times New Roman" w:eastAsia="Times New Roman" w:hAnsi="Times New Roman"/>
                <w:sz w:val="14"/>
                <w:szCs w:val="14"/>
                <w:color w:val="auto"/>
              </w:rPr>
              <w:t>Maturity date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Designated cash flow hedges</w:t>
            </w:r>
          </w:p>
        </w:tc>
        <w:tc>
          <w:tcPr>
            <w:tcW w:w="1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620" w:type="dxa"/>
            <w:vAlign w:val="bottom"/>
          </w:tcPr>
          <w:p>
            <w:pPr>
              <w:jc w:val="right"/>
              <w:ind w:right="277"/>
              <w:spacing w:after="0"/>
              <w:rPr>
                <w:sz w:val="20"/>
                <w:szCs w:val="20"/>
                <w:color w:val="auto"/>
              </w:rPr>
            </w:pPr>
            <w:r>
              <w:rPr>
                <w:rFonts w:ascii="Times New Roman" w:cs="Times New Roman" w:eastAsia="Times New Roman" w:hAnsi="Times New Roman"/>
                <w:sz w:val="18"/>
                <w:szCs w:val="18"/>
                <w:color w:val="auto"/>
              </w:rPr>
              <w:t>USD</w:t>
            </w: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8"/>
                <w:szCs w:val="18"/>
                <w:color w:val="auto"/>
              </w:rPr>
              <w:t>2,950</w:t>
            </w:r>
          </w:p>
        </w:tc>
        <w:tc>
          <w:tcPr>
            <w:tcW w:w="2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Nov’2025 to Dec’2026</w:t>
            </w: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8"/>
                <w:szCs w:val="18"/>
                <w:color w:val="auto"/>
              </w:rPr>
              <w:t>2,950</w:t>
            </w:r>
          </w:p>
        </w:tc>
        <w:tc>
          <w:tcPr>
            <w:tcW w:w="1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Nov’2025 to Dec’2026</w:t>
            </w:r>
          </w:p>
        </w:tc>
        <w:tc>
          <w:tcPr>
            <w:tcW w:w="0" w:type="dxa"/>
            <w:vAlign w:val="bottom"/>
          </w:tcPr>
          <w:p>
            <w:pPr>
              <w:spacing w:after="0"/>
              <w:rPr>
                <w:sz w:val="1"/>
                <w:szCs w:val="1"/>
                <w:color w:val="auto"/>
              </w:rPr>
            </w:pPr>
          </w:p>
        </w:tc>
      </w:tr>
      <w:tr>
        <w:trPr>
          <w:trHeight w:val="214"/>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162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USD</w:t>
            </w: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2,500</w:t>
            </w:r>
          </w:p>
        </w:tc>
        <w:tc>
          <w:tcPr>
            <w:tcW w:w="2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Dec’2025 to Dec’2026</w:t>
            </w: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2,500</w:t>
            </w:r>
          </w:p>
        </w:tc>
        <w:tc>
          <w:tcPr>
            <w:tcW w:w="1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Dec’2025 to Dec’2026</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60" w:right="100"/>
        <w:spacing w:after="0" w:line="285" w:lineRule="auto"/>
        <w:rPr>
          <w:sz w:val="20"/>
          <w:szCs w:val="20"/>
          <w:color w:val="auto"/>
        </w:rPr>
      </w:pPr>
      <w:r>
        <w:rPr>
          <w:rFonts w:ascii="Times New Roman" w:cs="Times New Roman" w:eastAsia="Times New Roman" w:hAnsi="Times New Roman"/>
          <w:sz w:val="17"/>
          <w:szCs w:val="17"/>
          <w:color w:val="auto"/>
        </w:rPr>
        <w:t>The Company entered into new interest rate swaps with notional value of $1,450 in 2023. These new interest risk contracts took effect in November 2023 and are set to mature in November 2025. Additionally, the Company entered into new interest rate caps with notional value of $1,000 in 2023 that will take effect in December 2025 and mature in December 2026. All the new interest rate contracts are designated as hedges for accounting purposes.</w:t>
      </w:r>
    </w:p>
    <w:p>
      <w:pPr>
        <w:spacing w:after="0" w:line="160" w:lineRule="exact"/>
        <w:rPr>
          <w:sz w:val="20"/>
          <w:szCs w:val="20"/>
          <w:color w:val="auto"/>
        </w:rPr>
      </w:pPr>
    </w:p>
    <w:p>
      <w:pPr>
        <w:ind w:left="160" w:right="380"/>
        <w:spacing w:after="0" w:line="278" w:lineRule="auto"/>
        <w:rPr>
          <w:sz w:val="20"/>
          <w:szCs w:val="20"/>
          <w:color w:val="auto"/>
        </w:rPr>
      </w:pPr>
      <w:r>
        <w:rPr>
          <w:rFonts w:ascii="Times New Roman" w:cs="Times New Roman" w:eastAsia="Times New Roman" w:hAnsi="Times New Roman"/>
          <w:sz w:val="18"/>
          <w:szCs w:val="18"/>
          <w:color w:val="auto"/>
        </w:rPr>
        <w:t>Based on contractual terms, the notional amount of interest rate swaps and interest rate caps decreased in increments of $500 each on December 31, 2024 and will decrease again on the last business day of December of each year until the maturity date of December 2026.</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F-75</w:t>
      </w:r>
    </w:p>
    <w:p>
      <w:pPr>
        <w:sectPr>
          <w:pgSz w:w="11900" w:h="16838" w:orient="portrait"/>
          <w:cols w:equalWidth="0" w:num="1">
            <w:col w:w="11080"/>
          </w:cols>
          <w:pgMar w:left="320" w:top="451" w:right="49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11 - DERIVATIVES AND HEDGING ACTIVITIES RISK MANAGEMENT (Continued)</w:t>
      </w:r>
    </w:p>
    <w:p>
      <w:pPr>
        <w:spacing w:after="0" w:line="1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Gains and Losses on Hedging Instruments</w:t>
      </w:r>
    </w:p>
    <w:p>
      <w:pPr>
        <w:spacing w:after="0" w:line="118" w:lineRule="exact"/>
        <w:rPr>
          <w:sz w:val="20"/>
          <w:szCs w:val="20"/>
          <w:color w:val="auto"/>
        </w:rPr>
      </w:pPr>
    </w:p>
    <w:p>
      <w:pPr>
        <w:ind w:left="160" w:right="420"/>
        <w:spacing w:after="0" w:line="278" w:lineRule="auto"/>
        <w:rPr>
          <w:sz w:val="20"/>
          <w:szCs w:val="20"/>
          <w:color w:val="auto"/>
        </w:rPr>
      </w:pPr>
      <w:r>
        <w:rPr>
          <w:rFonts w:ascii="Times New Roman" w:cs="Times New Roman" w:eastAsia="Times New Roman" w:hAnsi="Times New Roman"/>
          <w:sz w:val="18"/>
          <w:szCs w:val="18"/>
          <w:color w:val="auto"/>
        </w:rPr>
        <w:t>The table below presents the effect of cash flow hedge accounting on accumulated other comprehensive income (loss) (“AOCI”) for each reporting period:</w:t>
      </w:r>
    </w:p>
    <w:p>
      <w:pPr>
        <w:spacing w:after="0" w:line="185"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color w:val="auto"/>
              </w:rPr>
              <w:t>Three months ended</w:t>
            </w:r>
          </w:p>
        </w:tc>
        <w:tc>
          <w:tcPr>
            <w:tcW w:w="180" w:type="dxa"/>
            <w:vAlign w:val="bottom"/>
          </w:tcPr>
          <w:p>
            <w:pPr>
              <w:spacing w:after="0"/>
              <w:rPr>
                <w:sz w:val="14"/>
                <w:szCs w:val="14"/>
                <w:color w:val="auto"/>
              </w:rPr>
            </w:pPr>
          </w:p>
        </w:tc>
        <w:tc>
          <w:tcPr>
            <w:tcW w:w="190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18"/>
        </w:trPr>
        <w:tc>
          <w:tcPr>
            <w:tcW w:w="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color w:val="auto"/>
              </w:rPr>
              <w:t>September 27,</w:t>
            </w: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September 28,</w:t>
            </w:r>
          </w:p>
        </w:tc>
        <w:tc>
          <w:tcPr>
            <w:tcW w:w="300" w:type="dxa"/>
            <w:vAlign w:val="bottom"/>
          </w:tcPr>
          <w:p>
            <w:pPr>
              <w:spacing w:after="0"/>
              <w:rPr>
                <w:sz w:val="10"/>
                <w:szCs w:val="10"/>
                <w:color w:val="auto"/>
              </w:rPr>
            </w:pPr>
          </w:p>
        </w:tc>
        <w:tc>
          <w:tcPr>
            <w:tcW w:w="114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color w:val="auto"/>
              </w:rPr>
              <w:t>September 27,</w:t>
            </w:r>
          </w:p>
        </w:tc>
        <w:tc>
          <w:tcPr>
            <w:tcW w:w="8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color w:val="auto"/>
              </w:rPr>
              <w:t>September 28,</w:t>
            </w:r>
          </w:p>
        </w:tc>
        <w:tc>
          <w:tcPr>
            <w:tcW w:w="100" w:type="dxa"/>
            <w:vAlign w:val="bottom"/>
          </w:tcPr>
          <w:p>
            <w:pPr>
              <w:spacing w:after="0"/>
              <w:rPr>
                <w:sz w:val="10"/>
                <w:szCs w:val="10"/>
                <w:color w:val="auto"/>
              </w:rPr>
            </w:pPr>
          </w:p>
        </w:tc>
      </w:tr>
      <w:tr>
        <w:trPr>
          <w:trHeight w:val="170"/>
        </w:trPr>
        <w:tc>
          <w:tcPr>
            <w:tcW w:w="20" w:type="dxa"/>
            <w:vAlign w:val="bottom"/>
          </w:tcPr>
          <w:p>
            <w:pPr>
              <w:spacing w:after="0"/>
              <w:rPr>
                <w:sz w:val="14"/>
                <w:szCs w:val="14"/>
                <w:color w:val="auto"/>
              </w:rPr>
            </w:pPr>
          </w:p>
        </w:tc>
        <w:tc>
          <w:tcPr>
            <w:tcW w:w="1720" w:type="dxa"/>
            <w:vAlign w:val="bottom"/>
            <w:tcBorders>
              <w:bottom w:val="single" w:sz="8" w:color="CCEEFF"/>
            </w:tcBorders>
          </w:tcPr>
          <w:p>
            <w:pPr>
              <w:spacing w:after="0"/>
              <w:rPr>
                <w:sz w:val="14"/>
                <w:szCs w:val="14"/>
                <w:color w:val="auto"/>
              </w:rPr>
            </w:pPr>
          </w:p>
        </w:tc>
        <w:tc>
          <w:tcPr>
            <w:tcW w:w="26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color w:val="auto"/>
              </w:rPr>
              <w:t>2024</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color w:val="auto"/>
              </w:rPr>
              <w:t>2025</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17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Gain (loss) recognized</w:t>
            </w:r>
          </w:p>
        </w:tc>
        <w:tc>
          <w:tcPr>
            <w:tcW w:w="2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Interest rate swaps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5"/>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5"/>
                <w:szCs w:val="15"/>
                <w:color w:val="auto"/>
              </w:rPr>
            </w:pPr>
          </w:p>
        </w:tc>
      </w:tr>
      <w:tr>
        <w:trPr>
          <w:trHeight w:val="246"/>
        </w:trPr>
        <w:tc>
          <w:tcPr>
            <w:tcW w:w="20" w:type="dxa"/>
            <w:vAlign w:val="bottom"/>
          </w:tcPr>
          <w:p>
            <w:pPr>
              <w:spacing w:after="0"/>
              <w:rPr>
                <w:sz w:val="21"/>
                <w:szCs w:val="21"/>
                <w:color w:val="auto"/>
              </w:rPr>
            </w:pP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 AOCI</w:t>
            </w:r>
          </w:p>
        </w:tc>
        <w:tc>
          <w:tcPr>
            <w:tcW w:w="2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Included in effectiveness testing</w:t>
            </w:r>
          </w:p>
        </w:tc>
        <w:tc>
          <w:tcPr>
            <w:tcW w:w="28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14"/>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8"/>
              </w:rPr>
              <w:t>Excluded in effectiveness testing</w:t>
            </w: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r>
      <w:tr>
        <w:trPr>
          <w:trHeight w:val="202"/>
        </w:trPr>
        <w:tc>
          <w:tcPr>
            <w:tcW w:w="17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Gain (loss) reclassified</w:t>
            </w:r>
          </w:p>
        </w:tc>
        <w:tc>
          <w:tcPr>
            <w:tcW w:w="2620" w:type="dxa"/>
            <w:vAlign w:val="bottom"/>
          </w:tcPr>
          <w:p>
            <w:pPr>
              <w:spacing w:after="0"/>
              <w:rPr>
                <w:sz w:val="17"/>
                <w:szCs w:val="17"/>
                <w:color w:val="auto"/>
              </w:rPr>
            </w:pPr>
          </w:p>
        </w:tc>
        <w:tc>
          <w:tcPr>
            <w:tcW w:w="2020" w:type="dxa"/>
            <w:vAlign w:val="bottom"/>
            <w:gridSpan w:val="2"/>
          </w:tcPr>
          <w:p>
            <w:pPr>
              <w:ind w:left="280"/>
              <w:spacing w:after="0" w:line="202" w:lineRule="exact"/>
              <w:rPr>
                <w:sz w:val="20"/>
                <w:szCs w:val="20"/>
                <w:color w:val="auto"/>
              </w:rPr>
            </w:pPr>
            <w:r>
              <w:rPr>
                <w:rFonts w:ascii="Times New Roman" w:cs="Times New Roman" w:eastAsia="Times New Roman" w:hAnsi="Times New Roman"/>
                <w:sz w:val="18"/>
                <w:szCs w:val="18"/>
                <w:color w:val="auto"/>
              </w:rPr>
              <w:t>Interest rate swaps</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26</w:t>
            </w: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1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from AOCI into</w:t>
            </w:r>
          </w:p>
        </w:tc>
        <w:tc>
          <w:tcPr>
            <w:tcW w:w="2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Included in effectiveness testing</w:t>
            </w:r>
          </w:p>
        </w:tc>
        <w:tc>
          <w:tcPr>
            <w:tcW w:w="2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Interest rate caps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r>
      <w:tr>
        <w:trPr>
          <w:trHeight w:val="232"/>
        </w:trPr>
        <w:tc>
          <w:tcPr>
            <w:tcW w:w="20" w:type="dxa"/>
            <w:vAlign w:val="bottom"/>
          </w:tcPr>
          <w:p>
            <w:pPr>
              <w:spacing w:after="0"/>
              <w:rPr>
                <w:sz w:val="20"/>
                <w:szCs w:val="20"/>
                <w:color w:val="auto"/>
              </w:rPr>
            </w:pPr>
          </w:p>
        </w:tc>
        <w:tc>
          <w:tcPr>
            <w:tcW w:w="1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earnings</w:t>
            </w:r>
          </w:p>
        </w:tc>
        <w:tc>
          <w:tcPr>
            <w:tcW w:w="26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Excluded in effectiveness testing</w:t>
            </w:r>
          </w:p>
        </w:tc>
        <w:tc>
          <w:tcPr>
            <w:tcW w:w="2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Interest rate caps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27"/>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change in AOCI</w:t>
            </w:r>
          </w:p>
        </w:tc>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gain (loss) reclassed from AOCI into earnings is recorded to interest expense, net in condensed consolidated statements of comprehensive income.</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Derivative Assets and Liabilities</w:t>
      </w:r>
    </w:p>
    <w:p>
      <w:pPr>
        <w:spacing w:after="0" w:line="118" w:lineRule="exact"/>
        <w:rPr>
          <w:sz w:val="20"/>
          <w:szCs w:val="20"/>
          <w:color w:val="auto"/>
        </w:rPr>
      </w:pPr>
    </w:p>
    <w:p>
      <w:pPr>
        <w:ind w:left="160" w:right="140"/>
        <w:spacing w:after="0" w:line="278" w:lineRule="auto"/>
        <w:rPr>
          <w:sz w:val="20"/>
          <w:szCs w:val="20"/>
          <w:color w:val="auto"/>
        </w:rPr>
      </w:pPr>
      <w:r>
        <w:rPr>
          <w:rFonts w:ascii="Times New Roman" w:cs="Times New Roman" w:eastAsia="Times New Roman" w:hAnsi="Times New Roman"/>
          <w:sz w:val="18"/>
          <w:szCs w:val="18"/>
          <w:color w:val="auto"/>
        </w:rPr>
        <w:t>The Company records both the designated interest rate derivatives and the undesignated derivatives at fair value in the condensed consolidated balance sheets. The respective assets and liabilities are generally classified as short-term or long-term based on the maturity dates of the derivatives.</w:t>
      </w:r>
    </w:p>
    <w:p>
      <w:pPr>
        <w:spacing w:after="0" w:line="1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table below summarizes the classification and fair value of the derivatives for each reporting period:</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Designated cash flow hedges</w:t>
            </w:r>
          </w:p>
        </w:tc>
        <w:tc>
          <w:tcPr>
            <w:tcW w:w="350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Location</w:t>
            </w:r>
          </w:p>
        </w:tc>
        <w:tc>
          <w:tcPr>
            <w:tcW w:w="1120" w:type="dxa"/>
            <w:vAlign w:val="bottom"/>
          </w:tcPr>
          <w:p>
            <w:pPr>
              <w:spacing w:after="0"/>
              <w:rPr>
                <w:sz w:val="14"/>
                <w:szCs w:val="14"/>
                <w:color w:val="auto"/>
              </w:rPr>
            </w:pPr>
          </w:p>
        </w:tc>
        <w:tc>
          <w:tcPr>
            <w:tcW w:w="15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w w:val="99"/>
              </w:rPr>
              <w:t>September 27, 2025</w:t>
            </w:r>
          </w:p>
        </w:tc>
        <w:tc>
          <w:tcPr>
            <w:tcW w:w="360" w:type="dxa"/>
            <w:vAlign w:val="bottom"/>
          </w:tcPr>
          <w:p>
            <w:pPr>
              <w:spacing w:after="0"/>
              <w:rPr>
                <w:sz w:val="14"/>
                <w:szCs w:val="14"/>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w w:val="99"/>
              </w:rPr>
              <w:t>December 31, 2024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3500" w:type="dxa"/>
            <w:vAlign w:val="bottom"/>
            <w:tcBorders>
              <w:top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Other current assets</w:t>
            </w:r>
          </w:p>
        </w:tc>
        <w:tc>
          <w:tcPr>
            <w:tcW w:w="1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5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Other long-term assets</w:t>
            </w: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35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Other current assets</w:t>
            </w: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5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Other long-term assets</w:t>
            </w: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Designated cash flow hedges</w:t>
            </w:r>
          </w:p>
        </w:tc>
        <w:tc>
          <w:tcPr>
            <w:tcW w:w="35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6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12 - STOCK-BASED COMPENSATION</w:t>
      </w:r>
    </w:p>
    <w:p>
      <w:pPr>
        <w:spacing w:after="0" w:line="118" w:lineRule="exact"/>
        <w:rPr>
          <w:sz w:val="20"/>
          <w:szCs w:val="20"/>
          <w:color w:val="auto"/>
        </w:rPr>
      </w:pPr>
    </w:p>
    <w:p>
      <w:pPr>
        <w:ind w:left="160" w:right="220"/>
        <w:spacing w:after="0" w:line="278" w:lineRule="auto"/>
        <w:rPr>
          <w:sz w:val="20"/>
          <w:szCs w:val="20"/>
          <w:color w:val="auto"/>
        </w:rPr>
      </w:pPr>
      <w:r>
        <w:rPr>
          <w:rFonts w:ascii="Times New Roman" w:cs="Times New Roman" w:eastAsia="Times New Roman" w:hAnsi="Times New Roman"/>
          <w:sz w:val="18"/>
          <w:szCs w:val="18"/>
          <w:color w:val="auto"/>
        </w:rPr>
        <w:t>Upon the closing of the Acquisition, the Company issued one class of ownership units, Class A units, and two classes of incentive units, Class B units and Class B catch-up profits interests (“CUPIs”; Class B, together with</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F-76</w:t>
      </w:r>
    </w:p>
    <w:p>
      <w:pPr>
        <w:sectPr>
          <w:pgSz w:w="11900" w:h="16838" w:orient="portrait"/>
          <w:cols w:equalWidth="0" w:num="1">
            <w:col w:w="11080"/>
          </w:cols>
          <w:pgMar w:left="320" w:top="451" w:right="49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12 - STOCK-BASED COMPENSATION (Continued)</w:t>
      </w:r>
    </w:p>
    <w:p>
      <w:pPr>
        <w:spacing w:after="0" w:line="131" w:lineRule="exact"/>
        <w:rPr>
          <w:sz w:val="20"/>
          <w:szCs w:val="20"/>
          <w:color w:val="auto"/>
        </w:rPr>
      </w:pPr>
    </w:p>
    <w:p>
      <w:pPr>
        <w:ind w:left="160"/>
        <w:spacing w:after="0" w:line="250" w:lineRule="auto"/>
        <w:rPr>
          <w:sz w:val="20"/>
          <w:szCs w:val="20"/>
          <w:color w:val="auto"/>
        </w:rPr>
      </w:pPr>
      <w:r>
        <w:rPr>
          <w:rFonts w:ascii="Times New Roman" w:cs="Times New Roman" w:eastAsia="Times New Roman" w:hAnsi="Times New Roman"/>
          <w:sz w:val="18"/>
          <w:szCs w:val="18"/>
          <w:color w:val="auto"/>
        </w:rPr>
        <w:t>CUPIs, are referred to as “Incentive Units”). Incentive Units are granted to certain employees of the Company, which vest upon satisfaction of one or multiple market, performance, and/or service conditions of each award. Incentive Units granted to employees are measured at fair value at grant date, and the related expense is recognized over the requisite service periods on a straight-line basis for awards with only service conditions and the accelerated method for awards with performance or market conditions. Forfeitures are recorded as incurred. Certain Incentive Units allow for the accelerated vesting of the awards upon triggering events such as a change in control, as defined in the Company’s Incentive Unit subscription agreements. Upon the occurrence of the defined events, all qualified unvested Incentive Units granted would be automatically vested. All of the Class B and Class B CUPI Units include a put right (the “Plan Put Right”) (collectively the “Equity-based compensation mezz units”) that give the holders certain rights that may allow them to cause the Company to repurchase 20% of the Class B and 50% of the Class B CUPI mezzanine units at the current intrinsic value of the option five years from the completion of the Acquisition under conditions outside of the control of the Company. The holder’s redemption rights will terminate upon completion of a sale or IPO as defined in the respective subscription agreements. Management determined it was probable that the units would become redeemable and elected to carry the shares at redemption value, or fair value, in mezzanine equity on the condensed consolidated balance sheets. The temporary equity carrying amount for the Class B and Class B CUPI mezzanine units was initially measured based on the intrinsic value as determined on grant date and subsequently remeasured to the intrinsic value as of each reporting period. During the fourth quarter of 2024, management determined that it was no longer probable that 20% of vested Class B and 50% of vested Class B CUPI mezzanine units would be redeemable, and, therefore, no changes in redemption value were recorded prospectively. See “Note 13 — Partners’ Capital and Mezzanine Equity” for additional discussion of the Company’s treatment of equity-based compensation within mezzanine equity.</w:t>
      </w:r>
    </w:p>
    <w:p>
      <w:pPr>
        <w:spacing w:after="0" w:line="188" w:lineRule="exact"/>
        <w:rPr>
          <w:sz w:val="20"/>
          <w:szCs w:val="20"/>
          <w:color w:val="auto"/>
        </w:rPr>
      </w:pPr>
    </w:p>
    <w:p>
      <w:pPr>
        <w:ind w:left="160"/>
        <w:spacing w:after="0" w:line="251" w:lineRule="auto"/>
        <w:rPr>
          <w:sz w:val="20"/>
          <w:szCs w:val="20"/>
          <w:color w:val="auto"/>
        </w:rPr>
      </w:pPr>
      <w:r>
        <w:rPr>
          <w:rFonts w:ascii="Times New Roman" w:cs="Times New Roman" w:eastAsia="Times New Roman" w:hAnsi="Times New Roman"/>
          <w:sz w:val="18"/>
          <w:szCs w:val="18"/>
          <w:color w:val="auto"/>
        </w:rPr>
        <w:t>Participants in the Medline Industries, Inc. Managing Partner Program (effective April 1, 2018 and as amended from time to time, the “MPU Plan”) who hold one or more awards (“MPU Award Holders”) were entitled to receive a liquidity event MPU payout amount (the “Liquidity MPU Payout”) in connection with a change in control (e.g., a merger or consolidation into a new entity). The Acquisition qualified as a change in control and, therefore, triggered the Liquidity MPU Payout, with a portion being payable at the closing of the Acquisition. All existing MPU Award Holders were granted the opportunity, pursuant to a reinvestment election agreement, to take a promissory note with 0.25% annualized interest rate from a portion of the Liquidity MPU Payout to purchase Class A units. The promissory note was reported as a reduction from the partners’ capital at inception. Pursuant to the same reinvestment agreement, all the existing MPU Award Holders were granted the opportunity to waive receipt of a portion of their Liquidity MPU Payout in exchange for CUPIs. As of September 27, 2025, the Company has authorized and issued 46 units of CUPIs with a grant date fair value of $0.57 per unit. CUPIs vest over a two-year service period from the grant date. All CUPIs have fully vested as of September 27, 2025.</w:t>
      </w:r>
    </w:p>
    <w:p>
      <w:pPr>
        <w:spacing w:after="0" w:line="192" w:lineRule="exact"/>
        <w:rPr>
          <w:sz w:val="20"/>
          <w:szCs w:val="20"/>
          <w:color w:val="auto"/>
        </w:rPr>
      </w:pPr>
    </w:p>
    <w:p>
      <w:pPr>
        <w:ind w:left="160" w:right="100"/>
        <w:spacing w:after="0" w:line="263" w:lineRule="auto"/>
        <w:rPr>
          <w:sz w:val="20"/>
          <w:szCs w:val="20"/>
          <w:color w:val="auto"/>
        </w:rPr>
      </w:pPr>
      <w:r>
        <w:rPr>
          <w:rFonts w:ascii="Times New Roman" w:cs="Times New Roman" w:eastAsia="Times New Roman" w:hAnsi="Times New Roman"/>
          <w:sz w:val="18"/>
          <w:szCs w:val="18"/>
          <w:color w:val="auto"/>
        </w:rPr>
        <w:t>As of September 27, 2025, the Company has authorized and issued 812 Class B Units with a weighted average grant date fair value of $0.37 per unit to certain employees of the Company. The Class B Units are subject to a five-year vesting period, with 20% of units vesting on each of the five anniversaries of the grant date. The Class B Units have no expiration date.</w:t>
      </w:r>
    </w:p>
    <w:p>
      <w:pPr>
        <w:spacing w:after="0" w:line="1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As of September 27, 2025, the Company has authorized and issued 16,851 Class A units.</w:t>
      </w:r>
    </w:p>
    <w:p>
      <w:pPr>
        <w:spacing w:after="0" w:line="221" w:lineRule="exact"/>
        <w:rPr>
          <w:sz w:val="20"/>
          <w:szCs w:val="20"/>
          <w:color w:val="auto"/>
        </w:rPr>
      </w:pPr>
    </w:p>
    <w:p>
      <w:pPr>
        <w:ind w:left="160" w:right="100"/>
        <w:spacing w:after="0" w:line="278" w:lineRule="auto"/>
        <w:rPr>
          <w:sz w:val="20"/>
          <w:szCs w:val="20"/>
          <w:color w:val="auto"/>
        </w:rPr>
      </w:pPr>
      <w:r>
        <w:rPr>
          <w:rFonts w:ascii="Times New Roman" w:cs="Times New Roman" w:eastAsia="Times New Roman" w:hAnsi="Times New Roman"/>
          <w:sz w:val="18"/>
          <w:szCs w:val="18"/>
          <w:color w:val="auto"/>
        </w:rPr>
        <w:t>In accordance with ASC 718 Compensation—Stock Compensation, all Incentive Units officially granted represent ownership interests of the Company and are classified as equity.</w:t>
      </w:r>
    </w:p>
    <w:p>
      <w:pPr>
        <w:spacing w:after="0" w:line="162" w:lineRule="exact"/>
        <w:rPr>
          <w:sz w:val="20"/>
          <w:szCs w:val="20"/>
          <w:color w:val="auto"/>
        </w:rPr>
      </w:pPr>
    </w:p>
    <w:p>
      <w:pPr>
        <w:ind w:left="160" w:right="20"/>
        <w:spacing w:after="0" w:line="278" w:lineRule="auto"/>
        <w:rPr>
          <w:sz w:val="20"/>
          <w:szCs w:val="20"/>
          <w:color w:val="auto"/>
        </w:rPr>
      </w:pPr>
      <w:r>
        <w:rPr>
          <w:rFonts w:ascii="Times New Roman" w:cs="Times New Roman" w:eastAsia="Times New Roman" w:hAnsi="Times New Roman"/>
          <w:sz w:val="18"/>
          <w:szCs w:val="18"/>
          <w:u w:val="single" w:color="auto"/>
          <w:color w:val="auto"/>
        </w:rPr>
        <w:t>Fair Value of Equity-Based Awards</w:t>
      </w:r>
      <w:r>
        <w:rPr>
          <w:rFonts w:ascii="Times New Roman" w:cs="Times New Roman" w:eastAsia="Times New Roman" w:hAnsi="Times New Roman"/>
          <w:sz w:val="18"/>
          <w:szCs w:val="18"/>
          <w:color w:val="auto"/>
        </w:rPr>
        <w:t>: The weighted average per unit fair value of the equity-based units is calculated using the Monte Carlo simulation in an option pricing framework, where the total equity value of the</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1060"/>
          </w:cols>
          <w:pgMar w:left="320" w:top="451" w:right="51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12 - STOCK-BASED COMPENSATION (Continued)</w:t>
      </w:r>
    </w:p>
    <w:p>
      <w:pPr>
        <w:spacing w:after="0" w:line="131" w:lineRule="exact"/>
        <w:rPr>
          <w:sz w:val="20"/>
          <w:szCs w:val="20"/>
          <w:color w:val="auto"/>
        </w:rPr>
      </w:pPr>
    </w:p>
    <w:p>
      <w:pPr>
        <w:ind w:left="160" w:right="260"/>
        <w:spacing w:after="0" w:line="263" w:lineRule="auto"/>
        <w:rPr>
          <w:sz w:val="20"/>
          <w:szCs w:val="20"/>
          <w:color w:val="auto"/>
        </w:rPr>
      </w:pPr>
      <w:r>
        <w:rPr>
          <w:rFonts w:ascii="Times New Roman" w:cs="Times New Roman" w:eastAsia="Times New Roman" w:hAnsi="Times New Roman"/>
          <w:sz w:val="18"/>
          <w:szCs w:val="18"/>
          <w:color w:val="auto"/>
        </w:rPr>
        <w:t>Company was evolved over a period from the grant date to the Company’s expected liquidity date. In the absence of a public trading market, the Company exercises significant judgment and considers numerous objectives and subjective factors to determine the fair value of equity-based awards including:</w:t>
      </w:r>
    </w:p>
    <w:p>
      <w:pPr>
        <w:spacing w:after="0" w:line="82" w:lineRule="exact"/>
        <w:rPr>
          <w:sz w:val="20"/>
          <w:szCs w:val="20"/>
          <w:color w:val="auto"/>
        </w:rPr>
      </w:pPr>
    </w:p>
    <w:p>
      <w:pPr>
        <w:ind w:left="1140" w:hanging="438"/>
        <w:spacing w:after="0"/>
        <w:tabs>
          <w:tab w:leader="none" w:pos="11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precedent transactions involving equity units;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operating and financial performance;</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business conditions and projections;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performance of comparable publicly traded companies;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global capital market conditions.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assumptions were made in the Monte Carlo simulation.</w:t>
      </w:r>
    </w:p>
    <w:p>
      <w:pPr>
        <w:spacing w:after="0" w:line="221" w:lineRule="exact"/>
        <w:rPr>
          <w:sz w:val="20"/>
          <w:szCs w:val="20"/>
          <w:color w:val="auto"/>
        </w:rPr>
      </w:pPr>
    </w:p>
    <w:p>
      <w:pPr>
        <w:ind w:left="160" w:right="100"/>
        <w:spacing w:after="0" w:line="263" w:lineRule="auto"/>
        <w:rPr>
          <w:sz w:val="20"/>
          <w:szCs w:val="20"/>
          <w:color w:val="auto"/>
        </w:rPr>
      </w:pPr>
      <w:r>
        <w:rPr>
          <w:rFonts w:ascii="Times New Roman" w:cs="Times New Roman" w:eastAsia="Times New Roman" w:hAnsi="Times New Roman"/>
          <w:sz w:val="18"/>
          <w:szCs w:val="18"/>
          <w:u w:val="single" w:color="auto"/>
          <w:color w:val="auto"/>
        </w:rPr>
        <w:t>Expected Term:</w:t>
      </w:r>
      <w:r>
        <w:rPr>
          <w:rFonts w:ascii="Times New Roman" w:cs="Times New Roman" w:eastAsia="Times New Roman" w:hAnsi="Times New Roman"/>
          <w:sz w:val="18"/>
          <w:szCs w:val="18"/>
          <w:color w:val="auto"/>
        </w:rPr>
        <w:t xml:space="preserve"> The expected term represents the period over which the Company anticipates equity-based awards to be outstanding as of the valuation date, which is the estimated period of time from the valuation date to exit in terms of a future liquidity event, such as an initial public offering of the Company’s shares.</w:t>
      </w:r>
    </w:p>
    <w:p>
      <w:pPr>
        <w:spacing w:after="0" w:line="175" w:lineRule="exact"/>
        <w:rPr>
          <w:sz w:val="20"/>
          <w:szCs w:val="20"/>
          <w:color w:val="auto"/>
        </w:rPr>
      </w:pPr>
    </w:p>
    <w:p>
      <w:pPr>
        <w:ind w:left="160" w:right="520"/>
        <w:spacing w:after="0" w:line="278" w:lineRule="auto"/>
        <w:rPr>
          <w:sz w:val="20"/>
          <w:szCs w:val="20"/>
          <w:color w:val="auto"/>
        </w:rPr>
      </w:pPr>
      <w:r>
        <w:rPr>
          <w:rFonts w:ascii="Times New Roman" w:cs="Times New Roman" w:eastAsia="Times New Roman" w:hAnsi="Times New Roman"/>
          <w:sz w:val="18"/>
          <w:szCs w:val="18"/>
          <w:u w:val="single" w:color="auto"/>
          <w:color w:val="auto"/>
        </w:rPr>
        <w:t>Volatility:</w:t>
      </w:r>
      <w:r>
        <w:rPr>
          <w:rFonts w:ascii="Times New Roman" w:cs="Times New Roman" w:eastAsia="Times New Roman" w:hAnsi="Times New Roman"/>
          <w:sz w:val="18"/>
          <w:szCs w:val="18"/>
          <w:color w:val="auto"/>
        </w:rPr>
        <w:t xml:space="preserve"> Expected volatility is a measure of the amount by which the equity value is expected to fluctuate. The Company estimates the expected volatility by assessing the equity volatility of guideline companies.</w:t>
      </w:r>
    </w:p>
    <w:p>
      <w:pPr>
        <w:spacing w:after="0" w:line="162" w:lineRule="exact"/>
        <w:rPr>
          <w:sz w:val="20"/>
          <w:szCs w:val="20"/>
          <w:color w:val="auto"/>
        </w:rPr>
      </w:pPr>
    </w:p>
    <w:p>
      <w:pPr>
        <w:ind w:left="160" w:right="180"/>
        <w:spacing w:after="0" w:line="278" w:lineRule="auto"/>
        <w:rPr>
          <w:sz w:val="20"/>
          <w:szCs w:val="20"/>
          <w:color w:val="auto"/>
        </w:rPr>
      </w:pPr>
      <w:r>
        <w:rPr>
          <w:rFonts w:ascii="Times New Roman" w:cs="Times New Roman" w:eastAsia="Times New Roman" w:hAnsi="Times New Roman"/>
          <w:sz w:val="18"/>
          <w:szCs w:val="18"/>
          <w:u w:val="single" w:color="auto"/>
          <w:color w:val="auto"/>
        </w:rPr>
        <w:t>Risk-Free Interest Rate:</w:t>
      </w:r>
      <w:r>
        <w:rPr>
          <w:rFonts w:ascii="Times New Roman" w:cs="Times New Roman" w:eastAsia="Times New Roman" w:hAnsi="Times New Roman"/>
          <w:sz w:val="18"/>
          <w:szCs w:val="18"/>
          <w:color w:val="auto"/>
        </w:rPr>
        <w:t xml:space="preserve"> The risk-free interest rate is estimated based on U.S. Treasury zero-coupon notes with terms consistent with the expected term of the awards.</w:t>
      </w:r>
    </w:p>
    <w:p>
      <w:pPr>
        <w:spacing w:after="0" w:line="1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u w:val="single" w:color="auto"/>
          <w:color w:val="auto"/>
        </w:rPr>
        <w:t>Dividend Yield:</w:t>
      </w:r>
      <w:r>
        <w:rPr>
          <w:rFonts w:ascii="Times New Roman" w:cs="Times New Roman" w:eastAsia="Times New Roman" w:hAnsi="Times New Roman"/>
          <w:sz w:val="17"/>
          <w:szCs w:val="17"/>
          <w:color w:val="auto"/>
        </w:rPr>
        <w:t xml:space="preserve"> The Company has never declared or paid any cash dividends and does not presently plan to pay cash dividends in the foreseeable future.</w:t>
      </w:r>
    </w:p>
    <w:p>
      <w:pPr>
        <w:spacing w:after="0" w:line="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Consequently, the Company used an expected dividend yield of zero.</w:t>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The following table provides the weighted-average inputs for expected term, volatility, risk-free interest rate, and dividend yield that were utilized by the</w:t>
      </w:r>
    </w:p>
    <w:p>
      <w:pPr>
        <w:spacing w:after="0" w:line="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Company in its Monte Carlo simulation for awards granted during 2021 through 2025:</w:t>
      </w:r>
    </w:p>
    <w:p>
      <w:pPr>
        <w:spacing w:after="0" w:line="247" w:lineRule="exact"/>
        <w:rPr>
          <w:sz w:val="20"/>
          <w:szCs w:val="20"/>
          <w:color w:val="auto"/>
        </w:rPr>
      </w:pPr>
    </w:p>
    <w:tbl>
      <w:tblPr>
        <w:tblLayout w:type="fixed"/>
        <w:tblInd w:w="1920" w:type="dxa"/>
        <w:tblCellMar>
          <w:top w:w="0" w:type="dxa"/>
          <w:left w:w="0" w:type="dxa"/>
          <w:bottom w:w="0" w:type="dxa"/>
          <w:right w:w="0" w:type="dxa"/>
        </w:tblCellMar>
      </w:tblPr>
      <w:tr>
        <w:trPr>
          <w:trHeight w:val="214"/>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4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— </w:t>
            </w:r>
          </w:p>
        </w:tc>
      </w:tr>
      <w:tr>
        <w:trPr>
          <w:trHeight w:val="21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34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3.6 - 6 Years</w:t>
            </w:r>
          </w:p>
        </w:tc>
      </w:tr>
      <w:tr>
        <w:trPr>
          <w:trHeight w:val="214"/>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1.2 - 4.6%</w:t>
            </w:r>
          </w:p>
        </w:tc>
      </w:tr>
      <w:tr>
        <w:trPr>
          <w:trHeight w:val="23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35 - 48%</w:t>
            </w:r>
          </w:p>
        </w:tc>
      </w:tr>
    </w:tbl>
    <w:p>
      <w:pPr>
        <w:spacing w:after="0" w:line="177" w:lineRule="exact"/>
        <w:rPr>
          <w:sz w:val="20"/>
          <w:szCs w:val="20"/>
          <w:color w:val="auto"/>
        </w:rPr>
      </w:pPr>
    </w:p>
    <w:p>
      <w:pPr>
        <w:ind w:left="160" w:right="60"/>
        <w:spacing w:after="0" w:line="251" w:lineRule="auto"/>
        <w:rPr>
          <w:sz w:val="20"/>
          <w:szCs w:val="20"/>
          <w:color w:val="auto"/>
        </w:rPr>
      </w:pPr>
      <w:r>
        <w:rPr>
          <w:rFonts w:ascii="Times New Roman" w:cs="Times New Roman" w:eastAsia="Times New Roman" w:hAnsi="Times New Roman"/>
          <w:sz w:val="18"/>
          <w:szCs w:val="18"/>
          <w:color w:val="auto"/>
        </w:rPr>
        <w:t>Related to the Class B units, the Company recorded $14 and $14 of compensation expense for the three months ended September 27, 2025 and September 28, 2024, respectively, and $44 and $41 of compensation expense for the nine months ended September 27, 2025 and September 28, 2024, respectively, as a component of selling, general and administrative expenses. As of September 27, 2025, the Company had $97 of unrecognized unit-based compensation expense related to unvested Class B units, which is expected to be recognized on a straight-line basis or a graded basis over a weighted average period of 1.3 years. As of September 27, 2025, the Company had another $10 of unrecognized unit-based compensation expense related to several tranches of unvested Class B units with additional performance conditions and various derived requisite service periods. The respective compensation expense will not be recognized until the fulfillment of the defined performance condition. Such expense for each tranche of the Class B units will be trued up ratably based on the passage of the respective requisite service periods at the time of fulfillment and continue to be recognized on a graded basis over the remaining requisite service periods.</w:t>
      </w:r>
    </w:p>
    <w:p>
      <w:pPr>
        <w:spacing w:after="0" w:line="1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F-78</w:t>
      </w:r>
    </w:p>
    <w:p>
      <w:pPr>
        <w:sectPr>
          <w:pgSz w:w="11900" w:h="16838" w:orient="portrait"/>
          <w:cols w:equalWidth="0" w:num="1">
            <w:col w:w="11080"/>
          </w:cols>
          <w:pgMar w:left="320" w:top="451" w:right="49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12 - STOCK-BASED COMPENSATION (Continued)</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As of September 27, 2025, the Company has no material obligations to repurchase any Class B Units or CUPIs on a specified date.</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Incentive Units activity during the nine months ended September 27, 2025:</w:t>
      </w:r>
    </w:p>
    <w:p>
      <w:pPr>
        <w:spacing w:after="0" w:line="243" w:lineRule="exact"/>
        <w:rPr>
          <w:sz w:val="20"/>
          <w:szCs w:val="20"/>
          <w:color w:val="auto"/>
        </w:rPr>
      </w:pPr>
    </w:p>
    <w:tbl>
      <w:tblPr>
        <w:tblLayout w:type="fixed"/>
        <w:tblInd w:w="1480" w:type="dxa"/>
        <w:tblCellMar>
          <w:top w:w="0" w:type="dxa"/>
          <w:left w:w="0" w:type="dxa"/>
          <w:bottom w:w="0" w:type="dxa"/>
          <w:right w:w="0" w:type="dxa"/>
        </w:tblCellMar>
      </w:tblPr>
      <w:tr>
        <w:trPr>
          <w:trHeight w:val="170"/>
        </w:trPr>
        <w:tc>
          <w:tcPr>
            <w:tcW w:w="6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161"/>
              <w:spacing w:after="0"/>
              <w:rPr>
                <w:sz w:val="20"/>
                <w:szCs w:val="20"/>
                <w:color w:val="auto"/>
              </w:rPr>
            </w:pPr>
            <w:r>
              <w:rPr>
                <w:rFonts w:ascii="Times New Roman" w:cs="Times New Roman" w:eastAsia="Times New Roman" w:hAnsi="Times New Roman"/>
                <w:sz w:val="14"/>
                <w:szCs w:val="14"/>
                <w:color w:val="auto"/>
              </w:rPr>
              <w:t>Class B</w:t>
            </w: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6200" w:type="dxa"/>
            <w:vAlign w:val="bottom"/>
          </w:tcPr>
          <w:p>
            <w:pPr>
              <w:spacing w:after="0"/>
              <w:rPr>
                <w:sz w:val="10"/>
                <w:szCs w:val="10"/>
                <w:color w:val="auto"/>
              </w:rPr>
            </w:pPr>
          </w:p>
        </w:tc>
        <w:tc>
          <w:tcPr>
            <w:tcW w:w="5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w w:val="92"/>
              </w:rPr>
              <w:t>Units</w:t>
            </w:r>
          </w:p>
        </w:tc>
        <w:tc>
          <w:tcPr>
            <w:tcW w:w="500" w:type="dxa"/>
            <w:vAlign w:val="bottom"/>
          </w:tcPr>
          <w:p>
            <w:pPr>
              <w:spacing w:after="0"/>
              <w:rPr>
                <w:sz w:val="10"/>
                <w:szCs w:val="10"/>
                <w:color w:val="auto"/>
              </w:rPr>
            </w:pPr>
          </w:p>
        </w:tc>
        <w:tc>
          <w:tcPr>
            <w:tcW w:w="9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Wtd. Avg. Grant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2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Date Fair Value</w:t>
            </w:r>
          </w:p>
        </w:tc>
        <w:tc>
          <w:tcPr>
            <w:tcW w:w="0" w:type="dxa"/>
            <w:vAlign w:val="bottom"/>
          </w:tcPr>
          <w:p>
            <w:pPr>
              <w:spacing w:after="0"/>
              <w:rPr>
                <w:sz w:val="1"/>
                <w:szCs w:val="1"/>
                <w:color w:val="auto"/>
              </w:rPr>
            </w:pPr>
          </w:p>
        </w:tc>
      </w:tr>
      <w:tr>
        <w:trPr>
          <w:trHeight w:val="207"/>
        </w:trPr>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2024</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14"/>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21"/>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14"/>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September 27, 2025</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right="120"/>
        <w:spacing w:after="0" w:line="278" w:lineRule="auto"/>
        <w:rPr>
          <w:sz w:val="20"/>
          <w:szCs w:val="20"/>
          <w:color w:val="auto"/>
        </w:rPr>
      </w:pPr>
      <w:r>
        <w:rPr>
          <w:rFonts w:ascii="Times New Roman" w:cs="Times New Roman" w:eastAsia="Times New Roman" w:hAnsi="Times New Roman"/>
          <w:sz w:val="18"/>
          <w:szCs w:val="18"/>
          <w:color w:val="auto"/>
        </w:rPr>
        <w:t>The total fair value of Incentive Units vested during the three and nine months ended September 27, 2025 were $3 and $16, respectively. The unvested outstanding Incentive Units are expected to vest between 2025 and 2030.</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u w:val="single" w:color="auto"/>
          <w:color w:val="auto"/>
        </w:rPr>
        <w:t>Liability-classified units</w:t>
      </w:r>
    </w:p>
    <w:p>
      <w:pPr>
        <w:spacing w:after="0" w:line="118" w:lineRule="exact"/>
        <w:rPr>
          <w:sz w:val="20"/>
          <w:szCs w:val="20"/>
          <w:color w:val="auto"/>
        </w:rPr>
      </w:pPr>
    </w:p>
    <w:p>
      <w:pPr>
        <w:ind w:left="160"/>
        <w:spacing w:after="0" w:line="251" w:lineRule="auto"/>
        <w:rPr>
          <w:sz w:val="20"/>
          <w:szCs w:val="20"/>
          <w:color w:val="auto"/>
        </w:rPr>
      </w:pPr>
      <w:r>
        <w:rPr>
          <w:rFonts w:ascii="Times New Roman" w:cs="Times New Roman" w:eastAsia="Times New Roman" w:hAnsi="Times New Roman"/>
          <w:sz w:val="18"/>
          <w:szCs w:val="18"/>
          <w:color w:val="auto"/>
        </w:rPr>
        <w:t>During the first quarter of 2025, the Company authorized additional Class B Units to be granted to certain employees on or near April 1, 2026 upon fulfillment of certain performance conditions. With each grant, the number of Class B units to be issued and the grant date fair value of the award are dependent on the performance targets achieved and the Company’s equity value, and will be determined on the official grant date. The Class B Units are subject to a five-year service vesting period, with 20% of units vesting on each of the five anniversaries from the official grant date. The award was classified as a liability in accordance with Topic 718 until the official grant date, when it will be reclassified as equity. The award is presented in other long-term liabilities on the condensed consolidated balance sheets. The unit fair value of these awards is determined using the same technique and assumptions as the Equity-Based Awards, and the Company reevaluates the fair value of these liability-classified units periodically until they are reclassified as equity when granted, with the fair value change recorded ratably in the current-period compensation expense. As of September 27, 2025, the number of units probable to be issued is 26, with total fair value of $15. The Company had recognized compensation expense of $1 and $3 for the three and nine months ended September 27, 2025. As of September 27, 2025, the Company had $12 of unrecognized compensation expense, which is expected to be recognized on a graded basis over a weighted average period of 1.9 years.</w:t>
      </w:r>
    </w:p>
    <w:p>
      <w:pPr>
        <w:spacing w:after="0" w:line="187" w:lineRule="exact"/>
        <w:rPr>
          <w:sz w:val="20"/>
          <w:szCs w:val="20"/>
          <w:color w:val="auto"/>
        </w:rPr>
      </w:pPr>
    </w:p>
    <w:p>
      <w:pPr>
        <w:ind w:left="160"/>
        <w:spacing w:after="0" w:line="254" w:lineRule="auto"/>
        <w:rPr>
          <w:sz w:val="20"/>
          <w:szCs w:val="20"/>
          <w:color w:val="auto"/>
        </w:rPr>
      </w:pPr>
      <w:r>
        <w:rPr>
          <w:rFonts w:ascii="Times New Roman" w:cs="Times New Roman" w:eastAsia="Times New Roman" w:hAnsi="Times New Roman"/>
          <w:sz w:val="18"/>
          <w:szCs w:val="18"/>
          <w:color w:val="auto"/>
        </w:rPr>
        <w:t>During the first quarter of 2024, the Company authorized additional Class B Units to be granted to certain employees in 2025 upon fulfillment of certain performance conditions. These awards were classified as a liability in accordance with Topic 718 at inception. In March 2025, upon fulfillment of the performance conditions, 51 of Class B Units were legally granted. The fair value of the Class B Units in March 2025, the official grant date, was $0.58, and the respective compensation expense was trued up cumulatively based on the grant-date fair value. Through the official grant date, the Company recognized compensation expense of $2 for these awards for the nine months ended September 27, 2025. At the grant date, $10 of liability-classed awards were reclassified to equity. The expense will continue to be recorded on a graded basis through March 28, 2030.</w:t>
      </w:r>
    </w:p>
    <w:p>
      <w:pPr>
        <w:spacing w:after="0" w:line="184"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18"/>
          <w:szCs w:val="18"/>
          <w:color w:val="auto"/>
        </w:rPr>
        <w:t>During the first quarter of 2023, the Company authorized additional Class B Units to be granted to certain employees in 2024 upon fulfillment of certain performance conditions. These awards were classified as a liability</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040"/>
          </w:cols>
          <w:pgMar w:left="320" w:top="451" w:right="53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12 - STOCK-BASED COMPENSATION (Continued)</w:t>
      </w:r>
    </w:p>
    <w:p>
      <w:pPr>
        <w:spacing w:after="0" w:line="131" w:lineRule="exact"/>
        <w:rPr>
          <w:sz w:val="20"/>
          <w:szCs w:val="20"/>
          <w:color w:val="auto"/>
        </w:rPr>
      </w:pPr>
    </w:p>
    <w:p>
      <w:pPr>
        <w:ind w:left="160" w:right="140"/>
        <w:spacing w:after="0" w:line="255" w:lineRule="auto"/>
        <w:rPr>
          <w:sz w:val="20"/>
          <w:szCs w:val="20"/>
          <w:color w:val="auto"/>
        </w:rPr>
      </w:pPr>
      <w:r>
        <w:rPr>
          <w:rFonts w:ascii="Times New Roman" w:cs="Times New Roman" w:eastAsia="Times New Roman" w:hAnsi="Times New Roman"/>
          <w:sz w:val="18"/>
          <w:szCs w:val="18"/>
          <w:color w:val="auto"/>
        </w:rPr>
        <w:t>in accordance with Topic 718 at inception. In March 2024, upon fulfillment of the performance conditions, 68 of Class B Units were legally granted. The fair value of the Class B Units in March 2024, the official grant date, was $0.47, and the respective compensation expense was trued up cumulatively based on the grant-date fair value. Through the official grant date, the Company recognized compensation expense of $2 for these awards for the nine months ended September 28, 2024. At the grant date, $11 of liability-classed awards were reclassified to equity. The expense will continue to be recorded on a graded basis through March 29, 2029.</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13 - PARTNERS’ CAPITAL AND MEZZANINE EQUITY</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Partners’ Capital</w:t>
      </w:r>
    </w:p>
    <w:p>
      <w:pPr>
        <w:spacing w:after="0" w:line="118" w:lineRule="exact"/>
        <w:rPr>
          <w:sz w:val="20"/>
          <w:szCs w:val="20"/>
          <w:color w:val="auto"/>
        </w:rPr>
      </w:pPr>
    </w:p>
    <w:p>
      <w:pPr>
        <w:ind w:left="160"/>
        <w:spacing w:after="0" w:line="250" w:lineRule="auto"/>
        <w:rPr>
          <w:sz w:val="20"/>
          <w:szCs w:val="20"/>
          <w:color w:val="auto"/>
        </w:rPr>
      </w:pPr>
      <w:r>
        <w:rPr>
          <w:rFonts w:ascii="Times New Roman" w:cs="Times New Roman" w:eastAsia="Times New Roman" w:hAnsi="Times New Roman"/>
          <w:sz w:val="18"/>
          <w:szCs w:val="18"/>
          <w:color w:val="auto"/>
        </w:rPr>
        <w:t>The Company has three classes of authorized units: Class A units, Class B CUPI units, and Class B units. The holders of Class A units, Class B CUPI units, and Class B units are limited partners and do not have voting rights (although certain limited partners have certain consent rights as set forth in the GP LLC Agreement). Medline Holdings GP, LLC is the general partner of the Company that does not hold any units and is authorized to take any action, and cause the Company to take any action, subject to the terms of the Company’s Limited Partnership Agreement and the Medline Holdings GP, LLC’s Limited Liability Agreement (the “GP LLC Agreement”). The remaining rights and privileges of the holders of Class A units, Class B CUPI units, and Class B units are identical, except with respect to distribution and liquidation preferences. For both distributions (other than tax distributions) and liquidations, the Class A unit holders shall receive 100% of the distributions until the Class A unit holders have received cumulative distributions equal to $1.00 per Class A unit. Second, except for Operating Distributions (as defined in the Company’s limited partnership agreement), 100% of the remainder of the distributions following the distributions to the Class A unit holders shall be distributed to the Class B CUPI unit holders until the Class B CUPI unit holders receive cumulative distributions equal to the catch-up amount for such units ($1.00 per Class B CUPI unit). Third, the remainder of the distributions will be distributed on a pro rata basis (based on the number of units held and subject to vesting and, with respect to Class B units, deemed unit prices) to the Class A unit holders, the Class B CUPI unit holders, and the Class B unit holders, subject to the Company’s limited partnership agreement. Net income and net loss of the Company is allocated in a manner similar to the foregoing distributions pursuant to the GP LLC agreement. The partnership units cannot be converted. When units are initially granted, the related compensation expense will be presented under units granted. All subsequent compensation expense will be presented under unit-based compensation expense.</w:t>
      </w:r>
    </w:p>
    <w:p>
      <w:pPr>
        <w:spacing w:after="0" w:line="2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Class A — Mezzanine Equity</w:t>
      </w:r>
    </w:p>
    <w:p>
      <w:pPr>
        <w:spacing w:after="0" w:line="118" w:lineRule="exact"/>
        <w:rPr>
          <w:sz w:val="20"/>
          <w:szCs w:val="20"/>
          <w:color w:val="auto"/>
        </w:rPr>
      </w:pPr>
    </w:p>
    <w:p>
      <w:pPr>
        <w:ind w:left="160" w:right="20"/>
        <w:spacing w:after="0" w:line="252" w:lineRule="auto"/>
        <w:rPr>
          <w:sz w:val="20"/>
          <w:szCs w:val="20"/>
          <w:color w:val="auto"/>
        </w:rPr>
      </w:pPr>
      <w:r>
        <w:rPr>
          <w:rFonts w:ascii="Times New Roman" w:cs="Times New Roman" w:eastAsia="Times New Roman" w:hAnsi="Times New Roman"/>
          <w:sz w:val="18"/>
          <w:szCs w:val="18"/>
          <w:color w:val="auto"/>
        </w:rPr>
        <w:t>Class A units held by members of management (the “Class A Mezzanine Units”) include a put right that gives the holders certain rights that may allow them to cause the Company to repurchase 50% of the Class units. For the periods that management determined it was probable that the Class A Mezzanine Units would become redeemable, the Company had elected to carry the shares at the maximum redemption value, or fair value, in mezzanine equity on the condensed consolidated balance sheets. For all the reporting periods through the third quarter of 2024, all Class A Mezzanine Units were recognized at their maximum redemption value. During the three and nine months ended September 28, 2024, the Company recognized $16 and $58, respectively, in accretion of the Class A Mezzanine Units to redemption value within mezzanine equity on the condensed consolidated balance sheets. During the fourth quarter of 2024, management determined it was no longer probable that the Class A Mezzanine Units would become redeemable, and, therefore, no changes in redemption value were recorded prospectively.</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F-80</w:t>
      </w:r>
    </w:p>
    <w:p>
      <w:pPr>
        <w:sectPr>
          <w:pgSz w:w="11900" w:h="16838" w:orient="portrait"/>
          <w:cols w:equalWidth="0" w:num="1">
            <w:col w:w="11080"/>
          </w:cols>
          <w:pgMar w:left="320" w:top="451" w:right="49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13 - PARTNERS’ CAPITAL AND MEZZANINE EQUITY (Continued)</w:t>
      </w:r>
    </w:p>
    <w:p>
      <w:pPr>
        <w:spacing w:after="0" w:line="1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Stock-Based Compensation — Mezzanine Equity</w:t>
      </w:r>
    </w:p>
    <w:p>
      <w:pPr>
        <w:spacing w:after="0" w:line="118" w:lineRule="exact"/>
        <w:rPr>
          <w:sz w:val="20"/>
          <w:szCs w:val="20"/>
          <w:color w:val="auto"/>
        </w:rPr>
      </w:pPr>
    </w:p>
    <w:p>
      <w:pPr>
        <w:ind w:left="160" w:right="20"/>
        <w:spacing w:after="0" w:line="270" w:lineRule="auto"/>
        <w:rPr>
          <w:sz w:val="20"/>
          <w:szCs w:val="20"/>
          <w:color w:val="auto"/>
        </w:rPr>
      </w:pPr>
      <w:r>
        <w:rPr>
          <w:rFonts w:ascii="Times New Roman" w:cs="Times New Roman" w:eastAsia="Times New Roman" w:hAnsi="Times New Roman"/>
          <w:sz w:val="17"/>
          <w:szCs w:val="17"/>
          <w:color w:val="auto"/>
        </w:rPr>
        <w:t>As discussed in “Note 12 — Stock-Based Compensation”, Class B and Class B CUPI mezzanine units (collectively the “Put Units”) include a put right. For the periods that management determined it was probable that the Participants’ units would become redeemable, the Put Units were initially measured based on the intrinsic value as determined on the grant date and subsequently remeasured to the intrinsic value as of each reporting period. During the three and nine months ended September 28, 2024, the Company recognized $15 and $52, respectively, as an adjustment to the pro rata portion of the Put Units which have vested. During the fourth quarter of 2024, management determined it was no longer probable that the Put Units would become redeemable, and, therefore, no changes in redemption value were recorded prospectively. The maturities related to the redemption feature are in accordance with the vesting terms discussed in “Note 12 — Stock-Based Compensation”, taking into account the five-year vesting period.</w:t>
      </w:r>
    </w:p>
    <w:p>
      <w:pPr>
        <w:spacing w:after="0" w:line="2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u w:val="single" w:color="auto"/>
          <w:color w:val="auto"/>
        </w:rPr>
        <w:t>Accumulated other comprehensive income</w:t>
      </w:r>
    </w:p>
    <w:p>
      <w:pPr>
        <w:spacing w:after="0" w:line="1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change in the balance of accumulated other comprehensive income (loss) by component and in total:</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8"/>
          </w:tcPr>
          <w:p>
            <w:pPr>
              <w:ind w:left="160"/>
              <w:spacing w:after="0"/>
              <w:rPr>
                <w:sz w:val="20"/>
                <w:szCs w:val="20"/>
                <w:color w:val="auto"/>
              </w:rPr>
            </w:pPr>
            <w:r>
              <w:rPr>
                <w:rFonts w:ascii="Times New Roman" w:cs="Times New Roman" w:eastAsia="Times New Roman" w:hAnsi="Times New Roman"/>
                <w:sz w:val="14"/>
                <w:szCs w:val="14"/>
                <w:color w:val="auto"/>
              </w:rPr>
              <w:t>Nine months ended September 27, 2025</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color w:val="auto"/>
              </w:rPr>
              <w:t>Unrealized gain</w:t>
            </w:r>
          </w:p>
        </w:tc>
        <w:tc>
          <w:tcPr>
            <w:tcW w:w="380" w:type="dxa"/>
            <w:vAlign w:val="bottom"/>
          </w:tcPr>
          <w:p>
            <w:pPr>
              <w:spacing w:after="0"/>
              <w:rPr>
                <w:sz w:val="10"/>
                <w:szCs w:val="10"/>
                <w:color w:val="auto"/>
              </w:rPr>
            </w:pPr>
          </w:p>
        </w:tc>
        <w:tc>
          <w:tcPr>
            <w:tcW w:w="1020" w:type="dxa"/>
            <w:vAlign w:val="bottom"/>
            <w:gridSpan w:val="3"/>
          </w:tcPr>
          <w:p>
            <w:pPr>
              <w:jc w:val="right"/>
              <w:ind w:right="420"/>
              <w:spacing w:after="0" w:line="118" w:lineRule="exact"/>
              <w:rPr>
                <w:sz w:val="20"/>
                <w:szCs w:val="20"/>
                <w:color w:val="auto"/>
              </w:rPr>
            </w:pPr>
            <w:r>
              <w:rPr>
                <w:rFonts w:ascii="Times New Roman" w:cs="Times New Roman" w:eastAsia="Times New Roman" w:hAnsi="Times New Roman"/>
                <w:sz w:val="13"/>
                <w:szCs w:val="13"/>
                <w:color w:val="auto"/>
              </w:rPr>
              <w:t>Currency</w:t>
            </w:r>
          </w:p>
        </w:tc>
        <w:tc>
          <w:tcPr>
            <w:tcW w:w="260" w:type="dxa"/>
            <w:vAlign w:val="bottom"/>
          </w:tcPr>
          <w:p>
            <w:pPr>
              <w:spacing w:after="0"/>
              <w:rPr>
                <w:sz w:val="10"/>
                <w:szCs w:val="10"/>
                <w:color w:val="auto"/>
              </w:rPr>
            </w:pPr>
          </w:p>
        </w:tc>
        <w:tc>
          <w:tcPr>
            <w:tcW w:w="100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color w:val="auto"/>
              </w:rPr>
              <w:t>Retirement</w:t>
            </w:r>
          </w:p>
        </w:tc>
        <w:tc>
          <w:tcPr>
            <w:tcW w:w="200" w:type="dxa"/>
            <w:vAlign w:val="bottom"/>
          </w:tcPr>
          <w:p>
            <w:pPr>
              <w:spacing w:after="0"/>
              <w:rPr>
                <w:sz w:val="10"/>
                <w:szCs w:val="10"/>
                <w:color w:val="auto"/>
              </w:rPr>
            </w:pPr>
          </w:p>
        </w:tc>
        <w:tc>
          <w:tcPr>
            <w:tcW w:w="11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Accumulated other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20" w:type="dxa"/>
            <w:vAlign w:val="bottom"/>
            <w:gridSpan w:val="3"/>
          </w:tcPr>
          <w:p>
            <w:pPr>
              <w:jc w:val="center"/>
              <w:ind w:right="220"/>
              <w:spacing w:after="0" w:line="147" w:lineRule="exact"/>
              <w:rPr>
                <w:sz w:val="20"/>
                <w:szCs w:val="20"/>
                <w:color w:val="auto"/>
              </w:rPr>
            </w:pPr>
            <w:r>
              <w:rPr>
                <w:rFonts w:ascii="Times New Roman" w:cs="Times New Roman" w:eastAsia="Times New Roman" w:hAnsi="Times New Roman"/>
                <w:sz w:val="14"/>
                <w:szCs w:val="14"/>
                <w:color w:val="auto"/>
              </w:rPr>
              <w:t>(loss) on derivative</w:t>
            </w:r>
          </w:p>
        </w:tc>
        <w:tc>
          <w:tcPr>
            <w:tcW w:w="380" w:type="dxa"/>
            <w:vAlign w:val="bottom"/>
          </w:tcPr>
          <w:p>
            <w:pPr>
              <w:spacing w:after="0"/>
              <w:rPr>
                <w:sz w:val="12"/>
                <w:szCs w:val="12"/>
                <w:color w:val="auto"/>
              </w:rPr>
            </w:pPr>
          </w:p>
        </w:tc>
        <w:tc>
          <w:tcPr>
            <w:tcW w:w="1020" w:type="dxa"/>
            <w:vAlign w:val="bottom"/>
            <w:gridSpan w:val="3"/>
          </w:tcPr>
          <w:p>
            <w:pPr>
              <w:jc w:val="right"/>
              <w:ind w:right="380"/>
              <w:spacing w:after="0" w:line="147" w:lineRule="exact"/>
              <w:rPr>
                <w:sz w:val="20"/>
                <w:szCs w:val="20"/>
                <w:color w:val="auto"/>
              </w:rPr>
            </w:pPr>
            <w:r>
              <w:rPr>
                <w:rFonts w:ascii="Times New Roman" w:cs="Times New Roman" w:eastAsia="Times New Roman" w:hAnsi="Times New Roman"/>
                <w:sz w:val="14"/>
                <w:szCs w:val="14"/>
                <w:color w:val="auto"/>
              </w:rPr>
              <w:t>translation</w:t>
            </w:r>
          </w:p>
        </w:tc>
        <w:tc>
          <w:tcPr>
            <w:tcW w:w="260" w:type="dxa"/>
            <w:vAlign w:val="bottom"/>
          </w:tcPr>
          <w:p>
            <w:pPr>
              <w:spacing w:after="0"/>
              <w:rPr>
                <w:sz w:val="12"/>
                <w:szCs w:val="12"/>
                <w:color w:val="auto"/>
              </w:rPr>
            </w:pPr>
          </w:p>
        </w:tc>
        <w:tc>
          <w:tcPr>
            <w:tcW w:w="1000" w:type="dxa"/>
            <w:vAlign w:val="bottom"/>
            <w:gridSpan w:val="3"/>
          </w:tcPr>
          <w:p>
            <w:pPr>
              <w:ind w:left="60"/>
              <w:spacing w:after="0" w:line="147" w:lineRule="exact"/>
              <w:rPr>
                <w:sz w:val="20"/>
                <w:szCs w:val="20"/>
                <w:color w:val="auto"/>
              </w:rPr>
            </w:pPr>
            <w:r>
              <w:rPr>
                <w:rFonts w:ascii="Times New Roman" w:cs="Times New Roman" w:eastAsia="Times New Roman" w:hAnsi="Times New Roman"/>
                <w:sz w:val="14"/>
                <w:szCs w:val="14"/>
                <w:color w:val="auto"/>
              </w:rPr>
              <w:t>plans, net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comprehensive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instruments</w:t>
            </w:r>
          </w:p>
        </w:tc>
        <w:tc>
          <w:tcPr>
            <w:tcW w:w="3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adjustments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of tax</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income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2025</w:t>
            </w: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w w:val="70"/>
              </w:rPr>
              <w:t>1</w:t>
            </w: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reclassified to earnings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other comprehensive (loss) income</w:t>
            </w: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60" w:type="dxa"/>
            <w:vAlign w:val="bottom"/>
            <w:gridSpan w:val="2"/>
            <w:vMerge w:val="continue"/>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88"/>
              </w:rPr>
              <w:t>— </w:t>
            </w:r>
          </w:p>
        </w:tc>
        <w:tc>
          <w:tcPr>
            <w:tcW w:w="3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29, 2025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6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reclassified to earnings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7"/>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other comprehensive (loss) income</w:t>
            </w:r>
          </w:p>
        </w:tc>
        <w:tc>
          <w:tcPr>
            <w:tcW w:w="7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88"/>
              </w:rPr>
              <w:t>— </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28, 2025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6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reclassified to earnings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7"/>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other comprehensive (loss) income</w:t>
            </w:r>
          </w:p>
        </w:tc>
        <w:tc>
          <w:tcPr>
            <w:tcW w:w="7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88"/>
              </w:rPr>
              <w:t>— </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27, 2025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54</w:t>
            </w:r>
          </w:p>
        </w:tc>
        <w:tc>
          <w:tcPr>
            <w:tcW w:w="6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(3)</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1</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F-81</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13 - PARTNERS’ CAPITAL AND MEZZANINE EQUITY (Continued)</w:t>
      </w:r>
    </w:p>
    <w:p>
      <w:pPr>
        <w:spacing w:after="0" w:line="12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8"/>
          </w:tcPr>
          <w:p>
            <w:pPr>
              <w:ind w:left="160"/>
              <w:spacing w:after="0"/>
              <w:rPr>
                <w:sz w:val="20"/>
                <w:szCs w:val="20"/>
                <w:color w:val="auto"/>
              </w:rPr>
            </w:pPr>
            <w:r>
              <w:rPr>
                <w:rFonts w:ascii="Times New Roman" w:cs="Times New Roman" w:eastAsia="Times New Roman" w:hAnsi="Times New Roman"/>
                <w:sz w:val="14"/>
                <w:szCs w:val="14"/>
                <w:color w:val="auto"/>
              </w:rPr>
              <w:t>Nine months ended September 28, 2024</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8"/>
        </w:trPr>
        <w:tc>
          <w:tcPr>
            <w:tcW w:w="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color w:val="auto"/>
              </w:rPr>
              <w:t>Unrealized gain</w:t>
            </w:r>
          </w:p>
        </w:tc>
        <w:tc>
          <w:tcPr>
            <w:tcW w:w="380" w:type="dxa"/>
            <w:vAlign w:val="bottom"/>
          </w:tcPr>
          <w:p>
            <w:pPr>
              <w:spacing w:after="0"/>
              <w:rPr>
                <w:sz w:val="10"/>
                <w:szCs w:val="10"/>
                <w:color w:val="auto"/>
              </w:rPr>
            </w:pPr>
          </w:p>
        </w:tc>
        <w:tc>
          <w:tcPr>
            <w:tcW w:w="1020" w:type="dxa"/>
            <w:vAlign w:val="bottom"/>
            <w:gridSpan w:val="3"/>
          </w:tcPr>
          <w:p>
            <w:pPr>
              <w:jc w:val="right"/>
              <w:ind w:right="420"/>
              <w:spacing w:after="0" w:line="118" w:lineRule="exact"/>
              <w:rPr>
                <w:sz w:val="20"/>
                <w:szCs w:val="20"/>
                <w:color w:val="auto"/>
              </w:rPr>
            </w:pPr>
            <w:r>
              <w:rPr>
                <w:rFonts w:ascii="Times New Roman" w:cs="Times New Roman" w:eastAsia="Times New Roman" w:hAnsi="Times New Roman"/>
                <w:sz w:val="13"/>
                <w:szCs w:val="13"/>
                <w:color w:val="auto"/>
              </w:rPr>
              <w:t>Currency</w:t>
            </w:r>
          </w:p>
        </w:tc>
        <w:tc>
          <w:tcPr>
            <w:tcW w:w="280" w:type="dxa"/>
            <w:vAlign w:val="bottom"/>
          </w:tcPr>
          <w:p>
            <w:pPr>
              <w:spacing w:after="0"/>
              <w:rPr>
                <w:sz w:val="10"/>
                <w:szCs w:val="10"/>
                <w:color w:val="auto"/>
              </w:rPr>
            </w:pPr>
          </w:p>
        </w:tc>
        <w:tc>
          <w:tcPr>
            <w:tcW w:w="9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color w:val="auto"/>
              </w:rPr>
              <w:t>Retirement</w:t>
            </w:r>
          </w:p>
        </w:tc>
        <w:tc>
          <w:tcPr>
            <w:tcW w:w="220" w:type="dxa"/>
            <w:vAlign w:val="bottom"/>
          </w:tcPr>
          <w:p>
            <w:pPr>
              <w:spacing w:after="0"/>
              <w:rPr>
                <w:sz w:val="10"/>
                <w:szCs w:val="10"/>
                <w:color w:val="auto"/>
              </w:rPr>
            </w:pPr>
          </w:p>
        </w:tc>
        <w:tc>
          <w:tcPr>
            <w:tcW w:w="11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Accumulated other</w:t>
            </w:r>
          </w:p>
        </w:tc>
        <w:tc>
          <w:tcPr>
            <w:tcW w:w="100" w:type="dxa"/>
            <w:vAlign w:val="bottom"/>
          </w:tcPr>
          <w:p>
            <w:pPr>
              <w:spacing w:after="0"/>
              <w:rPr>
                <w:sz w:val="10"/>
                <w:szCs w:val="10"/>
                <w:color w:val="auto"/>
              </w:rPr>
            </w:pPr>
          </w:p>
        </w:tc>
      </w:tr>
      <w:tr>
        <w:trPr>
          <w:trHeight w:val="147"/>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34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color w:val="auto"/>
              </w:rPr>
              <w:t>(loss) on derivative</w:t>
            </w:r>
          </w:p>
        </w:tc>
        <w:tc>
          <w:tcPr>
            <w:tcW w:w="380" w:type="dxa"/>
            <w:vAlign w:val="bottom"/>
          </w:tcPr>
          <w:p>
            <w:pPr>
              <w:spacing w:after="0"/>
              <w:rPr>
                <w:sz w:val="12"/>
                <w:szCs w:val="12"/>
                <w:color w:val="auto"/>
              </w:rPr>
            </w:pPr>
          </w:p>
        </w:tc>
        <w:tc>
          <w:tcPr>
            <w:tcW w:w="1020" w:type="dxa"/>
            <w:vAlign w:val="bottom"/>
            <w:gridSpan w:val="3"/>
          </w:tcPr>
          <w:p>
            <w:pPr>
              <w:jc w:val="right"/>
              <w:ind w:right="380"/>
              <w:spacing w:after="0" w:line="147" w:lineRule="exact"/>
              <w:rPr>
                <w:sz w:val="20"/>
                <w:szCs w:val="20"/>
                <w:color w:val="auto"/>
              </w:rPr>
            </w:pPr>
            <w:r>
              <w:rPr>
                <w:rFonts w:ascii="Times New Roman" w:cs="Times New Roman" w:eastAsia="Times New Roman" w:hAnsi="Times New Roman"/>
                <w:sz w:val="14"/>
                <w:szCs w:val="14"/>
                <w:color w:val="auto"/>
              </w:rPr>
              <w:t>translation</w:t>
            </w:r>
          </w:p>
        </w:tc>
        <w:tc>
          <w:tcPr>
            <w:tcW w:w="280" w:type="dxa"/>
            <w:vAlign w:val="bottom"/>
          </w:tcPr>
          <w:p>
            <w:pPr>
              <w:spacing w:after="0"/>
              <w:rPr>
                <w:sz w:val="12"/>
                <w:szCs w:val="12"/>
                <w:color w:val="auto"/>
              </w:rPr>
            </w:pPr>
          </w:p>
        </w:tc>
        <w:tc>
          <w:tcPr>
            <w:tcW w:w="980" w:type="dxa"/>
            <w:vAlign w:val="bottom"/>
            <w:gridSpan w:val="3"/>
          </w:tcPr>
          <w:p>
            <w:pPr>
              <w:ind w:left="40"/>
              <w:spacing w:after="0" w:line="147" w:lineRule="exact"/>
              <w:rPr>
                <w:sz w:val="20"/>
                <w:szCs w:val="20"/>
                <w:color w:val="auto"/>
              </w:rPr>
            </w:pPr>
            <w:r>
              <w:rPr>
                <w:rFonts w:ascii="Times New Roman" w:cs="Times New Roman" w:eastAsia="Times New Roman" w:hAnsi="Times New Roman"/>
                <w:sz w:val="14"/>
                <w:szCs w:val="14"/>
                <w:color w:val="auto"/>
              </w:rPr>
              <w:t>plans, net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comprehensive</w:t>
            </w:r>
          </w:p>
        </w:tc>
      </w:tr>
      <w:tr>
        <w:trPr>
          <w:trHeight w:val="170"/>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instruments</w:t>
            </w:r>
          </w:p>
        </w:tc>
        <w:tc>
          <w:tcPr>
            <w:tcW w:w="3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adjustments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of tax</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income</w:t>
            </w:r>
          </w:p>
        </w:tc>
      </w:tr>
      <w:tr>
        <w:trPr>
          <w:trHeight w:val="207"/>
        </w:trPr>
        <w:tc>
          <w:tcPr>
            <w:tcW w:w="2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2024</w:t>
            </w: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1</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r>
      <w:tr>
        <w:trPr>
          <w:trHeight w:val="214"/>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reclassified to earnings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27"/>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96"/>
              </w:rPr>
              <w:t>— </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30, 2024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237</w:t>
            </w: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r>
      <w:tr>
        <w:trPr>
          <w:trHeight w:val="214"/>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14"/>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reclassified to earnings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27"/>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other comprehensive loss</w:t>
            </w:r>
          </w:p>
        </w:tc>
        <w:tc>
          <w:tcPr>
            <w:tcW w:w="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96"/>
              </w:rPr>
              <w:t>— </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29, 2024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216</w:t>
            </w: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r>
      <w:tr>
        <w:trPr>
          <w:trHeight w:val="214"/>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r>
      <w:tr>
        <w:trPr>
          <w:trHeight w:val="214"/>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reclassified to earnings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27"/>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other comprehensive (loss) income</w:t>
            </w:r>
          </w:p>
        </w:tc>
        <w:tc>
          <w:tcPr>
            <w:tcW w:w="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96"/>
              </w:rPr>
              <w:t>— </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28, 2024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104</w:t>
            </w: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4"/>
              </w:rPr>
              <w:t>   (50)</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1</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55</w:t>
            </w: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See “Note 11—Derivatives and Hedging Activities Risk Management” for additional information regarding hedging activity.</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14 - RELATED PARTY</w:t>
      </w:r>
    </w:p>
    <w:p>
      <w:pPr>
        <w:spacing w:after="0" w:line="118" w:lineRule="exact"/>
        <w:rPr>
          <w:sz w:val="20"/>
          <w:szCs w:val="20"/>
          <w:color w:val="auto"/>
        </w:rPr>
      </w:pPr>
    </w:p>
    <w:p>
      <w:pPr>
        <w:ind w:left="160" w:right="420"/>
        <w:spacing w:after="0" w:line="255" w:lineRule="auto"/>
        <w:rPr>
          <w:sz w:val="20"/>
          <w:szCs w:val="20"/>
          <w:color w:val="auto"/>
        </w:rPr>
      </w:pPr>
      <w:r>
        <w:rPr>
          <w:rFonts w:ascii="Times New Roman" w:cs="Times New Roman" w:eastAsia="Times New Roman" w:hAnsi="Times New Roman"/>
          <w:sz w:val="18"/>
          <w:szCs w:val="18"/>
          <w:color w:val="auto"/>
        </w:rPr>
        <w:t>As of September 27, 2025, certain affiliates of the Sponsors held a portion of the Company’s long-term debt including $3 and $431 reported in the current portion of long-term borrowings and other short-term borrowings and long-term borrowings, less current portion, respectively. As of December 31, 2024, certain related parties held a portion of the Company’s long-term debt including $3 and $450 reported in the current portion of long-term borrowings and other short-term borrowings and long-term borrowings, less current portion, respectively. The terms of these loans are identical to all other term loans issued and notes issued.</w:t>
      </w:r>
    </w:p>
    <w:p>
      <w:pPr>
        <w:spacing w:after="0" w:line="184" w:lineRule="exact"/>
        <w:rPr>
          <w:sz w:val="20"/>
          <w:szCs w:val="20"/>
          <w:color w:val="auto"/>
        </w:rPr>
      </w:pPr>
    </w:p>
    <w:p>
      <w:pPr>
        <w:ind w:left="160" w:right="100"/>
        <w:spacing w:after="0" w:line="278" w:lineRule="auto"/>
        <w:rPr>
          <w:sz w:val="20"/>
          <w:szCs w:val="20"/>
          <w:color w:val="auto"/>
        </w:rPr>
      </w:pPr>
      <w:r>
        <w:rPr>
          <w:rFonts w:ascii="Times New Roman" w:cs="Times New Roman" w:eastAsia="Times New Roman" w:hAnsi="Times New Roman"/>
          <w:sz w:val="18"/>
          <w:szCs w:val="18"/>
          <w:color w:val="auto"/>
        </w:rPr>
        <w:t>See “Note 6 — Credit Agreements and Borrowings” for additional information on the long-term debt. There have been no other significant transactions with related parties during the periods presented.</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15 - SEGMENT INFORMATION</w:t>
      </w:r>
    </w:p>
    <w:p>
      <w:pPr>
        <w:spacing w:after="0" w:line="118" w:lineRule="exact"/>
        <w:rPr>
          <w:sz w:val="20"/>
          <w:szCs w:val="20"/>
          <w:color w:val="auto"/>
        </w:rPr>
      </w:pPr>
    </w:p>
    <w:p>
      <w:pPr>
        <w:ind w:left="160"/>
        <w:spacing w:after="0" w:line="254" w:lineRule="auto"/>
        <w:rPr>
          <w:sz w:val="20"/>
          <w:szCs w:val="20"/>
          <w:color w:val="auto"/>
        </w:rPr>
      </w:pPr>
      <w:r>
        <w:rPr>
          <w:rFonts w:ascii="Times New Roman" w:cs="Times New Roman" w:eastAsia="Times New Roman" w:hAnsi="Times New Roman"/>
          <w:sz w:val="18"/>
          <w:szCs w:val="18"/>
          <w:color w:val="auto"/>
        </w:rPr>
        <w:t>The Company discloses information regarding reportable segments based on the way management organizes the business for assessing performance and making operational decisions and allocating resources. The Company reports its financial results in two reportable segments: Medline Brand and Supply Chain Solutions. The organizational structure also includes Corporate &amp; Other which consists of expenses related to centralized corporate functions, such as finance, information technology, legal, human resources, and internal audit. The Medline Brand segment procures and manufactures products from three product categories — Surgical Solutions, Front Line Care, and Laboratory &amp; Diagnostics. This segment provides its products to domestic and international</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F-82</w:t>
      </w:r>
    </w:p>
    <w:p>
      <w:pPr>
        <w:sectPr>
          <w:pgSz w:w="11900" w:h="16838" w:orient="portrait"/>
          <w:cols w:equalWidth="0" w:num="1">
            <w:col w:w="11080"/>
          </w:cols>
          <w:pgMar w:left="320" w:top="451" w:right="49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15 - SEGMENT INFORMATION (Continued)</w:t>
      </w:r>
    </w:p>
    <w:p>
      <w:pPr>
        <w:spacing w:after="0" w:line="131" w:lineRule="exact"/>
        <w:rPr>
          <w:sz w:val="20"/>
          <w:szCs w:val="20"/>
          <w:color w:val="auto"/>
        </w:rPr>
      </w:pPr>
    </w:p>
    <w:p>
      <w:pPr>
        <w:ind w:left="160"/>
        <w:spacing w:after="0" w:line="254" w:lineRule="auto"/>
        <w:rPr>
          <w:sz w:val="20"/>
          <w:szCs w:val="20"/>
          <w:color w:val="auto"/>
        </w:rPr>
      </w:pPr>
      <w:r>
        <w:rPr>
          <w:rFonts w:ascii="Times New Roman" w:cs="Times New Roman" w:eastAsia="Times New Roman" w:hAnsi="Times New Roman"/>
          <w:sz w:val="18"/>
          <w:szCs w:val="18"/>
          <w:color w:val="auto"/>
        </w:rPr>
        <w:t>consumers. The Supply Chain Solutions segment procures and distributes a variety of third-party products from national brands and also provides tailored logistics and supply chain optimization services to domestic and international consumers. Supply Chain Solutions is not managed based upon product categories as its focus is on signing new prime vendor relationships and servicing customers by leveraging strong third-party supplier relationships and through its fulfillment and distribution capabilities. As a distributor of products from over 1,250 third-party suppliers, the Company sells products across a large number of product groups to the entire continuum of care and, as a result, it is impracticable to provide segment information at the product group level for Supply Chain Solutions.</w:t>
      </w:r>
    </w:p>
    <w:p>
      <w:pPr>
        <w:spacing w:after="0" w:line="184" w:lineRule="exact"/>
        <w:rPr>
          <w:sz w:val="20"/>
          <w:szCs w:val="20"/>
          <w:color w:val="auto"/>
        </w:rPr>
      </w:pPr>
    </w:p>
    <w:p>
      <w:pPr>
        <w:ind w:left="160"/>
        <w:spacing w:after="0" w:line="250" w:lineRule="auto"/>
        <w:rPr>
          <w:sz w:val="20"/>
          <w:szCs w:val="20"/>
          <w:color w:val="auto"/>
        </w:rPr>
      </w:pPr>
      <w:r>
        <w:rPr>
          <w:rFonts w:ascii="Times New Roman" w:cs="Times New Roman" w:eastAsia="Times New Roman" w:hAnsi="Times New Roman"/>
          <w:sz w:val="18"/>
          <w:szCs w:val="18"/>
          <w:color w:val="auto"/>
        </w:rPr>
        <w:t>The Company’s chief operating decision maker (“CODM”) is the Company’s Chief Executive Officer. For the Medline Brand and Supply Chain Solutions segments, the CODM uses segment adjusted earnings before interest, taxes, depreciation and amortization (“Segment Adjusted EBITDA”) to evaluate the business performance and allocate resources (including employees, financial, or capital resources) to each segment. Segment Adjusted EBITDA essentially represents segment net sales reduced by cost of goods sold and selling, general and administrative expenses and is considered a meaningful measure of our financial condition and results of operations across periods by removing the impact of items that management believes do not directly reflect the ongoing operating performance. The Segment Adjusted EBITDA is utilized during the budgeting and forecasting process to assess profitability and enable decision making regarding strategic initiatives, capital expenditures, and work force for both segments. The Company’s CODM does not regularly review any asset information by business segment as this information is not utilized to make decisions and allocate resources. As such, the Company does not report asset information by business segment. The Company has not identified any segment expenses that are considered significant and segment expenses are not regularly provided to the CODM. However, the CODM is regularly provided with consolidated expense information for decision making. Other segment items are direct operating expenses and selling, general and administrative expenses, which are the difference between each operating segment’s revenue and Segment Adjusted EBITDA. During 2024, the Company transitioned its operations to align around its two primary product lines, Medline Brand and Supply Chain Solutions. This change became effective in 2024. As a result, all segment information in these condensed consolidated financial statements has been retrospectively recast to reflect this change. All the segment data disclosed reflects the way the CODM internally receives information and monitors the segment performance and is consistently presented across all public communications.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F-83</w:t>
      </w:r>
    </w:p>
    <w:p>
      <w:pPr>
        <w:sectPr>
          <w:pgSz w:w="11900" w:h="16838" w:orient="portrait"/>
          <w:cols w:equalWidth="0" w:num="1">
            <w:col w:w="11060"/>
          </w:cols>
          <w:pgMar w:left="320" w:top="451" w:right="51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15 - SEGMENT INFORMATION (Continued)</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tables present financial information by segment:</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color w:val="auto"/>
              </w:rPr>
              <w:t>Three months ended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18"/>
        </w:trPr>
        <w:tc>
          <w:tcPr>
            <w:tcW w:w="2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color w:val="auto"/>
              </w:rPr>
              <w:t>September 27,</w:t>
            </w:r>
          </w:p>
        </w:tc>
        <w:tc>
          <w:tcPr>
            <w:tcW w:w="84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color w:val="auto"/>
              </w:rPr>
              <w:t>September 28,</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color w:val="auto"/>
              </w:rPr>
              <w:t>September 27,</w:t>
            </w:r>
          </w:p>
        </w:tc>
        <w:tc>
          <w:tcPr>
            <w:tcW w:w="8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color w:val="auto"/>
              </w:rPr>
              <w:t>September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1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color w:val="auto"/>
              </w:rPr>
              <w:t>2025</w:t>
            </w: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2024</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color w:val="auto"/>
              </w:rPr>
              <w:t>2025</w:t>
            </w: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420" w:type="dxa"/>
            <w:vAlign w:val="bottom"/>
            <w:tcBorders>
              <w:bottom w:val="single" w:sz="8" w:color="auto"/>
            </w:tcBorders>
            <w:gridSpan w:val="2"/>
            <w:shd w:val="clear" w:color="auto" w:fill="CCEEFF"/>
          </w:tcPr>
          <w:p>
            <w:pPr>
              <w:spacing w:after="0" w:line="154" w:lineRule="exact"/>
              <w:rPr>
                <w:sz w:val="20"/>
                <w:szCs w:val="20"/>
                <w:color w:val="auto"/>
              </w:rPr>
            </w:pPr>
            <w:r>
              <w:rPr>
                <w:rFonts w:ascii="Times New Roman" w:cs="Times New Roman" w:eastAsia="Times New Roman" w:hAnsi="Times New Roman"/>
                <w:sz w:val="17"/>
                <w:szCs w:val="17"/>
                <w:b w:val="1"/>
                <w:bCs w:val="1"/>
                <w:color w:val="auto"/>
              </w:rPr>
              <w:t>Net sales to external customers:</w:t>
            </w:r>
          </w:p>
        </w:tc>
        <w:tc>
          <w:tcPr>
            <w:tcW w:w="25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9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Front Line Care</w:t>
            </w:r>
          </w:p>
        </w:tc>
        <w:tc>
          <w:tcPr>
            <w:tcW w:w="10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5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1,522</w:t>
            </w: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5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4,505</w:t>
            </w:r>
          </w:p>
        </w:tc>
        <w:tc>
          <w:tcPr>
            <w:tcW w:w="0" w:type="dxa"/>
            <w:vAlign w:val="bottom"/>
          </w:tcPr>
          <w:p>
            <w:pPr>
              <w:spacing w:after="0"/>
              <w:rPr>
                <w:sz w:val="1"/>
                <w:szCs w:val="1"/>
                <w:color w:val="auto"/>
              </w:rPr>
            </w:pPr>
          </w:p>
        </w:tc>
      </w:tr>
      <w:tr>
        <w:trPr>
          <w:trHeight w:val="214"/>
        </w:trPr>
        <w:tc>
          <w:tcPr>
            <w:tcW w:w="496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Surgical Solutions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1,374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3,982</w:t>
            </w:r>
          </w:p>
        </w:tc>
        <w:tc>
          <w:tcPr>
            <w:tcW w:w="0" w:type="dxa"/>
            <w:vAlign w:val="bottom"/>
          </w:tcPr>
          <w:p>
            <w:pPr>
              <w:spacing w:after="0"/>
              <w:rPr>
                <w:sz w:val="1"/>
                <w:szCs w:val="1"/>
                <w:color w:val="auto"/>
              </w:rPr>
            </w:pPr>
          </w:p>
        </w:tc>
      </w:tr>
      <w:tr>
        <w:trPr>
          <w:trHeight w:val="214"/>
        </w:trPr>
        <w:tc>
          <w:tcPr>
            <w:tcW w:w="49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Laboratory and Diagnostics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239</w:t>
            </w:r>
          </w:p>
        </w:tc>
        <w:tc>
          <w:tcPr>
            <w:tcW w:w="1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751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9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Medline Brand</w:t>
            </w:r>
          </w:p>
        </w:tc>
        <w:tc>
          <w:tcPr>
            <w:tcW w:w="10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3,411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3,123</w:t>
            </w: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9,186</w:t>
            </w:r>
          </w:p>
        </w:tc>
        <w:tc>
          <w:tcPr>
            <w:tcW w:w="0" w:type="dxa"/>
            <w:vAlign w:val="bottom"/>
          </w:tcPr>
          <w:p>
            <w:pPr>
              <w:spacing w:after="0"/>
              <w:rPr>
                <w:sz w:val="1"/>
                <w:szCs w:val="1"/>
                <w:color w:val="auto"/>
              </w:rPr>
            </w:pPr>
          </w:p>
        </w:tc>
      </w:tr>
      <w:tr>
        <w:trPr>
          <w:trHeight w:val="221"/>
        </w:trPr>
        <w:tc>
          <w:tcPr>
            <w:tcW w:w="49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Supply Chain Solutions</w:t>
            </w:r>
          </w:p>
        </w:tc>
        <w:tc>
          <w:tcPr>
            <w:tcW w:w="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10,648</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96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Consolidated net sales to external customers</w:t>
            </w:r>
          </w:p>
        </w:tc>
        <w:tc>
          <w:tcPr>
            <w:tcW w:w="10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7,115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6,388</w:t>
            </w: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20,645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18,723</w:t>
            </w: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Segment Adjusted EBITDA:</w:t>
            </w: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960" w:type="dxa"/>
            <w:vAlign w:val="bottom"/>
            <w:gridSpan w:val="3"/>
            <w:vMerge w:val="continue"/>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9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Medline Brand</w:t>
            </w:r>
          </w:p>
        </w:tc>
        <w:tc>
          <w:tcPr>
            <w:tcW w:w="10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821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850</w:t>
            </w: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2,445</w:t>
            </w:r>
          </w:p>
        </w:tc>
        <w:tc>
          <w:tcPr>
            <w:tcW w:w="0" w:type="dxa"/>
            <w:vAlign w:val="bottom"/>
          </w:tcPr>
          <w:p>
            <w:pPr>
              <w:spacing w:after="0"/>
              <w:rPr>
                <w:sz w:val="1"/>
                <w:szCs w:val="1"/>
                <w:color w:val="auto"/>
              </w:rPr>
            </w:pPr>
          </w:p>
        </w:tc>
      </w:tr>
      <w:tr>
        <w:trPr>
          <w:trHeight w:val="221"/>
        </w:trPr>
        <w:tc>
          <w:tcPr>
            <w:tcW w:w="49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Supply Chain Solutions</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205</w:t>
            </w:r>
          </w:p>
        </w:tc>
        <w:tc>
          <w:tcPr>
            <w:tcW w:w="18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588</w:t>
            </w:r>
          </w:p>
        </w:tc>
        <w:tc>
          <w:tcPr>
            <w:tcW w:w="1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14"/>
        </w:trPr>
        <w:tc>
          <w:tcPr>
            <w:tcW w:w="496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9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Corporate &amp; Other</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9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(213)</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(646)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14"/>
        </w:trPr>
        <w:tc>
          <w:tcPr>
            <w:tcW w:w="49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(253)</w:t>
            </w: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(750)</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14"/>
        </w:trPr>
        <w:tc>
          <w:tcPr>
            <w:tcW w:w="49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Inventory-related adjustments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4"/>
        </w:trPr>
        <w:tc>
          <w:tcPr>
            <w:tcW w:w="49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4"/>
        </w:trPr>
        <w:tc>
          <w:tcPr>
            <w:tcW w:w="49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Litigation (charges) gains, net</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4"/>
        </w:trPr>
        <w:tc>
          <w:tcPr>
            <w:tcW w:w="4960" w:type="dxa"/>
            <w:vAlign w:val="bottom"/>
            <w:gridSpan w:val="3"/>
          </w:tcPr>
          <w:p>
            <w:pPr>
              <w:ind w:left="360"/>
              <w:spacing w:after="0" w:line="214" w:lineRule="exact"/>
              <w:rPr>
                <w:sz w:val="20"/>
                <w:szCs w:val="20"/>
                <w:color w:val="auto"/>
              </w:rPr>
            </w:pPr>
            <w:r>
              <w:rPr>
                <w:rFonts w:ascii="Times New Roman" w:cs="Times New Roman" w:eastAsia="Times New Roman" w:hAnsi="Times New Roman"/>
                <w:sz w:val="17"/>
                <w:szCs w:val="17"/>
                <w:color w:val="auto"/>
              </w:rPr>
              <w:t xml:space="preserve">Other non-core charges, net </w:t>
            </w:r>
            <w:r>
              <w:rPr>
                <w:rFonts w:ascii="Times New Roman" w:cs="Times New Roman" w:eastAsia="Times New Roman" w:hAnsi="Times New Roman"/>
                <w:sz w:val="24"/>
                <w:szCs w:val="24"/>
                <w:color w:val="auto"/>
                <w:vertAlign w:val="superscript"/>
              </w:rPr>
              <w:t>(a)</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(181)</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96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0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345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338</w:t>
            </w: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600" w:right="100" w:hanging="433"/>
        <w:spacing w:after="0" w:line="218" w:lineRule="auto"/>
        <w:tabs>
          <w:tab w:leader="none" w:pos="600" w:val="left"/>
        </w:tabs>
        <w:numPr>
          <w:ilvl w:val="0"/>
          <w:numId w:val="18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loss on debt extinguishment and other refinancing costs and fees, credit loss expense related to customer bankruptcies, costs incurred in contemplation of a potential offering of company shares, acquisition and integration related costs, loss on disposals of assets and exits, realized and unrealized foreign currency and investment losses and costs and other items.</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tables present information by sales office and geographic area:</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color w:val="auto"/>
              </w:rPr>
              <w:t>Three months ended</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18"/>
        </w:trPr>
        <w:tc>
          <w:tcPr>
            <w:tcW w:w="2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3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color w:val="auto"/>
              </w:rPr>
              <w:t>September 27,</w:t>
            </w:r>
          </w:p>
        </w:tc>
        <w:tc>
          <w:tcPr>
            <w:tcW w:w="8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color w:val="auto"/>
              </w:rPr>
              <w:t>September 28,</w:t>
            </w: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color w:val="auto"/>
              </w:rPr>
              <w:t>September 27,</w:t>
            </w:r>
          </w:p>
        </w:tc>
        <w:tc>
          <w:tcPr>
            <w:tcW w:w="2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color w:val="auto"/>
              </w:rPr>
              <w:t>September 28,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60" w:type="dxa"/>
            <w:vAlign w:val="bottom"/>
            <w:tcBorders>
              <w:bottom w:val="single" w:sz="8" w:color="CCEEFF"/>
            </w:tcBorders>
          </w:tcPr>
          <w:p>
            <w:pPr>
              <w:spacing w:after="0"/>
              <w:rPr>
                <w:sz w:val="14"/>
                <w:szCs w:val="14"/>
                <w:color w:val="auto"/>
              </w:rPr>
            </w:pPr>
          </w:p>
        </w:tc>
        <w:tc>
          <w:tcPr>
            <w:tcW w:w="2160" w:type="dxa"/>
            <w:vAlign w:val="bottom"/>
            <w:tcBorders>
              <w:bottom w:val="single" w:sz="8" w:color="CCEEFF"/>
            </w:tcBorders>
          </w:tcPr>
          <w:p>
            <w:pPr>
              <w:spacing w:after="0"/>
              <w:rPr>
                <w:sz w:val="14"/>
                <w:szCs w:val="14"/>
                <w:color w:val="auto"/>
              </w:rPr>
            </w:pPr>
          </w:p>
        </w:tc>
        <w:tc>
          <w:tcPr>
            <w:tcW w:w="208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color w:val="auto"/>
              </w:rPr>
              <w:t>2025</w:t>
            </w:r>
          </w:p>
        </w:tc>
        <w:tc>
          <w:tcPr>
            <w:tcW w:w="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2024</w:t>
            </w: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color w:val="auto"/>
              </w:rPr>
              <w:t>2025</w:t>
            </w: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2024</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420" w:type="dxa"/>
            <w:vAlign w:val="bottom"/>
            <w:tcBorders>
              <w:bottom w:val="single" w:sz="8" w:color="auto"/>
            </w:tcBorders>
            <w:gridSpan w:val="2"/>
            <w:shd w:val="clear" w:color="auto" w:fill="CCEEFF"/>
          </w:tcPr>
          <w:p>
            <w:pPr>
              <w:spacing w:after="0" w:line="154" w:lineRule="exact"/>
              <w:rPr>
                <w:sz w:val="20"/>
                <w:szCs w:val="20"/>
                <w:color w:val="auto"/>
              </w:rPr>
            </w:pPr>
            <w:r>
              <w:rPr>
                <w:rFonts w:ascii="Times New Roman" w:cs="Times New Roman" w:eastAsia="Times New Roman" w:hAnsi="Times New Roman"/>
                <w:sz w:val="17"/>
                <w:szCs w:val="17"/>
                <w:b w:val="1"/>
                <w:bCs w:val="1"/>
                <w:color w:val="auto"/>
              </w:rPr>
              <w:t>Net sales to external customers:</w:t>
            </w:r>
          </w:p>
        </w:tc>
        <w:tc>
          <w:tcPr>
            <w:tcW w:w="20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4240" w:type="dxa"/>
            <w:vAlign w:val="bottom"/>
            <w:gridSpan w:val="2"/>
          </w:tcPr>
          <w:p>
            <w:pPr>
              <w:ind w:left="100"/>
              <w:spacing w:after="0" w:line="214" w:lineRule="exact"/>
              <w:rPr>
                <w:sz w:val="20"/>
                <w:szCs w:val="20"/>
                <w:color w:val="auto"/>
              </w:rPr>
            </w:pPr>
            <w:r>
              <w:rPr>
                <w:rFonts w:ascii="Times New Roman" w:cs="Times New Roman" w:eastAsia="Times New Roman" w:hAnsi="Times New Roman"/>
                <w:sz w:val="17"/>
                <w:szCs w:val="17"/>
                <w:color w:val="auto"/>
              </w:rPr>
              <w:t xml:space="preserve">Acute care </w:t>
            </w:r>
            <w:r>
              <w:rPr>
                <w:rFonts w:ascii="Times New Roman" w:cs="Times New Roman" w:eastAsia="Times New Roman" w:hAnsi="Times New Roman"/>
                <w:sz w:val="24"/>
                <w:szCs w:val="24"/>
                <w:color w:val="auto"/>
                <w:vertAlign w:val="superscript"/>
              </w:rPr>
              <w:t>(a)</w:t>
            </w:r>
          </w:p>
        </w:tc>
        <w:tc>
          <w:tcPr>
            <w:tcW w:w="166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4,880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4,375</w:t>
            </w: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14,168</w:t>
            </w: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12,891</w:t>
            </w:r>
          </w:p>
        </w:tc>
        <w:tc>
          <w:tcPr>
            <w:tcW w:w="0" w:type="dxa"/>
            <w:vAlign w:val="bottom"/>
          </w:tcPr>
          <w:p>
            <w:pPr>
              <w:spacing w:after="0"/>
              <w:rPr>
                <w:sz w:val="1"/>
                <w:szCs w:val="1"/>
                <w:color w:val="auto"/>
              </w:rPr>
            </w:pPr>
          </w:p>
        </w:tc>
      </w:tr>
      <w:tr>
        <w:trPr>
          <w:trHeight w:val="214"/>
        </w:trPr>
        <w:tc>
          <w:tcPr>
            <w:tcW w:w="26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100"/>
              <w:spacing w:after="0" w:line="214" w:lineRule="exact"/>
              <w:rPr>
                <w:sz w:val="20"/>
                <w:szCs w:val="20"/>
                <w:color w:val="auto"/>
              </w:rPr>
            </w:pPr>
            <w:r>
              <w:rPr>
                <w:rFonts w:ascii="Times New Roman" w:cs="Times New Roman" w:eastAsia="Times New Roman" w:hAnsi="Times New Roman"/>
                <w:sz w:val="17"/>
                <w:szCs w:val="17"/>
                <w:color w:val="auto"/>
              </w:rPr>
              <w:t xml:space="preserve">Non-Acute care </w:t>
            </w:r>
            <w:r>
              <w:rPr>
                <w:rFonts w:ascii="Times New Roman" w:cs="Times New Roman" w:eastAsia="Times New Roman" w:hAnsi="Times New Roman"/>
                <w:sz w:val="24"/>
                <w:szCs w:val="24"/>
                <w:color w:val="auto"/>
                <w:vertAlign w:val="superscript"/>
              </w:rPr>
              <w:t>(b)</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1,756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1,581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5,061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60" w:type="dxa"/>
            <w:vAlign w:val="bottom"/>
          </w:tcPr>
          <w:p>
            <w:pPr>
              <w:spacing w:after="0"/>
              <w:rPr>
                <w:sz w:val="19"/>
                <w:szCs w:val="19"/>
                <w:color w:val="auto"/>
              </w:rPr>
            </w:pPr>
          </w:p>
        </w:tc>
        <w:tc>
          <w:tcPr>
            <w:tcW w:w="42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United States</w:t>
            </w:r>
          </w:p>
        </w:tc>
        <w:tc>
          <w:tcPr>
            <w:tcW w:w="1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6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International</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479</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1,416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 net sales to external customers</w:t>
            </w:r>
          </w:p>
        </w:tc>
        <w:tc>
          <w:tcPr>
            <w:tcW w:w="1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(a)</w:t>
            </w:r>
          </w:p>
        </w:tc>
        <w:tc>
          <w:tcPr>
            <w:tcW w:w="4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Acute care represents hospital health systems.</w:t>
            </w:r>
          </w:p>
        </w:tc>
        <w:tc>
          <w:tcPr>
            <w:tcW w:w="1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260" w:type="dxa"/>
            <w:vAlign w:val="bottom"/>
            <w:vMerge w:val="continue"/>
          </w:tcPr>
          <w:p>
            <w:pPr>
              <w:spacing w:after="0"/>
              <w:rPr>
                <w:sz w:val="24"/>
                <w:szCs w:val="24"/>
                <w:color w:val="auto"/>
              </w:rPr>
            </w:pPr>
          </w:p>
        </w:tc>
        <w:tc>
          <w:tcPr>
            <w:tcW w:w="424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F-84</w:t>
            </w: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MEDLINE HOLDINGS, LP AND SUBSIDIARIES</w:t>
      </w:r>
    </w:p>
    <w:p>
      <w:pPr>
        <w:spacing w:after="0" w:line="2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15 - SEGMENT INFORMATION (Continued)</w:t>
      </w:r>
    </w:p>
    <w:p>
      <w:pPr>
        <w:spacing w:after="0" w:line="54" w:lineRule="exact"/>
        <w:rPr>
          <w:sz w:val="20"/>
          <w:szCs w:val="20"/>
          <w:color w:val="auto"/>
        </w:rPr>
      </w:pPr>
    </w:p>
    <w:p>
      <w:pPr>
        <w:ind w:left="600" w:hanging="433"/>
        <w:spacing w:after="0"/>
        <w:tabs>
          <w:tab w:leader="none" w:pos="600" w:val="left"/>
        </w:tabs>
        <w:numPr>
          <w:ilvl w:val="0"/>
          <w:numId w:val="18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Non-Acute care represents other sites of care including outpatient, post acute, physician’s office, surgery centers, and all other.</w:t>
      </w:r>
    </w:p>
    <w:p>
      <w:pPr>
        <w:spacing w:after="0" w:line="204"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5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September 27,</w:t>
            </w: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r>
      <w:tr>
        <w:trPr>
          <w:trHeight w:val="170"/>
        </w:trPr>
        <w:tc>
          <w:tcPr>
            <w:tcW w:w="2940" w:type="dxa"/>
            <w:vAlign w:val="bottom"/>
            <w:tcBorders>
              <w:bottom w:val="single" w:sz="8" w:color="CCEEFF"/>
            </w:tcBorders>
          </w:tcPr>
          <w:p>
            <w:pPr>
              <w:spacing w:after="0"/>
              <w:rPr>
                <w:sz w:val="14"/>
                <w:szCs w:val="14"/>
                <w:color w:val="auto"/>
              </w:rPr>
            </w:pPr>
          </w:p>
        </w:tc>
        <w:tc>
          <w:tcPr>
            <w:tcW w:w="29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2025</w:t>
            </w:r>
          </w:p>
        </w:tc>
        <w:tc>
          <w:tcPr>
            <w:tcW w:w="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2024</w:t>
            </w:r>
          </w:p>
        </w:tc>
        <w:tc>
          <w:tcPr>
            <w:tcW w:w="40" w:type="dxa"/>
            <w:vAlign w:val="bottom"/>
            <w:tcBorders>
              <w:bottom w:val="single" w:sz="8" w:color="CCEEFF"/>
            </w:tcBorders>
          </w:tcPr>
          <w:p>
            <w:pPr>
              <w:spacing w:after="0"/>
              <w:rPr>
                <w:sz w:val="14"/>
                <w:szCs w:val="14"/>
                <w:color w:val="auto"/>
              </w:rPr>
            </w:pPr>
          </w:p>
        </w:tc>
      </w:tr>
      <w:tr>
        <w:trPr>
          <w:trHeight w:val="174"/>
        </w:trPr>
        <w:tc>
          <w:tcPr>
            <w:tcW w:w="590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3"/>
                <w:szCs w:val="13"/>
                <w:b w:val="1"/>
                <w:bCs w:val="1"/>
                <w:color w:val="auto"/>
              </w:rPr>
              <w:t>Long-lived assets by geographical area</w:t>
            </w:r>
            <w:r>
              <w:rPr>
                <w:rFonts w:ascii="Times New Roman" w:cs="Times New Roman" w:eastAsia="Times New Roman" w:hAnsi="Times New Roman"/>
                <w:sz w:val="17"/>
                <w:szCs w:val="17"/>
                <w:b w:val="1"/>
                <w:bCs w:val="1"/>
                <w:color w:val="auto"/>
                <w:vertAlign w:val="superscript"/>
              </w:rPr>
              <w:t>(a)</w:t>
            </w: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14"/>
        </w:trPr>
        <w:tc>
          <w:tcPr>
            <w:tcW w:w="29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29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4,393</w:t>
            </w:r>
          </w:p>
        </w:tc>
        <w:tc>
          <w:tcPr>
            <w:tcW w:w="7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4,329</w:t>
            </w:r>
          </w:p>
        </w:tc>
      </w:tr>
      <w:tr>
        <w:trPr>
          <w:trHeight w:val="214"/>
        </w:trPr>
        <w:tc>
          <w:tcPr>
            <w:tcW w:w="5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742</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650</w:t>
            </w:r>
          </w:p>
        </w:tc>
      </w:tr>
      <w:tr>
        <w:trPr>
          <w:trHeight w:val="221"/>
        </w:trPr>
        <w:tc>
          <w:tcPr>
            <w:tcW w:w="590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Consolidated long-lived assets, net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40" w:type="dxa"/>
            <w:vAlign w:val="bottom"/>
          </w:tcPr>
          <w:p>
            <w:pPr>
              <w:spacing w:after="0"/>
              <w:rPr>
                <w:sz w:val="19"/>
                <w:szCs w:val="19"/>
                <w:color w:val="auto"/>
              </w:rPr>
            </w:pPr>
          </w:p>
        </w:tc>
      </w:tr>
      <w:tr>
        <w:trPr>
          <w:trHeight w:val="20"/>
        </w:trPr>
        <w:tc>
          <w:tcPr>
            <w:tcW w:w="29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58" w:lineRule="exact"/>
        <w:rPr>
          <w:sz w:val="20"/>
          <w:szCs w:val="20"/>
          <w:color w:val="auto"/>
        </w:rPr>
      </w:pPr>
    </w:p>
    <w:p>
      <w:pPr>
        <w:ind w:left="600" w:hanging="433"/>
        <w:spacing w:after="0"/>
        <w:tabs>
          <w:tab w:leader="none" w:pos="600" w:val="left"/>
        </w:tabs>
        <w:numPr>
          <w:ilvl w:val="0"/>
          <w:numId w:val="18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property, plant, and equipment, net, and operating lease right-of-use assets.</w:t>
      </w:r>
    </w:p>
    <w:p>
      <w:pPr>
        <w:spacing w:after="0" w:line="2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 16 - SUBSEQUENT EVENTS</w:t>
      </w:r>
    </w:p>
    <w:p>
      <w:pPr>
        <w:spacing w:after="0" w:line="118"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18"/>
          <w:szCs w:val="18"/>
          <w:color w:val="auto"/>
        </w:rPr>
        <w:t>The Company has evaluated its condensed consolidated financial statements for subsequent events through October 29, 2025, the date the condensed consolidated financial statements were available to be issued.</w:t>
      </w:r>
    </w:p>
    <w:p>
      <w:pPr>
        <w:spacing w:after="0" w:line="9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F-85</w:t>
      </w:r>
    </w:p>
    <w:p>
      <w:pPr>
        <w:sectPr>
          <w:pgSz w:w="11900" w:h="16838" w:orient="portrait"/>
          <w:cols w:equalWidth="0" w:num="1">
            <w:col w:w="10800"/>
          </w:cols>
          <w:pgMar w:left="320" w:top="451" w:right="77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Table of Contents</w:t>
      </w:r>
    </w:p>
    <w:p>
      <w:pPr>
        <w:spacing w:after="0" w:line="31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4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123190</wp:posOffset>
            </wp:positionV>
            <wp:extent cx="6929755" cy="171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929755" cy="1714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173990</wp:posOffset>
            </wp:positionV>
            <wp:extent cx="692975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         Shares</w:t>
      </w:r>
    </w:p>
    <w:p>
      <w:pPr>
        <w:spacing w:after="0" w:line="31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43"/>
          <w:szCs w:val="43"/>
          <w:b w:val="1"/>
          <w:bCs w:val="1"/>
          <w:color w:val="auto"/>
        </w:rPr>
        <w:t>Medline Inc.</w:t>
      </w:r>
    </w:p>
    <w:p>
      <w:pPr>
        <w:spacing w:after="0" w:line="200" w:lineRule="exact"/>
        <w:rPr>
          <w:sz w:val="20"/>
          <w:szCs w:val="20"/>
          <w:color w:val="auto"/>
        </w:rPr>
      </w:pPr>
    </w:p>
    <w:p>
      <w:pPr>
        <w:spacing w:after="0" w:line="25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2484120</wp:posOffset>
            </wp:positionV>
            <wp:extent cx="146050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460500" cy="8255"/>
                    </a:xfrm>
                    <a:prstGeom prst="rect">
                      <a:avLst/>
                    </a:prstGeom>
                    <a:noFill/>
                  </pic:spPr>
                </pic:pic>
              </a:graphicData>
            </a:graphic>
          </wp:anchor>
        </w:drawing>
        <w:drawing>
          <wp:anchor simplePos="0" relativeHeight="251657728" behindDoc="1" locked="0" layoutInCell="0" allowOverlap="1">
            <wp:simplePos x="0" y="0"/>
            <wp:positionH relativeFrom="column">
              <wp:posOffset>3239770</wp:posOffset>
            </wp:positionH>
            <wp:positionV relativeFrom="paragraph">
              <wp:posOffset>174625</wp:posOffset>
            </wp:positionV>
            <wp:extent cx="662305" cy="66230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62305" cy="662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PRELIMINARY PROSPECTUS</w:t>
      </w:r>
    </w:p>
    <w:p>
      <w:pPr>
        <w:spacing w:after="0" w:line="11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239395</wp:posOffset>
            </wp:positionV>
            <wp:extent cx="146050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46050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3475355</wp:posOffset>
            </wp:positionV>
            <wp:extent cx="692975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3542665</wp:posOffset>
            </wp:positionV>
            <wp:extent cx="6929755" cy="171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18" w:lineRule="exact"/>
        <w:rPr>
          <w:sz w:val="20"/>
          <w:szCs w:val="20"/>
          <w:color w:val="auto"/>
        </w:rPr>
      </w:pPr>
    </w:p>
    <w:p>
      <w:pPr>
        <w:jc w:val="both"/>
        <w:ind w:left="160" w:right="140" w:firstLine="436"/>
        <w:spacing w:after="0" w:line="285" w:lineRule="auto"/>
        <w:rPr>
          <w:sz w:val="20"/>
          <w:szCs w:val="20"/>
          <w:color w:val="auto"/>
        </w:rPr>
      </w:pPr>
      <w:r>
        <w:rPr>
          <w:rFonts w:ascii="Times New Roman" w:cs="Times New Roman" w:eastAsia="Times New Roman" w:hAnsi="Times New Roman"/>
          <w:sz w:val="17"/>
          <w:szCs w:val="17"/>
          <w:color w:val="auto"/>
        </w:rPr>
        <w:t>The following table sets forth the expenses payable by the Registrant expected to be incurred in connection with the issuance and distribution of the shares of Class A common stock being registered hereby (other than underwriting discounts and commissions). All of such expenses are estimates, other than the filing and listing fees payable to the Securities and Exchange Commission and the Financial Industry Regulatory Authority, Inc.</w:t>
      </w:r>
    </w:p>
    <w:p>
      <w:pPr>
        <w:spacing w:after="0" w:line="205" w:lineRule="exact"/>
        <w:rPr>
          <w:sz w:val="20"/>
          <w:szCs w:val="20"/>
          <w:color w:val="auto"/>
        </w:rPr>
      </w:pPr>
    </w:p>
    <w:tbl>
      <w:tblPr>
        <w:tblLayout w:type="fixed"/>
        <w:tblInd w:w="1920" w:type="dxa"/>
        <w:tblCellMar>
          <w:top w:w="0" w:type="dxa"/>
          <w:left w:w="0" w:type="dxa"/>
          <w:bottom w:w="0" w:type="dxa"/>
          <w:right w:w="0" w:type="dxa"/>
        </w:tblCellMar>
      </w:tblPr>
      <w:tr>
        <w:trPr>
          <w:trHeight w:val="214"/>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Filing Fee—Securities and Exchange Commission</w:t>
            </w:r>
          </w:p>
        </w:tc>
        <w:tc>
          <w:tcPr>
            <w:tcW w:w="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Fee—Financial Industry Regulatory Authority, Inc.</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of Transfer Agent</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Fees and Expenses of Counsel</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and Expenses of Accountants</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68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1"/>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18" w:lineRule="exact"/>
        <w:rPr>
          <w:sz w:val="20"/>
          <w:szCs w:val="20"/>
          <w:color w:val="auto"/>
        </w:rPr>
      </w:pPr>
    </w:p>
    <w:p>
      <w:pPr>
        <w:ind w:left="160" w:right="20" w:firstLine="436"/>
        <w:spacing w:after="0" w:line="251" w:lineRule="auto"/>
        <w:rPr>
          <w:sz w:val="20"/>
          <w:szCs w:val="20"/>
          <w:color w:val="auto"/>
        </w:rPr>
      </w:pPr>
      <w:r>
        <w:rPr>
          <w:rFonts w:ascii="Times New Roman" w:cs="Times New Roman" w:eastAsia="Times New Roman" w:hAnsi="Times New Roman"/>
          <w:sz w:val="18"/>
          <w:szCs w:val="18"/>
          <w:color w:val="auto"/>
        </w:rPr>
        <w:t>Section 102(b)(7) of the Delaware General Corporation Law, or DGCL, allows a corporation to provide in its certificate of incorporation that a director and certain officers of the corporation will not be personally liable to the corporation or its stockholders for monetary damages for breach of fiduciary duty as a director or officer, as applicable, except where the director or officer breached the duty of loyalty, failed to act in good faith, engaged in intentional misconduct or knowingly violated a law, or obtained an improper personal benefit. In addition, no provision may limit or eliminate the liability of a director for the authorization of the payment of a dividend or a stock repurchase or redemption in violation of Delaware corporate law, and no provision may limit or eliminate the liability of an officer in any action by or in the right of the Company, including any derivative claim. Our amended and restated certificate of incorporation provides for this limitation of liability to the fullest extent permitted by law, as it exists now or may exist in the future. Our amended and restated certificate of incorporation further provides that no amendment to our exculpation provision will limit or eliminate the rights or protections of officers with respect to acts or omissions occurring prior to the time of the amendment.</w:t>
      </w:r>
    </w:p>
    <w:p>
      <w:pPr>
        <w:spacing w:after="0" w:line="192" w:lineRule="exact"/>
        <w:rPr>
          <w:sz w:val="20"/>
          <w:szCs w:val="20"/>
          <w:color w:val="auto"/>
        </w:rPr>
      </w:pPr>
    </w:p>
    <w:p>
      <w:pPr>
        <w:ind w:left="160" w:firstLine="436"/>
        <w:spacing w:after="0" w:line="250" w:lineRule="auto"/>
        <w:rPr>
          <w:sz w:val="20"/>
          <w:szCs w:val="20"/>
          <w:color w:val="auto"/>
        </w:rPr>
      </w:pPr>
      <w:r>
        <w:rPr>
          <w:rFonts w:ascii="Times New Roman" w:cs="Times New Roman" w:eastAsia="Times New Roman" w:hAnsi="Times New Roman"/>
          <w:sz w:val="18"/>
          <w:szCs w:val="18"/>
          <w:color w:val="auto"/>
        </w:rPr>
        <w:t>Section 145 of the DGCL, or Section 145,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against expenses (including attorneys’ fees), judgments, fines, and amounts paid in settlement actually and reasonably incurred by such person in connection with such action, suit, or proceeding, provided such person acted in good faith and in a manner they reasonably believed to be in or not opposed to the corporation’s best interests and, with respect to any criminal action or proceeding, had no reasonable cause to believe that their conduct was illegal.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against expenses (including attorneys’ fees) actually and reasonably incurred by such person in connection with the defense or settlement of such action or suit, provided such person acted in good faith and in a manner they reasonably believed to be in or not opposed to the corporation’s best interests, provided further that no indemnification is permitted without judicial approval if the officer, director, employee,</w:t>
      </w:r>
    </w:p>
    <w:p>
      <w:pPr>
        <w:spacing w:after="0" w:line="12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40"/>
          </w:cols>
          <w:pgMar w:left="320" w:top="451" w:right="53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300"/>
        <w:spacing w:after="0" w:line="308" w:lineRule="auto"/>
        <w:rPr>
          <w:sz w:val="20"/>
          <w:szCs w:val="20"/>
          <w:color w:val="auto"/>
        </w:rPr>
      </w:pPr>
      <w:r>
        <w:rPr>
          <w:rFonts w:ascii="Times New Roman" w:cs="Times New Roman" w:eastAsia="Times New Roman" w:hAnsi="Times New Roman"/>
          <w:sz w:val="17"/>
          <w:szCs w:val="17"/>
          <w:color w:val="auto"/>
        </w:rPr>
        <w:t>or agent is adjudged to be liable to the corporation. Where directors or certain officers are successful on the merits or otherwise in the defense of any action referred to above, the corporation must indemnify them against the expenses such officer or director has actually and reasonably incurred.</w:t>
      </w:r>
    </w:p>
    <w:p>
      <w:pPr>
        <w:spacing w:after="0" w:line="140" w:lineRule="exact"/>
        <w:rPr>
          <w:sz w:val="20"/>
          <w:szCs w:val="20"/>
          <w:color w:val="auto"/>
        </w:rPr>
      </w:pPr>
    </w:p>
    <w:p>
      <w:pPr>
        <w:ind w:left="160" w:right="80" w:firstLine="436"/>
        <w:spacing w:after="0" w:line="255" w:lineRule="auto"/>
        <w:rPr>
          <w:sz w:val="20"/>
          <w:szCs w:val="20"/>
          <w:color w:val="auto"/>
        </w:rPr>
      </w:pPr>
      <w:r>
        <w:rPr>
          <w:rFonts w:ascii="Times New Roman" w:cs="Times New Roman" w:eastAsia="Times New Roman" w:hAnsi="Times New Roman"/>
          <w:sz w:val="18"/>
          <w:szCs w:val="18"/>
          <w:color w:val="auto"/>
        </w:rPr>
        <w:t>Section 145 also provides that the expenses incurred by a director, officer, employee, or agent of the corporation or a person serving at the request of the corporation as a director, officer, employee, or agent of another corporation or enterprise in defending any action, suit, or proceeding may be paid in advance of the final disposition of the action, suit, or proceeding, subject, in the case of current officers and directors, to the corporation’s receipt of an undertaking by or on behalf of such officer or director to repay the amount so advanced if it shall be ultimately determined that such person is not entitled to be indemnified.</w:t>
      </w:r>
    </w:p>
    <w:p>
      <w:pPr>
        <w:spacing w:after="0" w:line="184"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their status as such, whether or not the corporation would otherwise have the power to indemnify them under Section 145.</w:t>
      </w:r>
    </w:p>
    <w:p>
      <w:pPr>
        <w:spacing w:after="0" w:line="180" w:lineRule="exact"/>
        <w:rPr>
          <w:sz w:val="20"/>
          <w:szCs w:val="20"/>
          <w:color w:val="auto"/>
        </w:rPr>
      </w:pPr>
    </w:p>
    <w:p>
      <w:pPr>
        <w:ind w:left="160" w:right="300" w:firstLine="436"/>
        <w:spacing w:after="0" w:line="258" w:lineRule="auto"/>
        <w:rPr>
          <w:sz w:val="20"/>
          <w:szCs w:val="20"/>
          <w:color w:val="auto"/>
        </w:rPr>
      </w:pPr>
      <w:r>
        <w:rPr>
          <w:rFonts w:ascii="Times New Roman" w:cs="Times New Roman" w:eastAsia="Times New Roman" w:hAnsi="Times New Roman"/>
          <w:sz w:val="18"/>
          <w:szCs w:val="18"/>
          <w:color w:val="auto"/>
        </w:rPr>
        <w:t>Our amended and restated bylaws provide that, subject to limited exceptions, we must indemnify our directors and officers to the fullest extent authorized by the DGCL and must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under our amended and restated bylaws or otherwise.</w:t>
      </w:r>
    </w:p>
    <w:p>
      <w:pPr>
        <w:spacing w:after="0" w:line="180" w:lineRule="exact"/>
        <w:rPr>
          <w:sz w:val="20"/>
          <w:szCs w:val="20"/>
          <w:color w:val="auto"/>
        </w:rPr>
      </w:pPr>
    </w:p>
    <w:p>
      <w:pPr>
        <w:ind w:left="160" w:right="140" w:firstLine="436"/>
        <w:spacing w:after="0" w:line="263" w:lineRule="auto"/>
        <w:rPr>
          <w:sz w:val="20"/>
          <w:szCs w:val="20"/>
          <w:color w:val="auto"/>
        </w:rPr>
      </w:pPr>
      <w:r>
        <w:rPr>
          <w:rFonts w:ascii="Times New Roman" w:cs="Times New Roman" w:eastAsia="Times New Roman" w:hAnsi="Times New Roman"/>
          <w:sz w:val="18"/>
          <w:szCs w:val="18"/>
          <w:color w:val="auto"/>
        </w:rPr>
        <w:t>The rights to indemnification and advancement of expenses set forth above shall not be exclusive of any other right which an indemnified person may have or hereafter acquire under any statute, provision of our amended and restated certificate of incorporation, our amended and restated bylaws, agreement, vote of stockholders or disinterested directors, or otherwise.</w:t>
      </w:r>
    </w:p>
    <w:p>
      <w:pPr>
        <w:spacing w:after="0" w:line="175" w:lineRule="exact"/>
        <w:rPr>
          <w:sz w:val="20"/>
          <w:szCs w:val="20"/>
          <w:color w:val="auto"/>
        </w:rPr>
      </w:pPr>
    </w:p>
    <w:p>
      <w:pPr>
        <w:ind w:left="160" w:right="120" w:firstLine="436"/>
        <w:spacing w:after="0" w:line="263" w:lineRule="auto"/>
        <w:rPr>
          <w:sz w:val="20"/>
          <w:szCs w:val="20"/>
          <w:color w:val="auto"/>
        </w:rPr>
      </w:pPr>
      <w:r>
        <w:rPr>
          <w:rFonts w:ascii="Times New Roman" w:cs="Times New Roman" w:eastAsia="Times New Roman" w:hAnsi="Times New Roman"/>
          <w:sz w:val="18"/>
          <w:szCs w:val="18"/>
          <w:color w:val="auto"/>
        </w:rPr>
        <w:t>We expect to maintain standard policies of insurance that provide coverage (1) to our directors and officers against loss arising from claims made by reason of breach of duty or other wrongful act and (2) to us with respect to indemnification payments that we may make to such directors and officers.</w:t>
      </w:r>
    </w:p>
    <w:p>
      <w:pPr>
        <w:spacing w:after="0" w:line="175" w:lineRule="exact"/>
        <w:rPr>
          <w:sz w:val="20"/>
          <w:szCs w:val="20"/>
          <w:color w:val="auto"/>
        </w:rPr>
      </w:pPr>
    </w:p>
    <w:p>
      <w:pPr>
        <w:ind w:left="160" w:right="120" w:firstLine="436"/>
        <w:spacing w:after="0" w:line="254"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executive officers. These agreements require us, subject to limited exceptions, to indemnify these individuals to the fullest extent permitted under Delaware law against liabilities that may arise by reason of their service to us, and to advance expenses they incur as a result of any proceeding to which they are or are threatened to be made a party or participant. Insofar as indemnification for liabilities arising under the Securities Act of 1933, as amended (the “Securities Act”), may be permitted to directors or executive officers, we have been informed that, in the opinion of the Securities and Exchange Commission, such indemnification is against public policy and is therefore unenforceable.</w:t>
      </w:r>
    </w:p>
    <w:p>
      <w:pPr>
        <w:spacing w:after="0" w:line="184" w:lineRule="exact"/>
        <w:rPr>
          <w:sz w:val="20"/>
          <w:szCs w:val="20"/>
          <w:color w:val="auto"/>
        </w:rPr>
      </w:pPr>
    </w:p>
    <w:p>
      <w:pPr>
        <w:ind w:left="160" w:right="580" w:firstLine="436"/>
        <w:spacing w:after="0" w:line="278" w:lineRule="auto"/>
        <w:rPr>
          <w:sz w:val="20"/>
          <w:szCs w:val="20"/>
          <w:color w:val="auto"/>
        </w:rPr>
      </w:pPr>
      <w:r>
        <w:rPr>
          <w:rFonts w:ascii="Times New Roman" w:cs="Times New Roman" w:eastAsia="Times New Roman" w:hAnsi="Times New Roman"/>
          <w:sz w:val="18"/>
          <w:szCs w:val="18"/>
          <w:color w:val="auto"/>
        </w:rPr>
        <w:t>The proposed form of Underwriting Agreement to be filed as Exhibit 1.1 to this Registration Statement provides for indemnification to our directors and officers by the underwriters against certain liabilities.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18" w:lineRule="exact"/>
        <w:rPr>
          <w:sz w:val="20"/>
          <w:szCs w:val="20"/>
          <w:color w:val="auto"/>
        </w:rPr>
      </w:pPr>
    </w:p>
    <w:p>
      <w:pPr>
        <w:ind w:left="160" w:right="40" w:firstLine="436"/>
        <w:spacing w:after="0" w:line="255" w:lineRule="auto"/>
        <w:rPr>
          <w:sz w:val="20"/>
          <w:szCs w:val="20"/>
          <w:color w:val="auto"/>
        </w:rPr>
      </w:pPr>
      <w:r>
        <w:rPr>
          <w:rFonts w:ascii="Times New Roman" w:cs="Times New Roman" w:eastAsia="Times New Roman" w:hAnsi="Times New Roman"/>
          <w:sz w:val="18"/>
          <w:szCs w:val="18"/>
          <w:color w:val="auto"/>
        </w:rPr>
        <w:t>In connection with the initial public offering of the Registrant’s Class A common stock, par value $0.0001 per share (the “Class A common stock”), the Registrant effected the Reorganization Transactions. In connection with the Reorganization Transactions, on December 16, 2025, the Registrant issued (i) 607,521,662 shares of its Class A common stock and (ii) 527,195,560 shares of its Class B common stock, par value $0.0001 per share (the “Class B common stock”) to its pre-IPO owners or affiliates thereof. No underwriters were involved in the issuance of these shares of Class A common stock or Class B common stock. The issuance of such shares of</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080"/>
          </w:cols>
          <w:pgMar w:left="320" w:top="451" w:right="49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60" w:right="60"/>
        <w:spacing w:after="0" w:line="278" w:lineRule="auto"/>
        <w:rPr>
          <w:sz w:val="20"/>
          <w:szCs w:val="20"/>
          <w:color w:val="auto"/>
        </w:rPr>
      </w:pPr>
      <w:r>
        <w:rPr>
          <w:rFonts w:ascii="Times New Roman" w:cs="Times New Roman" w:eastAsia="Times New Roman" w:hAnsi="Times New Roman"/>
          <w:sz w:val="18"/>
          <w:szCs w:val="18"/>
          <w:color w:val="auto"/>
        </w:rPr>
        <w:t>Class A common stock and Class B common stock was not registered under the Securities Act, because the shares were offered and sold in a transaction by the issuer not involving any public offering exempt from registration under Section 4(a)(2) of the Securities Act.</w:t>
      </w:r>
    </w:p>
    <w:p>
      <w:pPr>
        <w:spacing w:after="0" w:line="162"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On November 6, 2024, in connection with its incorporation, the Registrant issued 10,000 shares of the Registrant’s Class B common stock, par value $0.0001 per share, to Medline Holdings, LP (f/k/a Mozart Holdings, LP), a Delaware limited partnership, for $1.00. The issuance of such shares of Class B common stock was not registered under the Securities Act, because the shares were offered and sold in a transaction by the issuer not involving any public offering exempt from registration under Section 4(a)(2) of the Securities Act.</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14" w:lineRule="exact"/>
        <w:rPr>
          <w:sz w:val="20"/>
          <w:szCs w:val="20"/>
          <w:color w:val="auto"/>
        </w:rPr>
      </w:pPr>
    </w:p>
    <w:p>
      <w:pPr>
        <w:ind w:left="860" w:hanging="256"/>
        <w:spacing w:after="0"/>
        <w:tabs>
          <w:tab w:leader="none" w:pos="860" w:val="left"/>
        </w:tabs>
        <w:numPr>
          <w:ilvl w:val="0"/>
          <w:numId w:val="18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Exhibits. </w:t>
      </w:r>
      <w:r>
        <w:rPr>
          <w:rFonts w:ascii="Times New Roman" w:cs="Times New Roman" w:eastAsia="Times New Roman" w:hAnsi="Times New Roman"/>
          <w:sz w:val="18"/>
          <w:szCs w:val="18"/>
          <w:color w:val="auto"/>
        </w:rPr>
        <w:t>See the Exhibit Index immediately preceding the signature pages hereto, which is incorporated by reference as if fully set forth</w:t>
      </w:r>
    </w:p>
    <w:p>
      <w:pPr>
        <w:spacing w:after="0" w:line="29" w:lineRule="exact"/>
        <w:rPr>
          <w:rFonts w:ascii="Times New Roman" w:cs="Times New Roman" w:eastAsia="Times New Roman" w:hAnsi="Times New Roman"/>
          <w:sz w:val="18"/>
          <w:szCs w:val="18"/>
          <w:b w:val="1"/>
          <w:bCs w:val="1"/>
          <w:i w:val="1"/>
          <w:iCs w:val="1"/>
          <w:color w:val="auto"/>
        </w:rPr>
      </w:pPr>
    </w:p>
    <w:p>
      <w:pPr>
        <w:ind w:left="1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herein.</w:t>
      </w:r>
    </w:p>
    <w:p>
      <w:pPr>
        <w:spacing w:after="0" w:line="198" w:lineRule="exact"/>
        <w:rPr>
          <w:rFonts w:ascii="Times New Roman" w:cs="Times New Roman" w:eastAsia="Times New Roman" w:hAnsi="Times New Roman"/>
          <w:sz w:val="18"/>
          <w:szCs w:val="18"/>
          <w:b w:val="1"/>
          <w:bCs w:val="1"/>
          <w:i w:val="1"/>
          <w:iCs w:val="1"/>
          <w:color w:val="auto"/>
        </w:rPr>
      </w:pPr>
    </w:p>
    <w:p>
      <w:pPr>
        <w:ind w:left="160" w:right="80" w:firstLine="444"/>
        <w:spacing w:after="0" w:line="282" w:lineRule="auto"/>
        <w:tabs>
          <w:tab w:leader="none" w:pos="849" w:val="left"/>
        </w:tabs>
        <w:numPr>
          <w:ilvl w:val="0"/>
          <w:numId w:val="18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Financial Statement Schedules. </w:t>
      </w:r>
      <w:r>
        <w:rPr>
          <w:rFonts w:ascii="Times New Roman" w:cs="Times New Roman" w:eastAsia="Times New Roman" w:hAnsi="Times New Roman"/>
          <w:sz w:val="18"/>
          <w:szCs w:val="18"/>
          <w:color w:val="auto"/>
        </w:rPr>
        <w:t>Financial statement schedules have been omitted because they are not required, not applicable, or not present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amounts sufficient to require submission of the schedule.</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31" w:lineRule="exact"/>
        <w:rPr>
          <w:sz w:val="20"/>
          <w:szCs w:val="20"/>
          <w:color w:val="auto"/>
        </w:rPr>
      </w:pPr>
    </w:p>
    <w:p>
      <w:pPr>
        <w:ind w:left="700" w:right="60" w:hanging="533"/>
        <w:spacing w:after="0" w:line="278" w:lineRule="auto"/>
        <w:tabs>
          <w:tab w:leader="none" w:pos="7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68" w:lineRule="exact"/>
        <w:rPr>
          <w:rFonts w:ascii="Times New Roman" w:cs="Times New Roman" w:eastAsia="Times New Roman" w:hAnsi="Times New Roman"/>
          <w:sz w:val="18"/>
          <w:szCs w:val="18"/>
          <w:color w:val="auto"/>
        </w:rPr>
      </w:pPr>
    </w:p>
    <w:p>
      <w:pPr>
        <w:ind w:left="700" w:right="120" w:hanging="533"/>
        <w:spacing w:after="0" w:line="269" w:lineRule="auto"/>
        <w:tabs>
          <w:tab w:leader="none" w:pos="700"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79" w:lineRule="exact"/>
        <w:rPr>
          <w:rFonts w:ascii="Times New Roman" w:cs="Times New Roman" w:eastAsia="Times New Roman" w:hAnsi="Times New Roman"/>
          <w:sz w:val="17"/>
          <w:szCs w:val="17"/>
          <w:color w:val="auto"/>
        </w:rPr>
      </w:pPr>
    </w:p>
    <w:p>
      <w:pPr>
        <w:ind w:left="700" w:hanging="533"/>
        <w:spacing w:after="0"/>
        <w:tabs>
          <w:tab w:leader="none" w:pos="7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27" w:lineRule="exact"/>
        <w:rPr>
          <w:rFonts w:ascii="Times New Roman" w:cs="Times New Roman" w:eastAsia="Times New Roman" w:hAnsi="Times New Roman"/>
          <w:sz w:val="18"/>
          <w:szCs w:val="18"/>
          <w:color w:val="auto"/>
        </w:rPr>
      </w:pPr>
    </w:p>
    <w:p>
      <w:pPr>
        <w:ind w:left="1340" w:right="60" w:hanging="638"/>
        <w:spacing w:after="0" w:line="258" w:lineRule="auto"/>
        <w:tabs>
          <w:tab w:leader="none" w:pos="134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86" w:lineRule="exact"/>
        <w:rPr>
          <w:rFonts w:ascii="Times New Roman" w:cs="Times New Roman" w:eastAsia="Times New Roman" w:hAnsi="Times New Roman"/>
          <w:sz w:val="18"/>
          <w:szCs w:val="18"/>
          <w:color w:val="auto"/>
        </w:rPr>
      </w:pPr>
    </w:p>
    <w:p>
      <w:pPr>
        <w:ind w:left="1340" w:right="280" w:hanging="638"/>
        <w:spacing w:after="0" w:line="263" w:lineRule="auto"/>
        <w:tabs>
          <w:tab w:leader="none" w:pos="134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1340" w:right="40" w:hanging="638"/>
        <w:spacing w:after="0" w:line="258" w:lineRule="auto"/>
        <w:tabs>
          <w:tab w:leader="none" w:pos="134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080"/>
          </w:cols>
          <w:pgMar w:left="320" w:top="451" w:right="49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5" w:lineRule="exact"/>
        <w:rPr>
          <w:sz w:val="20"/>
          <w:szCs w:val="20"/>
          <w:color w:val="auto"/>
        </w:rPr>
      </w:pPr>
    </w:p>
    <w:p>
      <w:pPr>
        <w:ind w:left="1360"/>
        <w:spacing w:after="0" w:line="255" w:lineRule="auto"/>
        <w:rPr>
          <w:sz w:val="20"/>
          <w:szCs w:val="20"/>
          <w:color w:val="auto"/>
        </w:rPr>
      </w:pPr>
      <w:r>
        <w:rPr>
          <w:rFonts w:ascii="Times New Roman" w:cs="Times New Roman" w:eastAsia="Times New Roman" w:hAnsi="Times New Roman"/>
          <w:sz w:val="18"/>
          <w:szCs w:val="18"/>
          <w:color w:val="auto"/>
        </w:rPr>
        <w:t>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91" w:lineRule="exact"/>
        <w:rPr>
          <w:sz w:val="20"/>
          <w:szCs w:val="20"/>
          <w:color w:val="auto"/>
        </w:rPr>
      </w:pPr>
    </w:p>
    <w:p>
      <w:pPr>
        <w:ind w:left="1340" w:right="20" w:hanging="638"/>
        <w:spacing w:after="0" w:line="255" w:lineRule="auto"/>
        <w:tabs>
          <w:tab w:leader="none" w:pos="13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0" w:lineRule="exact"/>
        <w:rPr>
          <w:rFonts w:ascii="Times New Roman" w:cs="Times New Roman" w:eastAsia="Times New Roman" w:hAnsi="Times New Roman"/>
          <w:sz w:val="18"/>
          <w:szCs w:val="18"/>
          <w:color w:val="auto"/>
        </w:rPr>
      </w:pPr>
    </w:p>
    <w:p>
      <w:pPr>
        <w:ind w:left="1900" w:right="180" w:hanging="542"/>
        <w:spacing w:after="0" w:line="278" w:lineRule="auto"/>
        <w:tabs>
          <w:tab w:leader="none" w:pos="190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68" w:lineRule="exact"/>
        <w:rPr>
          <w:rFonts w:ascii="Times New Roman" w:cs="Times New Roman" w:eastAsia="Times New Roman" w:hAnsi="Times New Roman"/>
          <w:sz w:val="18"/>
          <w:szCs w:val="18"/>
          <w:color w:val="auto"/>
        </w:rPr>
      </w:pPr>
    </w:p>
    <w:p>
      <w:pPr>
        <w:ind w:left="1900" w:right="60" w:hanging="542"/>
        <w:spacing w:after="0" w:line="278" w:lineRule="auto"/>
        <w:tabs>
          <w:tab w:leader="none" w:pos="190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8" w:lineRule="exact"/>
        <w:rPr>
          <w:rFonts w:ascii="Times New Roman" w:cs="Times New Roman" w:eastAsia="Times New Roman" w:hAnsi="Times New Roman"/>
          <w:sz w:val="18"/>
          <w:szCs w:val="18"/>
          <w:color w:val="auto"/>
        </w:rPr>
      </w:pPr>
    </w:p>
    <w:p>
      <w:pPr>
        <w:ind w:left="1900" w:right="140" w:hanging="542"/>
        <w:spacing w:after="0" w:line="278" w:lineRule="auto"/>
        <w:tabs>
          <w:tab w:leader="none" w:pos="190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8" w:lineRule="exact"/>
        <w:rPr>
          <w:rFonts w:ascii="Times New Roman" w:cs="Times New Roman" w:eastAsia="Times New Roman" w:hAnsi="Times New Roman"/>
          <w:sz w:val="18"/>
          <w:szCs w:val="18"/>
          <w:color w:val="auto"/>
        </w:rPr>
      </w:pPr>
    </w:p>
    <w:p>
      <w:pPr>
        <w:ind w:left="1900" w:hanging="542"/>
        <w:spacing w:after="0"/>
        <w:tabs>
          <w:tab w:leader="none" w:pos="190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5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040"/>
          </w:cols>
          <w:pgMar w:left="320" w:top="451" w:right="53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20" w:type="dxa"/>
            <w:vAlign w:val="bottom"/>
            <w:gridSpan w:val="17"/>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Medline Inc. has requested confidential treatment of this registration statement and associated</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920" w:type="dxa"/>
            <w:vAlign w:val="bottom"/>
            <w:gridSpan w:val="17"/>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correspondence pursuant to Rule 83 of the Securities and Exchange Commission.</w:t>
            </w:r>
          </w:p>
        </w:tc>
        <w:tc>
          <w:tcPr>
            <w:tcW w:w="0" w:type="dxa"/>
            <w:vAlign w:val="bottom"/>
          </w:tcPr>
          <w:p>
            <w:pPr>
              <w:spacing w:after="0"/>
              <w:rPr>
                <w:sz w:val="1"/>
                <w:szCs w:val="1"/>
                <w:color w:val="auto"/>
              </w:rPr>
            </w:pPr>
          </w:p>
        </w:tc>
      </w:tr>
      <w:tr>
        <w:trPr>
          <w:trHeight w:val="361"/>
        </w:trPr>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300" w:type="dxa"/>
            <w:vAlign w:val="bottom"/>
            <w:gridSpan w:val="15"/>
          </w:tcPr>
          <w:p>
            <w:pPr>
              <w:jc w:val="center"/>
              <w:ind w:right="4600"/>
              <w:spacing w:after="0"/>
              <w:rPr>
                <w:sz w:val="20"/>
                <w:szCs w:val="20"/>
                <w:color w:val="auto"/>
              </w:rPr>
            </w:pPr>
            <w:r>
              <w:rPr>
                <w:rFonts w:ascii="Times New Roman" w:cs="Times New Roman" w:eastAsia="Times New Roman" w:hAnsi="Times New Roman"/>
                <w:sz w:val="18"/>
                <w:szCs w:val="18"/>
                <w:b w:val="1"/>
                <w:bCs w:val="1"/>
                <w:color w:val="auto"/>
                <w:w w:val="98"/>
              </w:rPr>
              <w:t>EXHIBIT INDEX</w:t>
            </w:r>
          </w:p>
        </w:tc>
        <w:tc>
          <w:tcPr>
            <w:tcW w:w="0" w:type="dxa"/>
            <w:vAlign w:val="bottom"/>
          </w:tcPr>
          <w:p>
            <w:pPr>
              <w:spacing w:after="0"/>
              <w:rPr>
                <w:sz w:val="1"/>
                <w:szCs w:val="1"/>
                <w:color w:val="auto"/>
              </w:rPr>
            </w:pPr>
          </w:p>
        </w:tc>
      </w:tr>
      <w:tr>
        <w:trPr>
          <w:trHeight w:val="363"/>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60" w:type="dxa"/>
            <w:vAlign w:val="bottom"/>
            <w:gridSpan w:val="1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9"/>
        </w:trPr>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16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5660" w:type="dxa"/>
            <w:vAlign w:val="bottom"/>
            <w:tcBorders>
              <w:bottom w:val="single" w:sz="8" w:color="auto"/>
            </w:tcBorders>
            <w:gridSpan w:val="1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1.1</w:t>
            </w:r>
          </w:p>
        </w:tc>
        <w:tc>
          <w:tcPr>
            <w:tcW w:w="99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280"/>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3.1</w:t>
            </w:r>
          </w:p>
        </w:tc>
        <w:tc>
          <w:tcPr>
            <w:tcW w:w="97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r:id="rId551">
              <w:r>
                <w:rPr>
                  <w:rFonts w:ascii="Times New Roman" w:cs="Times New Roman" w:eastAsia="Times New Roman" w:hAnsi="Times New Roman"/>
                  <w:sz w:val="18"/>
                  <w:szCs w:val="18"/>
                  <w:color w:val="0000EE"/>
                  <w:w w:val="98"/>
                </w:rPr>
                <w:t>Amended and Restated Certificate of Incorporation of the Registrant (incorporated by reference to Exhibit 3.1 to the Registrant’s Current</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920" w:type="dxa"/>
            <w:vAlign w:val="bottom"/>
            <w:gridSpan w:val="17"/>
          </w:tcPr>
          <w:p>
            <w:pPr>
              <w:spacing w:after="0" w:line="194" w:lineRule="exact"/>
              <w:rPr>
                <w:rFonts w:ascii="Times New Roman" w:cs="Times New Roman" w:eastAsia="Times New Roman" w:hAnsi="Times New Roman"/>
                <w:sz w:val="18"/>
                <w:szCs w:val="18"/>
                <w:color w:val="0000EE"/>
              </w:rPr>
            </w:pPr>
            <w:hyperlink r:id="rId551">
              <w:r>
                <w:rPr>
                  <w:rFonts w:ascii="Times New Roman" w:cs="Times New Roman" w:eastAsia="Times New Roman" w:hAnsi="Times New Roman"/>
                  <w:sz w:val="18"/>
                  <w:szCs w:val="18"/>
                  <w:color w:val="0000EE"/>
                </w:rPr>
                <w:t>Report on Form 8-K filed on December 22, 2025 (File No. 001-43022))</w:t>
              </w:r>
            </w:hyperlink>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3.2</w:t>
            </w:r>
          </w:p>
        </w:tc>
        <w:tc>
          <w:tcPr>
            <w:tcW w:w="98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8"/>
              </w:rPr>
            </w:pPr>
            <w:hyperlink r:id="rId552">
              <w:r>
                <w:rPr>
                  <w:rFonts w:ascii="Times New Roman" w:cs="Times New Roman" w:eastAsia="Times New Roman" w:hAnsi="Times New Roman"/>
                  <w:sz w:val="18"/>
                  <w:szCs w:val="18"/>
                  <w:color w:val="0000EE"/>
                  <w:w w:val="98"/>
                </w:rPr>
                <w:t>Amended and Restated Bylaws of the Registrant (incorporated by reference to Exhibit 3.2 to the Registrant’s Current Report on Form 8-K</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20" w:type="dxa"/>
            <w:vAlign w:val="bottom"/>
            <w:tcBorders>
              <w:bottom w:val="single" w:sz="8" w:color="0000EE"/>
            </w:tcBorders>
            <w:gridSpan w:val="2"/>
          </w:tcPr>
          <w:p>
            <w:pPr>
              <w:spacing w:after="0" w:line="194" w:lineRule="exact"/>
              <w:rPr>
                <w:rFonts w:ascii="Times New Roman" w:cs="Times New Roman" w:eastAsia="Times New Roman" w:hAnsi="Times New Roman"/>
                <w:sz w:val="18"/>
                <w:szCs w:val="18"/>
                <w:color w:val="0000EE"/>
                <w:w w:val="98"/>
              </w:rPr>
            </w:pPr>
            <w:hyperlink r:id="rId552">
              <w:r>
                <w:rPr>
                  <w:rFonts w:ascii="Times New Roman" w:cs="Times New Roman" w:eastAsia="Times New Roman" w:hAnsi="Times New Roman"/>
                  <w:sz w:val="18"/>
                  <w:szCs w:val="18"/>
                  <w:color w:val="0000EE"/>
                  <w:w w:val="98"/>
                </w:rPr>
                <w:t>filed on December 22, 2025 (File No. 001-43022))</w:t>
              </w:r>
            </w:hyperlink>
          </w:p>
        </w:tc>
        <w:tc>
          <w:tcPr>
            <w:tcW w:w="6300" w:type="dxa"/>
            <w:vAlign w:val="bottom"/>
            <w:gridSpan w:val="15"/>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w:t>
            </w:r>
          </w:p>
        </w:tc>
        <w:tc>
          <w:tcPr>
            <w:tcW w:w="9920" w:type="dxa"/>
            <w:vAlign w:val="bottom"/>
            <w:gridSpan w:val="17"/>
          </w:tcPr>
          <w:p>
            <w:pPr>
              <w:spacing w:after="0"/>
              <w:rPr>
                <w:rFonts w:ascii="Times New Roman" w:cs="Times New Roman" w:eastAsia="Times New Roman" w:hAnsi="Times New Roman"/>
                <w:sz w:val="18"/>
                <w:szCs w:val="18"/>
                <w:color w:val="0000EE"/>
              </w:rPr>
            </w:pPr>
            <w:hyperlink r:id="rId553">
              <w:r>
                <w:rPr>
                  <w:rFonts w:ascii="Times New Roman" w:cs="Times New Roman" w:eastAsia="Times New Roman" w:hAnsi="Times New Roman"/>
                  <w:sz w:val="18"/>
                  <w:szCs w:val="18"/>
                  <w:color w:val="0000EE"/>
                </w:rPr>
                <w:t>Indenture, dated as of October 15, 2021, by and between Mozart Debt Merger Sub Inc. and Wilmington Trust, National Association as</w:t>
              </w:r>
            </w:hyperlink>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0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80" w:type="dxa"/>
            <w:vAlign w:val="bottom"/>
            <w:tcBorders>
              <w:bottom w:val="single" w:sz="8" w:color="0000EE"/>
            </w:tcBorders>
            <w:gridSpan w:val="10"/>
          </w:tcPr>
          <w:p>
            <w:pPr>
              <w:spacing w:after="0" w:line="194" w:lineRule="exact"/>
              <w:rPr>
                <w:rFonts w:ascii="Times New Roman" w:cs="Times New Roman" w:eastAsia="Times New Roman" w:hAnsi="Times New Roman"/>
                <w:sz w:val="18"/>
                <w:szCs w:val="18"/>
                <w:color w:val="0000EE"/>
                <w:w w:val="98"/>
              </w:rPr>
            </w:pPr>
            <w:hyperlink r:id="rId553">
              <w:r>
                <w:rPr>
                  <w:rFonts w:ascii="Times New Roman" w:cs="Times New Roman" w:eastAsia="Times New Roman" w:hAnsi="Times New Roman"/>
                  <w:sz w:val="18"/>
                  <w:szCs w:val="18"/>
                  <w:color w:val="0000EE"/>
                  <w:w w:val="98"/>
                </w:rPr>
                <w:t>trustee, paying agent, transfer agent and registrar (incorporated by reference to Exhibit 4.1 to the Registrant’s Registration Statement on</w:t>
              </w:r>
            </w:hyperlink>
          </w:p>
        </w:tc>
        <w:tc>
          <w:tcPr>
            <w:tcW w:w="24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60" w:type="dxa"/>
            <w:vAlign w:val="bottom"/>
            <w:tcBorders>
              <w:bottom w:val="single" w:sz="8" w:color="0000EE"/>
            </w:tcBorders>
            <w:gridSpan w:val="3"/>
          </w:tcPr>
          <w:p>
            <w:pPr>
              <w:spacing w:after="0" w:line="194" w:lineRule="exact"/>
              <w:rPr>
                <w:rFonts w:ascii="Times New Roman" w:cs="Times New Roman" w:eastAsia="Times New Roman" w:hAnsi="Times New Roman"/>
                <w:sz w:val="18"/>
                <w:szCs w:val="18"/>
                <w:color w:val="0000EE"/>
                <w:w w:val="98"/>
              </w:rPr>
            </w:pPr>
            <w:hyperlink r:id="rId553">
              <w:r>
                <w:rPr>
                  <w:rFonts w:ascii="Times New Roman" w:cs="Times New Roman" w:eastAsia="Times New Roman" w:hAnsi="Times New Roman"/>
                  <w:sz w:val="18"/>
                  <w:szCs w:val="18"/>
                  <w:color w:val="0000EE"/>
                  <w:w w:val="98"/>
                </w:rPr>
                <w:t>Form S-1 filed on October 28, 2025 (File No. 333-291112))</w:t>
              </w:r>
            </w:hyperlink>
          </w:p>
        </w:tc>
        <w:tc>
          <w:tcPr>
            <w:tcW w:w="5660" w:type="dxa"/>
            <w:vAlign w:val="bottom"/>
            <w:gridSpan w:val="14"/>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w:t>
            </w:r>
          </w:p>
        </w:tc>
        <w:tc>
          <w:tcPr>
            <w:tcW w:w="96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r:id="rId554">
              <w:r>
                <w:rPr>
                  <w:rFonts w:ascii="Times New Roman" w:cs="Times New Roman" w:eastAsia="Times New Roman" w:hAnsi="Times New Roman"/>
                  <w:sz w:val="18"/>
                  <w:szCs w:val="18"/>
                  <w:color w:val="0000EE"/>
                  <w:w w:val="98"/>
                </w:rPr>
                <w:t>First Supplemental Indenture, dated as of October 21, 2021, among each of the subsidiaries of Medline Borrower, LP listed thereto and</w:t>
              </w:r>
            </w:hyperlink>
          </w:p>
        </w:tc>
        <w:tc>
          <w:tcPr>
            <w:tcW w:w="2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920" w:type="dxa"/>
            <w:vAlign w:val="bottom"/>
            <w:gridSpan w:val="17"/>
          </w:tcPr>
          <w:p>
            <w:pPr>
              <w:spacing w:after="0" w:line="194" w:lineRule="exact"/>
              <w:rPr>
                <w:rFonts w:ascii="Times New Roman" w:cs="Times New Roman" w:eastAsia="Times New Roman" w:hAnsi="Times New Roman"/>
                <w:sz w:val="18"/>
                <w:szCs w:val="18"/>
                <w:color w:val="0000EE"/>
                <w:w w:val="99"/>
              </w:rPr>
            </w:pPr>
            <w:hyperlink r:id="rId554">
              <w:r>
                <w:rPr>
                  <w:rFonts w:ascii="Times New Roman" w:cs="Times New Roman" w:eastAsia="Times New Roman" w:hAnsi="Times New Roman"/>
                  <w:sz w:val="18"/>
                  <w:szCs w:val="18"/>
                  <w:color w:val="0000EE"/>
                  <w:w w:val="99"/>
                </w:rPr>
                <w:t>Wilmington Trust, National Association, as trustee (incorporated by reference to Exhibit 4.2 to the Registrant’s Registration Statement on</w:t>
              </w:r>
            </w:hyperlink>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60" w:type="dxa"/>
            <w:vAlign w:val="bottom"/>
            <w:tcBorders>
              <w:top w:val="single" w:sz="8" w:color="0000EE"/>
              <w:bottom w:val="single" w:sz="8" w:color="0000EE"/>
            </w:tcBorders>
            <w:gridSpan w:val="3"/>
          </w:tcPr>
          <w:p>
            <w:pPr>
              <w:spacing w:after="0" w:line="194" w:lineRule="exact"/>
              <w:rPr>
                <w:rFonts w:ascii="Times New Roman" w:cs="Times New Roman" w:eastAsia="Times New Roman" w:hAnsi="Times New Roman"/>
                <w:sz w:val="18"/>
                <w:szCs w:val="18"/>
                <w:color w:val="0000EE"/>
                <w:w w:val="98"/>
              </w:rPr>
            </w:pPr>
            <w:hyperlink r:id="rId554">
              <w:r>
                <w:rPr>
                  <w:rFonts w:ascii="Times New Roman" w:cs="Times New Roman" w:eastAsia="Times New Roman" w:hAnsi="Times New Roman"/>
                  <w:sz w:val="18"/>
                  <w:szCs w:val="18"/>
                  <w:color w:val="0000EE"/>
                  <w:w w:val="98"/>
                </w:rPr>
                <w:t>Form S-1 filed on October 28, 2025 (File No. 333-291112))</w:t>
              </w:r>
            </w:hyperlink>
          </w:p>
        </w:tc>
        <w:tc>
          <w:tcPr>
            <w:tcW w:w="5540" w:type="dxa"/>
            <w:vAlign w:val="bottom"/>
            <w:tcBorders>
              <w:top w:val="single" w:sz="8" w:color="0000EE"/>
            </w:tcBorders>
            <w:gridSpan w:val="11"/>
          </w:tcPr>
          <w:p>
            <w:pPr>
              <w:spacing w:after="0"/>
              <w:rPr>
                <w:sz w:val="16"/>
                <w:szCs w:val="16"/>
                <w:color w:val="auto"/>
              </w:rPr>
            </w:pPr>
          </w:p>
        </w:tc>
        <w:tc>
          <w:tcPr>
            <w:tcW w:w="1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4.3</w:t>
            </w:r>
          </w:p>
        </w:tc>
        <w:tc>
          <w:tcPr>
            <w:tcW w:w="95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r:id="rId555">
              <w:r>
                <w:rPr>
                  <w:rFonts w:ascii="Times New Roman" w:cs="Times New Roman" w:eastAsia="Times New Roman" w:hAnsi="Times New Roman"/>
                  <w:sz w:val="18"/>
                  <w:szCs w:val="18"/>
                  <w:color w:val="0000EE"/>
                  <w:w w:val="98"/>
                </w:rPr>
                <w:t>Second Supplemental Indenture, dated as of July 19, 2024, among each of the subsidiaries of Medline Borrower, LP listed thereto and</w:t>
              </w:r>
            </w:hyperlink>
          </w:p>
        </w:tc>
        <w:tc>
          <w:tcPr>
            <w:tcW w:w="3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920" w:type="dxa"/>
            <w:vAlign w:val="bottom"/>
            <w:gridSpan w:val="17"/>
          </w:tcPr>
          <w:p>
            <w:pPr>
              <w:spacing w:after="0" w:line="194" w:lineRule="exact"/>
              <w:rPr>
                <w:rFonts w:ascii="Times New Roman" w:cs="Times New Roman" w:eastAsia="Times New Roman" w:hAnsi="Times New Roman"/>
                <w:sz w:val="18"/>
                <w:szCs w:val="18"/>
                <w:color w:val="0000EE"/>
                <w:w w:val="99"/>
              </w:rPr>
            </w:pPr>
            <w:hyperlink r:id="rId555">
              <w:r>
                <w:rPr>
                  <w:rFonts w:ascii="Times New Roman" w:cs="Times New Roman" w:eastAsia="Times New Roman" w:hAnsi="Times New Roman"/>
                  <w:sz w:val="18"/>
                  <w:szCs w:val="18"/>
                  <w:color w:val="0000EE"/>
                  <w:w w:val="99"/>
                </w:rPr>
                <w:t>Wilmington Trust, National Association, as trustee (incorporated by reference to Exhibit 4.3 to the Registrant’s Registration Statement on</w:t>
              </w:r>
            </w:hyperlink>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60" w:type="dxa"/>
            <w:vAlign w:val="bottom"/>
            <w:tcBorders>
              <w:top w:val="single" w:sz="8" w:color="0000EE"/>
              <w:bottom w:val="single" w:sz="8" w:color="0000EE"/>
            </w:tcBorders>
            <w:gridSpan w:val="3"/>
          </w:tcPr>
          <w:p>
            <w:pPr>
              <w:spacing w:after="0" w:line="194" w:lineRule="exact"/>
              <w:rPr>
                <w:rFonts w:ascii="Times New Roman" w:cs="Times New Roman" w:eastAsia="Times New Roman" w:hAnsi="Times New Roman"/>
                <w:sz w:val="18"/>
                <w:szCs w:val="18"/>
                <w:color w:val="0000EE"/>
                <w:w w:val="98"/>
              </w:rPr>
            </w:pPr>
            <w:hyperlink r:id="rId555">
              <w:r>
                <w:rPr>
                  <w:rFonts w:ascii="Times New Roman" w:cs="Times New Roman" w:eastAsia="Times New Roman" w:hAnsi="Times New Roman"/>
                  <w:sz w:val="18"/>
                  <w:szCs w:val="18"/>
                  <w:color w:val="0000EE"/>
                  <w:w w:val="98"/>
                </w:rPr>
                <w:t>Form S-1 filed on October 28, 2025 (File No. 333-291112))</w:t>
              </w:r>
            </w:hyperlink>
          </w:p>
        </w:tc>
        <w:tc>
          <w:tcPr>
            <w:tcW w:w="5540" w:type="dxa"/>
            <w:vAlign w:val="bottom"/>
            <w:tcBorders>
              <w:top w:val="single" w:sz="8" w:color="0000EE"/>
            </w:tcBorders>
            <w:gridSpan w:val="11"/>
          </w:tcPr>
          <w:p>
            <w:pPr>
              <w:spacing w:after="0"/>
              <w:rPr>
                <w:sz w:val="16"/>
                <w:szCs w:val="16"/>
                <w:color w:val="auto"/>
              </w:rPr>
            </w:pPr>
          </w:p>
        </w:tc>
        <w:tc>
          <w:tcPr>
            <w:tcW w:w="1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w:t>
            </w:r>
          </w:p>
        </w:tc>
        <w:tc>
          <w:tcPr>
            <w:tcW w:w="9920" w:type="dxa"/>
            <w:vAlign w:val="bottom"/>
            <w:gridSpan w:val="17"/>
          </w:tcPr>
          <w:p>
            <w:pPr>
              <w:spacing w:after="0"/>
              <w:rPr>
                <w:rFonts w:ascii="Times New Roman" w:cs="Times New Roman" w:eastAsia="Times New Roman" w:hAnsi="Times New Roman"/>
                <w:sz w:val="18"/>
                <w:szCs w:val="18"/>
                <w:color w:val="0000EE"/>
                <w:w w:val="99"/>
              </w:rPr>
            </w:pPr>
            <w:hyperlink r:id="rId556">
              <w:r>
                <w:rPr>
                  <w:rFonts w:ascii="Times New Roman" w:cs="Times New Roman" w:eastAsia="Times New Roman" w:hAnsi="Times New Roman"/>
                  <w:sz w:val="18"/>
                  <w:szCs w:val="18"/>
                  <w:color w:val="0000EE"/>
                  <w:w w:val="99"/>
                </w:rPr>
                <w:t>Third Supplemental Indenture, dated as of December 20, 2024, among each of the subsidiaries of Medline Borrower, LP listed thereto and</w:t>
              </w:r>
            </w:hyperlink>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60" w:type="dxa"/>
            <w:vAlign w:val="bottom"/>
            <w:tcBorders>
              <w:top w:val="single" w:sz="8" w:color="0000EE"/>
            </w:tcBorders>
            <w:gridSpan w:val="15"/>
          </w:tcPr>
          <w:p>
            <w:pPr>
              <w:spacing w:after="0" w:line="194" w:lineRule="exact"/>
              <w:rPr>
                <w:rFonts w:ascii="Times New Roman" w:cs="Times New Roman" w:eastAsia="Times New Roman" w:hAnsi="Times New Roman"/>
                <w:sz w:val="18"/>
                <w:szCs w:val="18"/>
                <w:color w:val="0000EE"/>
                <w:w w:val="99"/>
              </w:rPr>
            </w:pPr>
            <w:hyperlink r:id="rId556">
              <w:r>
                <w:rPr>
                  <w:rFonts w:ascii="Times New Roman" w:cs="Times New Roman" w:eastAsia="Times New Roman" w:hAnsi="Times New Roman"/>
                  <w:sz w:val="18"/>
                  <w:szCs w:val="18"/>
                  <w:color w:val="0000EE"/>
                  <w:w w:val="99"/>
                </w:rPr>
                <w:t>Wilmington Trust, National Association, as trustee (incorporated by reference to Exhibit 4.4 to the Registrant’s Registration Statement on</w:t>
              </w:r>
            </w:hyperlink>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60" w:type="dxa"/>
            <w:vAlign w:val="bottom"/>
            <w:tcBorders>
              <w:top w:val="single" w:sz="8" w:color="0000EE"/>
              <w:bottom w:val="single" w:sz="8" w:color="0000EE"/>
            </w:tcBorders>
            <w:gridSpan w:val="3"/>
          </w:tcPr>
          <w:p>
            <w:pPr>
              <w:spacing w:after="0" w:line="194" w:lineRule="exact"/>
              <w:rPr>
                <w:rFonts w:ascii="Times New Roman" w:cs="Times New Roman" w:eastAsia="Times New Roman" w:hAnsi="Times New Roman"/>
                <w:sz w:val="18"/>
                <w:szCs w:val="18"/>
                <w:color w:val="0000EE"/>
                <w:w w:val="98"/>
              </w:rPr>
            </w:pPr>
            <w:hyperlink r:id="rId556">
              <w:r>
                <w:rPr>
                  <w:rFonts w:ascii="Times New Roman" w:cs="Times New Roman" w:eastAsia="Times New Roman" w:hAnsi="Times New Roman"/>
                  <w:sz w:val="18"/>
                  <w:szCs w:val="18"/>
                  <w:color w:val="0000EE"/>
                  <w:w w:val="98"/>
                </w:rPr>
                <w:t>Form S-1 filed on October 28, 2025 (File No. 333-291112))</w:t>
              </w:r>
            </w:hyperlink>
          </w:p>
        </w:tc>
        <w:tc>
          <w:tcPr>
            <w:tcW w:w="5540" w:type="dxa"/>
            <w:vAlign w:val="bottom"/>
            <w:tcBorders>
              <w:top w:val="single" w:sz="8" w:color="0000EE"/>
            </w:tcBorders>
            <w:gridSpan w:val="11"/>
          </w:tcPr>
          <w:p>
            <w:pPr>
              <w:spacing w:after="0"/>
              <w:rPr>
                <w:sz w:val="16"/>
                <w:szCs w:val="16"/>
                <w:color w:val="auto"/>
              </w:rPr>
            </w:pPr>
          </w:p>
        </w:tc>
        <w:tc>
          <w:tcPr>
            <w:tcW w:w="1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4.5</w:t>
            </w:r>
          </w:p>
        </w:tc>
        <w:tc>
          <w:tcPr>
            <w:tcW w:w="95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r:id="rId557">
              <w:r>
                <w:rPr>
                  <w:rFonts w:ascii="Times New Roman" w:cs="Times New Roman" w:eastAsia="Times New Roman" w:hAnsi="Times New Roman"/>
                  <w:sz w:val="18"/>
                  <w:szCs w:val="18"/>
                  <w:color w:val="0000EE"/>
                  <w:w w:val="98"/>
                </w:rPr>
                <w:t>Indenture, dated as of October 15, 2021, among Mozart Debt Merger Sub Inc. and Wilmington Trust, National Association as trustee,</w:t>
              </w:r>
            </w:hyperlink>
          </w:p>
        </w:tc>
        <w:tc>
          <w:tcPr>
            <w:tcW w:w="4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740" w:type="dxa"/>
            <w:vAlign w:val="bottom"/>
            <w:tcBorders>
              <w:bottom w:val="single" w:sz="8" w:color="0000EE"/>
            </w:tcBorders>
            <w:gridSpan w:val="12"/>
          </w:tcPr>
          <w:p>
            <w:pPr>
              <w:spacing w:after="0" w:line="194" w:lineRule="exact"/>
              <w:rPr>
                <w:rFonts w:ascii="Times New Roman" w:cs="Times New Roman" w:eastAsia="Times New Roman" w:hAnsi="Times New Roman"/>
                <w:sz w:val="18"/>
                <w:szCs w:val="18"/>
                <w:color w:val="0000EE"/>
                <w:w w:val="98"/>
              </w:rPr>
            </w:pPr>
            <w:hyperlink r:id="rId557">
              <w:r>
                <w:rPr>
                  <w:rFonts w:ascii="Times New Roman" w:cs="Times New Roman" w:eastAsia="Times New Roman" w:hAnsi="Times New Roman"/>
                  <w:sz w:val="18"/>
                  <w:szCs w:val="18"/>
                  <w:color w:val="0000EE"/>
                  <w:w w:val="98"/>
                </w:rPr>
                <w:t>paying agent, transfer agent, registrar and notes collateral agent (incorporated by reference to Exhibit 4.5 to the Registrant’s Registration</w:t>
              </w:r>
            </w:hyperlink>
          </w:p>
        </w:tc>
        <w:tc>
          <w:tcPr>
            <w:tcW w:w="18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40" w:type="dxa"/>
            <w:vAlign w:val="bottom"/>
            <w:tcBorders>
              <w:bottom w:val="single" w:sz="8" w:color="0000EE"/>
            </w:tcBorders>
            <w:gridSpan w:val="5"/>
          </w:tcPr>
          <w:p>
            <w:pPr>
              <w:spacing w:after="0" w:line="194" w:lineRule="exact"/>
              <w:rPr>
                <w:rFonts w:ascii="Times New Roman" w:cs="Times New Roman" w:eastAsia="Times New Roman" w:hAnsi="Times New Roman"/>
                <w:sz w:val="18"/>
                <w:szCs w:val="18"/>
                <w:color w:val="0000EE"/>
                <w:w w:val="98"/>
              </w:rPr>
            </w:pPr>
            <w:hyperlink r:id="rId557">
              <w:r>
                <w:rPr>
                  <w:rFonts w:ascii="Times New Roman" w:cs="Times New Roman" w:eastAsia="Times New Roman" w:hAnsi="Times New Roman"/>
                  <w:sz w:val="18"/>
                  <w:szCs w:val="18"/>
                  <w:color w:val="0000EE"/>
                  <w:w w:val="98"/>
                </w:rPr>
                <w:t>Statement on Form S-1 filed on October 28, 2025 (File No. 333-291112))</w:t>
              </w:r>
            </w:hyperlink>
          </w:p>
        </w:tc>
        <w:tc>
          <w:tcPr>
            <w:tcW w:w="4680" w:type="dxa"/>
            <w:vAlign w:val="bottom"/>
            <w:gridSpan w:val="12"/>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4.6</w:t>
            </w:r>
          </w:p>
        </w:tc>
        <w:tc>
          <w:tcPr>
            <w:tcW w:w="96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r:id="rId558">
              <w:r>
                <w:rPr>
                  <w:rFonts w:ascii="Times New Roman" w:cs="Times New Roman" w:eastAsia="Times New Roman" w:hAnsi="Times New Roman"/>
                  <w:sz w:val="18"/>
                  <w:szCs w:val="18"/>
                  <w:color w:val="0000EE"/>
                  <w:w w:val="98"/>
                </w:rPr>
                <w:t>First Supplemental Indenture, dated as of October 21, 2021, among each of the subsidiaries of Medline Borrower, LP listed thereto and</w:t>
              </w:r>
            </w:hyperlink>
          </w:p>
        </w:tc>
        <w:tc>
          <w:tcPr>
            <w:tcW w:w="2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920" w:type="dxa"/>
            <w:vAlign w:val="bottom"/>
            <w:gridSpan w:val="17"/>
          </w:tcPr>
          <w:p>
            <w:pPr>
              <w:spacing w:after="0" w:line="194" w:lineRule="exact"/>
              <w:rPr>
                <w:rFonts w:ascii="Times New Roman" w:cs="Times New Roman" w:eastAsia="Times New Roman" w:hAnsi="Times New Roman"/>
                <w:sz w:val="18"/>
                <w:szCs w:val="18"/>
                <w:color w:val="0000EE"/>
                <w:w w:val="99"/>
              </w:rPr>
            </w:pPr>
            <w:hyperlink r:id="rId558">
              <w:r>
                <w:rPr>
                  <w:rFonts w:ascii="Times New Roman" w:cs="Times New Roman" w:eastAsia="Times New Roman" w:hAnsi="Times New Roman"/>
                  <w:sz w:val="18"/>
                  <w:szCs w:val="18"/>
                  <w:color w:val="0000EE"/>
                  <w:w w:val="99"/>
                </w:rPr>
                <w:t>Wilmington Trust, National Association, as trustee (incorporated by reference to Exhibit 4.6 to the Registrant’s Registration Statement on</w:t>
              </w:r>
            </w:hyperlink>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60" w:type="dxa"/>
            <w:vAlign w:val="bottom"/>
            <w:tcBorders>
              <w:top w:val="single" w:sz="8" w:color="0000EE"/>
              <w:bottom w:val="single" w:sz="8" w:color="0000EE"/>
            </w:tcBorders>
            <w:gridSpan w:val="3"/>
          </w:tcPr>
          <w:p>
            <w:pPr>
              <w:spacing w:after="0" w:line="194" w:lineRule="exact"/>
              <w:rPr>
                <w:rFonts w:ascii="Times New Roman" w:cs="Times New Roman" w:eastAsia="Times New Roman" w:hAnsi="Times New Roman"/>
                <w:sz w:val="18"/>
                <w:szCs w:val="18"/>
                <w:color w:val="0000EE"/>
                <w:w w:val="98"/>
              </w:rPr>
            </w:pPr>
            <w:hyperlink r:id="rId558">
              <w:r>
                <w:rPr>
                  <w:rFonts w:ascii="Times New Roman" w:cs="Times New Roman" w:eastAsia="Times New Roman" w:hAnsi="Times New Roman"/>
                  <w:sz w:val="18"/>
                  <w:szCs w:val="18"/>
                  <w:color w:val="0000EE"/>
                  <w:w w:val="98"/>
                </w:rPr>
                <w:t>Form S-1 filed on October 28, 2025 (File No. 333-291112))</w:t>
              </w:r>
            </w:hyperlink>
          </w:p>
        </w:tc>
        <w:tc>
          <w:tcPr>
            <w:tcW w:w="5540" w:type="dxa"/>
            <w:vAlign w:val="bottom"/>
            <w:tcBorders>
              <w:top w:val="single" w:sz="8" w:color="0000EE"/>
            </w:tcBorders>
            <w:gridSpan w:val="11"/>
          </w:tcPr>
          <w:p>
            <w:pPr>
              <w:spacing w:after="0"/>
              <w:rPr>
                <w:sz w:val="16"/>
                <w:szCs w:val="16"/>
                <w:color w:val="auto"/>
              </w:rPr>
            </w:pPr>
          </w:p>
        </w:tc>
        <w:tc>
          <w:tcPr>
            <w:tcW w:w="1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4.7</w:t>
            </w:r>
          </w:p>
        </w:tc>
        <w:tc>
          <w:tcPr>
            <w:tcW w:w="95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r:id="rId559">
              <w:r>
                <w:rPr>
                  <w:rFonts w:ascii="Times New Roman" w:cs="Times New Roman" w:eastAsia="Times New Roman" w:hAnsi="Times New Roman"/>
                  <w:sz w:val="18"/>
                  <w:szCs w:val="18"/>
                  <w:color w:val="0000EE"/>
                  <w:w w:val="98"/>
                </w:rPr>
                <w:t>Second Supplemental Indenture, dated as of July 19, 2024, among each of the subsidiaries of Medline Borrower, LP listed thereto and</w:t>
              </w:r>
            </w:hyperlink>
          </w:p>
        </w:tc>
        <w:tc>
          <w:tcPr>
            <w:tcW w:w="3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920" w:type="dxa"/>
            <w:vAlign w:val="bottom"/>
            <w:gridSpan w:val="17"/>
          </w:tcPr>
          <w:p>
            <w:pPr>
              <w:spacing w:after="0" w:line="194" w:lineRule="exact"/>
              <w:rPr>
                <w:rFonts w:ascii="Times New Roman" w:cs="Times New Roman" w:eastAsia="Times New Roman" w:hAnsi="Times New Roman"/>
                <w:sz w:val="18"/>
                <w:szCs w:val="18"/>
                <w:color w:val="0000EE"/>
                <w:w w:val="99"/>
              </w:rPr>
            </w:pPr>
            <w:hyperlink r:id="rId559">
              <w:r>
                <w:rPr>
                  <w:rFonts w:ascii="Times New Roman" w:cs="Times New Roman" w:eastAsia="Times New Roman" w:hAnsi="Times New Roman"/>
                  <w:sz w:val="18"/>
                  <w:szCs w:val="18"/>
                  <w:color w:val="0000EE"/>
                  <w:w w:val="99"/>
                </w:rPr>
                <w:t>Wilmington Trust, National Association, as trustee (incorporated by reference to Exhibit 4.7 to the Registrant’s Registration Statement on</w:t>
              </w:r>
            </w:hyperlink>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60" w:type="dxa"/>
            <w:vAlign w:val="bottom"/>
            <w:tcBorders>
              <w:top w:val="single" w:sz="8" w:color="0000EE"/>
              <w:bottom w:val="single" w:sz="8" w:color="0000EE"/>
            </w:tcBorders>
            <w:gridSpan w:val="3"/>
          </w:tcPr>
          <w:p>
            <w:pPr>
              <w:spacing w:after="0" w:line="194" w:lineRule="exact"/>
              <w:rPr>
                <w:rFonts w:ascii="Times New Roman" w:cs="Times New Roman" w:eastAsia="Times New Roman" w:hAnsi="Times New Roman"/>
                <w:sz w:val="18"/>
                <w:szCs w:val="18"/>
                <w:color w:val="0000EE"/>
                <w:w w:val="98"/>
              </w:rPr>
            </w:pPr>
            <w:hyperlink r:id="rId559">
              <w:r>
                <w:rPr>
                  <w:rFonts w:ascii="Times New Roman" w:cs="Times New Roman" w:eastAsia="Times New Roman" w:hAnsi="Times New Roman"/>
                  <w:sz w:val="18"/>
                  <w:szCs w:val="18"/>
                  <w:color w:val="0000EE"/>
                  <w:w w:val="98"/>
                </w:rPr>
                <w:t>Form S-1 filed on October 28, 2025 (File No. 333-291112))</w:t>
              </w:r>
            </w:hyperlink>
          </w:p>
        </w:tc>
        <w:tc>
          <w:tcPr>
            <w:tcW w:w="5540" w:type="dxa"/>
            <w:vAlign w:val="bottom"/>
            <w:tcBorders>
              <w:top w:val="single" w:sz="8" w:color="0000EE"/>
            </w:tcBorders>
            <w:gridSpan w:val="11"/>
          </w:tcPr>
          <w:p>
            <w:pPr>
              <w:spacing w:after="0"/>
              <w:rPr>
                <w:sz w:val="16"/>
                <w:szCs w:val="16"/>
                <w:color w:val="auto"/>
              </w:rPr>
            </w:pPr>
          </w:p>
        </w:tc>
        <w:tc>
          <w:tcPr>
            <w:tcW w:w="1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4.8</w:t>
            </w:r>
          </w:p>
        </w:tc>
        <w:tc>
          <w:tcPr>
            <w:tcW w:w="9920" w:type="dxa"/>
            <w:vAlign w:val="bottom"/>
            <w:gridSpan w:val="17"/>
          </w:tcPr>
          <w:p>
            <w:pPr>
              <w:spacing w:after="0"/>
              <w:rPr>
                <w:rFonts w:ascii="Times New Roman" w:cs="Times New Roman" w:eastAsia="Times New Roman" w:hAnsi="Times New Roman"/>
                <w:sz w:val="18"/>
                <w:szCs w:val="18"/>
                <w:color w:val="0000EE"/>
                <w:w w:val="99"/>
              </w:rPr>
            </w:pPr>
            <w:hyperlink r:id="rId560">
              <w:r>
                <w:rPr>
                  <w:rFonts w:ascii="Times New Roman" w:cs="Times New Roman" w:eastAsia="Times New Roman" w:hAnsi="Times New Roman"/>
                  <w:sz w:val="18"/>
                  <w:szCs w:val="18"/>
                  <w:color w:val="0000EE"/>
                  <w:w w:val="99"/>
                </w:rPr>
                <w:t>Third Supplemental Indenture, dated as of December 20, 2024, among each of the subsidiaries of Medline Borrower, LP listed thereto and</w:t>
              </w:r>
            </w:hyperlink>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60" w:type="dxa"/>
            <w:vAlign w:val="bottom"/>
            <w:tcBorders>
              <w:top w:val="single" w:sz="8" w:color="0000EE"/>
            </w:tcBorders>
            <w:gridSpan w:val="15"/>
          </w:tcPr>
          <w:p>
            <w:pPr>
              <w:spacing w:after="0" w:line="194" w:lineRule="exact"/>
              <w:rPr>
                <w:rFonts w:ascii="Times New Roman" w:cs="Times New Roman" w:eastAsia="Times New Roman" w:hAnsi="Times New Roman"/>
                <w:sz w:val="18"/>
                <w:szCs w:val="18"/>
                <w:color w:val="0000EE"/>
                <w:w w:val="99"/>
              </w:rPr>
            </w:pPr>
            <w:hyperlink r:id="rId560">
              <w:r>
                <w:rPr>
                  <w:rFonts w:ascii="Times New Roman" w:cs="Times New Roman" w:eastAsia="Times New Roman" w:hAnsi="Times New Roman"/>
                  <w:sz w:val="18"/>
                  <w:szCs w:val="18"/>
                  <w:color w:val="0000EE"/>
                  <w:w w:val="99"/>
                </w:rPr>
                <w:t>Wilmington Trust, National Association, as trustee (incorporated by reference to Exhibit 4.8 to the Registrant’s Registration Statement on</w:t>
              </w:r>
            </w:hyperlink>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60" w:type="dxa"/>
            <w:vAlign w:val="bottom"/>
            <w:tcBorders>
              <w:top w:val="single" w:sz="8" w:color="0000EE"/>
              <w:bottom w:val="single" w:sz="8" w:color="0000EE"/>
            </w:tcBorders>
            <w:gridSpan w:val="3"/>
          </w:tcPr>
          <w:p>
            <w:pPr>
              <w:spacing w:after="0" w:line="194" w:lineRule="exact"/>
              <w:rPr>
                <w:rFonts w:ascii="Times New Roman" w:cs="Times New Roman" w:eastAsia="Times New Roman" w:hAnsi="Times New Roman"/>
                <w:sz w:val="18"/>
                <w:szCs w:val="18"/>
                <w:color w:val="0000EE"/>
                <w:w w:val="98"/>
              </w:rPr>
            </w:pPr>
            <w:hyperlink r:id="rId560">
              <w:r>
                <w:rPr>
                  <w:rFonts w:ascii="Times New Roman" w:cs="Times New Roman" w:eastAsia="Times New Roman" w:hAnsi="Times New Roman"/>
                  <w:sz w:val="18"/>
                  <w:szCs w:val="18"/>
                  <w:color w:val="0000EE"/>
                  <w:w w:val="98"/>
                </w:rPr>
                <w:t>Form S-1 filed on October 28, 2025 (File No. 333-291112))</w:t>
              </w:r>
            </w:hyperlink>
          </w:p>
        </w:tc>
        <w:tc>
          <w:tcPr>
            <w:tcW w:w="5540" w:type="dxa"/>
            <w:vAlign w:val="bottom"/>
            <w:tcBorders>
              <w:top w:val="single" w:sz="8" w:color="0000EE"/>
            </w:tcBorders>
            <w:gridSpan w:val="11"/>
          </w:tcPr>
          <w:p>
            <w:pPr>
              <w:spacing w:after="0"/>
              <w:rPr>
                <w:sz w:val="16"/>
                <w:szCs w:val="16"/>
                <w:color w:val="auto"/>
              </w:rPr>
            </w:pPr>
          </w:p>
        </w:tc>
        <w:tc>
          <w:tcPr>
            <w:tcW w:w="1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4.9</w:t>
            </w:r>
          </w:p>
        </w:tc>
        <w:tc>
          <w:tcPr>
            <w:tcW w:w="9920" w:type="dxa"/>
            <w:vAlign w:val="bottom"/>
            <w:gridSpan w:val="17"/>
          </w:tcPr>
          <w:p>
            <w:pPr>
              <w:spacing w:after="0"/>
              <w:rPr>
                <w:rFonts w:ascii="Times New Roman" w:cs="Times New Roman" w:eastAsia="Times New Roman" w:hAnsi="Times New Roman"/>
                <w:sz w:val="18"/>
                <w:szCs w:val="18"/>
                <w:color w:val="0000EE"/>
              </w:rPr>
            </w:pPr>
            <w:hyperlink r:id="rId561">
              <w:r>
                <w:rPr>
                  <w:rFonts w:ascii="Times New Roman" w:cs="Times New Roman" w:eastAsia="Times New Roman" w:hAnsi="Times New Roman"/>
                  <w:sz w:val="18"/>
                  <w:szCs w:val="18"/>
                  <w:color w:val="0000EE"/>
                </w:rPr>
                <w:t>Indenture, dated as of March 27, 2024, among Medline Borrower, LP, Medline Co-Issuer, Inc., Medline Intermediate, LP, the Subsidiary</w:t>
              </w:r>
            </w:hyperlink>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40" w:type="dxa"/>
            <w:vAlign w:val="bottom"/>
            <w:tcBorders>
              <w:top w:val="single" w:sz="8" w:color="0000EE"/>
              <w:bottom w:val="single" w:sz="8" w:color="0000EE"/>
            </w:tcBorders>
            <w:gridSpan w:val="6"/>
          </w:tcPr>
          <w:p>
            <w:pPr>
              <w:spacing w:after="0" w:line="194" w:lineRule="exact"/>
              <w:rPr>
                <w:rFonts w:ascii="Times New Roman" w:cs="Times New Roman" w:eastAsia="Times New Roman" w:hAnsi="Times New Roman"/>
                <w:sz w:val="18"/>
                <w:szCs w:val="18"/>
                <w:color w:val="0000EE"/>
                <w:w w:val="98"/>
              </w:rPr>
            </w:pPr>
            <w:hyperlink r:id="rId561">
              <w:r>
                <w:rPr>
                  <w:rFonts w:ascii="Times New Roman" w:cs="Times New Roman" w:eastAsia="Times New Roman" w:hAnsi="Times New Roman"/>
                  <w:sz w:val="18"/>
                  <w:szCs w:val="18"/>
                  <w:color w:val="0000EE"/>
                  <w:w w:val="98"/>
                </w:rPr>
                <w:t>Guarantors named therein and Wilmington Trust, National Association as trustee, paying agent, transfer agent, registrar and notes</w:t>
              </w:r>
            </w:hyperlink>
          </w:p>
        </w:tc>
        <w:tc>
          <w:tcPr>
            <w:tcW w:w="480" w:type="dxa"/>
            <w:vAlign w:val="bottom"/>
            <w:tcBorders>
              <w:top w:val="single" w:sz="8" w:color="0000EE"/>
            </w:tcBorders>
            <w:gridSpan w:val="5"/>
          </w:tcPr>
          <w:p>
            <w:pPr>
              <w:spacing w:after="0"/>
              <w:rPr>
                <w:sz w:val="16"/>
                <w:szCs w:val="16"/>
                <w:color w:val="auto"/>
              </w:rPr>
            </w:pPr>
          </w:p>
        </w:tc>
        <w:tc>
          <w:tcPr>
            <w:tcW w:w="20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920" w:type="dxa"/>
            <w:vAlign w:val="bottom"/>
            <w:gridSpan w:val="17"/>
          </w:tcPr>
          <w:p>
            <w:pPr>
              <w:spacing w:after="0" w:line="194" w:lineRule="exact"/>
              <w:rPr>
                <w:rFonts w:ascii="Times New Roman" w:cs="Times New Roman" w:eastAsia="Times New Roman" w:hAnsi="Times New Roman"/>
                <w:sz w:val="18"/>
                <w:szCs w:val="18"/>
                <w:color w:val="0000EE"/>
                <w:w w:val="99"/>
              </w:rPr>
            </w:pPr>
            <w:hyperlink r:id="rId561">
              <w:r>
                <w:rPr>
                  <w:rFonts w:ascii="Times New Roman" w:cs="Times New Roman" w:eastAsia="Times New Roman" w:hAnsi="Times New Roman"/>
                  <w:sz w:val="18"/>
                  <w:szCs w:val="18"/>
                  <w:color w:val="0000EE"/>
                  <w:w w:val="99"/>
                </w:rPr>
                <w:t>collateral agent (incorporated by reference to Exhibit 4.9 to the Registrant’s Registration Statement on Form S-1 filed on October 28, 2025</w:t>
              </w:r>
            </w:hyperlink>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60" w:type="dxa"/>
            <w:vAlign w:val="bottom"/>
            <w:tcBorders>
              <w:top w:val="single" w:sz="8" w:color="0000EE"/>
              <w:bottom w:val="single" w:sz="8" w:color="0000EE"/>
            </w:tcBorders>
          </w:tcPr>
          <w:p>
            <w:pPr>
              <w:spacing w:after="0" w:line="194" w:lineRule="exact"/>
              <w:rPr>
                <w:rFonts w:ascii="Times New Roman" w:cs="Times New Roman" w:eastAsia="Times New Roman" w:hAnsi="Times New Roman"/>
                <w:sz w:val="18"/>
                <w:szCs w:val="18"/>
                <w:color w:val="0000EE"/>
                <w:w w:val="97"/>
              </w:rPr>
            </w:pPr>
            <w:hyperlink r:id="rId561">
              <w:r>
                <w:rPr>
                  <w:rFonts w:ascii="Times New Roman" w:cs="Times New Roman" w:eastAsia="Times New Roman" w:hAnsi="Times New Roman"/>
                  <w:sz w:val="18"/>
                  <w:szCs w:val="18"/>
                  <w:color w:val="0000EE"/>
                  <w:w w:val="97"/>
                </w:rPr>
                <w:t>(File No. 333-291112))</w:t>
              </w:r>
            </w:hyperlink>
          </w:p>
        </w:tc>
        <w:tc>
          <w:tcPr>
            <w:tcW w:w="8220" w:type="dxa"/>
            <w:vAlign w:val="bottom"/>
            <w:tcBorders>
              <w:top w:val="single" w:sz="8" w:color="0000EE"/>
            </w:tcBorders>
            <w:gridSpan w:val="15"/>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080"/>
          </w:cols>
          <w:pgMar w:left="320" w:top="451" w:right="49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920" w:type="dxa"/>
            <w:vAlign w:val="bottom"/>
            <w:gridSpan w:val="28"/>
          </w:tcPr>
          <w:p>
            <w:pPr>
              <w:ind w:left="880"/>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gridSpan w:val="28"/>
          </w:tcPr>
          <w:p>
            <w:pPr>
              <w:ind w:left="1380"/>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tc>
        <w:tc>
          <w:tcPr>
            <w:tcW w:w="0" w:type="dxa"/>
            <w:vAlign w:val="bottom"/>
          </w:tcPr>
          <w:p>
            <w:pPr>
              <w:spacing w:after="0"/>
              <w:rPr>
                <w:sz w:val="1"/>
                <w:szCs w:val="1"/>
                <w:color w:val="auto"/>
              </w:rPr>
            </w:pPr>
          </w:p>
        </w:tc>
      </w:tr>
      <w:tr>
        <w:trPr>
          <w:trHeight w:val="269"/>
        </w:trPr>
        <w:tc>
          <w:tcPr>
            <w:tcW w:w="100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380" w:type="dxa"/>
            <w:vAlign w:val="bottom"/>
            <w:gridSpan w:val="23"/>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9"/>
        </w:trPr>
        <w:tc>
          <w:tcPr>
            <w:tcW w:w="180" w:type="dxa"/>
            <w:vAlign w:val="bottom"/>
          </w:tcPr>
          <w:p>
            <w:pPr>
              <w:spacing w:after="0"/>
              <w:rPr>
                <w:sz w:val="15"/>
                <w:szCs w:val="15"/>
                <w:color w:val="auto"/>
              </w:rPr>
            </w:pPr>
          </w:p>
        </w:tc>
        <w:tc>
          <w:tcPr>
            <w:tcW w:w="82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No.</w:t>
            </w:r>
          </w:p>
        </w:tc>
        <w:tc>
          <w:tcPr>
            <w:tcW w:w="19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380" w:type="dxa"/>
            <w:vAlign w:val="bottom"/>
            <w:tcBorders>
              <w:bottom w:val="single" w:sz="8" w:color="auto"/>
            </w:tcBorders>
            <w:gridSpan w:val="2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4.10</w:t>
            </w:r>
          </w:p>
        </w:tc>
        <w:tc>
          <w:tcPr>
            <w:tcW w:w="9920" w:type="dxa"/>
            <w:vAlign w:val="bottom"/>
            <w:gridSpan w:val="28"/>
          </w:tcPr>
          <w:p>
            <w:pPr>
              <w:spacing w:after="0"/>
              <w:rPr>
                <w:rFonts w:ascii="Times New Roman" w:cs="Times New Roman" w:eastAsia="Times New Roman" w:hAnsi="Times New Roman"/>
                <w:sz w:val="18"/>
                <w:szCs w:val="18"/>
                <w:color w:val="0000EE"/>
              </w:rPr>
            </w:pPr>
            <w:hyperlink r:id="rId563">
              <w:r>
                <w:rPr>
                  <w:rFonts w:ascii="Times New Roman" w:cs="Times New Roman" w:eastAsia="Times New Roman" w:hAnsi="Times New Roman"/>
                  <w:sz w:val="18"/>
                  <w:szCs w:val="18"/>
                  <w:color w:val="0000EE"/>
                </w:rPr>
                <w:t>First Supplemental Indenture, dated as of June 24, 2024, among each of the subsidiaries of Medline Borrower, LP listed thereto and</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80" w:type="dxa"/>
            <w:vAlign w:val="bottom"/>
            <w:tcBorders>
              <w:bottom w:val="single" w:sz="8" w:color="0000EE"/>
            </w:tcBorders>
            <w:gridSpan w:val="17"/>
          </w:tcPr>
          <w:p>
            <w:pPr>
              <w:spacing w:after="0" w:line="194" w:lineRule="exact"/>
              <w:rPr>
                <w:rFonts w:ascii="Times New Roman" w:cs="Times New Roman" w:eastAsia="Times New Roman" w:hAnsi="Times New Roman"/>
                <w:sz w:val="18"/>
                <w:szCs w:val="18"/>
                <w:color w:val="0000EE"/>
                <w:w w:val="98"/>
              </w:rPr>
            </w:pPr>
            <w:hyperlink r:id="rId563">
              <w:r>
                <w:rPr>
                  <w:rFonts w:ascii="Times New Roman" w:cs="Times New Roman" w:eastAsia="Times New Roman" w:hAnsi="Times New Roman"/>
                  <w:sz w:val="18"/>
                  <w:szCs w:val="18"/>
                  <w:color w:val="0000EE"/>
                  <w:w w:val="98"/>
                </w:rPr>
                <w:t>Wilmington Trust, National Association, as trustee and collateral agent (incorporated by reference to Exhibit 4.10 to the Registrant’s</w:t>
              </w:r>
            </w:hyperlink>
          </w:p>
        </w:tc>
        <w:tc>
          <w:tcPr>
            <w:tcW w:w="440" w:type="dxa"/>
            <w:vAlign w:val="bottom"/>
            <w:gridSpan w:val="11"/>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180" w:type="dxa"/>
            <w:vAlign w:val="bottom"/>
            <w:tcBorders>
              <w:bottom w:val="single" w:sz="8" w:color="0000EE"/>
            </w:tcBorders>
            <w:gridSpan w:val="7"/>
          </w:tcPr>
          <w:p>
            <w:pPr>
              <w:spacing w:after="0" w:line="194" w:lineRule="exact"/>
              <w:rPr>
                <w:rFonts w:ascii="Times New Roman" w:cs="Times New Roman" w:eastAsia="Times New Roman" w:hAnsi="Times New Roman"/>
                <w:sz w:val="18"/>
                <w:szCs w:val="18"/>
                <w:color w:val="0000EE"/>
                <w:w w:val="98"/>
              </w:rPr>
            </w:pPr>
            <w:hyperlink r:id="rId563">
              <w:r>
                <w:rPr>
                  <w:rFonts w:ascii="Times New Roman" w:cs="Times New Roman" w:eastAsia="Times New Roman" w:hAnsi="Times New Roman"/>
                  <w:sz w:val="18"/>
                  <w:szCs w:val="18"/>
                  <w:color w:val="0000EE"/>
                  <w:w w:val="98"/>
                </w:rPr>
                <w:t>Registration Statement on Form S-1 filed on October 28, 2025 (File No. 333-291112))</w:t>
              </w:r>
            </w:hyperlink>
          </w:p>
        </w:tc>
        <w:tc>
          <w:tcPr>
            <w:tcW w:w="3740" w:type="dxa"/>
            <w:vAlign w:val="bottom"/>
            <w:gridSpan w:val="21"/>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4.11</w:t>
            </w:r>
          </w:p>
        </w:tc>
        <w:tc>
          <w:tcPr>
            <w:tcW w:w="95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8"/>
              </w:rPr>
            </w:pPr>
            <w:hyperlink r:id="rId564">
              <w:r>
                <w:rPr>
                  <w:rFonts w:ascii="Times New Roman" w:cs="Times New Roman" w:eastAsia="Times New Roman" w:hAnsi="Times New Roman"/>
                  <w:sz w:val="18"/>
                  <w:szCs w:val="18"/>
                  <w:color w:val="0000EE"/>
                  <w:w w:val="98"/>
                </w:rPr>
                <w:t>Second Supplemental Indenture, dated as of July 19, 2024, among each of the subsidiaries of Medline Borrower, LP listed thereto and</w:t>
              </w:r>
            </w:hyperlink>
          </w:p>
        </w:tc>
        <w:tc>
          <w:tcPr>
            <w:tcW w:w="3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40" w:type="dxa"/>
            <w:vAlign w:val="bottom"/>
            <w:tcBorders>
              <w:bottom w:val="single" w:sz="8" w:color="0000EE"/>
            </w:tcBorders>
            <w:gridSpan w:val="15"/>
          </w:tcPr>
          <w:p>
            <w:pPr>
              <w:spacing w:after="0" w:line="194" w:lineRule="exact"/>
              <w:rPr>
                <w:rFonts w:ascii="Times New Roman" w:cs="Times New Roman" w:eastAsia="Times New Roman" w:hAnsi="Times New Roman"/>
                <w:sz w:val="18"/>
                <w:szCs w:val="18"/>
                <w:color w:val="0000EE"/>
                <w:w w:val="98"/>
              </w:rPr>
            </w:pPr>
            <w:hyperlink r:id="rId564">
              <w:r>
                <w:rPr>
                  <w:rFonts w:ascii="Times New Roman" w:cs="Times New Roman" w:eastAsia="Times New Roman" w:hAnsi="Times New Roman"/>
                  <w:sz w:val="18"/>
                  <w:szCs w:val="18"/>
                  <w:color w:val="0000EE"/>
                  <w:w w:val="98"/>
                </w:rPr>
                <w:t>Wilmington Trust, National Association, as trustee and collateral agent (incorporated by reference to Exhibit 4.11 to the Registrant’s</w:t>
              </w:r>
            </w:hyperlink>
          </w:p>
        </w:tc>
        <w:tc>
          <w:tcPr>
            <w:tcW w:w="480" w:type="dxa"/>
            <w:vAlign w:val="bottom"/>
            <w:gridSpan w:val="13"/>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180" w:type="dxa"/>
            <w:vAlign w:val="bottom"/>
            <w:tcBorders>
              <w:bottom w:val="single" w:sz="8" w:color="0000EE"/>
            </w:tcBorders>
            <w:gridSpan w:val="7"/>
          </w:tcPr>
          <w:p>
            <w:pPr>
              <w:spacing w:after="0" w:line="194" w:lineRule="exact"/>
              <w:rPr>
                <w:rFonts w:ascii="Times New Roman" w:cs="Times New Roman" w:eastAsia="Times New Roman" w:hAnsi="Times New Roman"/>
                <w:sz w:val="18"/>
                <w:szCs w:val="18"/>
                <w:color w:val="0000EE"/>
                <w:w w:val="98"/>
              </w:rPr>
            </w:pPr>
            <w:hyperlink r:id="rId564">
              <w:r>
                <w:rPr>
                  <w:rFonts w:ascii="Times New Roman" w:cs="Times New Roman" w:eastAsia="Times New Roman" w:hAnsi="Times New Roman"/>
                  <w:sz w:val="18"/>
                  <w:szCs w:val="18"/>
                  <w:color w:val="0000EE"/>
                  <w:w w:val="98"/>
                </w:rPr>
                <w:t>Registration Statement on Form S-1 filed on October 28, 2025 (File No. 333-291112))</w:t>
              </w:r>
            </w:hyperlink>
          </w:p>
        </w:tc>
        <w:tc>
          <w:tcPr>
            <w:tcW w:w="3740" w:type="dxa"/>
            <w:vAlign w:val="bottom"/>
            <w:gridSpan w:val="21"/>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4.12</w:t>
            </w:r>
          </w:p>
        </w:tc>
        <w:tc>
          <w:tcPr>
            <w:tcW w:w="9920" w:type="dxa"/>
            <w:vAlign w:val="bottom"/>
            <w:gridSpan w:val="28"/>
          </w:tcPr>
          <w:p>
            <w:pPr>
              <w:spacing w:after="0"/>
              <w:rPr>
                <w:rFonts w:ascii="Times New Roman" w:cs="Times New Roman" w:eastAsia="Times New Roman" w:hAnsi="Times New Roman"/>
                <w:sz w:val="18"/>
                <w:szCs w:val="18"/>
                <w:color w:val="0000EE"/>
                <w:w w:val="99"/>
              </w:rPr>
            </w:pPr>
            <w:hyperlink r:id="rId565">
              <w:r>
                <w:rPr>
                  <w:rFonts w:ascii="Times New Roman" w:cs="Times New Roman" w:eastAsia="Times New Roman" w:hAnsi="Times New Roman"/>
                  <w:sz w:val="18"/>
                  <w:szCs w:val="18"/>
                  <w:color w:val="0000EE"/>
                  <w:w w:val="99"/>
                </w:rPr>
                <w:t>Third Supplemental Indenture, dated as of December 20, 2024, among each of the subsidiaries of Medline Borrower, LP listed thereto and</w:t>
              </w:r>
            </w:hyperlink>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80" w:type="dxa"/>
            <w:vAlign w:val="bottom"/>
            <w:tcBorders>
              <w:top w:val="single" w:sz="8" w:color="0000EE"/>
              <w:bottom w:val="single" w:sz="8" w:color="0000EE"/>
            </w:tcBorders>
            <w:gridSpan w:val="17"/>
          </w:tcPr>
          <w:p>
            <w:pPr>
              <w:spacing w:after="0" w:line="194" w:lineRule="exact"/>
              <w:rPr>
                <w:rFonts w:ascii="Times New Roman" w:cs="Times New Roman" w:eastAsia="Times New Roman" w:hAnsi="Times New Roman"/>
                <w:sz w:val="18"/>
                <w:szCs w:val="18"/>
                <w:color w:val="0000EE"/>
                <w:w w:val="98"/>
              </w:rPr>
            </w:pPr>
            <w:hyperlink r:id="rId565">
              <w:r>
                <w:rPr>
                  <w:rFonts w:ascii="Times New Roman" w:cs="Times New Roman" w:eastAsia="Times New Roman" w:hAnsi="Times New Roman"/>
                  <w:sz w:val="18"/>
                  <w:szCs w:val="18"/>
                  <w:color w:val="0000EE"/>
                  <w:w w:val="98"/>
                </w:rPr>
                <w:t>Wilmington Trust, National Association, as trustee and collateral agent (incorporated by reference to Exhibit 4.12 to the Registrant’s</w:t>
              </w:r>
            </w:hyperlink>
          </w:p>
        </w:tc>
        <w:tc>
          <w:tcPr>
            <w:tcW w:w="380" w:type="dxa"/>
            <w:vAlign w:val="bottom"/>
            <w:tcBorders>
              <w:top w:val="single" w:sz="8" w:color="0000EE"/>
            </w:tcBorders>
            <w:gridSpan w:val="9"/>
          </w:tcPr>
          <w:p>
            <w:pPr>
              <w:spacing w:after="0"/>
              <w:rPr>
                <w:sz w:val="16"/>
                <w:szCs w:val="16"/>
                <w:color w:val="auto"/>
              </w:rPr>
            </w:pP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160" w:type="dxa"/>
            <w:vAlign w:val="bottom"/>
            <w:tcBorders>
              <w:bottom w:val="single" w:sz="8" w:color="0000EE"/>
            </w:tcBorders>
            <w:gridSpan w:val="6"/>
          </w:tcPr>
          <w:p>
            <w:pPr>
              <w:spacing w:after="0" w:line="194" w:lineRule="exact"/>
              <w:rPr>
                <w:rFonts w:ascii="Times New Roman" w:cs="Times New Roman" w:eastAsia="Times New Roman" w:hAnsi="Times New Roman"/>
                <w:sz w:val="18"/>
                <w:szCs w:val="18"/>
                <w:color w:val="0000EE"/>
                <w:w w:val="98"/>
              </w:rPr>
            </w:pPr>
            <w:hyperlink r:id="rId565">
              <w:r>
                <w:rPr>
                  <w:rFonts w:ascii="Times New Roman" w:cs="Times New Roman" w:eastAsia="Times New Roman" w:hAnsi="Times New Roman"/>
                  <w:sz w:val="18"/>
                  <w:szCs w:val="18"/>
                  <w:color w:val="0000EE"/>
                  <w:w w:val="98"/>
                </w:rPr>
                <w:t>Registration Statement on Form S-1 filed on October 28, 2025 (File No. 333-291112))</w:t>
              </w:r>
            </w:hyperlink>
          </w:p>
        </w:tc>
        <w:tc>
          <w:tcPr>
            <w:tcW w:w="3760" w:type="dxa"/>
            <w:vAlign w:val="bottom"/>
            <w:gridSpan w:val="22"/>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5.1</w:t>
            </w:r>
          </w:p>
        </w:tc>
        <w:tc>
          <w:tcPr>
            <w:tcW w:w="99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Opinion of Simpson Thacher &amp; Bartlett LLP*</w:t>
            </w:r>
          </w:p>
        </w:tc>
        <w:tc>
          <w:tcPr>
            <w:tcW w:w="0" w:type="dxa"/>
            <w:vAlign w:val="bottom"/>
          </w:tcPr>
          <w:p>
            <w:pPr>
              <w:spacing w:after="0"/>
              <w:rPr>
                <w:sz w:val="1"/>
                <w:szCs w:val="1"/>
                <w:color w:val="auto"/>
              </w:rPr>
            </w:pPr>
          </w:p>
        </w:tc>
      </w:tr>
      <w:tr>
        <w:trPr>
          <w:trHeight w:val="280"/>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600" w:type="dxa"/>
            <w:vAlign w:val="bottom"/>
          </w:tcPr>
          <w:p>
            <w:pPr>
              <w:spacing w:after="0"/>
              <w:rPr>
                <w:sz w:val="24"/>
                <w:szCs w:val="24"/>
                <w:color w:val="auto"/>
              </w:rPr>
            </w:pPr>
          </w:p>
        </w:tc>
        <w:tc>
          <w:tcPr>
            <w:tcW w:w="98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8"/>
              </w:rPr>
            </w:pPr>
            <w:hyperlink r:id="rId566">
              <w:r>
                <w:rPr>
                  <w:rFonts w:ascii="Times New Roman" w:cs="Times New Roman" w:eastAsia="Times New Roman" w:hAnsi="Times New Roman"/>
                  <w:sz w:val="18"/>
                  <w:szCs w:val="18"/>
                  <w:color w:val="0000EE"/>
                  <w:w w:val="98"/>
                </w:rPr>
                <w:t>Second Amended and Restated Limited Partnership Agreement of Medline Holdings, LP (incorporated by reference to Exhibit 10.1 to the</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920" w:type="dxa"/>
            <w:vAlign w:val="bottom"/>
            <w:gridSpan w:val="28"/>
          </w:tcPr>
          <w:p>
            <w:pPr>
              <w:spacing w:after="0" w:line="194" w:lineRule="exact"/>
              <w:rPr>
                <w:rFonts w:ascii="Times New Roman" w:cs="Times New Roman" w:eastAsia="Times New Roman" w:hAnsi="Times New Roman"/>
                <w:sz w:val="18"/>
                <w:szCs w:val="18"/>
                <w:color w:val="0000EE"/>
              </w:rPr>
            </w:pPr>
            <w:hyperlink r:id="rId566">
              <w:r>
                <w:rPr>
                  <w:rFonts w:ascii="Times New Roman" w:cs="Times New Roman" w:eastAsia="Times New Roman" w:hAnsi="Times New Roman"/>
                  <w:sz w:val="18"/>
                  <w:szCs w:val="18"/>
                  <w:color w:val="0000EE"/>
                </w:rPr>
                <w:t>Registrant’s Current Report on Form 8-K filed on December 22, 2025 (File No. 001-43022))</w:t>
              </w:r>
            </w:hyperlink>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6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600" w:type="dxa"/>
            <w:vAlign w:val="bottom"/>
          </w:tcPr>
          <w:p>
            <w:pPr>
              <w:spacing w:after="0"/>
              <w:rPr>
                <w:sz w:val="24"/>
                <w:szCs w:val="24"/>
                <w:color w:val="auto"/>
              </w:rPr>
            </w:pPr>
          </w:p>
        </w:tc>
        <w:tc>
          <w:tcPr>
            <w:tcW w:w="9920" w:type="dxa"/>
            <w:vAlign w:val="bottom"/>
            <w:gridSpan w:val="28"/>
          </w:tcPr>
          <w:p>
            <w:pPr>
              <w:spacing w:after="0"/>
              <w:rPr>
                <w:rFonts w:ascii="Times New Roman" w:cs="Times New Roman" w:eastAsia="Times New Roman" w:hAnsi="Times New Roman"/>
                <w:sz w:val="18"/>
                <w:szCs w:val="18"/>
                <w:color w:val="0000EE"/>
                <w:w w:val="99"/>
              </w:rPr>
            </w:pPr>
            <w:hyperlink r:id="rId567">
              <w:r>
                <w:rPr>
                  <w:rFonts w:ascii="Times New Roman" w:cs="Times New Roman" w:eastAsia="Times New Roman" w:hAnsi="Times New Roman"/>
                  <w:sz w:val="18"/>
                  <w:szCs w:val="18"/>
                  <w:color w:val="0000EE"/>
                  <w:w w:val="99"/>
                </w:rPr>
                <w:t>Tax Receivable Agreement (incorporated by reference to Exhibit 10.2 to the Registrant’s Current Report on Form 8-K filed on December</w:t>
              </w:r>
            </w:hyperlink>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780" w:type="dxa"/>
            <w:vAlign w:val="bottom"/>
            <w:tcBorders>
              <w:top w:val="single" w:sz="8" w:color="0000EE"/>
            </w:tcBorders>
            <w:gridSpan w:val="23"/>
          </w:tcPr>
          <w:p>
            <w:pPr>
              <w:spacing w:after="0" w:line="194" w:lineRule="exact"/>
              <w:rPr>
                <w:rFonts w:ascii="Times New Roman" w:cs="Times New Roman" w:eastAsia="Times New Roman" w:hAnsi="Times New Roman"/>
                <w:sz w:val="18"/>
                <w:szCs w:val="18"/>
                <w:color w:val="0000EE"/>
              </w:rPr>
            </w:pPr>
            <w:hyperlink r:id="rId567">
              <w:r>
                <w:rPr>
                  <w:rFonts w:ascii="Times New Roman" w:cs="Times New Roman" w:eastAsia="Times New Roman" w:hAnsi="Times New Roman"/>
                  <w:sz w:val="18"/>
                  <w:szCs w:val="18"/>
                  <w:color w:val="0000EE"/>
                </w:rPr>
                <w:t>22, 2025 (File No. 001-43022))</w:t>
              </w:r>
            </w:hyperlink>
          </w:p>
        </w:tc>
        <w:tc>
          <w:tcPr>
            <w:tcW w:w="14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600" w:type="dxa"/>
            <w:vAlign w:val="bottom"/>
          </w:tcPr>
          <w:p>
            <w:pPr>
              <w:spacing w:after="0"/>
              <w:rPr>
                <w:sz w:val="24"/>
                <w:szCs w:val="24"/>
                <w:color w:val="auto"/>
              </w:rPr>
            </w:pPr>
          </w:p>
        </w:tc>
        <w:tc>
          <w:tcPr>
            <w:tcW w:w="96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8"/>
              </w:rPr>
            </w:pPr>
            <w:hyperlink r:id="rId568">
              <w:r>
                <w:rPr>
                  <w:rFonts w:ascii="Times New Roman" w:cs="Times New Roman" w:eastAsia="Times New Roman" w:hAnsi="Times New Roman"/>
                  <w:sz w:val="18"/>
                  <w:szCs w:val="18"/>
                  <w:color w:val="0000EE"/>
                  <w:w w:val="98"/>
                </w:rPr>
                <w:t>Exchange Agreement (incorporated by reference to Exhibit 10.3 to the Registrant’s Current Report on Form 8-K filed on December 22,</w:t>
              </w:r>
            </w:hyperlink>
          </w:p>
        </w:tc>
        <w:tc>
          <w:tcPr>
            <w:tcW w:w="2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980" w:type="dxa"/>
            <w:vAlign w:val="bottom"/>
            <w:tcBorders>
              <w:bottom w:val="single" w:sz="8" w:color="0000EE"/>
            </w:tcBorders>
          </w:tcPr>
          <w:p>
            <w:pPr>
              <w:spacing w:after="0" w:line="194" w:lineRule="exact"/>
              <w:rPr>
                <w:rFonts w:ascii="Times New Roman" w:cs="Times New Roman" w:eastAsia="Times New Roman" w:hAnsi="Times New Roman"/>
                <w:sz w:val="18"/>
                <w:szCs w:val="18"/>
                <w:color w:val="0000EE"/>
                <w:w w:val="97"/>
              </w:rPr>
            </w:pPr>
            <w:hyperlink r:id="rId568">
              <w:r>
                <w:rPr>
                  <w:rFonts w:ascii="Times New Roman" w:cs="Times New Roman" w:eastAsia="Times New Roman" w:hAnsi="Times New Roman"/>
                  <w:sz w:val="18"/>
                  <w:szCs w:val="18"/>
                  <w:color w:val="0000EE"/>
                  <w:w w:val="97"/>
                </w:rPr>
                <w:t>2025 (File No. 001-43022))</w:t>
              </w:r>
            </w:hyperlink>
          </w:p>
        </w:tc>
        <w:tc>
          <w:tcPr>
            <w:tcW w:w="7940" w:type="dxa"/>
            <w:vAlign w:val="bottom"/>
            <w:gridSpan w:val="27"/>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4"/>
                <w:szCs w:val="24"/>
                <w:color w:val="auto"/>
              </w:rPr>
            </w:pPr>
          </w:p>
        </w:tc>
        <w:tc>
          <w:tcPr>
            <w:tcW w:w="9920" w:type="dxa"/>
            <w:vAlign w:val="bottom"/>
            <w:gridSpan w:val="28"/>
          </w:tcPr>
          <w:p>
            <w:pPr>
              <w:spacing w:after="0"/>
              <w:rPr>
                <w:rFonts w:ascii="Times New Roman" w:cs="Times New Roman" w:eastAsia="Times New Roman" w:hAnsi="Times New Roman"/>
                <w:sz w:val="18"/>
                <w:szCs w:val="18"/>
                <w:color w:val="0000EE"/>
              </w:rPr>
            </w:pPr>
            <w:hyperlink r:id="rId569">
              <w:r>
                <w:rPr>
                  <w:rFonts w:ascii="Times New Roman" w:cs="Times New Roman" w:eastAsia="Times New Roman" w:hAnsi="Times New Roman"/>
                  <w:sz w:val="18"/>
                  <w:szCs w:val="18"/>
                  <w:color w:val="0000EE"/>
                </w:rPr>
                <w:t>Registration Rights Agreement (incorporated by reference to Exhibit 10.4 to the Registrant’s Current Report on Form 8-K filed on</w:t>
              </w:r>
            </w:hyperlink>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80" w:type="dxa"/>
            <w:vAlign w:val="bottom"/>
            <w:tcBorders>
              <w:top w:val="single" w:sz="8" w:color="0000EE"/>
            </w:tcBorders>
            <w:gridSpan w:val="13"/>
          </w:tcPr>
          <w:p>
            <w:pPr>
              <w:spacing w:after="0" w:line="194" w:lineRule="exact"/>
              <w:rPr>
                <w:rFonts w:ascii="Times New Roman" w:cs="Times New Roman" w:eastAsia="Times New Roman" w:hAnsi="Times New Roman"/>
                <w:sz w:val="18"/>
                <w:szCs w:val="18"/>
                <w:color w:val="0000EE"/>
              </w:rPr>
            </w:pPr>
            <w:hyperlink r:id="rId569">
              <w:r>
                <w:rPr>
                  <w:rFonts w:ascii="Times New Roman" w:cs="Times New Roman" w:eastAsia="Times New Roman" w:hAnsi="Times New Roman"/>
                  <w:sz w:val="18"/>
                  <w:szCs w:val="18"/>
                  <w:color w:val="0000EE"/>
                </w:rPr>
                <w:t>December 22, 2025 (File No. 001-43022))</w:t>
              </w:r>
            </w:hyperlink>
          </w:p>
        </w:tc>
        <w:tc>
          <w:tcPr>
            <w:tcW w:w="640" w:type="dxa"/>
            <w:vAlign w:val="bottom"/>
            <w:gridSpan w:val="15"/>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29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10.5.1</w:t>
            </w:r>
          </w:p>
        </w:tc>
        <w:tc>
          <w:tcPr>
            <w:tcW w:w="94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570">
              <w:r>
                <w:rPr>
                  <w:rFonts w:ascii="Times New Roman" w:cs="Times New Roman" w:eastAsia="Times New Roman" w:hAnsi="Times New Roman"/>
                  <w:sz w:val="18"/>
                  <w:szCs w:val="18"/>
                  <w:color w:val="0000EE"/>
                  <w:w w:val="99"/>
                </w:rPr>
                <w:t>Director Nomination Agreement between the Registrant and entities affiliated with Blackstone (incorporated by reference to Exhibit</w:t>
              </w:r>
            </w:hyperlink>
          </w:p>
        </w:tc>
        <w:tc>
          <w:tcPr>
            <w:tcW w:w="4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560" w:type="dxa"/>
            <w:vAlign w:val="bottom"/>
            <w:tcBorders>
              <w:bottom w:val="single" w:sz="8" w:color="0000EE"/>
            </w:tcBorders>
            <w:gridSpan w:val="11"/>
          </w:tcPr>
          <w:p>
            <w:pPr>
              <w:spacing w:after="0" w:line="194" w:lineRule="exact"/>
              <w:rPr>
                <w:rFonts w:ascii="Times New Roman" w:cs="Times New Roman" w:eastAsia="Times New Roman" w:hAnsi="Times New Roman"/>
                <w:sz w:val="18"/>
                <w:szCs w:val="18"/>
                <w:color w:val="0000EE"/>
                <w:w w:val="98"/>
              </w:rPr>
            </w:pPr>
            <w:hyperlink r:id="rId570">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5.1</w:t>
              </w:r>
              <w:r>
                <w:rPr>
                  <w:rFonts w:ascii="Times New Roman" w:cs="Times New Roman" w:eastAsia="Times New Roman" w:hAnsi="Times New Roman"/>
                  <w:sz w:val="18"/>
                  <w:szCs w:val="18"/>
                  <w:color w:val="0000EE"/>
                  <w:w w:val="98"/>
                </w:rPr>
                <w:t xml:space="preserve"> to the Registrant’s Current Report on Form 8-K filed on December 22, 2025 (File No. 001-43022))</w:t>
              </w:r>
            </w:hyperlink>
          </w:p>
        </w:tc>
        <w:tc>
          <w:tcPr>
            <w:tcW w:w="2360" w:type="dxa"/>
            <w:vAlign w:val="bottom"/>
            <w:gridSpan w:val="17"/>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10.5.2</w:t>
            </w:r>
          </w:p>
        </w:tc>
        <w:tc>
          <w:tcPr>
            <w:tcW w:w="98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8"/>
              </w:rPr>
            </w:pPr>
            <w:hyperlink r:id="rId571">
              <w:r>
                <w:rPr>
                  <w:rFonts w:ascii="Times New Roman" w:cs="Times New Roman" w:eastAsia="Times New Roman" w:hAnsi="Times New Roman"/>
                  <w:sz w:val="18"/>
                  <w:szCs w:val="18"/>
                  <w:color w:val="0000EE"/>
                  <w:w w:val="98"/>
                </w:rPr>
                <w:t>Director Nomination Agreement between the Registrant and entities affiliated with Carlyle (incorporated by reference to Exhibit 10.5.2 to</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920" w:type="dxa"/>
            <w:vAlign w:val="bottom"/>
            <w:gridSpan w:val="28"/>
          </w:tcPr>
          <w:p>
            <w:pPr>
              <w:spacing w:after="0" w:line="194" w:lineRule="exact"/>
              <w:rPr>
                <w:rFonts w:ascii="Times New Roman" w:cs="Times New Roman" w:eastAsia="Times New Roman" w:hAnsi="Times New Roman"/>
                <w:sz w:val="18"/>
                <w:szCs w:val="18"/>
                <w:color w:val="0000EE"/>
              </w:rPr>
            </w:pPr>
            <w:hyperlink r:id="rId571">
              <w:r>
                <w:rPr>
                  <w:rFonts w:ascii="Times New Roman" w:cs="Times New Roman" w:eastAsia="Times New Roman" w:hAnsi="Times New Roman"/>
                  <w:sz w:val="18"/>
                  <w:szCs w:val="18"/>
                  <w:color w:val="0000EE"/>
                </w:rPr>
                <w:t>the Registrant’s Current Report on Form 8-K filed on December 22, 2025 (File No. 001-43022))</w:t>
              </w:r>
            </w:hyperlink>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294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320" w:type="dxa"/>
            <w:vAlign w:val="bottom"/>
            <w:gridSpan w:val="4"/>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10.5.3</w:t>
            </w:r>
          </w:p>
        </w:tc>
        <w:tc>
          <w:tcPr>
            <w:tcW w:w="9920" w:type="dxa"/>
            <w:vAlign w:val="bottom"/>
            <w:gridSpan w:val="28"/>
          </w:tcPr>
          <w:p>
            <w:pPr>
              <w:spacing w:after="0"/>
              <w:rPr>
                <w:rFonts w:ascii="Times New Roman" w:cs="Times New Roman" w:eastAsia="Times New Roman" w:hAnsi="Times New Roman"/>
                <w:sz w:val="18"/>
                <w:szCs w:val="18"/>
                <w:color w:val="0000EE"/>
              </w:rPr>
            </w:pPr>
            <w:hyperlink r:id="rId572">
              <w:r>
                <w:rPr>
                  <w:rFonts w:ascii="Times New Roman" w:cs="Times New Roman" w:eastAsia="Times New Roman" w:hAnsi="Times New Roman"/>
                  <w:sz w:val="18"/>
                  <w:szCs w:val="18"/>
                  <w:color w:val="0000EE"/>
                </w:rPr>
                <w:t>Director Nomination Agreement between the Registrant and entities affiliated with H&amp;F (incorporated by reference to Exhibit 10.5.3 to</w:t>
              </w:r>
            </w:hyperlink>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80" w:type="dxa"/>
            <w:vAlign w:val="bottom"/>
            <w:tcBorders>
              <w:top w:val="single" w:sz="8" w:color="0000EE"/>
            </w:tcBorders>
            <w:gridSpan w:val="22"/>
          </w:tcPr>
          <w:p>
            <w:pPr>
              <w:spacing w:after="0" w:line="194" w:lineRule="exact"/>
              <w:rPr>
                <w:rFonts w:ascii="Times New Roman" w:cs="Times New Roman" w:eastAsia="Times New Roman" w:hAnsi="Times New Roman"/>
                <w:sz w:val="18"/>
                <w:szCs w:val="18"/>
                <w:color w:val="0000EE"/>
              </w:rPr>
            </w:pPr>
            <w:hyperlink r:id="rId572">
              <w:r>
                <w:rPr>
                  <w:rFonts w:ascii="Times New Roman" w:cs="Times New Roman" w:eastAsia="Times New Roman" w:hAnsi="Times New Roman"/>
                  <w:sz w:val="18"/>
                  <w:szCs w:val="18"/>
                  <w:color w:val="0000EE"/>
                </w:rPr>
                <w:t>the Registrant’s Current Report on Form 8-K filed on December 22, 2025 (File No. 001-43022))</w:t>
              </w:r>
            </w:hyperlink>
          </w:p>
        </w:tc>
        <w:tc>
          <w:tcPr>
            <w:tcW w:w="24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294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320" w:type="dxa"/>
            <w:vAlign w:val="bottom"/>
            <w:gridSpan w:val="4"/>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10.5.4</w:t>
            </w:r>
          </w:p>
        </w:tc>
        <w:tc>
          <w:tcPr>
            <w:tcW w:w="9920" w:type="dxa"/>
            <w:vAlign w:val="bottom"/>
            <w:gridSpan w:val="28"/>
          </w:tcPr>
          <w:p>
            <w:pPr>
              <w:spacing w:after="0"/>
              <w:rPr>
                <w:rFonts w:ascii="Times New Roman" w:cs="Times New Roman" w:eastAsia="Times New Roman" w:hAnsi="Times New Roman"/>
                <w:sz w:val="18"/>
                <w:szCs w:val="18"/>
                <w:color w:val="0000EE"/>
                <w:w w:val="99"/>
              </w:rPr>
            </w:pPr>
            <w:hyperlink r:id="rId573">
              <w:r>
                <w:rPr>
                  <w:rFonts w:ascii="Times New Roman" w:cs="Times New Roman" w:eastAsia="Times New Roman" w:hAnsi="Times New Roman"/>
                  <w:sz w:val="18"/>
                  <w:szCs w:val="18"/>
                  <w:color w:val="0000EE"/>
                  <w:w w:val="99"/>
                </w:rPr>
                <w:t>Director Nomination Agreement between the Registrant and entities affiliated with the Mills Family (incorporated by reference to Exhibit</w:t>
              </w:r>
            </w:hyperlink>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20" w:type="dxa"/>
            <w:vAlign w:val="bottom"/>
            <w:tcBorders>
              <w:top w:val="single" w:sz="8" w:color="0000EE"/>
            </w:tcBorders>
            <w:gridSpan w:val="24"/>
          </w:tcPr>
          <w:p>
            <w:pPr>
              <w:spacing w:after="0" w:line="194" w:lineRule="exact"/>
              <w:rPr>
                <w:rFonts w:ascii="Times New Roman" w:cs="Times New Roman" w:eastAsia="Times New Roman" w:hAnsi="Times New Roman"/>
                <w:sz w:val="18"/>
                <w:szCs w:val="18"/>
                <w:color w:val="0000EE"/>
              </w:rPr>
            </w:pPr>
            <w:hyperlink r:id="rId57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5.4</w:t>
              </w:r>
              <w:r>
                <w:rPr>
                  <w:rFonts w:ascii="Times New Roman" w:cs="Times New Roman" w:eastAsia="Times New Roman" w:hAnsi="Times New Roman"/>
                  <w:sz w:val="18"/>
                  <w:szCs w:val="18"/>
                  <w:color w:val="0000EE"/>
                </w:rPr>
                <w:t xml:space="preserve"> to the Registrant’s Current Report on Form 8-K filed on December 22, 2025 (File No. 001-43022))</w:t>
              </w:r>
            </w:hyperlink>
          </w:p>
        </w:tc>
        <w:tc>
          <w:tcPr>
            <w:tcW w:w="10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4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00" w:type="dxa"/>
            <w:vAlign w:val="bottom"/>
            <w:gridSpan w:val="5"/>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w:t>
            </w:r>
          </w:p>
        </w:tc>
        <w:tc>
          <w:tcPr>
            <w:tcW w:w="600" w:type="dxa"/>
            <w:vAlign w:val="bottom"/>
          </w:tcPr>
          <w:p>
            <w:pPr>
              <w:spacing w:after="0"/>
              <w:rPr>
                <w:sz w:val="24"/>
                <w:szCs w:val="24"/>
                <w:color w:val="auto"/>
              </w:rPr>
            </w:pPr>
          </w:p>
        </w:tc>
        <w:tc>
          <w:tcPr>
            <w:tcW w:w="9920" w:type="dxa"/>
            <w:vAlign w:val="bottom"/>
            <w:gridSpan w:val="28"/>
          </w:tcPr>
          <w:p>
            <w:pPr>
              <w:spacing w:after="0"/>
              <w:rPr>
                <w:rFonts w:ascii="Times New Roman" w:cs="Times New Roman" w:eastAsia="Times New Roman" w:hAnsi="Times New Roman"/>
                <w:sz w:val="18"/>
                <w:szCs w:val="18"/>
                <w:color w:val="0000EE"/>
              </w:rPr>
            </w:pPr>
            <w:hyperlink r:id="rId574">
              <w:r>
                <w:rPr>
                  <w:rFonts w:ascii="Times New Roman" w:cs="Times New Roman" w:eastAsia="Times New Roman" w:hAnsi="Times New Roman"/>
                  <w:sz w:val="18"/>
                  <w:szCs w:val="18"/>
                  <w:color w:val="0000EE"/>
                </w:rPr>
                <w:t>Form of Indemnification Agreement (incorporated by reference to Exhibit 10.6 to the Registrant’s Registration Statement on Form S-1</w:t>
              </w:r>
            </w:hyperlink>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540" w:type="dxa"/>
            <w:vAlign w:val="bottom"/>
            <w:tcBorders>
              <w:top w:val="single" w:sz="8" w:color="0000EE"/>
              <w:bottom w:val="single" w:sz="8" w:color="0000EE"/>
            </w:tcBorders>
            <w:gridSpan w:val="5"/>
          </w:tcPr>
          <w:p>
            <w:pPr>
              <w:spacing w:after="0" w:line="194" w:lineRule="exact"/>
              <w:rPr>
                <w:rFonts w:ascii="Times New Roman" w:cs="Times New Roman" w:eastAsia="Times New Roman" w:hAnsi="Times New Roman"/>
                <w:sz w:val="18"/>
                <w:szCs w:val="18"/>
                <w:color w:val="0000EE"/>
                <w:w w:val="98"/>
              </w:rPr>
            </w:pPr>
            <w:hyperlink r:id="rId574">
              <w:r>
                <w:rPr>
                  <w:rFonts w:ascii="Times New Roman" w:cs="Times New Roman" w:eastAsia="Times New Roman" w:hAnsi="Times New Roman"/>
                  <w:sz w:val="18"/>
                  <w:szCs w:val="18"/>
                  <w:color w:val="0000EE"/>
                  <w:w w:val="98"/>
                </w:rPr>
                <w:t>filed on October 28, 2025 (File No. 333-291112))</w:t>
              </w:r>
            </w:hyperlink>
          </w:p>
        </w:tc>
        <w:tc>
          <w:tcPr>
            <w:tcW w:w="6060" w:type="dxa"/>
            <w:vAlign w:val="bottom"/>
            <w:tcBorders>
              <w:top w:val="single" w:sz="8" w:color="0000EE"/>
            </w:tcBorders>
            <w:gridSpan w:val="14"/>
          </w:tcPr>
          <w:p>
            <w:pPr>
              <w:spacing w:after="0"/>
              <w:rPr>
                <w:sz w:val="16"/>
                <w:szCs w:val="16"/>
                <w:color w:val="auto"/>
              </w:rPr>
            </w:pPr>
          </w:p>
        </w:tc>
        <w:tc>
          <w:tcPr>
            <w:tcW w:w="32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600" w:type="dxa"/>
            <w:vAlign w:val="bottom"/>
          </w:tcPr>
          <w:p>
            <w:pPr>
              <w:spacing w:after="0"/>
              <w:rPr>
                <w:sz w:val="24"/>
                <w:szCs w:val="24"/>
                <w:color w:val="auto"/>
              </w:rPr>
            </w:pPr>
          </w:p>
        </w:tc>
        <w:tc>
          <w:tcPr>
            <w:tcW w:w="94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8"/>
              </w:rPr>
            </w:pPr>
            <w:hyperlink r:id="rId575">
              <w:r>
                <w:rPr>
                  <w:rFonts w:ascii="Times New Roman" w:cs="Times New Roman" w:eastAsia="Times New Roman" w:hAnsi="Times New Roman"/>
                  <w:sz w:val="18"/>
                  <w:szCs w:val="18"/>
                  <w:color w:val="0000EE"/>
                  <w:w w:val="98"/>
                </w:rPr>
                <w:t>Support and Services Agreement, dated as of October 21, 2021, among Medline Holdings, LP (f/k/a Mozart Holdings, LP), Medline</w:t>
              </w:r>
            </w:hyperlink>
          </w:p>
        </w:tc>
        <w:tc>
          <w:tcPr>
            <w:tcW w:w="4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920" w:type="dxa"/>
            <w:vAlign w:val="bottom"/>
            <w:gridSpan w:val="28"/>
          </w:tcPr>
          <w:p>
            <w:pPr>
              <w:spacing w:after="0" w:line="194" w:lineRule="exact"/>
              <w:rPr>
                <w:rFonts w:ascii="Times New Roman" w:cs="Times New Roman" w:eastAsia="Times New Roman" w:hAnsi="Times New Roman"/>
                <w:sz w:val="18"/>
                <w:szCs w:val="18"/>
                <w:color w:val="0000EE"/>
              </w:rPr>
            </w:pPr>
            <w:hyperlink r:id="rId575">
              <w:r>
                <w:rPr>
                  <w:rFonts w:ascii="Times New Roman" w:cs="Times New Roman" w:eastAsia="Times New Roman" w:hAnsi="Times New Roman"/>
                  <w:sz w:val="18"/>
                  <w:szCs w:val="18"/>
                  <w:color w:val="0000EE"/>
                </w:rPr>
                <w:t>Industries, LP, Blackstone Capital Partners VIII L.P. and Blackstone Management Partners L.L.C. (incorporated by reference to Exhibit</w:t>
              </w:r>
            </w:hyperlink>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60" w:type="dxa"/>
            <w:vAlign w:val="bottom"/>
            <w:tcBorders>
              <w:top w:val="single" w:sz="8" w:color="0000EE"/>
              <w:bottom w:val="single" w:sz="8" w:color="0000EE"/>
            </w:tcBorders>
            <w:gridSpan w:val="12"/>
          </w:tcPr>
          <w:p>
            <w:pPr>
              <w:spacing w:after="0" w:line="194" w:lineRule="exact"/>
              <w:rPr>
                <w:rFonts w:ascii="Times New Roman" w:cs="Times New Roman" w:eastAsia="Times New Roman" w:hAnsi="Times New Roman"/>
                <w:sz w:val="18"/>
                <w:szCs w:val="18"/>
                <w:color w:val="0000EE"/>
                <w:w w:val="98"/>
              </w:rPr>
            </w:pPr>
            <w:hyperlink r:id="rId575">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7</w:t>
              </w:r>
              <w:r>
                <w:rPr>
                  <w:rFonts w:ascii="Times New Roman" w:cs="Times New Roman" w:eastAsia="Times New Roman" w:hAnsi="Times New Roman"/>
                  <w:sz w:val="18"/>
                  <w:szCs w:val="18"/>
                  <w:color w:val="0000EE"/>
                  <w:w w:val="98"/>
                </w:rPr>
                <w:t xml:space="preserve"> to the Registrant’s Registration Statement on Form S-1 filed on October 28, 2025 (File No. 333-291112))</w:t>
              </w:r>
            </w:hyperlink>
          </w:p>
        </w:tc>
        <w:tc>
          <w:tcPr>
            <w:tcW w:w="1800" w:type="dxa"/>
            <w:vAlign w:val="bottom"/>
            <w:tcBorders>
              <w:top w:val="single" w:sz="8" w:color="0000EE"/>
            </w:tcBorders>
            <w:gridSpan w:val="9"/>
          </w:tcPr>
          <w:p>
            <w:pPr>
              <w:spacing w:after="0"/>
              <w:rPr>
                <w:sz w:val="16"/>
                <w:szCs w:val="16"/>
                <w:color w:val="auto"/>
              </w:rPr>
            </w:pPr>
          </w:p>
        </w:tc>
        <w:tc>
          <w:tcPr>
            <w:tcW w:w="26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w:t>
            </w:r>
          </w:p>
        </w:tc>
        <w:tc>
          <w:tcPr>
            <w:tcW w:w="600" w:type="dxa"/>
            <w:vAlign w:val="bottom"/>
          </w:tcPr>
          <w:p>
            <w:pPr>
              <w:spacing w:after="0"/>
              <w:rPr>
                <w:sz w:val="24"/>
                <w:szCs w:val="24"/>
                <w:color w:val="auto"/>
              </w:rPr>
            </w:pPr>
          </w:p>
        </w:tc>
        <w:tc>
          <w:tcPr>
            <w:tcW w:w="9920" w:type="dxa"/>
            <w:vAlign w:val="bottom"/>
            <w:gridSpan w:val="28"/>
          </w:tcPr>
          <w:p>
            <w:pPr>
              <w:spacing w:after="0"/>
              <w:rPr>
                <w:rFonts w:ascii="Times New Roman" w:cs="Times New Roman" w:eastAsia="Times New Roman" w:hAnsi="Times New Roman"/>
                <w:sz w:val="18"/>
                <w:szCs w:val="18"/>
                <w:color w:val="0000EE"/>
              </w:rPr>
            </w:pPr>
            <w:hyperlink r:id="rId576">
              <w:r>
                <w:rPr>
                  <w:rFonts w:ascii="Times New Roman" w:cs="Times New Roman" w:eastAsia="Times New Roman" w:hAnsi="Times New Roman"/>
                  <w:sz w:val="18"/>
                  <w:szCs w:val="18"/>
                  <w:color w:val="0000EE"/>
                </w:rPr>
                <w:t>Consulting Services Agreement, dated as of October 21, 2021, between Medline Holdings, LP (f/k/a Mozart Holdings, LP) and Carlyle</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40" w:type="dxa"/>
            <w:vAlign w:val="bottom"/>
            <w:gridSpan w:val="3"/>
            <w:shd w:val="clear" w:color="auto" w:fill="0000EE"/>
          </w:tcPr>
          <w:p>
            <w:pPr>
              <w:spacing w:after="0" w:line="20" w:lineRule="exact"/>
              <w:rPr>
                <w:sz w:val="1"/>
                <w:szCs w:val="1"/>
                <w:color w:val="auto"/>
              </w:rPr>
            </w:pPr>
          </w:p>
        </w:tc>
        <w:tc>
          <w:tcPr>
            <w:tcW w:w="6700" w:type="dxa"/>
            <w:vAlign w:val="bottom"/>
            <w:gridSpan w:val="17"/>
            <w:shd w:val="clear" w:color="auto" w:fill="0000EE"/>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80" w:type="dxa"/>
            <w:vAlign w:val="bottom"/>
            <w:tcBorders>
              <w:bottom w:val="single" w:sz="8" w:color="0000EE"/>
            </w:tcBorders>
            <w:gridSpan w:val="27"/>
          </w:tcPr>
          <w:p>
            <w:pPr>
              <w:spacing w:after="0" w:line="194" w:lineRule="exact"/>
              <w:rPr>
                <w:rFonts w:ascii="Times New Roman" w:cs="Times New Roman" w:eastAsia="Times New Roman" w:hAnsi="Times New Roman"/>
                <w:sz w:val="18"/>
                <w:szCs w:val="18"/>
                <w:color w:val="0000EE"/>
                <w:w w:val="98"/>
              </w:rPr>
            </w:pPr>
            <w:hyperlink r:id="rId576">
              <w:r>
                <w:rPr>
                  <w:rFonts w:ascii="Times New Roman" w:cs="Times New Roman" w:eastAsia="Times New Roman" w:hAnsi="Times New Roman"/>
                  <w:sz w:val="18"/>
                  <w:szCs w:val="18"/>
                  <w:color w:val="0000EE"/>
                  <w:w w:val="98"/>
                </w:rPr>
                <w:t>Investment Management L.L.C. (incorporated by reference to Exhibit 10.8 to the Registrant’s Registration Statement on Form S-1 filed on</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940" w:type="dxa"/>
            <w:vAlign w:val="bottom"/>
            <w:tcBorders>
              <w:bottom w:val="single" w:sz="8" w:color="0000EE"/>
            </w:tcBorders>
            <w:gridSpan w:val="3"/>
          </w:tcPr>
          <w:p>
            <w:pPr>
              <w:spacing w:after="0" w:line="194" w:lineRule="exact"/>
              <w:rPr>
                <w:rFonts w:ascii="Times New Roman" w:cs="Times New Roman" w:eastAsia="Times New Roman" w:hAnsi="Times New Roman"/>
                <w:sz w:val="18"/>
                <w:szCs w:val="18"/>
                <w:color w:val="0000EE"/>
                <w:w w:val="97"/>
              </w:rPr>
            </w:pPr>
            <w:hyperlink r:id="rId576">
              <w:r>
                <w:rPr>
                  <w:rFonts w:ascii="Times New Roman" w:cs="Times New Roman" w:eastAsia="Times New Roman" w:hAnsi="Times New Roman"/>
                  <w:sz w:val="18"/>
                  <w:szCs w:val="18"/>
                  <w:color w:val="0000EE"/>
                  <w:w w:val="97"/>
                </w:rPr>
                <w:t>October 28, 2025 (File No. 333-291112))</w:t>
              </w:r>
            </w:hyperlink>
          </w:p>
        </w:tc>
        <w:tc>
          <w:tcPr>
            <w:tcW w:w="6980" w:type="dxa"/>
            <w:vAlign w:val="bottom"/>
            <w:gridSpan w:val="25"/>
          </w:tcPr>
          <w:p>
            <w:pPr>
              <w:spacing w:after="0"/>
              <w:rPr>
                <w:sz w:val="16"/>
                <w:szCs w:val="16"/>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080"/>
          </w:cols>
          <w:pgMar w:left="320" w:top="451" w:right="49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920" w:type="dxa"/>
            <w:vAlign w:val="bottom"/>
            <w:gridSpan w:val="20"/>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Medline Inc. has requested confidential treatment of this registration statement and associated</w:t>
            </w: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960" w:type="dxa"/>
            <w:vAlign w:val="bottom"/>
            <w:gridSpan w:val="19"/>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8"/>
              </w:rPr>
              <w:t>correspondence pursuant to Rule 83 of the Securities and Exchange Commission.</w:t>
            </w:r>
          </w:p>
        </w:tc>
        <w:tc>
          <w:tcPr>
            <w:tcW w:w="0" w:type="dxa"/>
            <w:vAlign w:val="bottom"/>
          </w:tcPr>
          <w:p>
            <w:pPr>
              <w:spacing w:after="0"/>
              <w:rPr>
                <w:sz w:val="1"/>
                <w:szCs w:val="1"/>
                <w:color w:val="auto"/>
              </w:rPr>
            </w:pPr>
          </w:p>
        </w:tc>
      </w:tr>
      <w:tr>
        <w:trPr>
          <w:trHeight w:val="269"/>
        </w:trPr>
        <w:tc>
          <w:tcPr>
            <w:tcW w:w="100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60" w:type="dxa"/>
            <w:vAlign w:val="bottom"/>
          </w:tcPr>
          <w:p>
            <w:pPr>
              <w:spacing w:after="0"/>
              <w:rPr>
                <w:sz w:val="23"/>
                <w:szCs w:val="23"/>
                <w:color w:val="auto"/>
              </w:rPr>
            </w:pPr>
          </w:p>
        </w:tc>
        <w:tc>
          <w:tcPr>
            <w:tcW w:w="8960" w:type="dxa"/>
            <w:vAlign w:val="bottom"/>
            <w:gridSpan w:val="19"/>
            <w:vMerge w:val="restart"/>
          </w:tcPr>
          <w:p>
            <w:pPr>
              <w:ind w:left="36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9"/>
        </w:trPr>
        <w:tc>
          <w:tcPr>
            <w:tcW w:w="180" w:type="dxa"/>
            <w:vAlign w:val="bottom"/>
          </w:tcPr>
          <w:p>
            <w:pPr>
              <w:spacing w:after="0"/>
              <w:rPr>
                <w:sz w:val="15"/>
                <w:szCs w:val="15"/>
                <w:color w:val="auto"/>
              </w:rPr>
            </w:pPr>
          </w:p>
        </w:tc>
        <w:tc>
          <w:tcPr>
            <w:tcW w:w="82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No.</w:t>
            </w:r>
          </w:p>
        </w:tc>
        <w:tc>
          <w:tcPr>
            <w:tcW w:w="960" w:type="dxa"/>
            <w:vAlign w:val="bottom"/>
            <w:tcBorders>
              <w:bottom w:val="single" w:sz="8" w:color="auto"/>
            </w:tcBorders>
          </w:tcPr>
          <w:p>
            <w:pPr>
              <w:spacing w:after="0"/>
              <w:rPr>
                <w:sz w:val="15"/>
                <w:szCs w:val="15"/>
                <w:color w:val="auto"/>
              </w:rPr>
            </w:pPr>
          </w:p>
        </w:tc>
        <w:tc>
          <w:tcPr>
            <w:tcW w:w="8960" w:type="dxa"/>
            <w:vAlign w:val="bottom"/>
            <w:tcBorders>
              <w:bottom w:val="single" w:sz="8" w:color="auto"/>
            </w:tcBorders>
            <w:gridSpan w:val="1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600" w:type="dxa"/>
            <w:vAlign w:val="bottom"/>
          </w:tcPr>
          <w:p>
            <w:pPr>
              <w:spacing w:after="0"/>
              <w:rPr>
                <w:sz w:val="23"/>
                <w:szCs w:val="23"/>
                <w:color w:val="auto"/>
              </w:rPr>
            </w:pPr>
          </w:p>
        </w:tc>
        <w:tc>
          <w:tcPr>
            <w:tcW w:w="98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578">
              <w:r>
                <w:rPr>
                  <w:rFonts w:ascii="Times New Roman" w:cs="Times New Roman" w:eastAsia="Times New Roman" w:hAnsi="Times New Roman"/>
                  <w:sz w:val="18"/>
                  <w:szCs w:val="18"/>
                  <w:color w:val="0000EE"/>
                  <w:w w:val="99"/>
                </w:rPr>
                <w:t>Service Agreement, dated as of October 21, 2021, between Medline Holdings, LP (f/k/a Mozart Holdings, LP) and Hellman &amp; Friedman</w:t>
              </w:r>
            </w:hyperlink>
          </w:p>
        </w:tc>
        <w:tc>
          <w:tcPr>
            <w:tcW w:w="120" w:type="dxa"/>
            <w:vAlign w:val="bottom"/>
            <w:gridSpan w:val="4"/>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920" w:type="dxa"/>
            <w:vAlign w:val="bottom"/>
            <w:gridSpan w:val="20"/>
          </w:tcPr>
          <w:p>
            <w:pPr>
              <w:spacing w:after="0" w:line="194" w:lineRule="exact"/>
              <w:rPr>
                <w:rFonts w:ascii="Times New Roman" w:cs="Times New Roman" w:eastAsia="Times New Roman" w:hAnsi="Times New Roman"/>
                <w:sz w:val="18"/>
                <w:szCs w:val="18"/>
                <w:color w:val="0000EE"/>
              </w:rPr>
            </w:pPr>
            <w:hyperlink r:id="rId578">
              <w:r>
                <w:rPr>
                  <w:rFonts w:ascii="Times New Roman" w:cs="Times New Roman" w:eastAsia="Times New Roman" w:hAnsi="Times New Roman"/>
                  <w:sz w:val="18"/>
                  <w:szCs w:val="18"/>
                  <w:color w:val="0000EE"/>
                </w:rPr>
                <w:t>LP (incorporated by reference to Exhibit 10.9 to the Registrant’s Registration Statement on Form S-1 filed on October 28, 2025 (File No.</w:t>
              </w:r>
            </w:hyperlink>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Borders>
              <w:top w:val="single" w:sz="8" w:color="0000EE"/>
              <w:bottom w:val="single" w:sz="8" w:color="0000EE"/>
            </w:tcBorders>
          </w:tcPr>
          <w:p>
            <w:pPr>
              <w:spacing w:after="0" w:line="194" w:lineRule="exact"/>
              <w:rPr>
                <w:rFonts w:ascii="Times New Roman" w:cs="Times New Roman" w:eastAsia="Times New Roman" w:hAnsi="Times New Roman"/>
                <w:sz w:val="18"/>
                <w:szCs w:val="18"/>
                <w:color w:val="0000EE"/>
                <w:w w:val="94"/>
              </w:rPr>
            </w:pPr>
            <w:hyperlink r:id="rId578">
              <w:r>
                <w:rPr>
                  <w:rFonts w:ascii="Times New Roman" w:cs="Times New Roman" w:eastAsia="Times New Roman" w:hAnsi="Times New Roman"/>
                  <w:sz w:val="18"/>
                  <w:szCs w:val="18"/>
                  <w:color w:val="0000EE"/>
                  <w:w w:val="94"/>
                </w:rPr>
                <w:t>333-291112))</w:t>
              </w:r>
            </w:hyperlink>
          </w:p>
        </w:tc>
        <w:tc>
          <w:tcPr>
            <w:tcW w:w="4280" w:type="dxa"/>
            <w:vAlign w:val="bottom"/>
            <w:tcBorders>
              <w:top w:val="single" w:sz="8" w:color="0000EE"/>
            </w:tcBorders>
          </w:tcPr>
          <w:p>
            <w:pPr>
              <w:spacing w:after="0"/>
              <w:rPr>
                <w:sz w:val="16"/>
                <w:szCs w:val="16"/>
                <w:color w:val="auto"/>
              </w:rPr>
            </w:pPr>
          </w:p>
        </w:tc>
        <w:tc>
          <w:tcPr>
            <w:tcW w:w="980" w:type="dxa"/>
            <w:vAlign w:val="bottom"/>
            <w:tcBorders>
              <w:top w:val="single" w:sz="8" w:color="0000EE"/>
            </w:tcBorders>
          </w:tcPr>
          <w:p>
            <w:pPr>
              <w:spacing w:after="0"/>
              <w:rPr>
                <w:sz w:val="16"/>
                <w:szCs w:val="16"/>
                <w:color w:val="auto"/>
              </w:rPr>
            </w:pPr>
          </w:p>
        </w:tc>
        <w:tc>
          <w:tcPr>
            <w:tcW w:w="820" w:type="dxa"/>
            <w:vAlign w:val="bottom"/>
            <w:tcBorders>
              <w:top w:val="single" w:sz="8" w:color="0000EE"/>
            </w:tcBorders>
          </w:tcPr>
          <w:p>
            <w:pPr>
              <w:spacing w:after="0"/>
              <w:rPr>
                <w:sz w:val="16"/>
                <w:szCs w:val="16"/>
                <w:color w:val="auto"/>
              </w:rPr>
            </w:pPr>
          </w:p>
        </w:tc>
        <w:tc>
          <w:tcPr>
            <w:tcW w:w="1560" w:type="dxa"/>
            <w:vAlign w:val="bottom"/>
            <w:tcBorders>
              <w:top w:val="single" w:sz="8" w:color="0000EE"/>
            </w:tcBorders>
          </w:tcPr>
          <w:p>
            <w:pPr>
              <w:spacing w:after="0"/>
              <w:rPr>
                <w:sz w:val="16"/>
                <w:szCs w:val="16"/>
                <w:color w:val="auto"/>
              </w:rPr>
            </w:pPr>
          </w:p>
        </w:tc>
        <w:tc>
          <w:tcPr>
            <w:tcW w:w="7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10.10</w:t>
            </w:r>
          </w:p>
        </w:tc>
        <w:tc>
          <w:tcPr>
            <w:tcW w:w="97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579">
              <w:r>
                <w:rPr>
                  <w:rFonts w:ascii="Times New Roman" w:cs="Times New Roman" w:eastAsia="Times New Roman" w:hAnsi="Times New Roman"/>
                  <w:sz w:val="18"/>
                  <w:szCs w:val="18"/>
                  <w:color w:val="0000EE"/>
                  <w:w w:val="99"/>
                </w:rPr>
                <w:t>Service Agreement, dated as of October 21, 2021, between Medline Holdings, LP (f/k/a Mozart Holdings, LP) and Mozart Holdco, Inc.</w:t>
              </w:r>
            </w:hyperlink>
          </w:p>
        </w:tc>
        <w:tc>
          <w:tcPr>
            <w:tcW w:w="2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920" w:type="dxa"/>
            <w:vAlign w:val="bottom"/>
            <w:gridSpan w:val="20"/>
          </w:tcPr>
          <w:p>
            <w:pPr>
              <w:spacing w:after="0" w:line="194" w:lineRule="exact"/>
              <w:rPr>
                <w:rFonts w:ascii="Times New Roman" w:cs="Times New Roman" w:eastAsia="Times New Roman" w:hAnsi="Times New Roman"/>
                <w:sz w:val="18"/>
                <w:szCs w:val="18"/>
                <w:color w:val="0000EE"/>
              </w:rPr>
            </w:pPr>
            <w:hyperlink r:id="rId579">
              <w:r>
                <w:rPr>
                  <w:rFonts w:ascii="Times New Roman" w:cs="Times New Roman" w:eastAsia="Times New Roman" w:hAnsi="Times New Roman"/>
                  <w:sz w:val="18"/>
                  <w:szCs w:val="18"/>
                  <w:color w:val="0000EE"/>
                </w:rPr>
                <w:t>(incorporated by reference to Exhibit 10.10 to the Registrant’s Registration Statement on Form S-1 filed on October 28, 2025 (File No.</w:t>
              </w:r>
            </w:hyperlink>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Borders>
              <w:top w:val="single" w:sz="8" w:color="0000EE"/>
              <w:bottom w:val="single" w:sz="8" w:color="0000EE"/>
            </w:tcBorders>
          </w:tcPr>
          <w:p>
            <w:pPr>
              <w:spacing w:after="0" w:line="194" w:lineRule="exact"/>
              <w:rPr>
                <w:rFonts w:ascii="Times New Roman" w:cs="Times New Roman" w:eastAsia="Times New Roman" w:hAnsi="Times New Roman"/>
                <w:sz w:val="18"/>
                <w:szCs w:val="18"/>
                <w:color w:val="0000EE"/>
                <w:w w:val="94"/>
              </w:rPr>
            </w:pPr>
            <w:hyperlink r:id="rId579">
              <w:r>
                <w:rPr>
                  <w:rFonts w:ascii="Times New Roman" w:cs="Times New Roman" w:eastAsia="Times New Roman" w:hAnsi="Times New Roman"/>
                  <w:sz w:val="18"/>
                  <w:szCs w:val="18"/>
                  <w:color w:val="0000EE"/>
                  <w:w w:val="94"/>
                </w:rPr>
                <w:t>333-291112))</w:t>
              </w:r>
            </w:hyperlink>
          </w:p>
        </w:tc>
        <w:tc>
          <w:tcPr>
            <w:tcW w:w="4280" w:type="dxa"/>
            <w:vAlign w:val="bottom"/>
            <w:tcBorders>
              <w:top w:val="single" w:sz="8" w:color="0000EE"/>
            </w:tcBorders>
          </w:tcPr>
          <w:p>
            <w:pPr>
              <w:spacing w:after="0"/>
              <w:rPr>
                <w:sz w:val="16"/>
                <w:szCs w:val="16"/>
                <w:color w:val="auto"/>
              </w:rPr>
            </w:pPr>
          </w:p>
        </w:tc>
        <w:tc>
          <w:tcPr>
            <w:tcW w:w="980" w:type="dxa"/>
            <w:vAlign w:val="bottom"/>
            <w:tcBorders>
              <w:top w:val="single" w:sz="8" w:color="0000EE"/>
            </w:tcBorders>
          </w:tcPr>
          <w:p>
            <w:pPr>
              <w:spacing w:after="0"/>
              <w:rPr>
                <w:sz w:val="16"/>
                <w:szCs w:val="16"/>
                <w:color w:val="auto"/>
              </w:rPr>
            </w:pPr>
          </w:p>
        </w:tc>
        <w:tc>
          <w:tcPr>
            <w:tcW w:w="820" w:type="dxa"/>
            <w:vAlign w:val="bottom"/>
            <w:tcBorders>
              <w:top w:val="single" w:sz="8" w:color="0000EE"/>
            </w:tcBorders>
          </w:tcPr>
          <w:p>
            <w:pPr>
              <w:spacing w:after="0"/>
              <w:rPr>
                <w:sz w:val="16"/>
                <w:szCs w:val="16"/>
                <w:color w:val="auto"/>
              </w:rPr>
            </w:pPr>
          </w:p>
        </w:tc>
        <w:tc>
          <w:tcPr>
            <w:tcW w:w="1560" w:type="dxa"/>
            <w:vAlign w:val="bottom"/>
            <w:tcBorders>
              <w:top w:val="single" w:sz="8" w:color="0000EE"/>
            </w:tcBorders>
          </w:tcPr>
          <w:p>
            <w:pPr>
              <w:spacing w:after="0"/>
              <w:rPr>
                <w:sz w:val="16"/>
                <w:szCs w:val="16"/>
                <w:color w:val="auto"/>
              </w:rPr>
            </w:pPr>
          </w:p>
        </w:tc>
        <w:tc>
          <w:tcPr>
            <w:tcW w:w="7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10.11</w:t>
            </w:r>
          </w:p>
        </w:tc>
        <w:tc>
          <w:tcPr>
            <w:tcW w:w="98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8"/>
              </w:rPr>
            </w:pPr>
            <w:hyperlink r:id="rId580">
              <w:r>
                <w:rPr>
                  <w:rFonts w:ascii="Times New Roman" w:cs="Times New Roman" w:eastAsia="Times New Roman" w:hAnsi="Times New Roman"/>
                  <w:sz w:val="18"/>
                  <w:szCs w:val="18"/>
                  <w:color w:val="0000EE"/>
                  <w:w w:val="98"/>
                </w:rPr>
                <w:t>Medline Inc. 2025 Omnibus Incentive Plan (incorporated by reference to Exhibit 4.3 filed with the Registrant’s Registration Statement on</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920" w:type="dxa"/>
            <w:vAlign w:val="bottom"/>
            <w:gridSpan w:val="20"/>
          </w:tcPr>
          <w:p>
            <w:pPr>
              <w:spacing w:after="0" w:line="194" w:lineRule="exact"/>
              <w:rPr>
                <w:rFonts w:ascii="Times New Roman" w:cs="Times New Roman" w:eastAsia="Times New Roman" w:hAnsi="Times New Roman"/>
                <w:sz w:val="18"/>
                <w:szCs w:val="18"/>
                <w:color w:val="0000EE"/>
              </w:rPr>
            </w:pPr>
            <w:hyperlink r:id="rId580">
              <w:r>
                <w:rPr>
                  <w:rFonts w:ascii="Times New Roman" w:cs="Times New Roman" w:eastAsia="Times New Roman" w:hAnsi="Times New Roman"/>
                  <w:sz w:val="18"/>
                  <w:szCs w:val="18"/>
                  <w:color w:val="0000EE"/>
                </w:rPr>
                <w:t>Form S-8 filed with the Securities and Exchange Commission on December 16, 2025)†</w:t>
              </w:r>
            </w:hyperlink>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524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10.12</w:t>
            </w:r>
          </w:p>
        </w:tc>
        <w:tc>
          <w:tcPr>
            <w:tcW w:w="94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581">
              <w:r>
                <w:rPr>
                  <w:rFonts w:ascii="Times New Roman" w:cs="Times New Roman" w:eastAsia="Times New Roman" w:hAnsi="Times New Roman"/>
                  <w:sz w:val="18"/>
                  <w:szCs w:val="18"/>
                  <w:color w:val="0000EE"/>
                  <w:w w:val="99"/>
                </w:rPr>
                <w:t>Employment Agreement between Medline Industries, LP and James M. Boyle, dated October 1, 2023 (incorporated by reference to</w:t>
              </w:r>
            </w:hyperlink>
          </w:p>
        </w:tc>
        <w:tc>
          <w:tcPr>
            <w:tcW w:w="5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0" w:type="dxa"/>
            <w:vAlign w:val="bottom"/>
            <w:tcBorders>
              <w:bottom w:val="single" w:sz="8" w:color="0000EE"/>
            </w:tcBorders>
            <w:gridSpan w:val="5"/>
          </w:tcPr>
          <w:p>
            <w:pPr>
              <w:spacing w:after="0" w:line="194" w:lineRule="exact"/>
              <w:rPr>
                <w:rFonts w:ascii="Times New Roman" w:cs="Times New Roman" w:eastAsia="Times New Roman" w:hAnsi="Times New Roman"/>
                <w:sz w:val="18"/>
                <w:szCs w:val="18"/>
                <w:color w:val="0000EE"/>
                <w:w w:val="98"/>
              </w:rPr>
            </w:pPr>
            <w:hyperlink r:id="rId581">
              <w:r>
                <w:rPr>
                  <w:rFonts w:ascii="Times New Roman" w:cs="Times New Roman" w:eastAsia="Times New Roman" w:hAnsi="Times New Roman"/>
                  <w:sz w:val="18"/>
                  <w:szCs w:val="18"/>
                  <w:color w:val="0000EE"/>
                  <w:w w:val="98"/>
                </w:rPr>
                <w:t>Exhibit 10.12 to the Registrant’s Registration Statement on Form S-1 filed on October 28, 2025 (File No. 333-291112))†</w:t>
              </w:r>
            </w:hyperlink>
          </w:p>
        </w:tc>
        <w:tc>
          <w:tcPr>
            <w:tcW w:w="1320" w:type="dxa"/>
            <w:vAlign w:val="bottom"/>
            <w:gridSpan w:val="15"/>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10.13</w:t>
            </w:r>
          </w:p>
        </w:tc>
        <w:tc>
          <w:tcPr>
            <w:tcW w:w="9920" w:type="dxa"/>
            <w:vAlign w:val="bottom"/>
            <w:gridSpan w:val="20"/>
          </w:tcPr>
          <w:p>
            <w:pPr>
              <w:spacing w:after="0"/>
              <w:rPr>
                <w:rFonts w:ascii="Times New Roman" w:cs="Times New Roman" w:eastAsia="Times New Roman" w:hAnsi="Times New Roman"/>
                <w:sz w:val="18"/>
                <w:szCs w:val="18"/>
                <w:color w:val="0000EE"/>
              </w:rPr>
            </w:pPr>
            <w:hyperlink r:id="rId582">
              <w:r>
                <w:rPr>
                  <w:rFonts w:ascii="Times New Roman" w:cs="Times New Roman" w:eastAsia="Times New Roman" w:hAnsi="Times New Roman"/>
                  <w:sz w:val="18"/>
                  <w:szCs w:val="18"/>
                  <w:color w:val="0000EE"/>
                </w:rPr>
                <w:t>Employment Agreement between Medline Industries, LP and James M. Pigott, dated October 1, 2023 (incorporated by reference to</w:t>
              </w:r>
            </w:hyperlink>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0" w:type="dxa"/>
            <w:vAlign w:val="bottom"/>
            <w:tcBorders>
              <w:top w:val="single" w:sz="8" w:color="0000EE"/>
              <w:bottom w:val="single" w:sz="8" w:color="0000EE"/>
            </w:tcBorders>
            <w:gridSpan w:val="5"/>
          </w:tcPr>
          <w:p>
            <w:pPr>
              <w:spacing w:after="0" w:line="194" w:lineRule="exact"/>
              <w:rPr>
                <w:rFonts w:ascii="Times New Roman" w:cs="Times New Roman" w:eastAsia="Times New Roman" w:hAnsi="Times New Roman"/>
                <w:sz w:val="18"/>
                <w:szCs w:val="18"/>
                <w:color w:val="0000EE"/>
                <w:w w:val="98"/>
              </w:rPr>
            </w:pPr>
            <w:hyperlink r:id="rId582">
              <w:r>
                <w:rPr>
                  <w:rFonts w:ascii="Times New Roman" w:cs="Times New Roman" w:eastAsia="Times New Roman" w:hAnsi="Times New Roman"/>
                  <w:sz w:val="18"/>
                  <w:szCs w:val="18"/>
                  <w:color w:val="0000EE"/>
                  <w:w w:val="98"/>
                </w:rPr>
                <w:t>Exhibit 10.13 to the Registrant’s Registration Statement on Form S-1 filed on October 28, 2025 (File No. 333-291112))†</w:t>
              </w:r>
            </w:hyperlink>
          </w:p>
        </w:tc>
        <w:tc>
          <w:tcPr>
            <w:tcW w:w="760" w:type="dxa"/>
            <w:vAlign w:val="bottom"/>
            <w:tcBorders>
              <w:top w:val="single" w:sz="8" w:color="0000EE"/>
            </w:tcBorders>
          </w:tcPr>
          <w:p>
            <w:pPr>
              <w:spacing w:after="0"/>
              <w:rPr>
                <w:sz w:val="16"/>
                <w:szCs w:val="16"/>
                <w:color w:val="auto"/>
              </w:rPr>
            </w:pPr>
          </w:p>
        </w:tc>
        <w:tc>
          <w:tcPr>
            <w:tcW w:w="560" w:type="dxa"/>
            <w:vAlign w:val="bottom"/>
            <w:gridSpan w:val="14"/>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10.14</w:t>
            </w:r>
          </w:p>
        </w:tc>
        <w:tc>
          <w:tcPr>
            <w:tcW w:w="97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8"/>
              </w:rPr>
            </w:pPr>
            <w:hyperlink r:id="rId583">
              <w:r>
                <w:rPr>
                  <w:rFonts w:ascii="Times New Roman" w:cs="Times New Roman" w:eastAsia="Times New Roman" w:hAnsi="Times New Roman"/>
                  <w:sz w:val="18"/>
                  <w:szCs w:val="18"/>
                  <w:color w:val="0000EE"/>
                  <w:w w:val="98"/>
                </w:rPr>
                <w:t>Transition and Release Agreement by and among James M. Pigott, Medline Industries, LP, Medline Management Aggregator LLC (f/k/a</w:t>
              </w:r>
            </w:hyperlink>
          </w:p>
        </w:tc>
        <w:tc>
          <w:tcPr>
            <w:tcW w:w="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760" w:type="dxa"/>
            <w:vAlign w:val="bottom"/>
            <w:tcBorders>
              <w:bottom w:val="single" w:sz="8" w:color="0000EE"/>
            </w:tcBorders>
            <w:gridSpan w:val="14"/>
          </w:tcPr>
          <w:p>
            <w:pPr>
              <w:spacing w:after="0" w:line="194" w:lineRule="exact"/>
              <w:rPr>
                <w:rFonts w:ascii="Times New Roman" w:cs="Times New Roman" w:eastAsia="Times New Roman" w:hAnsi="Times New Roman"/>
                <w:sz w:val="18"/>
                <w:szCs w:val="18"/>
                <w:color w:val="0000EE"/>
                <w:w w:val="98"/>
              </w:rPr>
            </w:pPr>
            <w:hyperlink r:id="rId583">
              <w:r>
                <w:rPr>
                  <w:rFonts w:ascii="Times New Roman" w:cs="Times New Roman" w:eastAsia="Times New Roman" w:hAnsi="Times New Roman"/>
                  <w:sz w:val="18"/>
                  <w:szCs w:val="18"/>
                  <w:color w:val="0000EE"/>
                  <w:w w:val="98"/>
                </w:rPr>
                <w:t>Mozart Management Aggregator LLC) and Medline Holdings, LP (f/k/a Mozart Holdings, LP), dated October 14, 2024 (incorporated by</w:t>
              </w:r>
            </w:hyperlink>
          </w:p>
        </w:tc>
        <w:tc>
          <w:tcPr>
            <w:tcW w:w="16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920" w:type="dxa"/>
            <w:vAlign w:val="bottom"/>
            <w:gridSpan w:val="20"/>
          </w:tcPr>
          <w:p>
            <w:pPr>
              <w:spacing w:after="0" w:line="194" w:lineRule="exact"/>
              <w:rPr>
                <w:rFonts w:ascii="Times New Roman" w:cs="Times New Roman" w:eastAsia="Times New Roman" w:hAnsi="Times New Roman"/>
                <w:sz w:val="18"/>
                <w:szCs w:val="18"/>
                <w:color w:val="0000EE"/>
              </w:rPr>
            </w:pPr>
            <w:hyperlink r:id="rId583">
              <w:r>
                <w:rPr>
                  <w:rFonts w:ascii="Times New Roman" w:cs="Times New Roman" w:eastAsia="Times New Roman" w:hAnsi="Times New Roman"/>
                  <w:sz w:val="18"/>
                  <w:szCs w:val="18"/>
                  <w:color w:val="0000EE"/>
                </w:rPr>
                <w:t>reference to Exhibit 10.14 to the Registrant’s Registration Statement on Form S-1 filed on October 28, 2025 (File No. 333-291112))†</w:t>
              </w:r>
            </w:hyperlink>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5240" w:type="dxa"/>
            <w:vAlign w:val="bottom"/>
            <w:gridSpan w:val="2"/>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10.15</w:t>
            </w:r>
          </w:p>
        </w:tc>
        <w:tc>
          <w:tcPr>
            <w:tcW w:w="97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r:id="rId584">
              <w:r>
                <w:rPr>
                  <w:rFonts w:ascii="Times New Roman" w:cs="Times New Roman" w:eastAsia="Times New Roman" w:hAnsi="Times New Roman"/>
                  <w:sz w:val="18"/>
                  <w:szCs w:val="18"/>
                  <w:color w:val="0000EE"/>
                  <w:w w:val="98"/>
                </w:rPr>
                <w:t>Credit Agreement, dated as of October 21, 2021, among Medline Borrower, LP, as successor in interest to Mozart Debt Merger Sub Inc.,</w:t>
              </w:r>
            </w:hyperlink>
          </w:p>
        </w:tc>
        <w:tc>
          <w:tcPr>
            <w:tcW w:w="1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920" w:type="dxa"/>
            <w:vAlign w:val="bottom"/>
            <w:gridSpan w:val="20"/>
          </w:tcPr>
          <w:p>
            <w:pPr>
              <w:spacing w:after="0" w:line="194" w:lineRule="exact"/>
              <w:rPr>
                <w:rFonts w:ascii="Times New Roman" w:cs="Times New Roman" w:eastAsia="Times New Roman" w:hAnsi="Times New Roman"/>
                <w:sz w:val="18"/>
                <w:szCs w:val="18"/>
                <w:color w:val="0000EE"/>
                <w:w w:val="98"/>
              </w:rPr>
            </w:pPr>
            <w:hyperlink r:id="rId584">
              <w:r>
                <w:rPr>
                  <w:rFonts w:ascii="Times New Roman" w:cs="Times New Roman" w:eastAsia="Times New Roman" w:hAnsi="Times New Roman"/>
                  <w:sz w:val="18"/>
                  <w:szCs w:val="18"/>
                  <w:color w:val="0000EE"/>
                  <w:w w:val="98"/>
                </w:rPr>
                <w:t>Medline Intermediate, LP, the guarantors from time to time party thereto, the lending institutions from time to time party thereto, and Bank</w:t>
              </w:r>
            </w:hyperlink>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900" w:type="dxa"/>
            <w:vAlign w:val="bottom"/>
            <w:tcBorders>
              <w:top w:val="single" w:sz="8" w:color="0000EE"/>
            </w:tcBorders>
            <w:gridSpan w:val="19"/>
          </w:tcPr>
          <w:p>
            <w:pPr>
              <w:spacing w:after="0" w:line="194" w:lineRule="exact"/>
              <w:rPr>
                <w:rFonts w:ascii="Times New Roman" w:cs="Times New Roman" w:eastAsia="Times New Roman" w:hAnsi="Times New Roman"/>
                <w:sz w:val="18"/>
                <w:szCs w:val="18"/>
                <w:color w:val="0000EE"/>
                <w:w w:val="99"/>
              </w:rPr>
            </w:pPr>
            <w:hyperlink r:id="rId584">
              <w:r>
                <w:rPr>
                  <w:rFonts w:ascii="Times New Roman" w:cs="Times New Roman" w:eastAsia="Times New Roman" w:hAnsi="Times New Roman"/>
                  <w:sz w:val="18"/>
                  <w:szCs w:val="18"/>
                  <w:color w:val="0000EE"/>
                  <w:w w:val="99"/>
                </w:rPr>
                <w:t>of America, N.A., as administrative agent and collateral agent (incorporated by reference to Exhibit 10.15 to the Registrant’s Registration</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40" w:type="dxa"/>
            <w:vAlign w:val="bottom"/>
            <w:tcBorders>
              <w:top w:val="single" w:sz="8" w:color="0000EE"/>
              <w:bottom w:val="single" w:sz="8" w:color="0000EE"/>
            </w:tcBorders>
            <w:gridSpan w:val="2"/>
          </w:tcPr>
          <w:p>
            <w:pPr>
              <w:spacing w:after="0" w:line="194" w:lineRule="exact"/>
              <w:rPr>
                <w:rFonts w:ascii="Times New Roman" w:cs="Times New Roman" w:eastAsia="Times New Roman" w:hAnsi="Times New Roman"/>
                <w:sz w:val="18"/>
                <w:szCs w:val="18"/>
                <w:color w:val="0000EE"/>
                <w:w w:val="98"/>
              </w:rPr>
            </w:pPr>
            <w:hyperlink r:id="rId584">
              <w:r>
                <w:rPr>
                  <w:rFonts w:ascii="Times New Roman" w:cs="Times New Roman" w:eastAsia="Times New Roman" w:hAnsi="Times New Roman"/>
                  <w:sz w:val="18"/>
                  <w:szCs w:val="18"/>
                  <w:color w:val="0000EE"/>
                  <w:w w:val="98"/>
                </w:rPr>
                <w:t>Statement on Form S-1 filed on October 28, 2025 (File No. 333-291112))</w:t>
              </w:r>
            </w:hyperlink>
          </w:p>
        </w:tc>
        <w:tc>
          <w:tcPr>
            <w:tcW w:w="4560" w:type="dxa"/>
            <w:vAlign w:val="bottom"/>
            <w:tcBorders>
              <w:top w:val="single" w:sz="8" w:color="0000EE"/>
            </w:tcBorders>
            <w:gridSpan w:val="14"/>
          </w:tcPr>
          <w:p>
            <w:pPr>
              <w:spacing w:after="0"/>
              <w:rPr>
                <w:sz w:val="16"/>
                <w:szCs w:val="16"/>
                <w:color w:val="auto"/>
              </w:rPr>
            </w:pPr>
          </w:p>
        </w:tc>
        <w:tc>
          <w:tcPr>
            <w:tcW w:w="12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10.16</w:t>
            </w:r>
          </w:p>
        </w:tc>
        <w:tc>
          <w:tcPr>
            <w:tcW w:w="9920" w:type="dxa"/>
            <w:vAlign w:val="bottom"/>
            <w:gridSpan w:val="20"/>
          </w:tcPr>
          <w:p>
            <w:pPr>
              <w:spacing w:after="0"/>
              <w:rPr>
                <w:rFonts w:ascii="Times New Roman" w:cs="Times New Roman" w:eastAsia="Times New Roman" w:hAnsi="Times New Roman"/>
                <w:sz w:val="18"/>
                <w:szCs w:val="18"/>
                <w:color w:val="0000EE"/>
              </w:rPr>
            </w:pPr>
            <w:hyperlink r:id="rId585">
              <w:r>
                <w:rPr>
                  <w:rFonts w:ascii="Times New Roman" w:cs="Times New Roman" w:eastAsia="Times New Roman" w:hAnsi="Times New Roman"/>
                  <w:sz w:val="18"/>
                  <w:szCs w:val="18"/>
                  <w:color w:val="0000EE"/>
                </w:rPr>
                <w:t>Amendment No. 1 to the Credit Agreement, dated as of June 28, 2023, among Medline Borrower, LP, as successor in interest to Mozart</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40" w:type="dxa"/>
            <w:vAlign w:val="bottom"/>
            <w:gridSpan w:val="4"/>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920" w:type="dxa"/>
            <w:vAlign w:val="bottom"/>
            <w:gridSpan w:val="20"/>
          </w:tcPr>
          <w:p>
            <w:pPr>
              <w:spacing w:after="0" w:line="194" w:lineRule="exact"/>
              <w:rPr>
                <w:rFonts w:ascii="Times New Roman" w:cs="Times New Roman" w:eastAsia="Times New Roman" w:hAnsi="Times New Roman"/>
                <w:sz w:val="18"/>
                <w:szCs w:val="18"/>
                <w:color w:val="0000EE"/>
                <w:w w:val="99"/>
              </w:rPr>
            </w:pPr>
            <w:hyperlink r:id="rId585">
              <w:r>
                <w:rPr>
                  <w:rFonts w:ascii="Times New Roman" w:cs="Times New Roman" w:eastAsia="Times New Roman" w:hAnsi="Times New Roman"/>
                  <w:sz w:val="18"/>
                  <w:szCs w:val="18"/>
                  <w:color w:val="0000EE"/>
                  <w:w w:val="99"/>
                </w:rPr>
                <w:t>Debt Merger Sub Inc., Medline Intermediate, LP, the guarantors from time to time party thereto, the lending institutions from time to time</w:t>
              </w:r>
            </w:hyperlink>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20" w:type="dxa"/>
            <w:vAlign w:val="bottom"/>
            <w:tcBorders>
              <w:top w:val="single" w:sz="8" w:color="0000EE"/>
            </w:tcBorders>
            <w:gridSpan w:val="17"/>
          </w:tcPr>
          <w:p>
            <w:pPr>
              <w:spacing w:after="0" w:line="194" w:lineRule="exact"/>
              <w:rPr>
                <w:rFonts w:ascii="Times New Roman" w:cs="Times New Roman" w:eastAsia="Times New Roman" w:hAnsi="Times New Roman"/>
                <w:sz w:val="18"/>
                <w:szCs w:val="18"/>
                <w:color w:val="0000EE"/>
                <w:w w:val="99"/>
              </w:rPr>
            </w:pPr>
            <w:hyperlink r:id="rId585">
              <w:r>
                <w:rPr>
                  <w:rFonts w:ascii="Times New Roman" w:cs="Times New Roman" w:eastAsia="Times New Roman" w:hAnsi="Times New Roman"/>
                  <w:sz w:val="18"/>
                  <w:szCs w:val="18"/>
                  <w:color w:val="0000EE"/>
                  <w:w w:val="99"/>
                </w:rPr>
                <w:t>party thereto, and Bank of America, N.A., as administrative agent and collateral agent (incorporated by reference to Exhibit 10.16 to the</w:t>
              </w:r>
            </w:hyperlink>
          </w:p>
        </w:tc>
        <w:tc>
          <w:tcPr>
            <w:tcW w:w="1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700" w:type="dxa"/>
            <w:vAlign w:val="bottom"/>
            <w:tcBorders>
              <w:top w:val="single" w:sz="8" w:color="0000EE"/>
            </w:tcBorders>
            <w:gridSpan w:val="11"/>
          </w:tcPr>
          <w:p>
            <w:pPr>
              <w:spacing w:after="0" w:line="194" w:lineRule="exact"/>
              <w:rPr>
                <w:rFonts w:ascii="Times New Roman" w:cs="Times New Roman" w:eastAsia="Times New Roman" w:hAnsi="Times New Roman"/>
                <w:sz w:val="18"/>
                <w:szCs w:val="18"/>
                <w:color w:val="0000EE"/>
              </w:rPr>
            </w:pPr>
            <w:hyperlink r:id="rId585">
              <w:r>
                <w:rPr>
                  <w:rFonts w:ascii="Times New Roman" w:cs="Times New Roman" w:eastAsia="Times New Roman" w:hAnsi="Times New Roman"/>
                  <w:sz w:val="18"/>
                  <w:szCs w:val="18"/>
                  <w:color w:val="0000EE"/>
                </w:rPr>
                <w:t>Registrant’s Registration Statement on Form S-1 filed on October 28, 2025 (File No. 333-291112))</w:t>
              </w:r>
            </w:hyperlink>
          </w:p>
        </w:tc>
        <w:tc>
          <w:tcPr>
            <w:tcW w:w="22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7040" w:type="dxa"/>
            <w:vAlign w:val="bottom"/>
            <w:gridSpan w:val="4"/>
            <w:shd w:val="clear" w:color="auto" w:fill="0000EE"/>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10.17</w:t>
            </w:r>
          </w:p>
        </w:tc>
        <w:tc>
          <w:tcPr>
            <w:tcW w:w="9920" w:type="dxa"/>
            <w:vAlign w:val="bottom"/>
            <w:gridSpan w:val="20"/>
          </w:tcPr>
          <w:p>
            <w:pPr>
              <w:spacing w:after="0"/>
              <w:rPr>
                <w:rFonts w:ascii="Times New Roman" w:cs="Times New Roman" w:eastAsia="Times New Roman" w:hAnsi="Times New Roman"/>
                <w:sz w:val="18"/>
                <w:szCs w:val="18"/>
                <w:color w:val="0000EE"/>
                <w:w w:val="99"/>
              </w:rPr>
            </w:pPr>
            <w:hyperlink r:id="rId586">
              <w:r>
                <w:rPr>
                  <w:rFonts w:ascii="Times New Roman" w:cs="Times New Roman" w:eastAsia="Times New Roman" w:hAnsi="Times New Roman"/>
                  <w:sz w:val="18"/>
                  <w:szCs w:val="18"/>
                  <w:color w:val="0000EE"/>
                  <w:w w:val="99"/>
                </w:rPr>
                <w:t>Amendment No. 2 to the Credit Agreement, dated as of March 27, 2024, among Medline Borrower, LP, as successor in interest to Mozart</w:t>
              </w:r>
            </w:hyperlink>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40" w:type="dxa"/>
            <w:vAlign w:val="bottom"/>
            <w:tcBorders>
              <w:top w:val="single" w:sz="8" w:color="0000EE"/>
            </w:tcBorders>
            <w:gridSpan w:val="18"/>
          </w:tcPr>
          <w:p>
            <w:pPr>
              <w:spacing w:after="0" w:line="194" w:lineRule="exact"/>
              <w:rPr>
                <w:rFonts w:ascii="Times New Roman" w:cs="Times New Roman" w:eastAsia="Times New Roman" w:hAnsi="Times New Roman"/>
                <w:sz w:val="18"/>
                <w:szCs w:val="18"/>
                <w:color w:val="0000EE"/>
                <w:w w:val="98"/>
              </w:rPr>
            </w:pPr>
            <w:hyperlink r:id="rId586">
              <w:r>
                <w:rPr>
                  <w:rFonts w:ascii="Times New Roman" w:cs="Times New Roman" w:eastAsia="Times New Roman" w:hAnsi="Times New Roman"/>
                  <w:sz w:val="18"/>
                  <w:szCs w:val="18"/>
                  <w:color w:val="0000EE"/>
                  <w:w w:val="98"/>
                </w:rPr>
                <w:t>Debt Merger Sub Inc., Medline Intermediate, LP, the guarantors from time to time party thereto, the lending institutions from time to time</w:t>
              </w:r>
            </w:hyperlink>
          </w:p>
        </w:tc>
        <w:tc>
          <w:tcPr>
            <w:tcW w:w="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20" w:type="dxa"/>
            <w:vAlign w:val="bottom"/>
            <w:tcBorders>
              <w:top w:val="single" w:sz="8" w:color="0000EE"/>
            </w:tcBorders>
            <w:gridSpan w:val="17"/>
          </w:tcPr>
          <w:p>
            <w:pPr>
              <w:spacing w:after="0" w:line="194" w:lineRule="exact"/>
              <w:rPr>
                <w:rFonts w:ascii="Times New Roman" w:cs="Times New Roman" w:eastAsia="Times New Roman" w:hAnsi="Times New Roman"/>
                <w:sz w:val="18"/>
                <w:szCs w:val="18"/>
                <w:color w:val="0000EE"/>
                <w:w w:val="99"/>
              </w:rPr>
            </w:pPr>
            <w:hyperlink r:id="rId586">
              <w:r>
                <w:rPr>
                  <w:rFonts w:ascii="Times New Roman" w:cs="Times New Roman" w:eastAsia="Times New Roman" w:hAnsi="Times New Roman"/>
                  <w:sz w:val="18"/>
                  <w:szCs w:val="18"/>
                  <w:color w:val="0000EE"/>
                  <w:w w:val="99"/>
                </w:rPr>
                <w:t>party thereto, and Bank of America, N.A., as administrative agent and collateral agent (incorporated by reference to Exhibit 10.17 to the</w:t>
              </w:r>
            </w:hyperlink>
          </w:p>
        </w:tc>
        <w:tc>
          <w:tcPr>
            <w:tcW w:w="1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700" w:type="dxa"/>
            <w:vAlign w:val="bottom"/>
            <w:tcBorders>
              <w:top w:val="single" w:sz="8" w:color="0000EE"/>
            </w:tcBorders>
            <w:gridSpan w:val="11"/>
          </w:tcPr>
          <w:p>
            <w:pPr>
              <w:spacing w:after="0" w:line="194" w:lineRule="exact"/>
              <w:rPr>
                <w:rFonts w:ascii="Times New Roman" w:cs="Times New Roman" w:eastAsia="Times New Roman" w:hAnsi="Times New Roman"/>
                <w:sz w:val="18"/>
                <w:szCs w:val="18"/>
                <w:color w:val="0000EE"/>
              </w:rPr>
            </w:pPr>
            <w:hyperlink r:id="rId586">
              <w:r>
                <w:rPr>
                  <w:rFonts w:ascii="Times New Roman" w:cs="Times New Roman" w:eastAsia="Times New Roman" w:hAnsi="Times New Roman"/>
                  <w:sz w:val="18"/>
                  <w:szCs w:val="18"/>
                  <w:color w:val="0000EE"/>
                </w:rPr>
                <w:t>Registrant’s Registration Statement on Form S-1 filed on October 28, 2025 (File No. 333-291112))</w:t>
              </w:r>
            </w:hyperlink>
          </w:p>
        </w:tc>
        <w:tc>
          <w:tcPr>
            <w:tcW w:w="22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7040" w:type="dxa"/>
            <w:vAlign w:val="bottom"/>
            <w:gridSpan w:val="4"/>
            <w:shd w:val="clear" w:color="auto" w:fill="0000EE"/>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3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10.18</w:t>
            </w:r>
          </w:p>
        </w:tc>
        <w:tc>
          <w:tcPr>
            <w:tcW w:w="9920" w:type="dxa"/>
            <w:vAlign w:val="bottom"/>
            <w:gridSpan w:val="20"/>
          </w:tcPr>
          <w:p>
            <w:pPr>
              <w:spacing w:after="0"/>
              <w:rPr>
                <w:rFonts w:ascii="Times New Roman" w:cs="Times New Roman" w:eastAsia="Times New Roman" w:hAnsi="Times New Roman"/>
                <w:sz w:val="18"/>
                <w:szCs w:val="18"/>
                <w:color w:val="0000EE"/>
              </w:rPr>
            </w:pPr>
            <w:hyperlink r:id="rId587">
              <w:r>
                <w:rPr>
                  <w:rFonts w:ascii="Times New Roman" w:cs="Times New Roman" w:eastAsia="Times New Roman" w:hAnsi="Times New Roman"/>
                  <w:sz w:val="18"/>
                  <w:szCs w:val="18"/>
                  <w:color w:val="0000EE"/>
                </w:rPr>
                <w:t>Amendment No. 3 to the Credit Agreement, dated as of July 8, 2024, among Medline Borrower, LP, as successor in interest to Mozart</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580" w:type="dxa"/>
            <w:vAlign w:val="bottom"/>
            <w:gridSpan w:val="9"/>
            <w:shd w:val="clear" w:color="auto" w:fill="0000EE"/>
          </w:tcPr>
          <w:p>
            <w:pPr>
              <w:spacing w:after="0" w:line="20" w:lineRule="exact"/>
              <w:rPr>
                <w:sz w:val="1"/>
                <w:szCs w:val="1"/>
                <w:color w:val="auto"/>
              </w:rPr>
            </w:pPr>
          </w:p>
        </w:tc>
        <w:tc>
          <w:tcPr>
            <w:tcW w:w="3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920" w:type="dxa"/>
            <w:vAlign w:val="bottom"/>
            <w:gridSpan w:val="20"/>
          </w:tcPr>
          <w:p>
            <w:pPr>
              <w:spacing w:after="0" w:line="194" w:lineRule="exact"/>
              <w:rPr>
                <w:rFonts w:ascii="Times New Roman" w:cs="Times New Roman" w:eastAsia="Times New Roman" w:hAnsi="Times New Roman"/>
                <w:sz w:val="18"/>
                <w:szCs w:val="18"/>
                <w:color w:val="0000EE"/>
                <w:w w:val="99"/>
              </w:rPr>
            </w:pPr>
            <w:hyperlink r:id="rId587">
              <w:r>
                <w:rPr>
                  <w:rFonts w:ascii="Times New Roman" w:cs="Times New Roman" w:eastAsia="Times New Roman" w:hAnsi="Times New Roman"/>
                  <w:sz w:val="18"/>
                  <w:szCs w:val="18"/>
                  <w:color w:val="0000EE"/>
                  <w:w w:val="99"/>
                </w:rPr>
                <w:t>Debt Merger Sub Inc., Medline Intermediate, LP, the guarantors from time to time party thereto, the lending institutions from time to time</w:t>
              </w:r>
            </w:hyperlink>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20" w:type="dxa"/>
            <w:vAlign w:val="bottom"/>
            <w:tcBorders>
              <w:top w:val="single" w:sz="8" w:color="0000EE"/>
            </w:tcBorders>
            <w:gridSpan w:val="17"/>
          </w:tcPr>
          <w:p>
            <w:pPr>
              <w:spacing w:after="0" w:line="194" w:lineRule="exact"/>
              <w:rPr>
                <w:rFonts w:ascii="Times New Roman" w:cs="Times New Roman" w:eastAsia="Times New Roman" w:hAnsi="Times New Roman"/>
                <w:sz w:val="18"/>
                <w:szCs w:val="18"/>
                <w:color w:val="0000EE"/>
                <w:w w:val="99"/>
              </w:rPr>
            </w:pPr>
            <w:hyperlink r:id="rId587">
              <w:r>
                <w:rPr>
                  <w:rFonts w:ascii="Times New Roman" w:cs="Times New Roman" w:eastAsia="Times New Roman" w:hAnsi="Times New Roman"/>
                  <w:sz w:val="18"/>
                  <w:szCs w:val="18"/>
                  <w:color w:val="0000EE"/>
                  <w:w w:val="99"/>
                </w:rPr>
                <w:t>party thereto, and Bank of America, N.A., as administrative agent and collateral agent (incorporated by reference to Exhibit 10.18 to the</w:t>
              </w:r>
            </w:hyperlink>
          </w:p>
        </w:tc>
        <w:tc>
          <w:tcPr>
            <w:tcW w:w="1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700" w:type="dxa"/>
            <w:vAlign w:val="bottom"/>
            <w:tcBorders>
              <w:top w:val="single" w:sz="8" w:color="0000EE"/>
            </w:tcBorders>
            <w:gridSpan w:val="11"/>
          </w:tcPr>
          <w:p>
            <w:pPr>
              <w:spacing w:after="0" w:line="194" w:lineRule="exact"/>
              <w:rPr>
                <w:rFonts w:ascii="Times New Roman" w:cs="Times New Roman" w:eastAsia="Times New Roman" w:hAnsi="Times New Roman"/>
                <w:sz w:val="18"/>
                <w:szCs w:val="18"/>
                <w:color w:val="0000EE"/>
              </w:rPr>
            </w:pPr>
            <w:hyperlink r:id="rId587">
              <w:r>
                <w:rPr>
                  <w:rFonts w:ascii="Times New Roman" w:cs="Times New Roman" w:eastAsia="Times New Roman" w:hAnsi="Times New Roman"/>
                  <w:sz w:val="18"/>
                  <w:szCs w:val="18"/>
                  <w:color w:val="0000EE"/>
                </w:rPr>
                <w:t>Registrant’s Registration Statement on Form S-1 filed on October 28, 2025 (File No. 333-291112))</w:t>
              </w:r>
            </w:hyperlink>
          </w:p>
        </w:tc>
        <w:tc>
          <w:tcPr>
            <w:tcW w:w="22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2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080"/>
          </w:cols>
          <w:pgMar w:left="320" w:top="451" w:right="49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920" w:type="dxa"/>
            <w:vAlign w:val="bottom"/>
            <w:gridSpan w:val="2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Medline Inc. has requested confidential treatment of this registration statement and associated</w:t>
            </w: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960" w:type="dxa"/>
            <w:vAlign w:val="bottom"/>
            <w:gridSpan w:val="2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8"/>
              </w:rPr>
              <w:t>correspondence pursuant to Rule 83 of the Securities and Exchange Commission.</w:t>
            </w:r>
          </w:p>
        </w:tc>
        <w:tc>
          <w:tcPr>
            <w:tcW w:w="0" w:type="dxa"/>
            <w:vAlign w:val="bottom"/>
          </w:tcPr>
          <w:p>
            <w:pPr>
              <w:spacing w:after="0"/>
              <w:rPr>
                <w:sz w:val="1"/>
                <w:szCs w:val="1"/>
                <w:color w:val="auto"/>
              </w:rPr>
            </w:pPr>
          </w:p>
        </w:tc>
      </w:tr>
      <w:tr>
        <w:trPr>
          <w:trHeight w:val="269"/>
        </w:trPr>
        <w:tc>
          <w:tcPr>
            <w:tcW w:w="100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60" w:type="dxa"/>
            <w:vAlign w:val="bottom"/>
            <w:gridSpan w:val="18"/>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9"/>
        </w:trPr>
        <w:tc>
          <w:tcPr>
            <w:tcW w:w="180" w:type="dxa"/>
            <w:vAlign w:val="bottom"/>
          </w:tcPr>
          <w:p>
            <w:pPr>
              <w:spacing w:after="0"/>
              <w:rPr>
                <w:sz w:val="15"/>
                <w:szCs w:val="15"/>
                <w:color w:val="auto"/>
              </w:rPr>
            </w:pPr>
          </w:p>
        </w:tc>
        <w:tc>
          <w:tcPr>
            <w:tcW w:w="8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9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5660" w:type="dxa"/>
            <w:vAlign w:val="bottom"/>
            <w:tcBorders>
              <w:bottom w:val="single" w:sz="8" w:color="auto"/>
            </w:tcBorders>
            <w:gridSpan w:val="1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10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w w:val="93"/>
              </w:rPr>
              <w:t>10.19</w:t>
            </w:r>
          </w:p>
        </w:tc>
        <w:tc>
          <w:tcPr>
            <w:tcW w:w="95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589">
              <w:r>
                <w:rPr>
                  <w:rFonts w:ascii="Times New Roman" w:cs="Times New Roman" w:eastAsia="Times New Roman" w:hAnsi="Times New Roman"/>
                  <w:sz w:val="18"/>
                  <w:szCs w:val="18"/>
                  <w:color w:val="0000EE"/>
                  <w:w w:val="99"/>
                </w:rPr>
                <w:t>Amendment No. 4 to the Credit Agreement, dated as of November 19, 2024, among Medline Borrower, LP, as successor in interest to</w:t>
              </w:r>
            </w:hyperlink>
          </w:p>
        </w:tc>
        <w:tc>
          <w:tcPr>
            <w:tcW w:w="340" w:type="dxa"/>
            <w:vAlign w:val="bottom"/>
            <w:gridSpan w:val="11"/>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40" w:type="dxa"/>
            <w:vAlign w:val="bottom"/>
            <w:tcBorders>
              <w:bottom w:val="single" w:sz="8" w:color="0000EE"/>
            </w:tcBorders>
            <w:gridSpan w:val="21"/>
          </w:tcPr>
          <w:p>
            <w:pPr>
              <w:spacing w:after="0" w:line="194" w:lineRule="exact"/>
              <w:rPr>
                <w:rFonts w:ascii="Times New Roman" w:cs="Times New Roman" w:eastAsia="Times New Roman" w:hAnsi="Times New Roman"/>
                <w:sz w:val="18"/>
                <w:szCs w:val="18"/>
                <w:color w:val="0000EE"/>
                <w:w w:val="98"/>
              </w:rPr>
            </w:pPr>
            <w:hyperlink r:id="rId589">
              <w:r>
                <w:rPr>
                  <w:rFonts w:ascii="Times New Roman" w:cs="Times New Roman" w:eastAsia="Times New Roman" w:hAnsi="Times New Roman"/>
                  <w:sz w:val="18"/>
                  <w:szCs w:val="18"/>
                  <w:color w:val="0000EE"/>
                  <w:w w:val="98"/>
                </w:rPr>
                <w:t>Mozart Debt Merger Sub Inc., Medline Intermediate, LP, the guarantors from time to time party thereto, the lending institutions from time</w:t>
              </w:r>
            </w:hyperlink>
          </w:p>
        </w:tc>
        <w:tc>
          <w:tcPr>
            <w:tcW w:w="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920" w:type="dxa"/>
            <w:vAlign w:val="bottom"/>
            <w:gridSpan w:val="23"/>
          </w:tcPr>
          <w:p>
            <w:pPr>
              <w:spacing w:after="0" w:line="194" w:lineRule="exact"/>
              <w:rPr>
                <w:rFonts w:ascii="Times New Roman" w:cs="Times New Roman" w:eastAsia="Times New Roman" w:hAnsi="Times New Roman"/>
                <w:sz w:val="18"/>
                <w:szCs w:val="18"/>
                <w:color w:val="0000EE"/>
                <w:w w:val="99"/>
              </w:rPr>
            </w:pPr>
            <w:hyperlink r:id="rId589">
              <w:r>
                <w:rPr>
                  <w:rFonts w:ascii="Times New Roman" w:cs="Times New Roman" w:eastAsia="Times New Roman" w:hAnsi="Times New Roman"/>
                  <w:sz w:val="18"/>
                  <w:szCs w:val="18"/>
                  <w:color w:val="0000EE"/>
                  <w:w w:val="99"/>
                </w:rPr>
                <w:t>to time party thereto, and Bank of America, N.A., as administrative agent and collateral agent (incorporated by reference to Exhibit 10.19</w:t>
              </w:r>
            </w:hyperlink>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500" w:type="dxa"/>
            <w:vAlign w:val="bottom"/>
            <w:tcBorders>
              <w:top w:val="single" w:sz="8" w:color="0000EE"/>
              <w:bottom w:val="single" w:sz="8" w:color="0000EE"/>
            </w:tcBorders>
            <w:gridSpan w:val="8"/>
          </w:tcPr>
          <w:p>
            <w:pPr>
              <w:spacing w:after="0" w:line="194" w:lineRule="exact"/>
              <w:rPr>
                <w:rFonts w:ascii="Times New Roman" w:cs="Times New Roman" w:eastAsia="Times New Roman" w:hAnsi="Times New Roman"/>
                <w:sz w:val="18"/>
                <w:szCs w:val="18"/>
                <w:color w:val="0000EE"/>
                <w:w w:val="98"/>
              </w:rPr>
            </w:pPr>
            <w:hyperlink r:id="rId589">
              <w:r>
                <w:rPr>
                  <w:rFonts w:ascii="Times New Roman" w:cs="Times New Roman" w:eastAsia="Times New Roman" w:hAnsi="Times New Roman"/>
                  <w:sz w:val="18"/>
                  <w:szCs w:val="18"/>
                  <w:color w:val="0000EE"/>
                  <w:w w:val="98"/>
                </w:rPr>
                <w:t>to the Registrant’s Registration Statement on Form S-1 filed on October 28, 2025 (File No. 333-291112))</w:t>
              </w:r>
            </w:hyperlink>
          </w:p>
        </w:tc>
        <w:tc>
          <w:tcPr>
            <w:tcW w:w="2300" w:type="dxa"/>
            <w:vAlign w:val="bottom"/>
            <w:tcBorders>
              <w:top w:val="single" w:sz="8" w:color="0000EE"/>
            </w:tcBorders>
            <w:gridSpan w:val="12"/>
          </w:tcPr>
          <w:p>
            <w:pPr>
              <w:spacing w:after="0"/>
              <w:rPr>
                <w:sz w:val="16"/>
                <w:szCs w:val="16"/>
                <w:color w:val="auto"/>
              </w:rPr>
            </w:pPr>
          </w:p>
        </w:tc>
        <w:tc>
          <w:tcPr>
            <w:tcW w:w="1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10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w w:val="93"/>
              </w:rPr>
              <w:t>10.20</w:t>
            </w:r>
          </w:p>
        </w:tc>
        <w:tc>
          <w:tcPr>
            <w:tcW w:w="9920" w:type="dxa"/>
            <w:vAlign w:val="bottom"/>
            <w:gridSpan w:val="23"/>
          </w:tcPr>
          <w:p>
            <w:pPr>
              <w:spacing w:after="0"/>
              <w:rPr>
                <w:rFonts w:ascii="Times New Roman" w:cs="Times New Roman" w:eastAsia="Times New Roman" w:hAnsi="Times New Roman"/>
                <w:sz w:val="18"/>
                <w:szCs w:val="18"/>
                <w:color w:val="0000EE"/>
              </w:rPr>
            </w:pPr>
            <w:hyperlink r:id="rId590">
              <w:r>
                <w:rPr>
                  <w:rFonts w:ascii="Times New Roman" w:cs="Times New Roman" w:eastAsia="Times New Roman" w:hAnsi="Times New Roman"/>
                  <w:sz w:val="18"/>
                  <w:szCs w:val="18"/>
                  <w:color w:val="0000EE"/>
                </w:rPr>
                <w:t>Security Agreement, dated as of October 21, 2021, among the grantors party thereto and Bank of America, N.A., as collateral agent</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920" w:type="dxa"/>
            <w:vAlign w:val="bottom"/>
            <w:gridSpan w:val="23"/>
          </w:tcPr>
          <w:p>
            <w:pPr>
              <w:spacing w:after="0" w:line="194" w:lineRule="exact"/>
              <w:rPr>
                <w:rFonts w:ascii="Times New Roman" w:cs="Times New Roman" w:eastAsia="Times New Roman" w:hAnsi="Times New Roman"/>
                <w:sz w:val="18"/>
                <w:szCs w:val="18"/>
                <w:color w:val="0000EE"/>
              </w:rPr>
            </w:pPr>
            <w:hyperlink r:id="rId590">
              <w:r>
                <w:rPr>
                  <w:rFonts w:ascii="Times New Roman" w:cs="Times New Roman" w:eastAsia="Times New Roman" w:hAnsi="Times New Roman"/>
                  <w:sz w:val="18"/>
                  <w:szCs w:val="18"/>
                  <w:color w:val="0000EE"/>
                </w:rPr>
                <w:t>(incorporated by reference to Exhibit 10.20 to the Registrant’s Registration Statement on Form S-1 filed on October 28, 2025 (File No.</w:t>
              </w:r>
            </w:hyperlink>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Borders>
              <w:top w:val="single" w:sz="8" w:color="0000EE"/>
              <w:bottom w:val="single" w:sz="8" w:color="0000EE"/>
            </w:tcBorders>
          </w:tcPr>
          <w:p>
            <w:pPr>
              <w:spacing w:after="0" w:line="194" w:lineRule="exact"/>
              <w:rPr>
                <w:rFonts w:ascii="Times New Roman" w:cs="Times New Roman" w:eastAsia="Times New Roman" w:hAnsi="Times New Roman"/>
                <w:sz w:val="18"/>
                <w:szCs w:val="18"/>
                <w:color w:val="0000EE"/>
                <w:w w:val="94"/>
              </w:rPr>
            </w:pPr>
            <w:hyperlink r:id="rId590">
              <w:r>
                <w:rPr>
                  <w:rFonts w:ascii="Times New Roman" w:cs="Times New Roman" w:eastAsia="Times New Roman" w:hAnsi="Times New Roman"/>
                  <w:sz w:val="18"/>
                  <w:szCs w:val="18"/>
                  <w:color w:val="0000EE"/>
                  <w:w w:val="94"/>
                </w:rPr>
                <w:t>333-291112))</w:t>
              </w:r>
            </w:hyperlink>
          </w:p>
        </w:tc>
        <w:tc>
          <w:tcPr>
            <w:tcW w:w="1100" w:type="dxa"/>
            <w:vAlign w:val="bottom"/>
            <w:tcBorders>
              <w:top w:val="single" w:sz="8" w:color="0000EE"/>
            </w:tcBorders>
          </w:tcPr>
          <w:p>
            <w:pPr>
              <w:spacing w:after="0"/>
              <w:rPr>
                <w:sz w:val="16"/>
                <w:szCs w:val="16"/>
                <w:color w:val="auto"/>
              </w:rPr>
            </w:pPr>
          </w:p>
        </w:tc>
        <w:tc>
          <w:tcPr>
            <w:tcW w:w="88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1980" w:type="dxa"/>
            <w:vAlign w:val="bottom"/>
            <w:tcBorders>
              <w:top w:val="single" w:sz="8" w:color="0000EE"/>
            </w:tcBorders>
          </w:tcPr>
          <w:p>
            <w:pPr>
              <w:spacing w:after="0"/>
              <w:rPr>
                <w:sz w:val="16"/>
                <w:szCs w:val="16"/>
                <w:color w:val="auto"/>
              </w:rPr>
            </w:pPr>
          </w:p>
        </w:tc>
        <w:tc>
          <w:tcPr>
            <w:tcW w:w="96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18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10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w w:val="93"/>
              </w:rPr>
              <w:t>10.21</w:t>
            </w:r>
          </w:p>
        </w:tc>
        <w:tc>
          <w:tcPr>
            <w:tcW w:w="97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591">
              <w:r>
                <w:rPr>
                  <w:rFonts w:ascii="Times New Roman" w:cs="Times New Roman" w:eastAsia="Times New Roman" w:hAnsi="Times New Roman"/>
                  <w:sz w:val="18"/>
                  <w:szCs w:val="18"/>
                  <w:color w:val="0000EE"/>
                  <w:w w:val="99"/>
                </w:rPr>
                <w:t>Supplement No. 1, dated as of July 19, 2024, to the Security Agreement, dated as of October 21, 2021, among the grantors party thereto</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720" w:type="dxa"/>
            <w:vAlign w:val="bottom"/>
            <w:tcBorders>
              <w:bottom w:val="single" w:sz="8" w:color="0000EE"/>
            </w:tcBorders>
            <w:gridSpan w:val="18"/>
          </w:tcPr>
          <w:p>
            <w:pPr>
              <w:spacing w:after="0" w:line="194" w:lineRule="exact"/>
              <w:rPr>
                <w:rFonts w:ascii="Times New Roman" w:cs="Times New Roman" w:eastAsia="Times New Roman" w:hAnsi="Times New Roman"/>
                <w:sz w:val="18"/>
                <w:szCs w:val="18"/>
                <w:color w:val="0000EE"/>
                <w:w w:val="98"/>
              </w:rPr>
            </w:pPr>
            <w:hyperlink r:id="rId591">
              <w:r>
                <w:rPr>
                  <w:rFonts w:ascii="Times New Roman" w:cs="Times New Roman" w:eastAsia="Times New Roman" w:hAnsi="Times New Roman"/>
                  <w:sz w:val="18"/>
                  <w:szCs w:val="18"/>
                  <w:color w:val="0000EE"/>
                  <w:w w:val="98"/>
                </w:rPr>
                <w:t>and Bank of America, N.A., as collateral agent (incorporated by reference to Exhibit 10.21 to the Registrant’s Registration Statement on</w:t>
              </w:r>
            </w:hyperlink>
          </w:p>
        </w:tc>
        <w:tc>
          <w:tcPr>
            <w:tcW w:w="20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60" w:type="dxa"/>
            <w:vAlign w:val="bottom"/>
            <w:tcBorders>
              <w:bottom w:val="single" w:sz="8" w:color="0000EE"/>
            </w:tcBorders>
            <w:gridSpan w:val="5"/>
          </w:tcPr>
          <w:p>
            <w:pPr>
              <w:spacing w:after="0" w:line="194" w:lineRule="exact"/>
              <w:rPr>
                <w:rFonts w:ascii="Times New Roman" w:cs="Times New Roman" w:eastAsia="Times New Roman" w:hAnsi="Times New Roman"/>
                <w:sz w:val="18"/>
                <w:szCs w:val="18"/>
                <w:color w:val="0000EE"/>
                <w:w w:val="98"/>
              </w:rPr>
            </w:pPr>
            <w:hyperlink r:id="rId591">
              <w:r>
                <w:rPr>
                  <w:rFonts w:ascii="Times New Roman" w:cs="Times New Roman" w:eastAsia="Times New Roman" w:hAnsi="Times New Roman"/>
                  <w:sz w:val="18"/>
                  <w:szCs w:val="18"/>
                  <w:color w:val="0000EE"/>
                  <w:w w:val="98"/>
                </w:rPr>
                <w:t>Form S-1 filed on October 28, 2025 (File No. 333-291112))</w:t>
              </w:r>
            </w:hyperlink>
          </w:p>
        </w:tc>
        <w:tc>
          <w:tcPr>
            <w:tcW w:w="5660" w:type="dxa"/>
            <w:vAlign w:val="bottom"/>
            <w:gridSpan w:val="18"/>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10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w w:val="93"/>
              </w:rPr>
              <w:t>10.22</w:t>
            </w:r>
          </w:p>
        </w:tc>
        <w:tc>
          <w:tcPr>
            <w:tcW w:w="95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592">
              <w:r>
                <w:rPr>
                  <w:rFonts w:ascii="Times New Roman" w:cs="Times New Roman" w:eastAsia="Times New Roman" w:hAnsi="Times New Roman"/>
                  <w:sz w:val="18"/>
                  <w:szCs w:val="18"/>
                  <w:color w:val="0000EE"/>
                  <w:w w:val="98"/>
                </w:rPr>
                <w:t>Supplement No. 2 to the Security Agreement, dated as of December 20, 2024, among the grantors party thereto and Bank of America,</w:t>
              </w:r>
            </w:hyperlink>
          </w:p>
        </w:tc>
        <w:tc>
          <w:tcPr>
            <w:tcW w:w="3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920" w:type="dxa"/>
            <w:vAlign w:val="bottom"/>
            <w:gridSpan w:val="23"/>
          </w:tcPr>
          <w:p>
            <w:pPr>
              <w:spacing w:after="0" w:line="194" w:lineRule="exact"/>
              <w:rPr>
                <w:rFonts w:ascii="Times New Roman" w:cs="Times New Roman" w:eastAsia="Times New Roman" w:hAnsi="Times New Roman"/>
                <w:sz w:val="18"/>
                <w:szCs w:val="18"/>
                <w:color w:val="0000EE"/>
              </w:rPr>
            </w:pPr>
            <w:hyperlink r:id="rId592">
              <w:r>
                <w:rPr>
                  <w:rFonts w:ascii="Times New Roman" w:cs="Times New Roman" w:eastAsia="Times New Roman" w:hAnsi="Times New Roman"/>
                  <w:sz w:val="18"/>
                  <w:szCs w:val="18"/>
                  <w:color w:val="0000EE"/>
                </w:rPr>
                <w:t>N.A., as collateral agent (incorporated by reference to Exhibit 10.22 to the Registrant’s Registration Statement on Form S-1 filed on</w:t>
              </w:r>
            </w:hyperlink>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940" w:type="dxa"/>
            <w:vAlign w:val="bottom"/>
            <w:tcBorders>
              <w:top w:val="single" w:sz="8" w:color="0000EE"/>
              <w:bottom w:val="single" w:sz="8" w:color="0000EE"/>
            </w:tcBorders>
            <w:gridSpan w:val="3"/>
          </w:tcPr>
          <w:p>
            <w:pPr>
              <w:spacing w:after="0" w:line="194" w:lineRule="exact"/>
              <w:rPr>
                <w:rFonts w:ascii="Times New Roman" w:cs="Times New Roman" w:eastAsia="Times New Roman" w:hAnsi="Times New Roman"/>
                <w:sz w:val="18"/>
                <w:szCs w:val="18"/>
                <w:color w:val="0000EE"/>
                <w:w w:val="97"/>
              </w:rPr>
            </w:pPr>
            <w:hyperlink r:id="rId592">
              <w:r>
                <w:rPr>
                  <w:rFonts w:ascii="Times New Roman" w:cs="Times New Roman" w:eastAsia="Times New Roman" w:hAnsi="Times New Roman"/>
                  <w:sz w:val="18"/>
                  <w:szCs w:val="18"/>
                  <w:color w:val="0000EE"/>
                  <w:w w:val="97"/>
                </w:rPr>
                <w:t>October 28, 2025 (File No. 333-291112))</w:t>
              </w:r>
            </w:hyperlink>
          </w:p>
        </w:tc>
        <w:tc>
          <w:tcPr>
            <w:tcW w:w="6480" w:type="dxa"/>
            <w:vAlign w:val="bottom"/>
            <w:tcBorders>
              <w:top w:val="single" w:sz="8" w:color="0000EE"/>
            </w:tcBorders>
            <w:gridSpan w:val="7"/>
          </w:tcPr>
          <w:p>
            <w:pPr>
              <w:spacing w:after="0"/>
              <w:rPr>
                <w:sz w:val="16"/>
                <w:szCs w:val="16"/>
                <w:color w:val="auto"/>
              </w:rPr>
            </w:pPr>
          </w:p>
        </w:tc>
        <w:tc>
          <w:tcPr>
            <w:tcW w:w="500" w:type="dxa"/>
            <w:vAlign w:val="bottom"/>
            <w:gridSpan w:val="13"/>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10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w w:val="93"/>
              </w:rPr>
              <w:t>10.23</w:t>
            </w:r>
          </w:p>
        </w:tc>
        <w:tc>
          <w:tcPr>
            <w:tcW w:w="9920" w:type="dxa"/>
            <w:vAlign w:val="bottom"/>
            <w:gridSpan w:val="23"/>
          </w:tcPr>
          <w:p>
            <w:pPr>
              <w:spacing w:after="0"/>
              <w:rPr>
                <w:rFonts w:ascii="Times New Roman" w:cs="Times New Roman" w:eastAsia="Times New Roman" w:hAnsi="Times New Roman"/>
                <w:sz w:val="18"/>
                <w:szCs w:val="18"/>
                <w:color w:val="0000EE"/>
                <w:w w:val="99"/>
              </w:rPr>
            </w:pPr>
            <w:hyperlink r:id="rId593">
              <w:r>
                <w:rPr>
                  <w:rFonts w:ascii="Times New Roman" w:cs="Times New Roman" w:eastAsia="Times New Roman" w:hAnsi="Times New Roman"/>
                  <w:sz w:val="18"/>
                  <w:szCs w:val="18"/>
                  <w:color w:val="0000EE"/>
                  <w:w w:val="99"/>
                </w:rPr>
                <w:t>Security Agreement, dated as of October 21, 2021, among the grantors party thereto and Wilmington Trust, National Association as notes</w:t>
              </w:r>
            </w:hyperlink>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0" w:type="dxa"/>
            <w:vAlign w:val="bottom"/>
            <w:tcBorders>
              <w:top w:val="single" w:sz="8" w:color="0000EE"/>
            </w:tcBorders>
            <w:gridSpan w:val="20"/>
          </w:tcPr>
          <w:p>
            <w:pPr>
              <w:spacing w:after="0" w:line="194" w:lineRule="exact"/>
              <w:rPr>
                <w:rFonts w:ascii="Times New Roman" w:cs="Times New Roman" w:eastAsia="Times New Roman" w:hAnsi="Times New Roman"/>
                <w:sz w:val="18"/>
                <w:szCs w:val="18"/>
                <w:color w:val="0000EE"/>
              </w:rPr>
            </w:pPr>
            <w:hyperlink r:id="rId593">
              <w:r>
                <w:rPr>
                  <w:rFonts w:ascii="Times New Roman" w:cs="Times New Roman" w:eastAsia="Times New Roman" w:hAnsi="Times New Roman"/>
                  <w:sz w:val="18"/>
                  <w:szCs w:val="18"/>
                  <w:color w:val="0000EE"/>
                </w:rPr>
                <w:t>collateral agent (incorporated by reference to Exhibit 10.23 to the Registrant’s Registration Statement on Form S-1 filed on October 28,</w:t>
              </w:r>
            </w:hyperlink>
          </w:p>
        </w:tc>
        <w:tc>
          <w:tcPr>
            <w:tcW w:w="1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60" w:type="dxa"/>
            <w:vAlign w:val="bottom"/>
            <w:tcBorders>
              <w:top w:val="single" w:sz="8" w:color="0000EE"/>
              <w:bottom w:val="single" w:sz="8" w:color="0000EE"/>
            </w:tcBorders>
            <w:gridSpan w:val="2"/>
          </w:tcPr>
          <w:p>
            <w:pPr>
              <w:spacing w:after="0" w:line="194" w:lineRule="exact"/>
              <w:rPr>
                <w:rFonts w:ascii="Times New Roman" w:cs="Times New Roman" w:eastAsia="Times New Roman" w:hAnsi="Times New Roman"/>
                <w:sz w:val="18"/>
                <w:szCs w:val="18"/>
                <w:color w:val="0000EE"/>
                <w:w w:val="97"/>
              </w:rPr>
            </w:pPr>
            <w:hyperlink r:id="rId593">
              <w:r>
                <w:rPr>
                  <w:rFonts w:ascii="Times New Roman" w:cs="Times New Roman" w:eastAsia="Times New Roman" w:hAnsi="Times New Roman"/>
                  <w:sz w:val="18"/>
                  <w:szCs w:val="18"/>
                  <w:color w:val="0000EE"/>
                  <w:w w:val="97"/>
                </w:rPr>
                <w:t>2025 (File No. 333-291112))</w:t>
              </w:r>
            </w:hyperlink>
          </w:p>
        </w:tc>
        <w:tc>
          <w:tcPr>
            <w:tcW w:w="7600" w:type="dxa"/>
            <w:vAlign w:val="bottom"/>
            <w:tcBorders>
              <w:top w:val="single" w:sz="8" w:color="0000EE"/>
            </w:tcBorders>
            <w:gridSpan w:val="13"/>
          </w:tcPr>
          <w:p>
            <w:pPr>
              <w:spacing w:after="0"/>
              <w:rPr>
                <w:sz w:val="16"/>
                <w:szCs w:val="16"/>
                <w:color w:val="auto"/>
              </w:rPr>
            </w:pPr>
          </w:p>
        </w:tc>
        <w:tc>
          <w:tcPr>
            <w:tcW w:w="26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10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w w:val="93"/>
              </w:rPr>
              <w:t>10.24</w:t>
            </w:r>
          </w:p>
        </w:tc>
        <w:tc>
          <w:tcPr>
            <w:tcW w:w="98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594">
              <w:r>
                <w:rPr>
                  <w:rFonts w:ascii="Times New Roman" w:cs="Times New Roman" w:eastAsia="Times New Roman" w:hAnsi="Times New Roman"/>
                  <w:sz w:val="18"/>
                  <w:szCs w:val="18"/>
                  <w:color w:val="0000EE"/>
                  <w:w w:val="99"/>
                </w:rPr>
                <w:t>Supplement No. 1 to the Security Agreement, dated as of July 19, 2024, among the grantors party thereto and Wilmington Trust, National</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920" w:type="dxa"/>
            <w:vAlign w:val="bottom"/>
            <w:gridSpan w:val="23"/>
          </w:tcPr>
          <w:p>
            <w:pPr>
              <w:spacing w:after="0" w:line="194" w:lineRule="exact"/>
              <w:rPr>
                <w:rFonts w:ascii="Times New Roman" w:cs="Times New Roman" w:eastAsia="Times New Roman" w:hAnsi="Times New Roman"/>
                <w:sz w:val="18"/>
                <w:szCs w:val="18"/>
                <w:color w:val="0000EE"/>
              </w:rPr>
            </w:pPr>
            <w:hyperlink r:id="rId594">
              <w:r>
                <w:rPr>
                  <w:rFonts w:ascii="Times New Roman" w:cs="Times New Roman" w:eastAsia="Times New Roman" w:hAnsi="Times New Roman"/>
                  <w:sz w:val="18"/>
                  <w:szCs w:val="18"/>
                  <w:color w:val="0000EE"/>
                </w:rPr>
                <w:t>Association as notes collateral agent (incorporated by reference to Exhibit 10.24 to the Registrant’s Registration Statement on Form S-1</w:t>
              </w:r>
            </w:hyperlink>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540" w:type="dxa"/>
            <w:vAlign w:val="bottom"/>
            <w:tcBorders>
              <w:top w:val="single" w:sz="8" w:color="0000EE"/>
              <w:bottom w:val="single" w:sz="8" w:color="0000EE"/>
            </w:tcBorders>
            <w:gridSpan w:val="4"/>
          </w:tcPr>
          <w:p>
            <w:pPr>
              <w:spacing w:after="0" w:line="194" w:lineRule="exact"/>
              <w:rPr>
                <w:rFonts w:ascii="Times New Roman" w:cs="Times New Roman" w:eastAsia="Times New Roman" w:hAnsi="Times New Roman"/>
                <w:sz w:val="18"/>
                <w:szCs w:val="18"/>
                <w:color w:val="0000EE"/>
                <w:w w:val="98"/>
              </w:rPr>
            </w:pPr>
            <w:hyperlink r:id="rId594">
              <w:r>
                <w:rPr>
                  <w:rFonts w:ascii="Times New Roman" w:cs="Times New Roman" w:eastAsia="Times New Roman" w:hAnsi="Times New Roman"/>
                  <w:sz w:val="18"/>
                  <w:szCs w:val="18"/>
                  <w:color w:val="0000EE"/>
                  <w:w w:val="98"/>
                </w:rPr>
                <w:t>filed on October 28, 2025 (File No. 333-291112))</w:t>
              </w:r>
            </w:hyperlink>
          </w:p>
        </w:tc>
        <w:tc>
          <w:tcPr>
            <w:tcW w:w="6140" w:type="dxa"/>
            <w:vAlign w:val="bottom"/>
            <w:tcBorders>
              <w:top w:val="single" w:sz="8" w:color="0000EE"/>
            </w:tcBorders>
            <w:gridSpan w:val="12"/>
          </w:tcPr>
          <w:p>
            <w:pPr>
              <w:spacing w:after="0"/>
              <w:rPr>
                <w:sz w:val="16"/>
                <w:szCs w:val="16"/>
                <w:color w:val="auto"/>
              </w:rPr>
            </w:pPr>
          </w:p>
        </w:tc>
        <w:tc>
          <w:tcPr>
            <w:tcW w:w="24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10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w w:val="93"/>
              </w:rPr>
              <w:t>10.25</w:t>
            </w:r>
          </w:p>
        </w:tc>
        <w:tc>
          <w:tcPr>
            <w:tcW w:w="96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r:id="rId595">
              <w:r>
                <w:rPr>
                  <w:rFonts w:ascii="Times New Roman" w:cs="Times New Roman" w:eastAsia="Times New Roman" w:hAnsi="Times New Roman"/>
                  <w:sz w:val="18"/>
                  <w:szCs w:val="18"/>
                  <w:color w:val="0000EE"/>
                  <w:w w:val="98"/>
                </w:rPr>
                <w:t>Supplement No. 2 to the Security Agreement, dated as of December 20, 2024, among the grantors party thereto and Wilmington Trust,</w:t>
              </w:r>
            </w:hyperlink>
          </w:p>
        </w:tc>
        <w:tc>
          <w:tcPr>
            <w:tcW w:w="3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20" w:type="dxa"/>
            <w:vAlign w:val="bottom"/>
            <w:tcBorders>
              <w:bottom w:val="single" w:sz="8" w:color="0000EE"/>
            </w:tcBorders>
            <w:gridSpan w:val="14"/>
          </w:tcPr>
          <w:p>
            <w:pPr>
              <w:spacing w:after="0" w:line="194" w:lineRule="exact"/>
              <w:rPr>
                <w:rFonts w:ascii="Times New Roman" w:cs="Times New Roman" w:eastAsia="Times New Roman" w:hAnsi="Times New Roman"/>
                <w:sz w:val="18"/>
                <w:szCs w:val="18"/>
                <w:color w:val="0000EE"/>
                <w:w w:val="98"/>
              </w:rPr>
            </w:pPr>
            <w:hyperlink r:id="rId595">
              <w:r>
                <w:rPr>
                  <w:rFonts w:ascii="Times New Roman" w:cs="Times New Roman" w:eastAsia="Times New Roman" w:hAnsi="Times New Roman"/>
                  <w:sz w:val="18"/>
                  <w:szCs w:val="18"/>
                  <w:color w:val="0000EE"/>
                  <w:w w:val="98"/>
                </w:rPr>
                <w:t>National Association as notes collateral agent (incorporated by reference to Exhibit 10.25 to the Registrant’s Registration Statement on</w:t>
              </w:r>
            </w:hyperlink>
          </w:p>
        </w:tc>
        <w:tc>
          <w:tcPr>
            <w:tcW w:w="30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60" w:type="dxa"/>
            <w:vAlign w:val="bottom"/>
            <w:tcBorders>
              <w:bottom w:val="single" w:sz="8" w:color="0000EE"/>
            </w:tcBorders>
            <w:gridSpan w:val="5"/>
          </w:tcPr>
          <w:p>
            <w:pPr>
              <w:spacing w:after="0" w:line="194" w:lineRule="exact"/>
              <w:rPr>
                <w:rFonts w:ascii="Times New Roman" w:cs="Times New Roman" w:eastAsia="Times New Roman" w:hAnsi="Times New Roman"/>
                <w:sz w:val="18"/>
                <w:szCs w:val="18"/>
                <w:color w:val="0000EE"/>
                <w:w w:val="98"/>
              </w:rPr>
            </w:pPr>
            <w:hyperlink r:id="rId595">
              <w:r>
                <w:rPr>
                  <w:rFonts w:ascii="Times New Roman" w:cs="Times New Roman" w:eastAsia="Times New Roman" w:hAnsi="Times New Roman"/>
                  <w:sz w:val="18"/>
                  <w:szCs w:val="18"/>
                  <w:color w:val="0000EE"/>
                  <w:w w:val="98"/>
                </w:rPr>
                <w:t>Form S-1 filed on October 28, 2025 (File No. 333-291112))</w:t>
              </w:r>
            </w:hyperlink>
          </w:p>
        </w:tc>
        <w:tc>
          <w:tcPr>
            <w:tcW w:w="5660" w:type="dxa"/>
            <w:vAlign w:val="bottom"/>
            <w:gridSpan w:val="18"/>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10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w w:val="93"/>
              </w:rPr>
              <w:t>10.26</w:t>
            </w:r>
          </w:p>
        </w:tc>
        <w:tc>
          <w:tcPr>
            <w:tcW w:w="9920" w:type="dxa"/>
            <w:vAlign w:val="bottom"/>
            <w:gridSpan w:val="23"/>
          </w:tcPr>
          <w:p>
            <w:pPr>
              <w:spacing w:after="0"/>
              <w:rPr>
                <w:rFonts w:ascii="Times New Roman" w:cs="Times New Roman" w:eastAsia="Times New Roman" w:hAnsi="Times New Roman"/>
                <w:sz w:val="18"/>
                <w:szCs w:val="18"/>
                <w:color w:val="0000EE"/>
              </w:rPr>
            </w:pPr>
            <w:hyperlink r:id="rId596">
              <w:r>
                <w:rPr>
                  <w:rFonts w:ascii="Times New Roman" w:cs="Times New Roman" w:eastAsia="Times New Roman" w:hAnsi="Times New Roman"/>
                  <w:sz w:val="18"/>
                  <w:szCs w:val="18"/>
                  <w:color w:val="0000EE"/>
                </w:rPr>
                <w:t>Security Agreement, dated as of March 27, 2024, among the grantors party thereto and Wilmington Trust, National Association as notes</w:t>
              </w:r>
            </w:hyperlink>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700" w:type="dxa"/>
            <w:vAlign w:val="bottom"/>
            <w:tcBorders>
              <w:top w:val="single" w:sz="8" w:color="0000EE"/>
            </w:tcBorders>
            <w:gridSpan w:val="17"/>
          </w:tcPr>
          <w:p>
            <w:pPr>
              <w:spacing w:after="0" w:line="194" w:lineRule="exact"/>
              <w:rPr>
                <w:rFonts w:ascii="Times New Roman" w:cs="Times New Roman" w:eastAsia="Times New Roman" w:hAnsi="Times New Roman"/>
                <w:sz w:val="18"/>
                <w:szCs w:val="18"/>
                <w:color w:val="0000EE"/>
                <w:w w:val="99"/>
              </w:rPr>
            </w:pPr>
            <w:hyperlink r:id="rId596">
              <w:r>
                <w:rPr>
                  <w:rFonts w:ascii="Times New Roman" w:cs="Times New Roman" w:eastAsia="Times New Roman" w:hAnsi="Times New Roman"/>
                  <w:sz w:val="18"/>
                  <w:szCs w:val="18"/>
                  <w:color w:val="0000EE"/>
                  <w:w w:val="99"/>
                </w:rPr>
                <w:t>collateral agent (incorporated by reference to Exhibit 10.26 to the Registrant’s Registration Statement on Form S-1 filed on October 28,</w:t>
              </w:r>
            </w:hyperlink>
          </w:p>
        </w:tc>
        <w:tc>
          <w:tcPr>
            <w:tcW w:w="22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60" w:type="dxa"/>
            <w:vAlign w:val="bottom"/>
            <w:tcBorders>
              <w:top w:val="single" w:sz="8" w:color="0000EE"/>
              <w:bottom w:val="single" w:sz="8" w:color="0000EE"/>
            </w:tcBorders>
            <w:gridSpan w:val="2"/>
          </w:tcPr>
          <w:p>
            <w:pPr>
              <w:spacing w:after="0" w:line="194" w:lineRule="exact"/>
              <w:rPr>
                <w:rFonts w:ascii="Times New Roman" w:cs="Times New Roman" w:eastAsia="Times New Roman" w:hAnsi="Times New Roman"/>
                <w:sz w:val="18"/>
                <w:szCs w:val="18"/>
                <w:color w:val="0000EE"/>
                <w:w w:val="97"/>
              </w:rPr>
            </w:pPr>
            <w:hyperlink r:id="rId596">
              <w:r>
                <w:rPr>
                  <w:rFonts w:ascii="Times New Roman" w:cs="Times New Roman" w:eastAsia="Times New Roman" w:hAnsi="Times New Roman"/>
                  <w:sz w:val="18"/>
                  <w:szCs w:val="18"/>
                  <w:color w:val="0000EE"/>
                  <w:w w:val="97"/>
                </w:rPr>
                <w:t>2025 (File No. 333-291112))</w:t>
              </w:r>
            </w:hyperlink>
          </w:p>
        </w:tc>
        <w:tc>
          <w:tcPr>
            <w:tcW w:w="7600" w:type="dxa"/>
            <w:vAlign w:val="bottom"/>
            <w:tcBorders>
              <w:top w:val="single" w:sz="8" w:color="0000EE"/>
            </w:tcBorders>
            <w:gridSpan w:val="13"/>
          </w:tcPr>
          <w:p>
            <w:pPr>
              <w:spacing w:after="0"/>
              <w:rPr>
                <w:sz w:val="16"/>
                <w:szCs w:val="16"/>
                <w:color w:val="auto"/>
              </w:rPr>
            </w:pPr>
          </w:p>
        </w:tc>
        <w:tc>
          <w:tcPr>
            <w:tcW w:w="26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10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w w:val="93"/>
              </w:rPr>
              <w:t>10.27</w:t>
            </w:r>
          </w:p>
        </w:tc>
        <w:tc>
          <w:tcPr>
            <w:tcW w:w="98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597">
              <w:r>
                <w:rPr>
                  <w:rFonts w:ascii="Times New Roman" w:cs="Times New Roman" w:eastAsia="Times New Roman" w:hAnsi="Times New Roman"/>
                  <w:sz w:val="18"/>
                  <w:szCs w:val="18"/>
                  <w:color w:val="0000EE"/>
                  <w:w w:val="99"/>
                </w:rPr>
                <w:t>Supplement No. 1 to the Security Agreement, dated as of July 19, 2024, among the grantors party thereto and Wilmington Trust, National</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920" w:type="dxa"/>
            <w:vAlign w:val="bottom"/>
            <w:gridSpan w:val="23"/>
          </w:tcPr>
          <w:p>
            <w:pPr>
              <w:spacing w:after="0" w:line="194" w:lineRule="exact"/>
              <w:rPr>
                <w:rFonts w:ascii="Times New Roman" w:cs="Times New Roman" w:eastAsia="Times New Roman" w:hAnsi="Times New Roman"/>
                <w:sz w:val="18"/>
                <w:szCs w:val="18"/>
                <w:color w:val="0000EE"/>
              </w:rPr>
            </w:pPr>
            <w:hyperlink r:id="rId597">
              <w:r>
                <w:rPr>
                  <w:rFonts w:ascii="Times New Roman" w:cs="Times New Roman" w:eastAsia="Times New Roman" w:hAnsi="Times New Roman"/>
                  <w:sz w:val="18"/>
                  <w:szCs w:val="18"/>
                  <w:color w:val="0000EE"/>
                </w:rPr>
                <w:t>Association as notes collateral agent (incorporated by reference to Exhibit 10.27 to the Registrant’s Registration Statement on Form S-1</w:t>
              </w:r>
            </w:hyperlink>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540" w:type="dxa"/>
            <w:vAlign w:val="bottom"/>
            <w:tcBorders>
              <w:top w:val="single" w:sz="8" w:color="0000EE"/>
              <w:bottom w:val="single" w:sz="8" w:color="0000EE"/>
            </w:tcBorders>
            <w:gridSpan w:val="4"/>
          </w:tcPr>
          <w:p>
            <w:pPr>
              <w:spacing w:after="0" w:line="194" w:lineRule="exact"/>
              <w:rPr>
                <w:rFonts w:ascii="Times New Roman" w:cs="Times New Roman" w:eastAsia="Times New Roman" w:hAnsi="Times New Roman"/>
                <w:sz w:val="18"/>
                <w:szCs w:val="18"/>
                <w:color w:val="0000EE"/>
                <w:w w:val="98"/>
              </w:rPr>
            </w:pPr>
            <w:hyperlink r:id="rId597">
              <w:r>
                <w:rPr>
                  <w:rFonts w:ascii="Times New Roman" w:cs="Times New Roman" w:eastAsia="Times New Roman" w:hAnsi="Times New Roman"/>
                  <w:sz w:val="18"/>
                  <w:szCs w:val="18"/>
                  <w:color w:val="0000EE"/>
                  <w:w w:val="98"/>
                </w:rPr>
                <w:t>filed on October 28, 2025 (File No. 333-291112))</w:t>
              </w:r>
            </w:hyperlink>
          </w:p>
        </w:tc>
        <w:tc>
          <w:tcPr>
            <w:tcW w:w="6140" w:type="dxa"/>
            <w:vAlign w:val="bottom"/>
            <w:tcBorders>
              <w:top w:val="single" w:sz="8" w:color="0000EE"/>
            </w:tcBorders>
            <w:gridSpan w:val="12"/>
          </w:tcPr>
          <w:p>
            <w:pPr>
              <w:spacing w:after="0"/>
              <w:rPr>
                <w:sz w:val="16"/>
                <w:szCs w:val="16"/>
                <w:color w:val="auto"/>
              </w:rPr>
            </w:pPr>
          </w:p>
        </w:tc>
        <w:tc>
          <w:tcPr>
            <w:tcW w:w="24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10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w w:val="93"/>
              </w:rPr>
              <w:t>10.28</w:t>
            </w:r>
          </w:p>
        </w:tc>
        <w:tc>
          <w:tcPr>
            <w:tcW w:w="96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r:id="rId598">
              <w:r>
                <w:rPr>
                  <w:rFonts w:ascii="Times New Roman" w:cs="Times New Roman" w:eastAsia="Times New Roman" w:hAnsi="Times New Roman"/>
                  <w:sz w:val="18"/>
                  <w:szCs w:val="18"/>
                  <w:color w:val="0000EE"/>
                  <w:w w:val="98"/>
                </w:rPr>
                <w:t>Supplement No. 2 to the Security Agreement, dated as of December 20, 2024, among the grantors party thereto and Wilmington Trust,</w:t>
              </w:r>
            </w:hyperlink>
          </w:p>
        </w:tc>
        <w:tc>
          <w:tcPr>
            <w:tcW w:w="3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20" w:type="dxa"/>
            <w:vAlign w:val="bottom"/>
            <w:tcBorders>
              <w:bottom w:val="single" w:sz="8" w:color="0000EE"/>
            </w:tcBorders>
            <w:gridSpan w:val="14"/>
          </w:tcPr>
          <w:p>
            <w:pPr>
              <w:spacing w:after="0" w:line="194" w:lineRule="exact"/>
              <w:rPr>
                <w:rFonts w:ascii="Times New Roman" w:cs="Times New Roman" w:eastAsia="Times New Roman" w:hAnsi="Times New Roman"/>
                <w:sz w:val="18"/>
                <w:szCs w:val="18"/>
                <w:color w:val="0000EE"/>
                <w:w w:val="98"/>
              </w:rPr>
            </w:pPr>
            <w:hyperlink r:id="rId598">
              <w:r>
                <w:rPr>
                  <w:rFonts w:ascii="Times New Roman" w:cs="Times New Roman" w:eastAsia="Times New Roman" w:hAnsi="Times New Roman"/>
                  <w:sz w:val="18"/>
                  <w:szCs w:val="18"/>
                  <w:color w:val="0000EE"/>
                  <w:w w:val="98"/>
                </w:rPr>
                <w:t>National Association as notes collateral agent (incorporated by reference to Exhibit 10.28 to the Registrant’s Registration Statement on</w:t>
              </w:r>
            </w:hyperlink>
          </w:p>
        </w:tc>
        <w:tc>
          <w:tcPr>
            <w:tcW w:w="30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60" w:type="dxa"/>
            <w:vAlign w:val="bottom"/>
            <w:tcBorders>
              <w:bottom w:val="single" w:sz="8" w:color="0000EE"/>
            </w:tcBorders>
            <w:gridSpan w:val="5"/>
          </w:tcPr>
          <w:p>
            <w:pPr>
              <w:spacing w:after="0" w:line="194" w:lineRule="exact"/>
              <w:rPr>
                <w:rFonts w:ascii="Times New Roman" w:cs="Times New Roman" w:eastAsia="Times New Roman" w:hAnsi="Times New Roman"/>
                <w:sz w:val="18"/>
                <w:szCs w:val="18"/>
                <w:color w:val="0000EE"/>
                <w:w w:val="98"/>
              </w:rPr>
            </w:pPr>
            <w:hyperlink r:id="rId598">
              <w:r>
                <w:rPr>
                  <w:rFonts w:ascii="Times New Roman" w:cs="Times New Roman" w:eastAsia="Times New Roman" w:hAnsi="Times New Roman"/>
                  <w:sz w:val="18"/>
                  <w:szCs w:val="18"/>
                  <w:color w:val="0000EE"/>
                  <w:w w:val="98"/>
                </w:rPr>
                <w:t>Form S-1 filed on October 28, 2025 (File No. 333-291112))</w:t>
              </w:r>
            </w:hyperlink>
          </w:p>
        </w:tc>
        <w:tc>
          <w:tcPr>
            <w:tcW w:w="5660" w:type="dxa"/>
            <w:vAlign w:val="bottom"/>
            <w:gridSpan w:val="18"/>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10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w w:val="93"/>
              </w:rPr>
              <w:t>10.29</w:t>
            </w:r>
          </w:p>
        </w:tc>
        <w:tc>
          <w:tcPr>
            <w:tcW w:w="93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r:id="rId599">
              <w:r>
                <w:rPr>
                  <w:rFonts w:ascii="Times New Roman" w:cs="Times New Roman" w:eastAsia="Times New Roman" w:hAnsi="Times New Roman"/>
                  <w:sz w:val="18"/>
                  <w:szCs w:val="18"/>
                  <w:color w:val="0000EE"/>
                  <w:w w:val="98"/>
                </w:rPr>
                <w:t>Medline Inc. 2025 Employee Stock Purchase Plan (incorporated by reference to Exhibit 4.4 filed with the Registrant’s Registration</w:t>
              </w:r>
            </w:hyperlink>
          </w:p>
        </w:tc>
        <w:tc>
          <w:tcPr>
            <w:tcW w:w="5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920" w:type="dxa"/>
            <w:vAlign w:val="bottom"/>
            <w:gridSpan w:val="23"/>
          </w:tcPr>
          <w:p>
            <w:pPr>
              <w:spacing w:after="0" w:line="194" w:lineRule="exact"/>
              <w:rPr>
                <w:rFonts w:ascii="Times New Roman" w:cs="Times New Roman" w:eastAsia="Times New Roman" w:hAnsi="Times New Roman"/>
                <w:sz w:val="18"/>
                <w:szCs w:val="18"/>
                <w:color w:val="0000EE"/>
              </w:rPr>
            </w:pPr>
            <w:hyperlink r:id="rId599">
              <w:r>
                <w:rPr>
                  <w:rFonts w:ascii="Times New Roman" w:cs="Times New Roman" w:eastAsia="Times New Roman" w:hAnsi="Times New Roman"/>
                  <w:sz w:val="18"/>
                  <w:szCs w:val="18"/>
                  <w:color w:val="0000EE"/>
                </w:rPr>
                <w:t>Statement on Form S-8 filed with the Securities and Exchange Commission on December 16, 2025)†</w:t>
              </w:r>
            </w:hyperlink>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6240" w:type="dxa"/>
            <w:vAlign w:val="bottom"/>
            <w:gridSpan w:val="6"/>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400" w:type="dxa"/>
            <w:vAlign w:val="bottom"/>
            <w:gridSpan w:val="6"/>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10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w w:val="93"/>
              </w:rPr>
              <w:t>10.30</w:t>
            </w:r>
          </w:p>
        </w:tc>
        <w:tc>
          <w:tcPr>
            <w:tcW w:w="96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r:id="rId600">
              <w:r>
                <w:rPr>
                  <w:rFonts w:ascii="Times New Roman" w:cs="Times New Roman" w:eastAsia="Times New Roman" w:hAnsi="Times New Roman"/>
                  <w:sz w:val="18"/>
                  <w:szCs w:val="18"/>
                  <w:color w:val="0000EE"/>
                  <w:w w:val="98"/>
                </w:rPr>
                <w:t>Form of Amended and Restated Medline Inc. Executive Severance Plan (incorporated by reference to Exhibit 10.30 to the Registrant’s</w:t>
              </w:r>
            </w:hyperlink>
          </w:p>
        </w:tc>
        <w:tc>
          <w:tcPr>
            <w:tcW w:w="3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920" w:type="dxa"/>
            <w:vAlign w:val="bottom"/>
            <w:gridSpan w:val="23"/>
          </w:tcPr>
          <w:p>
            <w:pPr>
              <w:spacing w:after="0" w:line="194" w:lineRule="exact"/>
              <w:rPr>
                <w:rFonts w:ascii="Times New Roman" w:cs="Times New Roman" w:eastAsia="Times New Roman" w:hAnsi="Times New Roman"/>
                <w:sz w:val="18"/>
                <w:szCs w:val="18"/>
                <w:color w:val="0000EE"/>
              </w:rPr>
            </w:pPr>
            <w:hyperlink r:id="rId600">
              <w:r>
                <w:rPr>
                  <w:rFonts w:ascii="Times New Roman" w:cs="Times New Roman" w:eastAsia="Times New Roman" w:hAnsi="Times New Roman"/>
                  <w:sz w:val="18"/>
                  <w:szCs w:val="18"/>
                  <w:color w:val="0000EE"/>
                </w:rPr>
                <w:t>Registration Statement on Form S-1 filed on October 28, 2025 (File No. 333-291112))†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II-8</w:t>
      </w:r>
    </w:p>
    <w:p>
      <w:pPr>
        <w:sectPr>
          <w:pgSz w:w="11900" w:h="16838" w:orient="portrait"/>
          <w:cols w:equalWidth="0" w:num="1">
            <w:col w:w="11080"/>
          </w:cols>
          <w:pgMar w:left="320" w:top="451" w:right="49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920" w:type="dxa"/>
            <w:vAlign w:val="bottom"/>
            <w:gridSpan w:val="19"/>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Medline Inc. has requested confidential treatment of this registration statement and associated</w:t>
            </w: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60" w:type="dxa"/>
            <w:vAlign w:val="bottom"/>
            <w:gridSpan w:val="18"/>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8"/>
              </w:rPr>
              <w:t>correspondence pursuant to Rule 83 of the Securities and Exchange Commission.</w:t>
            </w:r>
          </w:p>
        </w:tc>
        <w:tc>
          <w:tcPr>
            <w:tcW w:w="0" w:type="dxa"/>
            <w:vAlign w:val="bottom"/>
          </w:tcPr>
          <w:p>
            <w:pPr>
              <w:spacing w:after="0"/>
              <w:rPr>
                <w:sz w:val="1"/>
                <w:szCs w:val="1"/>
                <w:color w:val="auto"/>
              </w:rPr>
            </w:pPr>
          </w:p>
        </w:tc>
      </w:tr>
      <w:tr>
        <w:trPr>
          <w:trHeight w:val="269"/>
        </w:trPr>
        <w:tc>
          <w:tcPr>
            <w:tcW w:w="100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6980" w:type="dxa"/>
            <w:vAlign w:val="bottom"/>
            <w:gridSpan w:val="17"/>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9"/>
        </w:trPr>
        <w:tc>
          <w:tcPr>
            <w:tcW w:w="180" w:type="dxa"/>
            <w:vAlign w:val="bottom"/>
          </w:tcPr>
          <w:p>
            <w:pPr>
              <w:spacing w:after="0"/>
              <w:rPr>
                <w:sz w:val="15"/>
                <w:szCs w:val="15"/>
                <w:color w:val="auto"/>
              </w:rPr>
            </w:pPr>
          </w:p>
        </w:tc>
        <w:tc>
          <w:tcPr>
            <w:tcW w:w="82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No.</w:t>
            </w:r>
          </w:p>
        </w:tc>
        <w:tc>
          <w:tcPr>
            <w:tcW w:w="10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6980" w:type="dxa"/>
            <w:vAlign w:val="bottom"/>
            <w:tcBorders>
              <w:bottom w:val="single" w:sz="8" w:color="auto"/>
            </w:tcBorders>
            <w:gridSpan w:val="1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10.31</w:t>
            </w:r>
          </w:p>
        </w:tc>
        <w:tc>
          <w:tcPr>
            <w:tcW w:w="9920" w:type="dxa"/>
            <w:vAlign w:val="bottom"/>
            <w:gridSpan w:val="19"/>
          </w:tcPr>
          <w:p>
            <w:pPr>
              <w:spacing w:after="0"/>
              <w:rPr>
                <w:rFonts w:ascii="Times New Roman" w:cs="Times New Roman" w:eastAsia="Times New Roman" w:hAnsi="Times New Roman"/>
                <w:sz w:val="18"/>
                <w:szCs w:val="18"/>
                <w:color w:val="0000EE"/>
              </w:rPr>
            </w:pPr>
            <w:hyperlink r:id="rId602">
              <w:r>
                <w:rPr>
                  <w:rFonts w:ascii="Times New Roman" w:cs="Times New Roman" w:eastAsia="Times New Roman" w:hAnsi="Times New Roman"/>
                  <w:sz w:val="18"/>
                  <w:szCs w:val="18"/>
                  <w:color w:val="0000EE"/>
                </w:rPr>
                <w:t>Medline Management Aggregator LLC Equity Incentive Plan (incorporated by reference to Exhibit 10.31 to the Registrant’s Registration</w:t>
              </w:r>
            </w:hyperlink>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20" w:type="dxa"/>
            <w:vAlign w:val="bottom"/>
            <w:tcBorders>
              <w:top w:val="single" w:sz="8" w:color="0000EE"/>
            </w:tcBorders>
            <w:gridSpan w:val="16"/>
          </w:tcPr>
          <w:p>
            <w:pPr>
              <w:spacing w:after="0" w:line="194" w:lineRule="exact"/>
              <w:rPr>
                <w:rFonts w:ascii="Times New Roman" w:cs="Times New Roman" w:eastAsia="Times New Roman" w:hAnsi="Times New Roman"/>
                <w:sz w:val="18"/>
                <w:szCs w:val="18"/>
                <w:color w:val="0000EE"/>
              </w:rPr>
            </w:pPr>
            <w:hyperlink r:id="rId602">
              <w:r>
                <w:rPr>
                  <w:rFonts w:ascii="Times New Roman" w:cs="Times New Roman" w:eastAsia="Times New Roman" w:hAnsi="Times New Roman"/>
                  <w:sz w:val="18"/>
                  <w:szCs w:val="18"/>
                  <w:color w:val="0000EE"/>
                </w:rPr>
                <w:t>Statement on Form S-1 filed on October 28, 2025 (File No. 333-291112))†</w:t>
              </w:r>
            </w:hyperlink>
          </w:p>
        </w:tc>
        <w:tc>
          <w:tcPr>
            <w:tcW w:w="1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10.32</w:t>
            </w:r>
          </w:p>
        </w:tc>
        <w:tc>
          <w:tcPr>
            <w:tcW w:w="9920" w:type="dxa"/>
            <w:vAlign w:val="bottom"/>
            <w:gridSpan w:val="19"/>
          </w:tcPr>
          <w:p>
            <w:pPr>
              <w:spacing w:after="0"/>
              <w:rPr>
                <w:rFonts w:ascii="Times New Roman" w:cs="Times New Roman" w:eastAsia="Times New Roman" w:hAnsi="Times New Roman"/>
                <w:sz w:val="18"/>
                <w:szCs w:val="18"/>
                <w:color w:val="0000EE"/>
                <w:w w:val="99"/>
              </w:rPr>
            </w:pPr>
            <w:hyperlink r:id="rId603">
              <w:r>
                <w:rPr>
                  <w:rFonts w:ascii="Times New Roman" w:cs="Times New Roman" w:eastAsia="Times New Roman" w:hAnsi="Times New Roman"/>
                  <w:sz w:val="18"/>
                  <w:szCs w:val="18"/>
                  <w:color w:val="0000EE"/>
                  <w:w w:val="99"/>
                </w:rPr>
                <w:t>Form of Unit Subscription Agreement (Class A Units and Class B Units of the Aggregator) (incorporated by reference to Exhibit 10.32 to</w:t>
              </w:r>
            </w:hyperlink>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0" w:type="dxa"/>
            <w:vAlign w:val="bottom"/>
            <w:tcBorders>
              <w:top w:val="single" w:sz="8" w:color="0000EE"/>
              <w:bottom w:val="single" w:sz="8" w:color="0000EE"/>
            </w:tcBorders>
            <w:gridSpan w:val="6"/>
          </w:tcPr>
          <w:p>
            <w:pPr>
              <w:spacing w:after="0" w:line="194" w:lineRule="exact"/>
              <w:rPr>
                <w:rFonts w:ascii="Times New Roman" w:cs="Times New Roman" w:eastAsia="Times New Roman" w:hAnsi="Times New Roman"/>
                <w:sz w:val="18"/>
                <w:szCs w:val="18"/>
                <w:color w:val="0000EE"/>
                <w:w w:val="98"/>
              </w:rPr>
            </w:pPr>
            <w:hyperlink r:id="rId603">
              <w:r>
                <w:rPr>
                  <w:rFonts w:ascii="Times New Roman" w:cs="Times New Roman" w:eastAsia="Times New Roman" w:hAnsi="Times New Roman"/>
                  <w:sz w:val="18"/>
                  <w:szCs w:val="18"/>
                  <w:color w:val="0000EE"/>
                  <w:w w:val="98"/>
                </w:rPr>
                <w:t>the Registrant’s Registration Statement on Form S-1 filed on October 28, 2025 (File No. 333-291112))†</w:t>
              </w:r>
            </w:hyperlink>
          </w:p>
        </w:tc>
        <w:tc>
          <w:tcPr>
            <w:tcW w:w="2420" w:type="dxa"/>
            <w:vAlign w:val="bottom"/>
            <w:tcBorders>
              <w:top w:val="single" w:sz="8" w:color="0000EE"/>
            </w:tcBorders>
            <w:gridSpan w:val="10"/>
          </w:tcPr>
          <w:p>
            <w:pPr>
              <w:spacing w:after="0"/>
              <w:rPr>
                <w:sz w:val="16"/>
                <w:szCs w:val="16"/>
                <w:color w:val="auto"/>
              </w:rPr>
            </w:pPr>
          </w:p>
        </w:tc>
        <w:tc>
          <w:tcPr>
            <w:tcW w:w="1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10.33</w:t>
            </w:r>
          </w:p>
        </w:tc>
        <w:tc>
          <w:tcPr>
            <w:tcW w:w="9920" w:type="dxa"/>
            <w:vAlign w:val="bottom"/>
            <w:gridSpan w:val="19"/>
          </w:tcPr>
          <w:p>
            <w:pPr>
              <w:spacing w:after="0"/>
              <w:rPr>
                <w:rFonts w:ascii="Times New Roman" w:cs="Times New Roman" w:eastAsia="Times New Roman" w:hAnsi="Times New Roman"/>
                <w:sz w:val="18"/>
                <w:szCs w:val="18"/>
                <w:color w:val="0000EE"/>
              </w:rPr>
            </w:pPr>
            <w:hyperlink r:id="rId604">
              <w:r>
                <w:rPr>
                  <w:rFonts w:ascii="Times New Roman" w:cs="Times New Roman" w:eastAsia="Times New Roman" w:hAnsi="Times New Roman"/>
                  <w:sz w:val="18"/>
                  <w:szCs w:val="18"/>
                  <w:color w:val="0000EE"/>
                </w:rPr>
                <w:t>Form of Incentive Unit Subscription Agreement (Class B Units of the Aggregator) (General) (incorporated by reference to Exhibit 10.33</w:t>
              </w:r>
            </w:hyperlink>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740" w:type="dxa"/>
            <w:vAlign w:val="bottom"/>
            <w:tcBorders>
              <w:top w:val="single" w:sz="8" w:color="0000EE"/>
            </w:tcBorders>
            <w:gridSpan w:val="14"/>
          </w:tcPr>
          <w:p>
            <w:pPr>
              <w:spacing w:after="0" w:line="194" w:lineRule="exact"/>
              <w:rPr>
                <w:rFonts w:ascii="Times New Roman" w:cs="Times New Roman" w:eastAsia="Times New Roman" w:hAnsi="Times New Roman"/>
                <w:sz w:val="18"/>
                <w:szCs w:val="18"/>
                <w:color w:val="0000EE"/>
              </w:rPr>
            </w:pPr>
            <w:hyperlink r:id="rId604">
              <w:r>
                <w:rPr>
                  <w:rFonts w:ascii="Times New Roman" w:cs="Times New Roman" w:eastAsia="Times New Roman" w:hAnsi="Times New Roman"/>
                  <w:sz w:val="18"/>
                  <w:szCs w:val="18"/>
                  <w:color w:val="0000EE"/>
                </w:rPr>
                <w:t>to the Registrant’s Registration Statement on Form S-1 filed on October 28, 2025 (File No. 333-291112))†</w:t>
              </w:r>
            </w:hyperlink>
          </w:p>
        </w:tc>
        <w:tc>
          <w:tcPr>
            <w:tcW w:w="18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39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10.34</w:t>
            </w:r>
          </w:p>
        </w:tc>
        <w:tc>
          <w:tcPr>
            <w:tcW w:w="9920" w:type="dxa"/>
            <w:vAlign w:val="bottom"/>
            <w:gridSpan w:val="19"/>
          </w:tcPr>
          <w:p>
            <w:pPr>
              <w:spacing w:after="0"/>
              <w:rPr>
                <w:rFonts w:ascii="Times New Roman" w:cs="Times New Roman" w:eastAsia="Times New Roman" w:hAnsi="Times New Roman"/>
                <w:sz w:val="18"/>
                <w:szCs w:val="18"/>
                <w:color w:val="0000EE"/>
              </w:rPr>
            </w:pPr>
            <w:hyperlink r:id="rId605">
              <w:r>
                <w:rPr>
                  <w:rFonts w:ascii="Times New Roman" w:cs="Times New Roman" w:eastAsia="Times New Roman" w:hAnsi="Times New Roman"/>
                  <w:sz w:val="18"/>
                  <w:szCs w:val="18"/>
                  <w:color w:val="0000EE"/>
                </w:rPr>
                <w:t>Form of Incentive Unit Subscription Agreement (Class B Units of the Aggregator) (Messrs. Boyle and Pigott Promotion Grant)</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39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20" w:type="dxa"/>
            <w:vAlign w:val="bottom"/>
            <w:tcBorders>
              <w:bottom w:val="single" w:sz="8" w:color="0000EE"/>
            </w:tcBorders>
            <w:gridSpan w:val="10"/>
          </w:tcPr>
          <w:p>
            <w:pPr>
              <w:spacing w:after="0" w:line="194" w:lineRule="exact"/>
              <w:rPr>
                <w:rFonts w:ascii="Times New Roman" w:cs="Times New Roman" w:eastAsia="Times New Roman" w:hAnsi="Times New Roman"/>
                <w:sz w:val="18"/>
                <w:szCs w:val="18"/>
                <w:color w:val="0000EE"/>
                <w:w w:val="98"/>
              </w:rPr>
            </w:pPr>
            <w:hyperlink r:id="rId605">
              <w:r>
                <w:rPr>
                  <w:rFonts w:ascii="Times New Roman" w:cs="Times New Roman" w:eastAsia="Times New Roman" w:hAnsi="Times New Roman"/>
                  <w:sz w:val="18"/>
                  <w:szCs w:val="18"/>
                  <w:color w:val="0000EE"/>
                  <w:w w:val="98"/>
                </w:rPr>
                <w:t>(incorporated by reference to Exhibit 10.34 to the Registrant’s Registration Statement on Form S-1 filed on October 28, 2025 (File No.</w:t>
              </w:r>
            </w:hyperlink>
          </w:p>
        </w:tc>
        <w:tc>
          <w:tcPr>
            <w:tcW w:w="30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tcBorders>
              <w:bottom w:val="single" w:sz="8" w:color="0000EE"/>
            </w:tcBorders>
          </w:tcPr>
          <w:p>
            <w:pPr>
              <w:spacing w:after="0" w:line="194" w:lineRule="exact"/>
              <w:rPr>
                <w:rFonts w:ascii="Times New Roman" w:cs="Times New Roman" w:eastAsia="Times New Roman" w:hAnsi="Times New Roman"/>
                <w:sz w:val="18"/>
                <w:szCs w:val="18"/>
                <w:color w:val="0000EE"/>
                <w:w w:val="96"/>
              </w:rPr>
            </w:pPr>
            <w:hyperlink r:id="rId605">
              <w:r>
                <w:rPr>
                  <w:rFonts w:ascii="Times New Roman" w:cs="Times New Roman" w:eastAsia="Times New Roman" w:hAnsi="Times New Roman"/>
                  <w:sz w:val="18"/>
                  <w:szCs w:val="18"/>
                  <w:color w:val="0000EE"/>
                  <w:w w:val="96"/>
                </w:rPr>
                <w:t>333-291112))†</w:t>
              </w:r>
            </w:hyperlink>
          </w:p>
        </w:tc>
        <w:tc>
          <w:tcPr>
            <w:tcW w:w="8860" w:type="dxa"/>
            <w:vAlign w:val="bottom"/>
            <w:gridSpan w:val="18"/>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10.35</w:t>
            </w:r>
          </w:p>
        </w:tc>
        <w:tc>
          <w:tcPr>
            <w:tcW w:w="9920" w:type="dxa"/>
            <w:vAlign w:val="bottom"/>
            <w:gridSpan w:val="19"/>
          </w:tcPr>
          <w:p>
            <w:pPr>
              <w:spacing w:after="0"/>
              <w:rPr>
                <w:rFonts w:ascii="Times New Roman" w:cs="Times New Roman" w:eastAsia="Times New Roman" w:hAnsi="Times New Roman"/>
                <w:sz w:val="18"/>
                <w:szCs w:val="18"/>
                <w:color w:val="0000EE"/>
                <w:w w:val="99"/>
              </w:rPr>
            </w:pPr>
            <w:hyperlink r:id="rId606">
              <w:r>
                <w:rPr>
                  <w:rFonts w:ascii="Times New Roman" w:cs="Times New Roman" w:eastAsia="Times New Roman" w:hAnsi="Times New Roman"/>
                  <w:sz w:val="18"/>
                  <w:szCs w:val="18"/>
                  <w:color w:val="0000EE"/>
                  <w:w w:val="99"/>
                </w:rPr>
                <w:t>Amendment No. 5 to the Credit Agreement, dated March 28, 2025, among Medline Borrower, LP, as successor in interest to Mozart Debt</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39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60" w:type="dxa"/>
            <w:vAlign w:val="bottom"/>
            <w:tcBorders>
              <w:bottom w:val="single" w:sz="8" w:color="0000EE"/>
            </w:tcBorders>
            <w:gridSpan w:val="18"/>
          </w:tcPr>
          <w:p>
            <w:pPr>
              <w:spacing w:after="0" w:line="194" w:lineRule="exact"/>
              <w:rPr>
                <w:rFonts w:ascii="Times New Roman" w:cs="Times New Roman" w:eastAsia="Times New Roman" w:hAnsi="Times New Roman"/>
                <w:sz w:val="18"/>
                <w:szCs w:val="18"/>
                <w:color w:val="0000EE"/>
                <w:w w:val="98"/>
              </w:rPr>
            </w:pPr>
            <w:hyperlink r:id="rId606">
              <w:r>
                <w:rPr>
                  <w:rFonts w:ascii="Times New Roman" w:cs="Times New Roman" w:eastAsia="Times New Roman" w:hAnsi="Times New Roman"/>
                  <w:sz w:val="18"/>
                  <w:szCs w:val="18"/>
                  <w:color w:val="0000EE"/>
                  <w:w w:val="98"/>
                </w:rPr>
                <w:t>Merger Sub Inc., Medline Intermediate, LP, the guarantors from time to time party thereto, the lending institutions from time to time party</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300" w:type="dxa"/>
            <w:vAlign w:val="bottom"/>
            <w:tcBorders>
              <w:bottom w:val="single" w:sz="8" w:color="0000EE"/>
            </w:tcBorders>
            <w:gridSpan w:val="9"/>
          </w:tcPr>
          <w:p>
            <w:pPr>
              <w:spacing w:after="0" w:line="194" w:lineRule="exact"/>
              <w:rPr>
                <w:rFonts w:ascii="Times New Roman" w:cs="Times New Roman" w:eastAsia="Times New Roman" w:hAnsi="Times New Roman"/>
                <w:sz w:val="18"/>
                <w:szCs w:val="18"/>
                <w:color w:val="0000EE"/>
                <w:w w:val="98"/>
              </w:rPr>
            </w:pPr>
            <w:hyperlink r:id="rId606">
              <w:r>
                <w:rPr>
                  <w:rFonts w:ascii="Times New Roman" w:cs="Times New Roman" w:eastAsia="Times New Roman" w:hAnsi="Times New Roman"/>
                  <w:sz w:val="18"/>
                  <w:szCs w:val="18"/>
                  <w:color w:val="0000EE"/>
                  <w:w w:val="98"/>
                </w:rPr>
                <w:t>thereto, and Bank of America, N.A., as administrative agent and collateral agent (incorporated by reference to Exhibit 10.35 to the</w:t>
              </w:r>
            </w:hyperlink>
          </w:p>
        </w:tc>
        <w:tc>
          <w:tcPr>
            <w:tcW w:w="62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920" w:type="dxa"/>
            <w:vAlign w:val="bottom"/>
            <w:gridSpan w:val="19"/>
          </w:tcPr>
          <w:p>
            <w:pPr>
              <w:spacing w:after="0" w:line="194" w:lineRule="exact"/>
              <w:rPr>
                <w:rFonts w:ascii="Times New Roman" w:cs="Times New Roman" w:eastAsia="Times New Roman" w:hAnsi="Times New Roman"/>
                <w:sz w:val="18"/>
                <w:szCs w:val="18"/>
                <w:color w:val="0000EE"/>
              </w:rPr>
            </w:pPr>
            <w:hyperlink r:id="rId606">
              <w:r>
                <w:rPr>
                  <w:rFonts w:ascii="Times New Roman" w:cs="Times New Roman" w:eastAsia="Times New Roman" w:hAnsi="Times New Roman"/>
                  <w:sz w:val="18"/>
                  <w:szCs w:val="18"/>
                  <w:color w:val="0000EE"/>
                </w:rPr>
                <w:t>Registrant’s Registration Statement on Form S-1 filed on October 28, 2025 (File No. 333-291112))</w:t>
              </w:r>
            </w:hyperlink>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39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10.36</w:t>
            </w:r>
          </w:p>
        </w:tc>
        <w:tc>
          <w:tcPr>
            <w:tcW w:w="96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607">
              <w:r>
                <w:rPr>
                  <w:rFonts w:ascii="Times New Roman" w:cs="Times New Roman" w:eastAsia="Times New Roman" w:hAnsi="Times New Roman"/>
                  <w:sz w:val="18"/>
                  <w:szCs w:val="18"/>
                  <w:color w:val="0000EE"/>
                  <w:w w:val="98"/>
                </w:rPr>
                <w:t>Amendment No. 6 to the Credit Agreement, dated July 31, 2025, among Medline Borrower, LP, as successor in interest to Mozart Debt</w:t>
              </w:r>
            </w:hyperlink>
          </w:p>
        </w:tc>
        <w:tc>
          <w:tcPr>
            <w:tcW w:w="2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920" w:type="dxa"/>
            <w:vAlign w:val="bottom"/>
            <w:gridSpan w:val="19"/>
          </w:tcPr>
          <w:p>
            <w:pPr>
              <w:spacing w:after="0" w:line="194" w:lineRule="exact"/>
              <w:rPr>
                <w:rFonts w:ascii="Times New Roman" w:cs="Times New Roman" w:eastAsia="Times New Roman" w:hAnsi="Times New Roman"/>
                <w:sz w:val="18"/>
                <w:szCs w:val="18"/>
                <w:color w:val="0000EE"/>
                <w:w w:val="99"/>
              </w:rPr>
            </w:pPr>
            <w:hyperlink r:id="rId607">
              <w:r>
                <w:rPr>
                  <w:rFonts w:ascii="Times New Roman" w:cs="Times New Roman" w:eastAsia="Times New Roman" w:hAnsi="Times New Roman"/>
                  <w:sz w:val="18"/>
                  <w:szCs w:val="18"/>
                  <w:color w:val="0000EE"/>
                  <w:w w:val="99"/>
                </w:rPr>
                <w:t>Merger Sub Inc., Medline Intermediate, LP, the guarantors from time to time party thereto, the lending institutions from time to time party</w:t>
              </w:r>
            </w:hyperlink>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300" w:type="dxa"/>
            <w:vAlign w:val="bottom"/>
            <w:tcBorders>
              <w:top w:val="single" w:sz="8" w:color="0000EE"/>
              <w:bottom w:val="single" w:sz="8" w:color="0000EE"/>
            </w:tcBorders>
            <w:gridSpan w:val="9"/>
          </w:tcPr>
          <w:p>
            <w:pPr>
              <w:spacing w:after="0" w:line="194" w:lineRule="exact"/>
              <w:rPr>
                <w:rFonts w:ascii="Times New Roman" w:cs="Times New Roman" w:eastAsia="Times New Roman" w:hAnsi="Times New Roman"/>
                <w:sz w:val="18"/>
                <w:szCs w:val="18"/>
                <w:color w:val="0000EE"/>
                <w:w w:val="98"/>
              </w:rPr>
            </w:pPr>
            <w:hyperlink r:id="rId607">
              <w:r>
                <w:rPr>
                  <w:rFonts w:ascii="Times New Roman" w:cs="Times New Roman" w:eastAsia="Times New Roman" w:hAnsi="Times New Roman"/>
                  <w:sz w:val="18"/>
                  <w:szCs w:val="18"/>
                  <w:color w:val="0000EE"/>
                  <w:w w:val="98"/>
                </w:rPr>
                <w:t>thereto, and Bank of America, N.A., as administrative agent and collateral agent (incorporated by reference to Exhibit 10.36 to the</w:t>
              </w:r>
            </w:hyperlink>
          </w:p>
        </w:tc>
        <w:tc>
          <w:tcPr>
            <w:tcW w:w="540" w:type="dxa"/>
            <w:vAlign w:val="bottom"/>
            <w:tcBorders>
              <w:top w:val="single" w:sz="8" w:color="0000EE"/>
            </w:tcBorders>
            <w:gridSpan w:val="8"/>
          </w:tcPr>
          <w:p>
            <w:pPr>
              <w:spacing w:after="0"/>
              <w:rPr>
                <w:sz w:val="16"/>
                <w:szCs w:val="16"/>
                <w:color w:val="auto"/>
              </w:rPr>
            </w:pPr>
          </w:p>
        </w:tc>
        <w:tc>
          <w:tcPr>
            <w:tcW w:w="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920" w:type="dxa"/>
            <w:vAlign w:val="bottom"/>
            <w:gridSpan w:val="19"/>
          </w:tcPr>
          <w:p>
            <w:pPr>
              <w:spacing w:after="0" w:line="194" w:lineRule="exact"/>
              <w:rPr>
                <w:rFonts w:ascii="Times New Roman" w:cs="Times New Roman" w:eastAsia="Times New Roman" w:hAnsi="Times New Roman"/>
                <w:sz w:val="18"/>
                <w:szCs w:val="18"/>
                <w:color w:val="0000EE"/>
              </w:rPr>
            </w:pPr>
            <w:hyperlink r:id="rId607">
              <w:r>
                <w:rPr>
                  <w:rFonts w:ascii="Times New Roman" w:cs="Times New Roman" w:eastAsia="Times New Roman" w:hAnsi="Times New Roman"/>
                  <w:sz w:val="18"/>
                  <w:szCs w:val="18"/>
                  <w:color w:val="0000EE"/>
                </w:rPr>
                <w:t>Registrant’s Registration Statement on Form S-1 filed on October 28, 2025 (File No. 333-291112))</w:t>
              </w:r>
            </w:hyperlink>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39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10.37</w:t>
            </w:r>
          </w:p>
        </w:tc>
        <w:tc>
          <w:tcPr>
            <w:tcW w:w="97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r:id="rId608">
              <w:r>
                <w:rPr>
                  <w:rFonts w:ascii="Times New Roman" w:cs="Times New Roman" w:eastAsia="Times New Roman" w:hAnsi="Times New Roman"/>
                  <w:sz w:val="18"/>
                  <w:szCs w:val="18"/>
                  <w:color w:val="0000EE"/>
                  <w:w w:val="98"/>
                </w:rPr>
                <w:t>Information and Access Agreement between the Registrant and entities affiliated with Hux (incorporated by reference to Exhibit 10.6 to</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920" w:type="dxa"/>
            <w:vAlign w:val="bottom"/>
            <w:gridSpan w:val="19"/>
          </w:tcPr>
          <w:p>
            <w:pPr>
              <w:spacing w:after="0" w:line="194" w:lineRule="exact"/>
              <w:rPr>
                <w:rFonts w:ascii="Times New Roman" w:cs="Times New Roman" w:eastAsia="Times New Roman" w:hAnsi="Times New Roman"/>
                <w:sz w:val="18"/>
                <w:szCs w:val="18"/>
                <w:color w:val="0000EE"/>
              </w:rPr>
            </w:pPr>
            <w:hyperlink r:id="rId608">
              <w:r>
                <w:rPr>
                  <w:rFonts w:ascii="Times New Roman" w:cs="Times New Roman" w:eastAsia="Times New Roman" w:hAnsi="Times New Roman"/>
                  <w:sz w:val="18"/>
                  <w:szCs w:val="18"/>
                  <w:color w:val="0000EE"/>
                </w:rPr>
                <w:t>the Registrant’s Current Report on Form 8-K filed on December 22, 2025 (File No. 001-43022))</w:t>
              </w:r>
            </w:hyperlink>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3920" w:type="dxa"/>
            <w:vAlign w:val="bottom"/>
            <w:gridSpan w:val="2"/>
            <w:shd w:val="clear" w:color="auto" w:fill="0000EE"/>
          </w:tcPr>
          <w:p>
            <w:pPr>
              <w:spacing w:after="0" w:line="20" w:lineRule="exact"/>
              <w:rPr>
                <w:sz w:val="1"/>
                <w:szCs w:val="1"/>
                <w:color w:val="auto"/>
              </w:rPr>
            </w:pPr>
          </w:p>
        </w:tc>
        <w:tc>
          <w:tcPr>
            <w:tcW w:w="2840" w:type="dxa"/>
            <w:vAlign w:val="bottom"/>
            <w:gridSpan w:val="8"/>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21.1</w:t>
            </w:r>
          </w:p>
        </w:tc>
        <w:tc>
          <w:tcPr>
            <w:tcW w:w="600" w:type="dxa"/>
            <w:vAlign w:val="bottom"/>
          </w:tcPr>
          <w:p>
            <w:pPr>
              <w:spacing w:after="0"/>
              <w:rPr>
                <w:sz w:val="24"/>
                <w:szCs w:val="24"/>
                <w:color w:val="auto"/>
              </w:rPr>
            </w:pPr>
          </w:p>
        </w:tc>
        <w:tc>
          <w:tcPr>
            <w:tcW w:w="97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r:id="rId609">
              <w:r>
                <w:rPr>
                  <w:rFonts w:ascii="Times New Roman" w:cs="Times New Roman" w:eastAsia="Times New Roman" w:hAnsi="Times New Roman"/>
                  <w:sz w:val="18"/>
                  <w:szCs w:val="18"/>
                  <w:color w:val="0000EE"/>
                  <w:w w:val="98"/>
                </w:rPr>
                <w:t>Subsidiaries of the Registrant (incorporated by reference to Exhibit 21.1 to the Registrant’s Registration Statement on Form S-1 filed on</w:t>
              </w:r>
            </w:hyperlink>
          </w:p>
        </w:tc>
        <w:tc>
          <w:tcPr>
            <w:tcW w:w="2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940" w:type="dxa"/>
            <w:vAlign w:val="bottom"/>
            <w:tcBorders>
              <w:bottom w:val="single" w:sz="8" w:color="0000EE"/>
            </w:tcBorders>
            <w:gridSpan w:val="2"/>
          </w:tcPr>
          <w:p>
            <w:pPr>
              <w:spacing w:after="0" w:line="194" w:lineRule="exact"/>
              <w:rPr>
                <w:rFonts w:ascii="Times New Roman" w:cs="Times New Roman" w:eastAsia="Times New Roman" w:hAnsi="Times New Roman"/>
                <w:sz w:val="18"/>
                <w:szCs w:val="18"/>
                <w:color w:val="0000EE"/>
                <w:w w:val="97"/>
              </w:rPr>
            </w:pPr>
            <w:hyperlink r:id="rId609">
              <w:r>
                <w:rPr>
                  <w:rFonts w:ascii="Times New Roman" w:cs="Times New Roman" w:eastAsia="Times New Roman" w:hAnsi="Times New Roman"/>
                  <w:sz w:val="18"/>
                  <w:szCs w:val="18"/>
                  <w:color w:val="0000EE"/>
                  <w:w w:val="97"/>
                </w:rPr>
                <w:t>October 28, 2025 (File No. 333-291112))</w:t>
              </w:r>
            </w:hyperlink>
          </w:p>
        </w:tc>
        <w:tc>
          <w:tcPr>
            <w:tcW w:w="6980" w:type="dxa"/>
            <w:vAlign w:val="bottom"/>
            <w:gridSpan w:val="17"/>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600" w:type="dxa"/>
            <w:vAlign w:val="bottom"/>
          </w:tcPr>
          <w:p>
            <w:pPr>
              <w:spacing w:after="0"/>
              <w:rPr>
                <w:sz w:val="24"/>
                <w:szCs w:val="24"/>
                <w:color w:val="auto"/>
              </w:rPr>
            </w:pPr>
          </w:p>
        </w:tc>
        <w:tc>
          <w:tcPr>
            <w:tcW w:w="99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Consent of Ernst &amp; Young LLP as to Medline Holdings, LP*</w:t>
            </w:r>
          </w:p>
        </w:tc>
        <w:tc>
          <w:tcPr>
            <w:tcW w:w="0" w:type="dxa"/>
            <w:vAlign w:val="bottom"/>
          </w:tcPr>
          <w:p>
            <w:pPr>
              <w:spacing w:after="0"/>
              <w:rPr>
                <w:sz w:val="1"/>
                <w:szCs w:val="1"/>
                <w:color w:val="auto"/>
              </w:rPr>
            </w:pPr>
          </w:p>
        </w:tc>
      </w:tr>
      <w:tr>
        <w:trPr>
          <w:trHeight w:val="321"/>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23.2</w:t>
            </w:r>
          </w:p>
        </w:tc>
        <w:tc>
          <w:tcPr>
            <w:tcW w:w="600" w:type="dxa"/>
            <w:vAlign w:val="bottom"/>
          </w:tcPr>
          <w:p>
            <w:pPr>
              <w:spacing w:after="0"/>
              <w:rPr>
                <w:sz w:val="24"/>
                <w:szCs w:val="24"/>
                <w:color w:val="auto"/>
              </w:rPr>
            </w:pPr>
          </w:p>
        </w:tc>
        <w:tc>
          <w:tcPr>
            <w:tcW w:w="99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Consent of Simpson Thacher &amp; Bartlett LLP (included as part of Exhibit 5.1)*</w:t>
            </w:r>
          </w:p>
        </w:tc>
        <w:tc>
          <w:tcPr>
            <w:tcW w:w="0" w:type="dxa"/>
            <w:vAlign w:val="bottom"/>
          </w:tcPr>
          <w:p>
            <w:pPr>
              <w:spacing w:after="0"/>
              <w:rPr>
                <w:sz w:val="1"/>
                <w:szCs w:val="1"/>
                <w:color w:val="auto"/>
              </w:rPr>
            </w:pPr>
          </w:p>
        </w:tc>
      </w:tr>
      <w:tr>
        <w:trPr>
          <w:trHeight w:val="321"/>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24.1</w:t>
            </w:r>
          </w:p>
        </w:tc>
        <w:tc>
          <w:tcPr>
            <w:tcW w:w="600" w:type="dxa"/>
            <w:vAlign w:val="bottom"/>
          </w:tcPr>
          <w:p>
            <w:pPr>
              <w:spacing w:after="0"/>
              <w:rPr>
                <w:sz w:val="24"/>
                <w:szCs w:val="24"/>
                <w:color w:val="auto"/>
              </w:rPr>
            </w:pPr>
          </w:p>
        </w:tc>
        <w:tc>
          <w:tcPr>
            <w:tcW w:w="99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Power of Attorney (included in signature pages of this Registration Statement)*</w:t>
            </w:r>
          </w:p>
        </w:tc>
        <w:tc>
          <w:tcPr>
            <w:tcW w:w="0" w:type="dxa"/>
            <w:vAlign w:val="bottom"/>
          </w:tcPr>
          <w:p>
            <w:pPr>
              <w:spacing w:after="0"/>
              <w:rPr>
                <w:sz w:val="1"/>
                <w:szCs w:val="1"/>
                <w:color w:val="auto"/>
              </w:rPr>
            </w:pPr>
          </w:p>
        </w:tc>
      </w:tr>
      <w:tr>
        <w:trPr>
          <w:trHeight w:val="321"/>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600" w:type="dxa"/>
            <w:vAlign w:val="bottom"/>
          </w:tcPr>
          <w:p>
            <w:pPr>
              <w:spacing w:after="0"/>
              <w:rPr>
                <w:sz w:val="24"/>
                <w:szCs w:val="24"/>
                <w:color w:val="auto"/>
              </w:rPr>
            </w:pPr>
          </w:p>
        </w:tc>
        <w:tc>
          <w:tcPr>
            <w:tcW w:w="99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Filing Fee Table*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84455</wp:posOffset>
            </wp:positionV>
            <wp:extent cx="76454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10">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8" w:lineRule="exact"/>
        <w:rPr>
          <w:sz w:val="20"/>
          <w:szCs w:val="20"/>
          <w:color w:val="auto"/>
        </w:rPr>
      </w:pPr>
    </w:p>
    <w:p>
      <w:pPr>
        <w:ind w:left="600" w:hanging="433"/>
        <w:spacing w:after="0"/>
        <w:tabs>
          <w:tab w:leader="none" w:pos="6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w:t>
      </w:r>
    </w:p>
    <w:p>
      <w:pPr>
        <w:spacing w:after="0" w:line="26" w:lineRule="exact"/>
        <w:rPr>
          <w:sz w:val="20"/>
          <w:szCs w:val="20"/>
          <w:color w:val="auto"/>
        </w:rPr>
      </w:pPr>
    </w:p>
    <w:p>
      <w:pPr>
        <w:ind w:left="600" w:hanging="433"/>
        <w:spacing w:after="0"/>
        <w:tabs>
          <w:tab w:leader="none" w:pos="6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II-9</w:t>
      </w:r>
    </w:p>
    <w:p>
      <w:pPr>
        <w:sectPr>
          <w:pgSz w:w="11900" w:h="16838" w:orient="portrait"/>
          <w:cols w:equalWidth="0" w:num="1">
            <w:col w:w="11080"/>
          </w:cols>
          <w:pgMar w:left="320" w:top="452" w:right="499"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the City of Northfield, State of Illinois, on the         day of         , 2026.</w:t>
      </w:r>
    </w:p>
    <w:p>
      <w:pPr>
        <w:spacing w:after="0" w:line="306"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b w:val="1"/>
          <w:bCs w:val="1"/>
          <w:color w:val="auto"/>
        </w:rPr>
        <w:t>MEDLINE INC.</w:t>
      </w:r>
    </w:p>
    <w:p>
      <w:pPr>
        <w:spacing w:after="0" w:line="225"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15875</wp:posOffset>
            </wp:positionV>
            <wp:extent cx="257302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12">
                      <a:extLst>
                        <a:ext uri="{28A0092B-C50C-407E-A947-70E740481C1C}"/>
                      </a:extLst>
                    </a:blip>
                    <a:srcRect/>
                    <a:stretch>
                      <a:fillRect/>
                    </a:stretch>
                  </pic:blipFill>
                  <pic:spPr bwMode="auto">
                    <a:xfrm>
                      <a:off x="0" y="0"/>
                      <a:ext cx="2573020" cy="8255"/>
                    </a:xfrm>
                    <a:prstGeom prst="rect">
                      <a:avLst/>
                    </a:prstGeom>
                    <a:noFill/>
                  </pic:spPr>
                </pic:pic>
              </a:graphicData>
            </a:graphic>
          </wp:anchor>
        </w:drawing>
      </w:r>
    </w:p>
    <w:p>
      <w:pPr>
        <w:spacing w:after="0" w:line="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Name: James M. Boyle</w:t>
      </w:r>
    </w:p>
    <w:p>
      <w:pPr>
        <w:spacing w:after="0" w:line="20"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3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II-10</w:t>
      </w:r>
    </w:p>
    <w:p>
      <w:pPr>
        <w:sectPr>
          <w:pgSz w:w="11900" w:h="16838" w:orient="portrait"/>
          <w:cols w:equalWidth="0" w:num="1">
            <w:col w:w="11040"/>
          </w:cols>
          <w:pgMar w:left="320" w:top="452" w:right="539"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Medline Inc. has requested confidential treatment of this registration statement and associated</w:t>
      </w:r>
    </w:p>
    <w:p>
      <w:pPr>
        <w:spacing w:after="0" w:line="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correspondence pursuant to Rule 83 of the Securities and Exchange Commission.</w:t>
      </w:r>
    </w:p>
    <w:p>
      <w:pPr>
        <w:spacing w:after="0" w:line="1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James M. Boyle, Michael B. Drazin, and Alex M. Liberman, and each of them, any of whom may act without joinder of the other, the individual’s true and lawful attorneys-in-fact and agents, with full power of substitution and resubstitution, for the person and in their name, place and stead, in any and all capacities, to sign this Registration Statement and any or all amendments, including post-effective amendments to the Registration Statement, including a prospectus or an amended prospectus therein and any Registration Statement for the same offering that is to be effective upon filing pursuant to Rule 462 under the Securities Act, and all other documents in connection therewith to be filed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might or could do in person, hereby ratifying and confirming all that said attorneys-in-fact as agents or any of them, or their substitute or substitutes, may lawfully do or cause to be done by virtue hereof.</w:t>
      </w:r>
    </w:p>
    <w:p>
      <w:pPr>
        <w:spacing w:after="0" w:line="192" w:lineRule="exact"/>
        <w:rPr>
          <w:sz w:val="20"/>
          <w:szCs w:val="20"/>
          <w:color w:val="auto"/>
        </w:rPr>
      </w:pPr>
    </w:p>
    <w:p>
      <w:pPr>
        <w:ind w:left="160" w:right="140" w:firstLine="436"/>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indicated on the         day of         , 2026.</w:t>
      </w:r>
    </w:p>
    <w:p>
      <w:pPr>
        <w:sectPr>
          <w:pgSz w:w="11900" w:h="16838" w:orient="portrait"/>
          <w:cols w:equalWidth="0" w:num="1">
            <w:col w:w="11000"/>
          </w:cols>
          <w:pgMar w:left="320" w:top="451" w:right="579" w:bottom="1440" w:gutter="0" w:footer="0" w:header="0"/>
        </w:sectPr>
      </w:pPr>
    </w:p>
    <w:p>
      <w:pPr>
        <w:spacing w:after="0" w:line="18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15240</wp:posOffset>
            </wp:positionV>
            <wp:extent cx="317627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14">
                      <a:extLst>
                        <a:ext uri="{28A0092B-C50C-407E-A947-70E740481C1C}"/>
                      </a:extLst>
                    </a:blip>
                    <a:srcRect/>
                    <a:stretch>
                      <a:fillRect/>
                    </a:stretch>
                  </pic:blipFill>
                  <pic:spPr bwMode="auto">
                    <a:xfrm>
                      <a:off x="0" y="0"/>
                      <a:ext cx="3176270" cy="8255"/>
                    </a:xfrm>
                    <a:prstGeom prst="rect">
                      <a:avLst/>
                    </a:prstGeom>
                    <a:noFill/>
                  </pic:spPr>
                </pic:pic>
              </a:graphicData>
            </a:graphic>
          </wp:anchor>
        </w:drawing>
      </w:r>
    </w:p>
    <w:p>
      <w:pPr>
        <w:spacing w:after="0" w:line="32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James M.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317627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15">
                      <a:extLst>
                        <a:ext uri="{28A0092B-C50C-407E-A947-70E740481C1C}"/>
                      </a:extLst>
                    </a:blip>
                    <a:srcRect/>
                    <a:stretch>
                      <a:fillRect/>
                    </a:stretch>
                  </pic:blipFill>
                  <pic:spPr bwMode="auto">
                    <a:xfrm>
                      <a:off x="0" y="0"/>
                      <a:ext cx="3176270" cy="8255"/>
                    </a:xfrm>
                    <a:prstGeom prst="rect">
                      <a:avLst/>
                    </a:prstGeom>
                    <a:noFill/>
                  </pic:spPr>
                </pic:pic>
              </a:graphicData>
            </a:graphic>
          </wp:anchor>
        </w:drawing>
      </w:r>
    </w:p>
    <w:p>
      <w:pPr>
        <w:spacing w:after="0" w:line="33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Charles N.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317627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16">
                      <a:extLst>
                        <a:ext uri="{28A0092B-C50C-407E-A947-70E740481C1C}"/>
                      </a:extLst>
                    </a:blip>
                    <a:srcRect/>
                    <a:stretch>
                      <a:fillRect/>
                    </a:stretch>
                  </pic:blipFill>
                  <pic:spPr bwMode="auto">
                    <a:xfrm>
                      <a:off x="0" y="0"/>
                      <a:ext cx="3176270" cy="8255"/>
                    </a:xfrm>
                    <a:prstGeom prst="rect">
                      <a:avLst/>
                    </a:prstGeom>
                    <a:noFill/>
                  </pic:spPr>
                </pic:pic>
              </a:graphicData>
            </a:graphic>
          </wp:anchor>
        </w:drawing>
      </w:r>
    </w:p>
    <w:p>
      <w:pPr>
        <w:spacing w:after="0" w:line="33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Joseph P. Baratta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317627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17">
                      <a:extLst>
                        <a:ext uri="{28A0092B-C50C-407E-A947-70E740481C1C}"/>
                      </a:extLst>
                    </a:blip>
                    <a:srcRect/>
                    <a:stretch>
                      <a:fillRect/>
                    </a:stretch>
                  </pic:blipFill>
                  <pic:spPr bwMode="auto">
                    <a:xfrm>
                      <a:off x="0" y="0"/>
                      <a:ext cx="3176270" cy="8255"/>
                    </a:xfrm>
                    <a:prstGeom prst="rect">
                      <a:avLst/>
                    </a:prstGeom>
                    <a:noFill/>
                  </pic:spPr>
                </pic:pic>
              </a:graphicData>
            </a:graphic>
          </wp:anchor>
        </w:drawing>
      </w:r>
    </w:p>
    <w:p>
      <w:pPr>
        <w:spacing w:after="0" w:line="33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Jacob D.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317627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18">
                      <a:extLst>
                        <a:ext uri="{28A0092B-C50C-407E-A947-70E740481C1C}"/>
                      </a:extLst>
                    </a:blip>
                    <a:srcRect/>
                    <a:stretch>
                      <a:fillRect/>
                    </a:stretch>
                  </pic:blipFill>
                  <pic:spPr bwMode="auto">
                    <a:xfrm>
                      <a:off x="0" y="0"/>
                      <a:ext cx="3176270" cy="8255"/>
                    </a:xfrm>
                    <a:prstGeom prst="rect">
                      <a:avLst/>
                    </a:prstGeom>
                    <a:noFill/>
                  </pic:spPr>
                </pic:pic>
              </a:graphicData>
            </a:graphic>
          </wp:anchor>
        </w:drawing>
      </w:r>
    </w:p>
    <w:p>
      <w:pPr>
        <w:spacing w:after="0" w:line="33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317627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19">
                      <a:extLst>
                        <a:ext uri="{28A0092B-C50C-407E-A947-70E740481C1C}"/>
                      </a:extLst>
                    </a:blip>
                    <a:srcRect/>
                    <a:stretch>
                      <a:fillRect/>
                    </a:stretch>
                  </pic:blipFill>
                  <pic:spPr bwMode="auto">
                    <a:xfrm>
                      <a:off x="0" y="0"/>
                      <a:ext cx="3176270" cy="8255"/>
                    </a:xfrm>
                    <a:prstGeom prst="rect">
                      <a:avLst/>
                    </a:prstGeom>
                    <a:noFill/>
                  </pic:spPr>
                </pic:pic>
              </a:graphicData>
            </a:graphic>
          </wp:anchor>
        </w:drawing>
      </w:r>
    </w:p>
    <w:p>
      <w:pPr>
        <w:spacing w:after="0" w:line="33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Richard A. Galanti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317627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20">
                      <a:extLst>
                        <a:ext uri="{28A0092B-C50C-407E-A947-70E740481C1C}"/>
                      </a:extLst>
                    </a:blip>
                    <a:srcRect/>
                    <a:stretch>
                      <a:fillRect/>
                    </a:stretch>
                  </pic:blipFill>
                  <pic:spPr bwMode="auto">
                    <a:xfrm>
                      <a:off x="0" y="0"/>
                      <a:ext cx="3176270" cy="8255"/>
                    </a:xfrm>
                    <a:prstGeom prst="rect">
                      <a:avLst/>
                    </a:prstGeom>
                    <a:noFill/>
                  </pic:spPr>
                </pic:pic>
              </a:graphicData>
            </a:graphic>
          </wp:anchor>
        </w:drawing>
      </w:r>
    </w:p>
    <w:p>
      <w:pPr>
        <w:spacing w:after="0" w:line="33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Patrick J. Healy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317627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21">
                      <a:extLst>
                        <a:ext uri="{28A0092B-C50C-407E-A947-70E740481C1C}"/>
                      </a:extLst>
                    </a:blip>
                    <a:srcRect/>
                    <a:stretch>
                      <a:fillRect/>
                    </a:stretch>
                  </pic:blipFill>
                  <pic:spPr bwMode="auto">
                    <a:xfrm>
                      <a:off x="0" y="0"/>
                      <a:ext cx="3176270" cy="8255"/>
                    </a:xfrm>
                    <a:prstGeom prst="rect">
                      <a:avLst/>
                    </a:prstGeom>
                    <a:noFill/>
                  </pic:spPr>
                </pic:pic>
              </a:graphicData>
            </a:graphic>
          </wp:anchor>
        </w:drawing>
      </w:r>
    </w:p>
    <w:p>
      <w:pPr>
        <w:spacing w:after="0" w:line="33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Andrew J.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317627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22">
                      <a:extLst>
                        <a:ext uri="{28A0092B-C50C-407E-A947-70E740481C1C}"/>
                      </a:extLst>
                    </a:blip>
                    <a:srcRect/>
                    <a:stretch>
                      <a:fillRect/>
                    </a:stretch>
                  </pic:blipFill>
                  <pic:spPr bwMode="auto">
                    <a:xfrm>
                      <a:off x="0" y="0"/>
                      <a:ext cx="3176270" cy="8255"/>
                    </a:xfrm>
                    <a:prstGeom prst="rect">
                      <a:avLst/>
                    </a:prstGeom>
                    <a:noFill/>
                  </pic:spPr>
                </pic:pic>
              </a:graphicData>
            </a:graphic>
          </wp:anchor>
        </w:drawing>
      </w:r>
    </w:p>
    <w:p>
      <w:pPr>
        <w:spacing w:after="0" w:line="33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Robert R. Schmidt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317627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23">
                      <a:extLst>
                        <a:ext uri="{28A0092B-C50C-407E-A947-70E740481C1C}"/>
                      </a:extLst>
                    </a:blip>
                    <a:srcRect/>
                    <a:stretch>
                      <a:fillRect/>
                    </a:stretch>
                  </pic:blipFill>
                  <pic:spPr bwMode="auto">
                    <a:xfrm>
                      <a:off x="0" y="0"/>
                      <a:ext cx="3176270" cy="8255"/>
                    </a:xfrm>
                    <a:prstGeom prst="rect">
                      <a:avLst/>
                    </a:prstGeom>
                    <a:noFill/>
                  </pic:spPr>
                </pic:pic>
              </a:graphicData>
            </a:graphic>
          </wp:anchor>
        </w:drawing>
      </w:r>
    </w:p>
    <w:p>
      <w:pPr>
        <w:spacing w:after="0" w:line="33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Anushka M. Sunder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-120650</wp:posOffset>
            </wp:positionV>
            <wp:extent cx="317627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24">
                      <a:extLst>
                        <a:ext uri="{28A0092B-C50C-407E-A947-70E740481C1C}"/>
                      </a:extLst>
                    </a:blip>
                    <a:srcRect/>
                    <a:stretch>
                      <a:fillRect/>
                    </a:stretch>
                  </pic:blipFill>
                  <pic:spPr bwMode="auto">
                    <a:xfrm>
                      <a:off x="0" y="0"/>
                      <a:ext cx="3176270" cy="8255"/>
                    </a:xfrm>
                    <a:prstGeom prst="rect">
                      <a:avLst/>
                    </a:prstGeom>
                    <a:noFill/>
                  </pic:spPr>
                </pic:pic>
              </a:graphicData>
            </a:graphic>
          </wp:anchor>
        </w:drawing>
      </w:r>
    </w:p>
    <w:p>
      <w:pPr>
        <w:spacing w:after="0" w:line="34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Thomas W. Sweet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317627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25">
                      <a:extLst>
                        <a:ext uri="{28A0092B-C50C-407E-A947-70E740481C1C}"/>
                      </a:extLst>
                    </a:blip>
                    <a:srcRect/>
                    <a:stretch>
                      <a:fillRect/>
                    </a:stretch>
                  </pic:blipFill>
                  <pic:spPr bwMode="auto">
                    <a:xfrm>
                      <a:off x="0" y="0"/>
                      <a:ext cx="3176270" cy="8255"/>
                    </a:xfrm>
                    <a:prstGeom prst="rect">
                      <a:avLst/>
                    </a:prstGeom>
                    <a:noFill/>
                  </pic:spPr>
                </pic:pic>
              </a:graphicData>
            </a:graphic>
          </wp:anchor>
        </w:drawing>
      </w:r>
    </w:p>
    <w:p>
      <w:pPr>
        <w:spacing w:after="0" w:line="33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Stephen H. 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317627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26">
                      <a:extLst>
                        <a:ext uri="{28A0092B-C50C-407E-A947-70E740481C1C}"/>
                      </a:extLst>
                    </a:blip>
                    <a:srcRect/>
                    <a:stretch>
                      <a:fillRect/>
                    </a:stretch>
                  </pic:blipFill>
                  <pic:spPr bwMode="auto">
                    <a:xfrm>
                      <a:off x="0" y="0"/>
                      <a:ext cx="3176270" cy="8255"/>
                    </a:xfrm>
                    <a:prstGeom prst="rect">
                      <a:avLst/>
                    </a:prstGeom>
                    <a:noFill/>
                  </pic:spPr>
                </pic:pic>
              </a:graphicData>
            </a:graphic>
          </wp:anchor>
        </w:drawing>
      </w:r>
    </w:p>
    <w:p>
      <w:pPr>
        <w:spacing w:after="0" w:line="33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Michael B. Drazin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317627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27">
                      <a:extLst>
                        <a:ext uri="{28A0092B-C50C-407E-A947-70E740481C1C}"/>
                      </a:extLst>
                    </a:blip>
                    <a:srcRect/>
                    <a:stretch>
                      <a:fillRect/>
                    </a:stretch>
                  </pic:blipFill>
                  <pic:spPr bwMode="auto">
                    <a:xfrm>
                      <a:off x="0" y="0"/>
                      <a:ext cx="31762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15240</wp:posOffset>
            </wp:positionV>
            <wp:extent cx="361759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28">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2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Chair of the Board of Directors</w:t>
      </w:r>
    </w:p>
    <w:p>
      <w:pPr>
        <w:spacing w:after="0" w:line="35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Director</w:t>
      </w:r>
    </w:p>
    <w:p>
      <w:pPr>
        <w:spacing w:after="0" w:line="35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Director</w:t>
      </w:r>
    </w:p>
    <w:p>
      <w:pPr>
        <w:spacing w:after="0" w:line="35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Director</w:t>
      </w:r>
    </w:p>
    <w:p>
      <w:pPr>
        <w:spacing w:after="0" w:line="35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Director</w:t>
      </w:r>
    </w:p>
    <w:p>
      <w:pPr>
        <w:spacing w:after="0" w:line="35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Director</w:t>
      </w:r>
    </w:p>
    <w:p>
      <w:pPr>
        <w:spacing w:after="0" w:line="35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Director</w:t>
      </w:r>
    </w:p>
    <w:p>
      <w:pPr>
        <w:spacing w:after="0" w:line="35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Director</w:t>
      </w:r>
    </w:p>
    <w:p>
      <w:pPr>
        <w:spacing w:after="0" w:line="35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Director</w:t>
      </w:r>
    </w:p>
    <w:p>
      <w:pPr>
        <w:spacing w:after="0" w:line="35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Director</w:t>
      </w:r>
    </w:p>
    <w:p>
      <w:pPr>
        <w:spacing w:after="0" w:line="35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Director</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Chief Financial Officer (principal financial officer and principal accounting</w:t>
      </w:r>
    </w:p>
    <w:p>
      <w:pPr>
        <w:spacing w:after="0" w:line="3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II-11</w:t>
      </w:r>
    </w:p>
    <w:sectPr>
      <w:pgSz w:w="11900" w:h="16838" w:orient="portrait"/>
      <w:cols w:equalWidth="0" w:num="2">
        <w:col w:w="4720" w:space="720"/>
        <w:col w:w="5560"/>
      </w:cols>
      <w:pgMar w:left="320" w:top="451"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01579B"/>
    <w:multiLevelType w:val="hybridMultilevel"/>
    <w:lvl w:ilvl="0">
      <w:lvlJc w:val="left"/>
      <w:lvlText w:val="(%1)"/>
      <w:numFmt w:val="decimal"/>
      <w:start w:val="1"/>
    </w:lvl>
  </w:abstractNum>
  <w:abstractNum w:abstractNumId="1">
    <w:nsid w:val="49DA307D"/>
    <w:multiLevelType w:val="hybridMultilevel"/>
    <w:lvl w:ilvl="0">
      <w:lvlJc w:val="left"/>
      <w:lvlText w:val="•"/>
      <w:numFmt w:val="bullet"/>
      <w:start w:val="1"/>
    </w:lvl>
  </w:abstractNum>
  <w:abstractNum w:abstractNumId="2">
    <w:nsid w:val="7055A5F5"/>
    <w:multiLevelType w:val="hybridMultilevel"/>
    <w:lvl w:ilvl="0">
      <w:lvlJc w:val="left"/>
      <w:lvlText w:val="•"/>
      <w:numFmt w:val="bullet"/>
      <w:start w:val="1"/>
    </w:lvl>
  </w:abstractNum>
  <w:abstractNum w:abstractNumId="3">
    <w:nsid w:val="5FB8370B"/>
    <w:multiLevelType w:val="hybridMultilevel"/>
    <w:lvl w:ilvl="0">
      <w:lvlJc w:val="left"/>
      <w:lvlText w:val="•"/>
      <w:numFmt w:val="bullet"/>
      <w:start w:val="1"/>
    </w:lvl>
  </w:abstractNum>
  <w:abstractNum w:abstractNumId="4">
    <w:nsid w:val="50801EE1"/>
    <w:multiLevelType w:val="hybridMultilevel"/>
    <w:lvl w:ilvl="0">
      <w:lvlJc w:val="left"/>
      <w:lvlText w:val="•"/>
      <w:numFmt w:val="bullet"/>
      <w:start w:val="1"/>
    </w:lvl>
  </w:abstractNum>
  <w:abstractNum w:abstractNumId="5">
    <w:nsid w:val="488AC1A"/>
    <w:multiLevelType w:val="hybridMultilevel"/>
    <w:lvl w:ilvl="0">
      <w:lvlJc w:val="left"/>
      <w:lvlText w:val="•"/>
      <w:numFmt w:val="bullet"/>
      <w:start w:val="1"/>
    </w:lvl>
  </w:abstractNum>
  <w:abstractNum w:abstractNumId="6">
    <w:nsid w:val="5FB8011C"/>
    <w:multiLevelType w:val="hybridMultilevel"/>
    <w:lvl w:ilvl="0">
      <w:lvlJc w:val="left"/>
      <w:lvlText w:val="•"/>
      <w:numFmt w:val="bullet"/>
      <w:start w:val="1"/>
    </w:lvl>
  </w:abstractNum>
  <w:abstractNum w:abstractNumId="7">
    <w:nsid w:val="6AA78F7F"/>
    <w:multiLevelType w:val="hybridMultilevel"/>
    <w:lvl w:ilvl="0">
      <w:lvlJc w:val="left"/>
      <w:lvlText w:val="•"/>
      <w:numFmt w:val="bullet"/>
      <w:start w:val="1"/>
    </w:lvl>
  </w:abstractNum>
  <w:abstractNum w:abstractNumId="8">
    <w:nsid w:val="7672BD23"/>
    <w:multiLevelType w:val="hybridMultilevel"/>
    <w:lvl w:ilvl="0">
      <w:lvlJc w:val="left"/>
      <w:lvlText w:val="•"/>
      <w:numFmt w:val="bullet"/>
      <w:start w:val="1"/>
    </w:lvl>
  </w:abstractNum>
  <w:abstractNum w:abstractNumId="9">
    <w:nsid w:val="6FC75AF8"/>
    <w:multiLevelType w:val="hybridMultilevel"/>
    <w:lvl w:ilvl="0">
      <w:lvlJc w:val="left"/>
      <w:lvlText w:val="•"/>
      <w:numFmt w:val="bullet"/>
      <w:start w:val="1"/>
    </w:lvl>
  </w:abstractNum>
  <w:abstractNum w:abstractNumId="10">
    <w:nsid w:val="6A5F7029"/>
    <w:multiLevelType w:val="hybridMultilevel"/>
    <w:lvl w:ilvl="0">
      <w:lvlJc w:val="left"/>
      <w:lvlText w:val="•"/>
      <w:numFmt w:val="bullet"/>
      <w:start w:val="1"/>
    </w:lvl>
  </w:abstractNum>
  <w:abstractNum w:abstractNumId="11">
    <w:nsid w:val="7D5E18F8"/>
    <w:multiLevelType w:val="hybridMultilevel"/>
    <w:lvl w:ilvl="0">
      <w:lvlJc w:val="left"/>
      <w:lvlText w:val="•"/>
      <w:numFmt w:val="bullet"/>
      <w:start w:val="1"/>
    </w:lvl>
  </w:abstractNum>
  <w:abstractNum w:abstractNumId="12">
    <w:nsid w:val="5F3534A4"/>
    <w:multiLevelType w:val="hybridMultilevel"/>
    <w:lvl w:ilvl="0">
      <w:lvlJc w:val="left"/>
      <w:lvlText w:val="•"/>
      <w:numFmt w:val="bullet"/>
      <w:start w:val="1"/>
    </w:lvl>
  </w:abstractNum>
  <w:abstractNum w:abstractNumId="13">
    <w:nsid w:val="73A1821B"/>
    <w:multiLevelType w:val="hybridMultilevel"/>
    <w:lvl w:ilvl="0">
      <w:lvlJc w:val="left"/>
      <w:lvlText w:val="(%1)"/>
      <w:numFmt w:val="decimal"/>
      <w:start w:val="1"/>
    </w:lvl>
    <w:lvl w:ilvl="1">
      <w:lvlJc w:val="left"/>
      <w:lvlText w:val="•"/>
      <w:numFmt w:val="bullet"/>
      <w:start w:val="1"/>
    </w:lvl>
  </w:abstractNum>
  <w:abstractNum w:abstractNumId="14">
    <w:nsid w:val="7DE67713"/>
    <w:multiLevelType w:val="hybridMultilevel"/>
    <w:lvl w:ilvl="0">
      <w:lvlJc w:val="left"/>
      <w:lvlText w:val="(%1)"/>
      <w:numFmt w:val="lowerRoman"/>
      <w:start w:val="3"/>
    </w:lvl>
  </w:abstractNum>
  <w:abstractNum w:abstractNumId="15">
    <w:nsid w:val="555C55B5"/>
    <w:multiLevelType w:val="hybridMultilevel"/>
    <w:lvl w:ilvl="0">
      <w:lvlJc w:val="left"/>
      <w:lvlText w:val="(%1)"/>
      <w:numFmt w:val="decimal"/>
      <w:start w:val="1"/>
    </w:lvl>
  </w:abstractNum>
  <w:abstractNum w:abstractNumId="16">
    <w:nsid w:val="3FA62ACA"/>
    <w:multiLevelType w:val="hybridMultilevel"/>
    <w:lvl w:ilvl="0">
      <w:lvlJc w:val="left"/>
      <w:lvlText w:val="(%1)"/>
      <w:numFmt w:val="lowerRoman"/>
      <w:start w:val="4"/>
    </w:lvl>
  </w:abstractNum>
  <w:abstractNum w:abstractNumId="17">
    <w:nsid w:val="14FCE74E"/>
    <w:multiLevelType w:val="hybridMultilevel"/>
    <w:lvl w:ilvl="0">
      <w:lvlJc w:val="left"/>
      <w:lvlText w:val="(%1)"/>
      <w:numFmt w:val="decimal"/>
      <w:start w:val="1"/>
    </w:lvl>
  </w:abstractNum>
  <w:abstractNum w:abstractNumId="18">
    <w:nsid w:val="6A3DD3E8"/>
    <w:multiLevelType w:val="hybridMultilevel"/>
    <w:lvl w:ilvl="0">
      <w:lvlJc w:val="left"/>
      <w:lvlText w:val="•"/>
      <w:numFmt w:val="bullet"/>
      <w:start w:val="1"/>
    </w:lvl>
  </w:abstractNum>
  <w:abstractNum w:abstractNumId="19">
    <w:nsid w:val="71C91298"/>
    <w:multiLevelType w:val="hybridMultilevel"/>
    <w:lvl w:ilvl="0">
      <w:lvlJc w:val="left"/>
      <w:lvlText w:val="•"/>
      <w:numFmt w:val="bullet"/>
      <w:start w:val="1"/>
    </w:lvl>
  </w:abstractNum>
  <w:abstractNum w:abstractNumId="20">
    <w:nsid w:val="9DAF632"/>
    <w:multiLevelType w:val="hybridMultilevel"/>
    <w:lvl w:ilvl="0">
      <w:lvlJc w:val="left"/>
      <w:lvlText w:val="•"/>
      <w:numFmt w:val="bullet"/>
      <w:start w:val="1"/>
    </w:lvl>
  </w:abstractNum>
  <w:abstractNum w:abstractNumId="21">
    <w:nsid w:val="53299938"/>
    <w:multiLevelType w:val="hybridMultilevel"/>
    <w:lvl w:ilvl="0">
      <w:lvlJc w:val="left"/>
      <w:lvlText w:val="(%1)"/>
      <w:numFmt w:val="decimal"/>
      <w:start w:val="1"/>
    </w:lvl>
  </w:abstractNum>
  <w:abstractNum w:abstractNumId="22">
    <w:nsid w:val="1FBFE8E0"/>
    <w:multiLevelType w:val="hybridMultilevel"/>
    <w:lvl w:ilvl="0">
      <w:lvlJc w:val="left"/>
      <w:lvlText w:val="(%1)"/>
      <w:numFmt w:val="decimal"/>
      <w:start w:val="2"/>
    </w:lvl>
  </w:abstractNum>
  <w:abstractNum w:abstractNumId="23">
    <w:nsid w:val="5092CA79"/>
    <w:multiLevelType w:val="hybridMultilevel"/>
    <w:lvl w:ilvl="0">
      <w:lvlJc w:val="left"/>
      <w:lvlText w:val="(%1)"/>
      <w:numFmt w:val="lowerRoman"/>
      <w:start w:val="5"/>
    </w:lvl>
  </w:abstractNum>
  <w:abstractNum w:abstractNumId="24">
    <w:nsid w:val="1D545C4D"/>
    <w:multiLevelType w:val="hybridMultilevel"/>
    <w:lvl w:ilvl="0">
      <w:lvlJc w:val="left"/>
      <w:lvlText w:val="(%1)"/>
      <w:numFmt w:val="decimal"/>
      <w:start w:val="1"/>
    </w:lvl>
  </w:abstractNum>
  <w:abstractNum w:abstractNumId="25">
    <w:nsid w:val="59ADEA3D"/>
    <w:multiLevelType w:val="hybridMultilevel"/>
    <w:lvl w:ilvl="0">
      <w:lvlJc w:val="left"/>
      <w:lvlText w:val="(%1)"/>
      <w:numFmt w:val="decimal"/>
      <w:start w:val="6"/>
    </w:lvl>
  </w:abstractNum>
  <w:abstractNum w:abstractNumId="26">
    <w:nsid w:val="288F1A34"/>
    <w:multiLevelType w:val="hybridMultilevel"/>
    <w:lvl w:ilvl="0">
      <w:lvlJc w:val="left"/>
      <w:lvlText w:val="•"/>
      <w:numFmt w:val="bullet"/>
      <w:start w:val="1"/>
    </w:lvl>
  </w:abstractNum>
  <w:abstractNum w:abstractNumId="27">
    <w:nsid w:val="2A155DBC"/>
    <w:multiLevelType w:val="hybridMultilevel"/>
    <w:lvl w:ilvl="0">
      <w:lvlJc w:val="left"/>
      <w:lvlText w:val="•"/>
      <w:numFmt w:val="bullet"/>
      <w:start w:val="1"/>
    </w:lvl>
  </w:abstractNum>
  <w:abstractNum w:abstractNumId="28">
    <w:nsid w:val="1D9F6E5F"/>
    <w:multiLevelType w:val="hybridMultilevel"/>
    <w:lvl w:ilvl="0">
      <w:lvlJc w:val="left"/>
      <w:lvlText w:val="•"/>
      <w:numFmt w:val="bullet"/>
      <w:start w:val="1"/>
    </w:lvl>
  </w:abstractNum>
  <w:abstractNum w:abstractNumId="29">
    <w:nsid w:val="97E1B4E"/>
    <w:multiLevelType w:val="hybridMultilevel"/>
    <w:lvl w:ilvl="0">
      <w:lvlJc w:val="left"/>
      <w:lvlText w:val="•"/>
      <w:numFmt w:val="bullet"/>
      <w:start w:val="1"/>
    </w:lvl>
  </w:abstractNum>
  <w:abstractNum w:abstractNumId="30">
    <w:nsid w:val="51088277"/>
    <w:multiLevelType w:val="hybridMultilevel"/>
    <w:lvl w:ilvl="0">
      <w:lvlJc w:val="left"/>
      <w:lvlText w:val="•"/>
      <w:numFmt w:val="bullet"/>
      <w:start w:val="1"/>
    </w:lvl>
  </w:abstractNum>
  <w:abstractNum w:abstractNumId="31">
    <w:nsid w:val="1CA0C5FA"/>
    <w:multiLevelType w:val="hybridMultilevel"/>
    <w:lvl w:ilvl="0">
      <w:lvlJc w:val="left"/>
      <w:lvlText w:val="•"/>
      <w:numFmt w:val="bullet"/>
      <w:start w:val="1"/>
    </w:lvl>
  </w:abstractNum>
  <w:abstractNum w:abstractNumId="32">
    <w:nsid w:val="53584BCB"/>
    <w:multiLevelType w:val="hybridMultilevel"/>
    <w:lvl w:ilvl="0">
      <w:lvlJc w:val="left"/>
      <w:lvlText w:val="•"/>
      <w:numFmt w:val="bullet"/>
      <w:start w:val="1"/>
    </w:lvl>
  </w:abstractNum>
  <w:abstractNum w:abstractNumId="33">
    <w:nsid w:val="415E286C"/>
    <w:multiLevelType w:val="hybridMultilevel"/>
    <w:lvl w:ilvl="0">
      <w:lvlJc w:val="left"/>
      <w:lvlText w:val="•"/>
      <w:numFmt w:val="bullet"/>
      <w:start w:val="1"/>
    </w:lvl>
  </w:abstractNum>
  <w:abstractNum w:abstractNumId="34">
    <w:nsid w:val="7C58FD05"/>
    <w:multiLevelType w:val="hybridMultilevel"/>
    <w:lvl w:ilvl="0">
      <w:lvlJc w:val="left"/>
      <w:lvlText w:val="•"/>
      <w:numFmt w:val="bullet"/>
      <w:start w:val="1"/>
    </w:lvl>
  </w:abstractNum>
  <w:abstractNum w:abstractNumId="35">
    <w:nsid w:val="23D86AAC"/>
    <w:multiLevelType w:val="hybridMultilevel"/>
    <w:lvl w:ilvl="0">
      <w:lvlJc w:val="left"/>
      <w:lvlText w:val="•"/>
      <w:numFmt w:val="bullet"/>
      <w:start w:val="1"/>
    </w:lvl>
  </w:abstractNum>
  <w:abstractNum w:abstractNumId="36">
    <w:nsid w:val="45E6D486"/>
    <w:multiLevelType w:val="hybridMultilevel"/>
    <w:lvl w:ilvl="0">
      <w:lvlJc w:val="left"/>
      <w:lvlText w:val="(%1)"/>
      <w:numFmt w:val="decimal"/>
      <w:start w:val="1"/>
    </w:lvl>
    <w:lvl w:ilvl="1">
      <w:lvlJc w:val="left"/>
      <w:lvlText w:val="•"/>
      <w:numFmt w:val="bullet"/>
      <w:start w:val="1"/>
    </w:lvl>
  </w:abstractNum>
  <w:abstractNum w:abstractNumId="37">
    <w:nsid w:val="5C10FE21"/>
    <w:multiLevelType w:val="hybridMultilevel"/>
    <w:lvl w:ilvl="0">
      <w:lvlJc w:val="left"/>
      <w:lvlText w:val="(%1)"/>
      <w:numFmt w:val="decimal"/>
      <w:start w:val="1"/>
    </w:lvl>
  </w:abstractNum>
  <w:abstractNum w:abstractNumId="38">
    <w:nsid w:val="E7FFA2B"/>
    <w:multiLevelType w:val="hybridMultilevel"/>
    <w:lvl w:ilvl="0">
      <w:lvlJc w:val="left"/>
      <w:lvlText w:val="(%1)"/>
      <w:numFmt w:val="lowerRoman"/>
      <w:start w:val="2"/>
    </w:lvl>
  </w:abstractNum>
  <w:abstractNum w:abstractNumId="39">
    <w:nsid w:val="3C5991AA"/>
    <w:multiLevelType w:val="hybridMultilevel"/>
    <w:lvl w:ilvl="0">
      <w:lvlJc w:val="left"/>
      <w:lvlText w:val="(%1)"/>
      <w:numFmt w:val="lowerRoman"/>
      <w:start w:val="6"/>
    </w:lvl>
  </w:abstractNum>
  <w:abstractNum w:abstractNumId="40">
    <w:nsid w:val="4BD8591A"/>
    <w:multiLevelType w:val="hybridMultilevel"/>
    <w:lvl w:ilvl="0">
      <w:lvlJc w:val="left"/>
      <w:lvlText w:val="(%1)"/>
      <w:numFmt w:val="decimal"/>
      <w:start w:val="1"/>
    </w:lvl>
  </w:abstractNum>
  <w:abstractNum w:abstractNumId="41">
    <w:nsid w:val="78DF6A55"/>
    <w:multiLevelType w:val="hybridMultilevel"/>
    <w:lvl w:ilvl="0">
      <w:lvlJc w:val="left"/>
      <w:lvlText w:val="•"/>
      <w:numFmt w:val="bullet"/>
      <w:start w:val="1"/>
    </w:lvl>
  </w:abstractNum>
  <w:abstractNum w:abstractNumId="42">
    <w:nsid w:val="39B7AAA2"/>
    <w:multiLevelType w:val="hybridMultilevel"/>
    <w:lvl w:ilvl="0">
      <w:lvlJc w:val="left"/>
      <w:lvlText w:val="•"/>
      <w:numFmt w:val="bullet"/>
      <w:start w:val="1"/>
    </w:lvl>
  </w:abstractNum>
  <w:abstractNum w:abstractNumId="43">
    <w:nsid w:val="2B0D8DBE"/>
    <w:multiLevelType w:val="hybridMultilevel"/>
    <w:lvl w:ilvl="0">
      <w:lvlJc w:val="left"/>
      <w:lvlText w:val="•"/>
      <w:numFmt w:val="bullet"/>
      <w:start w:val="1"/>
    </w:lvl>
  </w:abstractNum>
  <w:abstractNum w:abstractNumId="44">
    <w:nsid w:val="6C80EC70"/>
    <w:multiLevelType w:val="hybridMultilevel"/>
    <w:lvl w:ilvl="0">
      <w:lvlJc w:val="left"/>
      <w:lvlText w:val="•"/>
      <w:numFmt w:val="bullet"/>
      <w:start w:val="1"/>
    </w:lvl>
  </w:abstractNum>
  <w:abstractNum w:abstractNumId="45">
    <w:nsid w:val="379E21B5"/>
    <w:multiLevelType w:val="hybridMultilevel"/>
    <w:lvl w:ilvl="0">
      <w:lvlJc w:val="left"/>
      <w:lvlText w:val="(%1)"/>
      <w:numFmt w:val="decimal"/>
      <w:start w:val="1"/>
    </w:lvl>
  </w:abstractNum>
  <w:abstractNum w:abstractNumId="46">
    <w:nsid w:val="69E373"/>
    <w:multiLevelType w:val="hybridMultilevel"/>
    <w:lvl w:ilvl="0">
      <w:lvlJc w:val="left"/>
      <w:lvlText w:val="•"/>
      <w:numFmt w:val="bullet"/>
      <w:start w:val="1"/>
    </w:lvl>
  </w:abstractNum>
  <w:abstractNum w:abstractNumId="47">
    <w:nsid w:val="2C27173B"/>
    <w:multiLevelType w:val="hybridMultilevel"/>
    <w:lvl w:ilvl="0">
      <w:lvlJc w:val="left"/>
      <w:lvlText w:val="(%1)"/>
      <w:numFmt w:val="decimal"/>
      <w:start w:val="1"/>
    </w:lvl>
  </w:abstractNum>
  <w:abstractNum w:abstractNumId="48">
    <w:nsid w:val="4C9B0904"/>
    <w:multiLevelType w:val="hybridMultilevel"/>
    <w:lvl w:ilvl="0">
      <w:lvlJc w:val="left"/>
      <w:lvlText w:val="%1."/>
      <w:numFmt w:val="decimal"/>
      <w:start w:val="1"/>
    </w:lvl>
  </w:abstractNum>
  <w:abstractNum w:abstractNumId="49">
    <w:nsid w:val="6AA7B75C"/>
    <w:multiLevelType w:val="hybridMultilevel"/>
    <w:lvl w:ilvl="0">
      <w:lvlJc w:val="left"/>
      <w:lvlText w:val="%1."/>
      <w:numFmt w:val="decimal"/>
      <w:start w:val="2"/>
    </w:lvl>
  </w:abstractNum>
  <w:abstractNum w:abstractNumId="50">
    <w:nsid w:val="1DF029D3"/>
    <w:multiLevelType w:val="hybridMultilevel"/>
    <w:lvl w:ilvl="0">
      <w:lvlJc w:val="left"/>
      <w:lvlText w:val="%1)"/>
      <w:numFmt w:val="lowerLetter"/>
      <w:start w:val="1"/>
    </w:lvl>
    <w:lvl w:ilvl="1">
      <w:lvlJc w:val="left"/>
      <w:lvlText w:val="%2)"/>
      <w:numFmt w:val="lowerRoman"/>
      <w:start w:val="1"/>
    </w:lvl>
  </w:abstractNum>
  <w:abstractNum w:abstractNumId="51">
    <w:nsid w:val="5675FF36"/>
    <w:multiLevelType w:val="hybridMultilevel"/>
    <w:lvl w:ilvl="0">
      <w:lvlJc w:val="left"/>
      <w:lvlText w:val="%1"/>
      <w:numFmt w:val="lowerLetter"/>
      <w:start w:val="1"/>
    </w:lvl>
    <w:lvl w:ilvl="1">
      <w:lvlJc w:val="left"/>
      <w:lvlText w:val="%2)"/>
      <w:numFmt w:val="lowerRoman"/>
      <w:start w:val="2"/>
    </w:lvl>
  </w:abstractNum>
  <w:abstractNum w:abstractNumId="52">
    <w:nsid w:val="3DD15094"/>
    <w:multiLevelType w:val="hybridMultilevel"/>
    <w:lvl w:ilvl="0">
      <w:lvlJc w:val="left"/>
      <w:lvlText w:val="%1)"/>
      <w:numFmt w:val="lowerLetter"/>
      <w:start w:val="2"/>
    </w:lvl>
    <w:lvl w:ilvl="1">
      <w:lvlJc w:val="left"/>
      <w:lvlText w:val="%2"/>
      <w:numFmt w:val="lowerRoman"/>
      <w:start w:val="1"/>
    </w:lvl>
  </w:abstractNum>
  <w:abstractNum w:abstractNumId="53">
    <w:nsid w:val="3DB012B3"/>
    <w:multiLevelType w:val="hybridMultilevel"/>
    <w:lvl w:ilvl="0">
      <w:lvlJc w:val="left"/>
      <w:lvlText w:val="%1)"/>
      <w:numFmt w:val="lowerLetter"/>
      <w:start w:val="3"/>
    </w:lvl>
  </w:abstractNum>
  <w:abstractNum w:abstractNumId="54">
    <w:nsid w:val="2708C9AF"/>
    <w:multiLevelType w:val="hybridMultilevel"/>
    <w:lvl w:ilvl="0">
      <w:lvlJc w:val="left"/>
      <w:lvlText w:val="%1)"/>
      <w:numFmt w:val="lowerLetter"/>
      <w:start w:val="4"/>
    </w:lvl>
  </w:abstractNum>
  <w:abstractNum w:abstractNumId="55">
    <w:nsid w:val="5B25ACE2"/>
    <w:multiLevelType w:val="hybridMultilevel"/>
    <w:lvl w:ilvl="0">
      <w:lvlJc w:val="left"/>
      <w:lvlText w:val="%1)"/>
      <w:numFmt w:val="lowerRoman"/>
      <w:start w:val="1"/>
    </w:lvl>
    <w:lvl w:ilvl="1">
      <w:lvlJc w:val="left"/>
      <w:lvlText w:val="(%2)"/>
      <w:numFmt w:val="lowerRoman"/>
      <w:start w:val="2"/>
    </w:lvl>
  </w:abstractNum>
  <w:abstractNum w:abstractNumId="56">
    <w:nsid w:val="175DFCF0"/>
    <w:multiLevelType w:val="hybridMultilevel"/>
    <w:lvl w:ilvl="0">
      <w:lvlJc w:val="left"/>
      <w:lvlText w:val="%1)"/>
      <w:numFmt w:val="lowerRoman"/>
      <w:start w:val="3"/>
    </w:lvl>
  </w:abstractNum>
  <w:abstractNum w:abstractNumId="57">
    <w:nsid w:val="4F97E3E4"/>
    <w:multiLevelType w:val="hybridMultilevel"/>
    <w:lvl w:ilvl="0">
      <w:lvlJc w:val="left"/>
      <w:lvlText w:val="%1)"/>
      <w:numFmt w:val="lowerLetter"/>
      <w:start w:val="5"/>
    </w:lvl>
  </w:abstractNum>
  <w:abstractNum w:abstractNumId="58">
    <w:nsid w:val="53B0A9E"/>
    <w:multiLevelType w:val="hybridMultilevel"/>
    <w:lvl w:ilvl="0">
      <w:lvlJc w:val="left"/>
      <w:lvlText w:val="%1)"/>
      <w:numFmt w:val="lowerLetter"/>
      <w:start w:val="6"/>
    </w:lvl>
  </w:abstractNum>
  <w:abstractNum w:abstractNumId="59">
    <w:nsid w:val="34FD6B4F"/>
    <w:multiLevelType w:val="hybridMultilevel"/>
    <w:lvl w:ilvl="0">
      <w:lvlJc w:val="left"/>
      <w:lvlText w:val="%1)"/>
      <w:numFmt w:val="lowerLetter"/>
      <w:start w:val="7"/>
    </w:lvl>
  </w:abstractNum>
  <w:abstractNum w:abstractNumId="60">
    <w:nsid w:val="5915FF32"/>
    <w:multiLevelType w:val="hybridMultilevel"/>
    <w:lvl w:ilvl="0">
      <w:lvlJc w:val="left"/>
      <w:lvlText w:val="%1."/>
      <w:numFmt w:val="decimal"/>
      <w:start w:val="3"/>
    </w:lvl>
  </w:abstractNum>
  <w:abstractNum w:abstractNumId="61">
    <w:nsid w:val="56438D15"/>
    <w:multiLevelType w:val="hybridMultilevel"/>
    <w:lvl w:ilvl="0">
      <w:lvlJc w:val="left"/>
      <w:lvlText w:val="%1)"/>
      <w:numFmt w:val="lowerLetter"/>
      <w:start w:val="8"/>
    </w:lvl>
  </w:abstractNum>
  <w:abstractNum w:abstractNumId="62">
    <w:nsid w:val="519E3149"/>
    <w:multiLevelType w:val="hybridMultilevel"/>
    <w:lvl w:ilvl="0">
      <w:lvlJc w:val="left"/>
      <w:lvlText w:val="%1)"/>
      <w:numFmt w:val="lowerLetter"/>
      <w:start w:val="10"/>
    </w:lvl>
    <w:lvl w:ilvl="1">
      <w:lvlJc w:val="left"/>
      <w:lvlText w:val="%2)"/>
      <w:numFmt w:val="lowerRoman"/>
      <w:start w:val="1"/>
    </w:lvl>
  </w:abstractNum>
  <w:abstractNum w:abstractNumId="63">
    <w:nsid w:val="2C6E4AFD"/>
    <w:multiLevelType w:val="hybridMultilevel"/>
    <w:lvl w:ilvl="0">
      <w:lvlJc w:val="left"/>
      <w:lvlText w:val="%1)"/>
      <w:numFmt w:val="lowerLetter"/>
      <w:start w:val="12"/>
    </w:lvl>
  </w:abstractNum>
  <w:abstractNum w:abstractNumId="64">
    <w:nsid w:val="17A1B582"/>
    <w:multiLevelType w:val="hybridMultilevel"/>
    <w:lvl w:ilvl="0">
      <w:lvlJc w:val="left"/>
      <w:lvlText w:val="%1)"/>
      <w:numFmt w:val="lowerLetter"/>
      <w:start w:val="13"/>
    </w:lvl>
  </w:abstractNum>
  <w:abstractNum w:abstractNumId="65">
    <w:nsid w:val="4DF72E4E"/>
    <w:multiLevelType w:val="hybridMultilevel"/>
    <w:lvl w:ilvl="0">
      <w:lvlJc w:val="left"/>
      <w:lvlText w:val="%1)"/>
      <w:numFmt w:val="lowerLetter"/>
      <w:start w:val="14"/>
    </w:lvl>
  </w:abstractNum>
  <w:abstractNum w:abstractNumId="66">
    <w:nsid w:val="5046B5A9"/>
    <w:multiLevelType w:val="hybridMultilevel"/>
    <w:lvl w:ilvl="0">
      <w:lvlJc w:val="left"/>
      <w:lvlText w:val="(%1)"/>
      <w:numFmt w:val="decimal"/>
      <w:start w:val="1"/>
    </w:lvl>
  </w:abstractNum>
  <w:abstractNum w:abstractNumId="67">
    <w:nsid w:val="5D888A08"/>
    <w:multiLevelType w:val="hybridMultilevel"/>
    <w:lvl w:ilvl="0">
      <w:lvlJc w:val="left"/>
      <w:lvlText w:val="(%1)"/>
      <w:numFmt w:val="decimal"/>
      <w:start w:val="2"/>
    </w:lvl>
  </w:abstractNum>
  <w:abstractNum w:abstractNumId="68">
    <w:nsid w:val="2A082C70"/>
    <w:multiLevelType w:val="hybridMultilevel"/>
    <w:lvl w:ilvl="0">
      <w:lvlJc w:val="left"/>
      <w:lvlText w:val="•"/>
      <w:numFmt w:val="bullet"/>
      <w:start w:val="1"/>
    </w:lvl>
  </w:abstractNum>
  <w:abstractNum w:abstractNumId="69">
    <w:nsid w:val="5EC6AFD4"/>
    <w:multiLevelType w:val="hybridMultilevel"/>
    <w:lvl w:ilvl="0">
      <w:lvlJc w:val="left"/>
      <w:lvlText w:val="•"/>
      <w:numFmt w:val="bullet"/>
      <w:start w:val="1"/>
    </w:lvl>
  </w:abstractNum>
  <w:abstractNum w:abstractNumId="70">
    <w:nsid w:val="19E21BB2"/>
    <w:multiLevelType w:val="hybridMultilevel"/>
    <w:lvl w:ilvl="0">
      <w:lvlJc w:val="left"/>
      <w:lvlText w:val="•"/>
      <w:numFmt w:val="bullet"/>
      <w:start w:val="1"/>
    </w:lvl>
  </w:abstractNum>
  <w:abstractNum w:abstractNumId="71">
    <w:nsid w:val="75E0858A"/>
    <w:multiLevelType w:val="hybridMultilevel"/>
    <w:lvl w:ilvl="0">
      <w:lvlJc w:val="left"/>
      <w:lvlText w:val="•"/>
      <w:numFmt w:val="bullet"/>
      <w:start w:val="1"/>
    </w:lvl>
  </w:abstractNum>
  <w:abstractNum w:abstractNumId="72">
    <w:nsid w:val="57A61A29"/>
    <w:multiLevelType w:val="hybridMultilevel"/>
    <w:lvl w:ilvl="0">
      <w:lvlJc w:val="left"/>
      <w:lvlText w:val="•"/>
      <w:numFmt w:val="bullet"/>
      <w:start w:val="1"/>
    </w:lvl>
  </w:abstractNum>
  <w:abstractNum w:abstractNumId="73">
    <w:nsid w:val="5399C654"/>
    <w:multiLevelType w:val="hybridMultilevel"/>
    <w:lvl w:ilvl="0">
      <w:lvlJc w:val="left"/>
      <w:lvlText w:val="•"/>
      <w:numFmt w:val="bullet"/>
      <w:start w:val="1"/>
    </w:lvl>
  </w:abstractNum>
  <w:abstractNum w:abstractNumId="74">
    <w:nsid w:val="20EE1348"/>
    <w:multiLevelType w:val="hybridMultilevel"/>
    <w:lvl w:ilvl="0">
      <w:lvlJc w:val="left"/>
      <w:lvlText w:val="(%1)"/>
      <w:numFmt w:val="decimal"/>
      <w:start w:val="1"/>
    </w:lvl>
  </w:abstractNum>
  <w:abstractNum w:abstractNumId="75">
    <w:nsid w:val="4427069A"/>
    <w:multiLevelType w:val="hybridMultilevel"/>
    <w:lvl w:ilvl="0">
      <w:lvlJc w:val="left"/>
      <w:lvlText w:val="(%1)"/>
      <w:numFmt w:val="decimal"/>
      <w:start w:val="1"/>
    </w:lvl>
  </w:abstractNum>
  <w:abstractNum w:abstractNumId="76">
    <w:nsid w:val="B37E80A"/>
    <w:multiLevelType w:val="hybridMultilevel"/>
    <w:lvl w:ilvl="0">
      <w:lvlJc w:val="left"/>
      <w:lvlText w:val="(%1)"/>
      <w:numFmt w:val="decimal"/>
      <w:start w:val="1"/>
    </w:lvl>
  </w:abstractNum>
  <w:abstractNum w:abstractNumId="77">
    <w:nsid w:val="2157F6BC"/>
    <w:multiLevelType w:val="hybridMultilevel"/>
    <w:lvl w:ilvl="0">
      <w:lvlJc w:val="left"/>
      <w:lvlText w:val="(%1)"/>
      <w:numFmt w:val="decimal"/>
      <w:start w:val="1"/>
    </w:lvl>
  </w:abstractNum>
  <w:abstractNum w:abstractNumId="78">
    <w:nsid w:val="704E1DD5"/>
    <w:multiLevelType w:val="hybridMultilevel"/>
    <w:lvl w:ilvl="0">
      <w:lvlJc w:val="left"/>
      <w:lvlText w:val="(%1)"/>
      <w:numFmt w:val="decimal"/>
      <w:start w:val="1"/>
    </w:lvl>
  </w:abstractNum>
  <w:abstractNum w:abstractNumId="79">
    <w:nsid w:val="57D2F10E"/>
    <w:multiLevelType w:val="hybridMultilevel"/>
    <w:lvl w:ilvl="0">
      <w:lvlJc w:val="left"/>
      <w:lvlText w:val="(%1)"/>
      <w:numFmt w:val="decimal"/>
      <w:start w:val="1"/>
    </w:lvl>
  </w:abstractNum>
  <w:abstractNum w:abstractNumId="80">
    <w:nsid w:val="BFFAE18"/>
    <w:multiLevelType w:val="hybridMultilevel"/>
    <w:lvl w:ilvl="0">
      <w:lvlJc w:val="left"/>
      <w:lvlText w:val="(%1)"/>
      <w:numFmt w:val="decimal"/>
      <w:start w:val="1"/>
    </w:lvl>
  </w:abstractNum>
  <w:abstractNum w:abstractNumId="81">
    <w:nsid w:val="E3E47A8"/>
    <w:multiLevelType w:val="hybridMultilevel"/>
    <w:lvl w:ilvl="0">
      <w:lvlJc w:val="left"/>
      <w:lvlText w:val="(%1)"/>
      <w:numFmt w:val="decimal"/>
      <w:start w:val="6"/>
    </w:lvl>
  </w:abstractNum>
  <w:abstractNum w:abstractNumId="82">
    <w:nsid w:val="2E48F044"/>
    <w:multiLevelType w:val="hybridMultilevel"/>
    <w:lvl w:ilvl="0">
      <w:lvlJc w:val="left"/>
      <w:lvlText w:val="(%1)"/>
      <w:numFmt w:val="decimal"/>
      <w:start w:val="1"/>
    </w:lvl>
  </w:abstractNum>
  <w:abstractNum w:abstractNumId="83">
    <w:nsid w:val="49D0FEAC"/>
    <w:multiLevelType w:val="hybridMultilevel"/>
    <w:lvl w:ilvl="0">
      <w:lvlJc w:val="left"/>
      <w:lvlText w:val="•"/>
      <w:numFmt w:val="bullet"/>
      <w:start w:val="1"/>
    </w:lvl>
  </w:abstractNum>
  <w:abstractNum w:abstractNumId="84">
    <w:nsid w:val="4BEE5A5B"/>
    <w:multiLevelType w:val="hybridMultilevel"/>
    <w:lvl w:ilvl="0">
      <w:lvlJc w:val="left"/>
      <w:lvlText w:val="(%1)"/>
      <w:numFmt w:val="decimal"/>
      <w:start w:val="1"/>
    </w:lvl>
  </w:abstractNum>
  <w:abstractNum w:abstractNumId="85">
    <w:nsid w:val="5551B9F3"/>
    <w:multiLevelType w:val="hybridMultilevel"/>
    <w:lvl w:ilvl="0">
      <w:lvlJc w:val="left"/>
      <w:lvlText w:val="(%1)"/>
      <w:numFmt w:val="decimal"/>
      <w:start w:val="1"/>
    </w:lvl>
  </w:abstractNum>
  <w:abstractNum w:abstractNumId="86">
    <w:nsid w:val="24F6AB8E"/>
    <w:multiLevelType w:val="hybridMultilevel"/>
    <w:lvl w:ilvl="0">
      <w:lvlJc w:val="left"/>
      <w:lvlText w:val="(%1)"/>
      <w:numFmt w:val="lowerRoman"/>
      <w:start w:val="2"/>
    </w:lvl>
  </w:abstractNum>
  <w:abstractNum w:abstractNumId="87">
    <w:nsid w:val="634C574C"/>
    <w:multiLevelType w:val="hybridMultilevel"/>
    <w:lvl w:ilvl="0">
      <w:lvlJc w:val="left"/>
      <w:lvlText w:val="•"/>
      <w:numFmt w:val="bullet"/>
      <w:start w:val="1"/>
    </w:lvl>
  </w:abstractNum>
  <w:abstractNum w:abstractNumId="88">
    <w:nsid w:val="24E99DD7"/>
    <w:multiLevelType w:val="hybridMultilevel"/>
    <w:lvl w:ilvl="0">
      <w:lvlJc w:val="left"/>
      <w:lvlText w:val="•"/>
      <w:numFmt w:val="bullet"/>
      <w:start w:val="1"/>
    </w:lvl>
  </w:abstractNum>
  <w:abstractNum w:abstractNumId="89">
    <w:nsid w:val="2A31B62D"/>
    <w:multiLevelType w:val="hybridMultilevel"/>
    <w:lvl w:ilvl="0">
      <w:lvlJc w:val="left"/>
      <w:lvlText w:val="•"/>
      <w:numFmt w:val="bullet"/>
      <w:start w:val="1"/>
    </w:lvl>
  </w:abstractNum>
  <w:abstractNum w:abstractNumId="90">
    <w:nsid w:val="1849C29B"/>
    <w:multiLevelType w:val="hybridMultilevel"/>
    <w:lvl w:ilvl="0">
      <w:lvlJc w:val="left"/>
      <w:lvlText w:val="•"/>
      <w:numFmt w:val="bullet"/>
      <w:start w:val="1"/>
    </w:lvl>
  </w:abstractNum>
  <w:abstractNum w:abstractNumId="91">
    <w:nsid w:val="7DFF9D09"/>
    <w:multiLevelType w:val="hybridMultilevel"/>
    <w:lvl w:ilvl="0">
      <w:lvlJc w:val="left"/>
      <w:lvlText w:val="•"/>
      <w:numFmt w:val="bullet"/>
      <w:start w:val="1"/>
    </w:lvl>
  </w:abstractNum>
  <w:abstractNum w:abstractNumId="92">
    <w:nsid w:val="754342"/>
    <w:multiLevelType w:val="hybridMultilevel"/>
    <w:lvl w:ilvl="0">
      <w:lvlJc w:val="left"/>
      <w:lvlText w:val="•"/>
      <w:numFmt w:val="bullet"/>
      <w:start w:val="1"/>
    </w:lvl>
  </w:abstractNum>
  <w:abstractNum w:abstractNumId="93">
    <w:nsid w:val="69E7F3E5"/>
    <w:multiLevelType w:val="hybridMultilevel"/>
    <w:lvl w:ilvl="0">
      <w:lvlJc w:val="left"/>
      <w:lvlText w:val="•"/>
      <w:numFmt w:val="bullet"/>
      <w:start w:val="1"/>
    </w:lvl>
  </w:abstractNum>
  <w:abstractNum w:abstractNumId="94">
    <w:nsid w:val="2A6DE806"/>
    <w:multiLevelType w:val="hybridMultilevel"/>
    <w:lvl w:ilvl="0">
      <w:lvlJc w:val="left"/>
      <w:lvlText w:val="•"/>
      <w:numFmt w:val="bullet"/>
      <w:start w:val="1"/>
    </w:lvl>
  </w:abstractNum>
  <w:abstractNum w:abstractNumId="95">
    <w:nsid w:val="1816F8C4"/>
    <w:multiLevelType w:val="hybridMultilevel"/>
    <w:lvl w:ilvl="0">
      <w:lvlJc w:val="left"/>
      <w:lvlText w:val="•"/>
      <w:numFmt w:val="bullet"/>
      <w:start w:val="1"/>
    </w:lvl>
  </w:abstractNum>
  <w:abstractNum w:abstractNumId="96">
    <w:nsid w:val="37DF2233"/>
    <w:multiLevelType w:val="hybridMultilevel"/>
    <w:lvl w:ilvl="0">
      <w:lvlJc w:val="left"/>
      <w:lvlText w:val="•"/>
      <w:numFmt w:val="bullet"/>
      <w:start w:val="1"/>
    </w:lvl>
  </w:abstractNum>
  <w:abstractNum w:abstractNumId="97">
    <w:nsid w:val="7AB49DAF"/>
    <w:multiLevelType w:val="hybridMultilevel"/>
    <w:lvl w:ilvl="0">
      <w:lvlJc w:val="left"/>
      <w:lvlText w:val="•"/>
      <w:numFmt w:val="bullet"/>
      <w:start w:val="1"/>
    </w:lvl>
  </w:abstractNum>
  <w:abstractNum w:abstractNumId="98">
    <w:nsid w:val="759F82CD"/>
    <w:multiLevelType w:val="hybridMultilevel"/>
    <w:lvl w:ilvl="0">
      <w:lvlJc w:val="left"/>
      <w:lvlText w:val="•"/>
      <w:numFmt w:val="bullet"/>
      <w:start w:val="1"/>
    </w:lvl>
  </w:abstractNum>
  <w:abstractNum w:abstractNumId="99">
    <w:nsid w:val="61E74EA3"/>
    <w:multiLevelType w:val="hybridMultilevel"/>
    <w:lvl w:ilvl="0">
      <w:lvlJc w:val="left"/>
      <w:lvlText w:val="•"/>
      <w:numFmt w:val="bullet"/>
      <w:start w:val="1"/>
    </w:lvl>
  </w:abstractNum>
  <w:abstractNum w:abstractNumId="100">
    <w:nsid w:val="597B4D84"/>
    <w:multiLevelType w:val="hybridMultilevel"/>
    <w:lvl w:ilvl="0">
      <w:lvlJc w:val="left"/>
      <w:lvlText w:val="•"/>
      <w:numFmt w:val="bullet"/>
      <w:start w:val="1"/>
    </w:lvl>
  </w:abstractNum>
  <w:abstractNum w:abstractNumId="101">
    <w:nsid w:val="F819E7F"/>
    <w:multiLevelType w:val="hybridMultilevel"/>
    <w:lvl w:ilvl="0">
      <w:lvlJc w:val="left"/>
      <w:lvlText w:val="•"/>
      <w:numFmt w:val="bullet"/>
      <w:start w:val="1"/>
    </w:lvl>
  </w:abstractNum>
  <w:abstractNum w:abstractNumId="102">
    <w:nsid w:val="57C7D42D"/>
    <w:multiLevelType w:val="hybridMultilevel"/>
    <w:lvl w:ilvl="0">
      <w:lvlJc w:val="left"/>
      <w:lvlText w:val="•"/>
      <w:numFmt w:val="bullet"/>
      <w:start w:val="1"/>
    </w:lvl>
  </w:abstractNum>
  <w:abstractNum w:abstractNumId="103">
    <w:nsid w:val="312167AD"/>
    <w:multiLevelType w:val="hybridMultilevel"/>
    <w:lvl w:ilvl="0">
      <w:lvlJc w:val="left"/>
      <w:lvlText w:val="•"/>
      <w:numFmt w:val="bullet"/>
      <w:start w:val="1"/>
    </w:lvl>
  </w:abstractNum>
  <w:abstractNum w:abstractNumId="104">
    <w:nsid w:val="631B64D4"/>
    <w:multiLevelType w:val="hybridMultilevel"/>
    <w:lvl w:ilvl="0">
      <w:lvlJc w:val="left"/>
      <w:lvlText w:val="•"/>
      <w:numFmt w:val="bullet"/>
      <w:start w:val="1"/>
    </w:lvl>
  </w:abstractNum>
  <w:abstractNum w:abstractNumId="105">
    <w:nsid w:val="78B5E776"/>
    <w:multiLevelType w:val="hybridMultilevel"/>
    <w:lvl w:ilvl="0">
      <w:lvlJc w:val="left"/>
      <w:lvlText w:val="•"/>
      <w:numFmt w:val="bullet"/>
      <w:start w:val="1"/>
    </w:lvl>
  </w:abstractNum>
  <w:abstractNum w:abstractNumId="106">
    <w:nsid w:val="75486E47"/>
    <w:multiLevelType w:val="hybridMultilevel"/>
    <w:lvl w:ilvl="0">
      <w:lvlJc w:val="left"/>
      <w:lvlText w:val="•"/>
      <w:numFmt w:val="bullet"/>
      <w:start w:val="1"/>
    </w:lvl>
  </w:abstractNum>
  <w:abstractNum w:abstractNumId="107">
    <w:nsid w:val="6E534CDE"/>
    <w:multiLevelType w:val="hybridMultilevel"/>
    <w:lvl w:ilvl="0">
      <w:lvlJc w:val="left"/>
      <w:lvlText w:val="•"/>
      <w:numFmt w:val="bullet"/>
      <w:start w:val="1"/>
    </w:lvl>
  </w:abstractNum>
  <w:abstractNum w:abstractNumId="108">
    <w:nsid w:val="1A0DDE32"/>
    <w:multiLevelType w:val="hybridMultilevel"/>
    <w:lvl w:ilvl="0">
      <w:lvlJc w:val="left"/>
      <w:lvlText w:val="•"/>
      <w:numFmt w:val="bullet"/>
      <w:start w:val="1"/>
    </w:lvl>
  </w:abstractNum>
  <w:abstractNum w:abstractNumId="109">
    <w:nsid w:val="65968C1C"/>
    <w:multiLevelType w:val="hybridMultilevel"/>
    <w:lvl w:ilvl="0">
      <w:lvlJc w:val="left"/>
      <w:lvlText w:val="(%1)"/>
      <w:numFmt w:val="decimal"/>
      <w:start w:val="1"/>
    </w:lvl>
  </w:abstractNum>
  <w:abstractNum w:abstractNumId="110">
    <w:nsid w:val="46263DEC"/>
    <w:multiLevelType w:val="hybridMultilevel"/>
    <w:lvl w:ilvl="0">
      <w:lvlJc w:val="left"/>
      <w:lvlText w:val="•"/>
      <w:numFmt w:val="bullet"/>
      <w:start w:val="1"/>
    </w:lvl>
  </w:abstractNum>
  <w:abstractNum w:abstractNumId="111">
    <w:nsid w:val="260D8C4A"/>
    <w:multiLevelType w:val="hybridMultilevel"/>
    <w:lvl w:ilvl="0">
      <w:lvlJc w:val="left"/>
      <w:lvlText w:val="•"/>
      <w:numFmt w:val="bullet"/>
      <w:start w:val="1"/>
    </w:lvl>
  </w:abstractNum>
  <w:abstractNum w:abstractNumId="112">
    <w:nsid w:val="73D4D3C4"/>
    <w:multiLevelType w:val="hybridMultilevel"/>
    <w:lvl w:ilvl="0">
      <w:lvlJc w:val="left"/>
      <w:lvlText w:val="•"/>
      <w:numFmt w:val="bullet"/>
      <w:start w:val="1"/>
    </w:lvl>
  </w:abstractNum>
  <w:abstractNum w:abstractNumId="113">
    <w:nsid w:val="746F2E30"/>
    <w:multiLevelType w:val="hybridMultilevel"/>
    <w:lvl w:ilvl="0">
      <w:lvlJc w:val="left"/>
      <w:lvlText w:val="(%1)"/>
      <w:numFmt w:val="decimal"/>
      <w:start w:val="1"/>
    </w:lvl>
  </w:abstractNum>
  <w:abstractNum w:abstractNumId="114">
    <w:nsid w:val="6FDE8AF6"/>
    <w:multiLevelType w:val="hybridMultilevel"/>
    <w:lvl w:ilvl="0">
      <w:lvlJc w:val="left"/>
      <w:lvlText w:val="(%1)"/>
      <w:numFmt w:val="decimal"/>
      <w:start w:val="1"/>
    </w:lvl>
  </w:abstractNum>
  <w:abstractNum w:abstractNumId="115">
    <w:nsid w:val="3FC32E20"/>
    <w:multiLevelType w:val="hybridMultilevel"/>
    <w:lvl w:ilvl="0">
      <w:lvlJc w:val="left"/>
      <w:lvlText w:val="(%1)"/>
      <w:numFmt w:val="lowerRoman"/>
      <w:start w:val="3"/>
    </w:lvl>
  </w:abstractNum>
  <w:abstractNum w:abstractNumId="116">
    <w:nsid w:val="49C0E823"/>
    <w:multiLevelType w:val="hybridMultilevel"/>
    <w:lvl w:ilvl="0">
      <w:lvlJc w:val="left"/>
      <w:lvlText w:val="(%1)"/>
      <w:numFmt w:val="decimal"/>
      <w:start w:val="1"/>
    </w:lvl>
  </w:abstractNum>
  <w:abstractNum w:abstractNumId="117">
    <w:nsid w:val="14D53685"/>
    <w:multiLevelType w:val="hybridMultilevel"/>
    <w:lvl w:ilvl="0">
      <w:lvlJc w:val="left"/>
      <w:lvlText w:val=" "/>
      <w:numFmt w:val="bullet"/>
      <w:start w:val="1"/>
    </w:lvl>
  </w:abstractNum>
  <w:abstractNum w:abstractNumId="118">
    <w:nsid w:val="230F856C"/>
    <w:multiLevelType w:val="hybridMultilevel"/>
    <w:lvl w:ilvl="0">
      <w:lvlJc w:val="left"/>
      <w:lvlText w:val="(%1)"/>
      <w:numFmt w:val="decimal"/>
      <w:start w:val="3"/>
    </w:lvl>
  </w:abstractNum>
  <w:abstractNum w:abstractNumId="119">
    <w:nsid w:val="6EAA85FB"/>
    <w:multiLevelType w:val="hybridMultilevel"/>
    <w:lvl w:ilvl="0">
      <w:lvlJc w:val="left"/>
      <w:lvlText w:val="(%1)"/>
      <w:numFmt w:val="decimal"/>
      <w:start w:val="1"/>
    </w:lvl>
  </w:abstractNum>
  <w:abstractNum w:abstractNumId="120">
    <w:nsid w:val="3F06ECB2"/>
    <w:multiLevelType w:val="hybridMultilevel"/>
    <w:lvl w:ilvl="0">
      <w:lvlJc w:val="left"/>
      <w:lvlText w:val="•"/>
      <w:numFmt w:val="bullet"/>
      <w:start w:val="1"/>
    </w:lvl>
  </w:abstractNum>
  <w:abstractNum w:abstractNumId="121">
    <w:nsid w:val="3B594807"/>
    <w:multiLevelType w:val="hybridMultilevel"/>
    <w:lvl w:ilvl="0">
      <w:lvlJc w:val="left"/>
      <w:lvlText w:val="•"/>
      <w:numFmt w:val="bullet"/>
      <w:start w:val="1"/>
    </w:lvl>
  </w:abstractNum>
  <w:abstractNum w:abstractNumId="122">
    <w:nsid w:val="6CAA2304"/>
    <w:multiLevelType w:val="hybridMultilevel"/>
    <w:lvl w:ilvl="0">
      <w:lvlJc w:val="left"/>
      <w:lvlText w:val="•"/>
      <w:numFmt w:val="bullet"/>
      <w:start w:val="1"/>
    </w:lvl>
  </w:abstractNum>
  <w:abstractNum w:abstractNumId="123">
    <w:nsid w:val="3F7C2FF4"/>
    <w:multiLevelType w:val="hybridMultilevel"/>
    <w:lvl w:ilvl="0">
      <w:lvlJc w:val="left"/>
      <w:lvlText w:val="•"/>
      <w:numFmt w:val="bullet"/>
      <w:start w:val="1"/>
    </w:lvl>
  </w:abstractNum>
  <w:abstractNum w:abstractNumId="124">
    <w:nsid w:val="25413BEC"/>
    <w:multiLevelType w:val="hybridMultilevel"/>
    <w:lvl w:ilvl="0">
      <w:lvlJc w:val="left"/>
      <w:lvlText w:val="(%1)"/>
      <w:numFmt w:val="decimal"/>
      <w:start w:val="1"/>
    </w:lvl>
  </w:abstractNum>
  <w:abstractNum w:abstractNumId="125">
    <w:nsid w:val="17180B0B"/>
    <w:multiLevelType w:val="hybridMultilevel"/>
    <w:lvl w:ilvl="0">
      <w:lvlJc w:val="left"/>
      <w:lvlText w:val="(%1)"/>
      <w:numFmt w:val="decimal"/>
      <w:start w:val="2"/>
    </w:lvl>
  </w:abstractNum>
  <w:abstractNum w:abstractNumId="126">
    <w:nsid w:val="579328B9"/>
    <w:multiLevelType w:val="hybridMultilevel"/>
    <w:lvl w:ilvl="0">
      <w:lvlJc w:val="left"/>
      <w:lvlText w:val="(%1)"/>
      <w:numFmt w:val="decimal"/>
      <w:start w:val="1"/>
    </w:lvl>
  </w:abstractNum>
  <w:abstractNum w:abstractNumId="127">
    <w:nsid w:val="5D205E20"/>
    <w:multiLevelType w:val="hybridMultilevel"/>
    <w:lvl w:ilvl="0">
      <w:lvlJc w:val="left"/>
      <w:lvlText w:val="(%1)"/>
      <w:numFmt w:val="lowerRoman"/>
      <w:start w:val="3"/>
    </w:lvl>
  </w:abstractNum>
  <w:abstractNum w:abstractNumId="128">
    <w:nsid w:val="11CCA8BA"/>
    <w:multiLevelType w:val="hybridMultilevel"/>
    <w:lvl w:ilvl="0">
      <w:lvlJc w:val="left"/>
      <w:lvlText w:val="(%1)"/>
      <w:numFmt w:val="decimal"/>
      <w:start w:val="1"/>
    </w:lvl>
  </w:abstractNum>
  <w:abstractNum w:abstractNumId="129">
    <w:nsid w:val="4D32AB86"/>
    <w:multiLevelType w:val="hybridMultilevel"/>
    <w:lvl w:ilvl="0">
      <w:lvlJc w:val="left"/>
      <w:lvlText w:val="(%1)"/>
      <w:numFmt w:val="decimal"/>
      <w:start w:val="6"/>
    </w:lvl>
  </w:abstractNum>
  <w:abstractNum w:abstractNumId="130">
    <w:nsid w:val="3F07ACC3"/>
    <w:multiLevelType w:val="hybridMultilevel"/>
    <w:lvl w:ilvl="0">
      <w:lvlJc w:val="left"/>
      <w:lvlText w:val="•"/>
      <w:numFmt w:val="bullet"/>
      <w:start w:val="1"/>
    </w:lvl>
  </w:abstractNum>
  <w:abstractNum w:abstractNumId="131">
    <w:nsid w:val="6B47F63E"/>
    <w:multiLevelType w:val="hybridMultilevel"/>
    <w:lvl w:ilvl="0">
      <w:lvlJc w:val="left"/>
      <w:lvlText w:val="(%1)"/>
      <w:numFmt w:val="decimal"/>
      <w:start w:val="1"/>
    </w:lvl>
  </w:abstractNum>
  <w:abstractNum w:abstractNumId="132">
    <w:nsid w:val="5CB44A05"/>
    <w:multiLevelType w:val="hybridMultilevel"/>
    <w:lvl w:ilvl="0">
      <w:lvlJc w:val="left"/>
      <w:lvlText w:val="•"/>
      <w:numFmt w:val="bullet"/>
      <w:start w:val="1"/>
    </w:lvl>
  </w:abstractNum>
  <w:abstractNum w:abstractNumId="133">
    <w:nsid w:val="16CF80F1"/>
    <w:multiLevelType w:val="hybridMultilevel"/>
    <w:lvl w:ilvl="0">
      <w:lvlJc w:val="left"/>
      <w:lvlText w:val="•"/>
      <w:numFmt w:val="bullet"/>
      <w:start w:val="1"/>
    </w:lvl>
  </w:abstractNum>
  <w:abstractNum w:abstractNumId="134">
    <w:nsid w:val="1C695DEC"/>
    <w:multiLevelType w:val="hybridMultilevel"/>
    <w:lvl w:ilvl="0">
      <w:lvlJc w:val="left"/>
      <w:lvlText w:val="*"/>
      <w:numFmt w:val="bullet"/>
      <w:start w:val="1"/>
    </w:lvl>
  </w:abstractNum>
  <w:abstractNum w:abstractNumId="135">
    <w:nsid w:val="3FCFAED9"/>
    <w:multiLevelType w:val="hybridMultilevel"/>
    <w:lvl w:ilvl="0">
      <w:lvlJc w:val="left"/>
      <w:lvlText w:val="(%1)"/>
      <w:numFmt w:val="decimal"/>
      <w:start w:val="1"/>
    </w:lvl>
  </w:abstractNum>
  <w:abstractNum w:abstractNumId="136">
    <w:nsid w:val="F856867"/>
    <w:multiLevelType w:val="hybridMultilevel"/>
    <w:lvl w:ilvl="0">
      <w:lvlJc w:val="left"/>
      <w:lvlText w:val=" "/>
      <w:numFmt w:val="bullet"/>
      <w:start w:val="1"/>
    </w:lvl>
  </w:abstractNum>
  <w:abstractNum w:abstractNumId="137">
    <w:nsid w:val="11B1CC33"/>
    <w:multiLevelType w:val="hybridMultilevel"/>
    <w:lvl w:ilvl="0">
      <w:lvlJc w:val="left"/>
      <w:lvlText w:val="(%1)"/>
      <w:numFmt w:val="decimal"/>
      <w:start w:val="4"/>
    </w:lvl>
  </w:abstractNum>
  <w:abstractNum w:abstractNumId="138">
    <w:nsid w:val="2E22FBB7"/>
    <w:multiLevelType w:val="hybridMultilevel"/>
    <w:lvl w:ilvl="0">
      <w:lvlJc w:val="left"/>
      <w:lvlText w:val=" "/>
      <w:numFmt w:val="bullet"/>
      <w:start w:val="1"/>
    </w:lvl>
  </w:abstractNum>
  <w:abstractNum w:abstractNumId="139">
    <w:nsid w:val="29934699"/>
    <w:multiLevelType w:val="hybridMultilevel"/>
    <w:lvl w:ilvl="0">
      <w:lvlJc w:val="left"/>
      <w:lvlText w:val=" "/>
      <w:numFmt w:val="bullet"/>
      <w:start w:val="1"/>
    </w:lvl>
  </w:abstractNum>
  <w:abstractNum w:abstractNumId="140">
    <w:nsid w:val="77485850"/>
    <w:multiLevelType w:val="hybridMultilevel"/>
    <w:lvl w:ilvl="0">
      <w:lvlJc w:val="left"/>
      <w:lvlText w:val="(%1)"/>
      <w:numFmt w:val="decimal"/>
      <w:start w:val="5"/>
    </w:lvl>
  </w:abstractNum>
  <w:abstractNum w:abstractNumId="141">
    <w:nsid w:val="744939A3"/>
    <w:multiLevelType w:val="hybridMultilevel"/>
    <w:lvl w:ilvl="0">
      <w:lvlJc w:val="left"/>
      <w:lvlText w:val=" "/>
      <w:numFmt w:val="bullet"/>
      <w:start w:val="1"/>
    </w:lvl>
  </w:abstractNum>
  <w:abstractNum w:abstractNumId="142">
    <w:nsid w:val="4FA0D2E3"/>
    <w:multiLevelType w:val="hybridMultilevel"/>
    <w:lvl w:ilvl="0">
      <w:lvlJc w:val="left"/>
      <w:lvlText w:val="(%1)"/>
      <w:numFmt w:val="decimal"/>
      <w:start w:val="6"/>
    </w:lvl>
  </w:abstractNum>
  <w:abstractNum w:abstractNumId="143">
    <w:nsid w:val="6B1D2C14"/>
    <w:multiLevelType w:val="hybridMultilevel"/>
    <w:lvl w:ilvl="0">
      <w:lvlJc w:val="left"/>
      <w:lvlText w:val="(%1)"/>
      <w:numFmt w:val="decimal"/>
      <w:start w:val="9"/>
    </w:lvl>
  </w:abstractNum>
  <w:abstractNum w:abstractNumId="144">
    <w:nsid w:val="68B867D3"/>
    <w:multiLevelType w:val="hybridMultilevel"/>
    <w:lvl w:ilvl="0">
      <w:lvlJc w:val="left"/>
      <w:lvlText w:val="(%1)"/>
      <w:numFmt w:val="decimal"/>
      <w:start w:val="11"/>
    </w:lvl>
  </w:abstractNum>
  <w:abstractNum w:abstractNumId="145">
    <w:nsid w:val="3F7F5DD9"/>
    <w:multiLevelType w:val="hybridMultilevel"/>
    <w:lvl w:ilvl="0">
      <w:lvlJc w:val="left"/>
      <w:lvlText w:val="(%1)"/>
      <w:numFmt w:val="decimal"/>
      <w:start w:val="12"/>
    </w:lvl>
  </w:abstractNum>
  <w:abstractNum w:abstractNumId="146">
    <w:nsid w:val="2AE05A34"/>
    <w:multiLevelType w:val="hybridMultilevel"/>
    <w:lvl w:ilvl="0">
      <w:lvlJc w:val="left"/>
      <w:lvlText w:val="(%1)"/>
      <w:numFmt w:val="decimal"/>
      <w:start w:val="13"/>
    </w:lvl>
  </w:abstractNum>
  <w:abstractNum w:abstractNumId="147">
    <w:nsid w:val="32794FF7"/>
    <w:multiLevelType w:val="hybridMultilevel"/>
    <w:lvl w:ilvl="0">
      <w:lvlJc w:val="left"/>
      <w:lvlText w:val="(%1)"/>
      <w:numFmt w:val="lowerRoman"/>
      <w:start w:val="1"/>
    </w:lvl>
  </w:abstractNum>
  <w:abstractNum w:abstractNumId="148">
    <w:nsid w:val="5454945E"/>
    <w:multiLevelType w:val="hybridMultilevel"/>
    <w:lvl w:ilvl="0">
      <w:lvlJc w:val="left"/>
      <w:lvlText w:val="•"/>
      <w:numFmt w:val="bullet"/>
      <w:start w:val="1"/>
    </w:lvl>
  </w:abstractNum>
  <w:abstractNum w:abstractNumId="149">
    <w:nsid w:val="4DEFDFA0"/>
    <w:multiLevelType w:val="hybridMultilevel"/>
    <w:lvl w:ilvl="0">
      <w:lvlJc w:val="left"/>
      <w:lvlText w:val="•"/>
      <w:numFmt w:val="bullet"/>
      <w:start w:val="1"/>
    </w:lvl>
  </w:abstractNum>
  <w:abstractNum w:abstractNumId="150">
    <w:nsid w:val="2123D5F2"/>
    <w:multiLevelType w:val="hybridMultilevel"/>
    <w:lvl w:ilvl="0">
      <w:lvlJc w:val="left"/>
      <w:lvlText w:val="•"/>
      <w:numFmt w:val="bullet"/>
      <w:start w:val="1"/>
    </w:lvl>
  </w:abstractNum>
  <w:abstractNum w:abstractNumId="151">
    <w:nsid w:val="135B8110"/>
    <w:multiLevelType w:val="hybridMultilevel"/>
    <w:lvl w:ilvl="0">
      <w:lvlJc w:val="left"/>
      <w:lvlText w:val="•"/>
      <w:numFmt w:val="bullet"/>
      <w:start w:val="1"/>
    </w:lvl>
  </w:abstractNum>
  <w:abstractNum w:abstractNumId="152">
    <w:nsid w:val="94927A8"/>
    <w:multiLevelType w:val="hybridMultilevel"/>
    <w:lvl w:ilvl="0">
      <w:lvlJc w:val="left"/>
      <w:lvlText w:val="•"/>
      <w:numFmt w:val="bullet"/>
      <w:start w:val="1"/>
    </w:lvl>
  </w:abstractNum>
  <w:abstractNum w:abstractNumId="153">
    <w:nsid w:val="DCDF8F6"/>
    <w:multiLevelType w:val="hybridMultilevel"/>
    <w:lvl w:ilvl="0">
      <w:lvlJc w:val="left"/>
      <w:lvlText w:val="•"/>
      <w:numFmt w:val="bullet"/>
      <w:start w:val="1"/>
    </w:lvl>
  </w:abstractNum>
  <w:abstractNum w:abstractNumId="154">
    <w:nsid w:val="52D7B105"/>
    <w:multiLevelType w:val="hybridMultilevel"/>
    <w:lvl w:ilvl="0">
      <w:lvlJc w:val="left"/>
      <w:lvlText w:val="•"/>
      <w:numFmt w:val="bullet"/>
      <w:start w:val="1"/>
    </w:lvl>
  </w:abstractNum>
  <w:abstractNum w:abstractNumId="155">
    <w:nsid w:val="2E8A6394"/>
    <w:multiLevelType w:val="hybridMultilevel"/>
    <w:lvl w:ilvl="0">
      <w:lvlJc w:val="left"/>
      <w:lvlText w:val="(%1)"/>
      <w:numFmt w:val="lowerRoman"/>
      <w:start w:val="1"/>
    </w:lvl>
  </w:abstractNum>
  <w:abstractNum w:abstractNumId="156">
    <w:nsid w:val="24E60401"/>
    <w:multiLevelType w:val="hybridMultilevel"/>
    <w:lvl w:ilvl="0">
      <w:lvlJc w:val="left"/>
      <w:lvlText w:val="•"/>
      <w:numFmt w:val="bullet"/>
      <w:start w:val="1"/>
    </w:lvl>
  </w:abstractNum>
  <w:abstractNum w:abstractNumId="157">
    <w:nsid w:val="2A6AD9BE"/>
    <w:multiLevelType w:val="hybridMultilevel"/>
    <w:lvl w:ilvl="0">
      <w:lvlJc w:val="left"/>
      <w:lvlText w:val="•"/>
      <w:numFmt w:val="bullet"/>
      <w:start w:val="1"/>
    </w:lvl>
  </w:abstractNum>
  <w:abstractNum w:abstractNumId="158">
    <w:nsid w:val="BAAC1B4"/>
    <w:multiLevelType w:val="hybridMultilevel"/>
    <w:lvl w:ilvl="0">
      <w:lvlJc w:val="left"/>
      <w:lvlText w:val="(%1)"/>
      <w:numFmt w:val="lowerLetter"/>
      <w:start w:val="1"/>
    </w:lvl>
    <w:lvl w:ilvl="1">
      <w:lvlJc w:val="left"/>
      <w:lvlText w:val="(%2)"/>
      <w:numFmt w:val="lowerRoman"/>
      <w:start w:val="1"/>
    </w:lvl>
  </w:abstractNum>
  <w:abstractNum w:abstractNumId="159">
    <w:nsid w:val="36B2ACBC"/>
    <w:multiLevelType w:val="hybridMultilevel"/>
    <w:lvl w:ilvl="0">
      <w:lvlJc w:val="left"/>
      <w:lvlText w:val="(%1)"/>
      <w:numFmt w:val="lowerRoman"/>
      <w:start w:val="13"/>
    </w:lvl>
  </w:abstractNum>
  <w:abstractNum w:abstractNumId="160">
    <w:nsid w:val="779D8544"/>
    <w:multiLevelType w:val="hybridMultilevel"/>
    <w:lvl w:ilvl="0">
      <w:lvlJc w:val="left"/>
      <w:lvlText w:val="(%1)"/>
      <w:numFmt w:val="lowerLetter"/>
      <w:start w:val="2"/>
    </w:lvl>
  </w:abstractNum>
  <w:abstractNum w:abstractNumId="161">
    <w:nsid w:val="4AB26E78"/>
    <w:multiLevelType w:val="hybridMultilevel"/>
    <w:lvl w:ilvl="0">
      <w:lvlJc w:val="left"/>
      <w:lvlText w:val="(%1)"/>
      <w:numFmt w:val="lowerLetter"/>
      <w:start w:val="1"/>
    </w:lvl>
  </w:abstractNum>
  <w:abstractNum w:abstractNumId="162">
    <w:nsid w:val="21FAA2FA"/>
    <w:multiLevelType w:val="hybridMultilevel"/>
    <w:lvl w:ilvl="0">
      <w:lvlJc w:val="left"/>
      <w:lvlText w:val="(%1)"/>
      <w:numFmt w:val="lowerLetter"/>
      <w:start w:val="1"/>
    </w:lvl>
  </w:abstractNum>
  <w:abstractNum w:abstractNumId="163">
    <w:nsid w:val="5451CF49"/>
    <w:multiLevelType w:val="hybridMultilevel"/>
    <w:lvl w:ilvl="0">
      <w:lvlJc w:val="left"/>
      <w:lvlText w:val="(%1)"/>
      <w:numFmt w:val="lowerLetter"/>
      <w:start w:val="2"/>
    </w:lvl>
  </w:abstractNum>
  <w:abstractNum w:abstractNumId="164">
    <w:nsid w:val="6181EF69"/>
    <w:multiLevelType w:val="hybridMultilevel"/>
    <w:lvl w:ilvl="0">
      <w:lvlJc w:val="left"/>
      <w:lvlText w:val="(%1)"/>
      <w:numFmt w:val="lowerRoman"/>
      <w:start w:val="3"/>
    </w:lvl>
  </w:abstractNum>
  <w:abstractNum w:abstractNumId="165">
    <w:nsid w:val="3E6400E6"/>
    <w:multiLevelType w:val="hybridMultilevel"/>
    <w:lvl w:ilvl="0">
      <w:lvlJc w:val="left"/>
      <w:lvlText w:val="(%1)"/>
      <w:numFmt w:val="lowerLetter"/>
      <w:start w:val="1"/>
    </w:lvl>
  </w:abstractNum>
  <w:abstractNum w:abstractNumId="166">
    <w:nsid w:val="14217E23"/>
    <w:multiLevelType w:val="hybridMultilevel"/>
    <w:lvl w:ilvl="0">
      <w:lvlJc w:val="left"/>
      <w:lvlText w:val="(%1)"/>
      <w:numFmt w:val="lowerLetter"/>
      <w:start w:val="1"/>
    </w:lvl>
  </w:abstractNum>
  <w:abstractNum w:abstractNumId="167">
    <w:nsid w:val="710757D0"/>
    <w:multiLevelType w:val="hybridMultilevel"/>
    <w:lvl w:ilvl="0">
      <w:lvlJc w:val="left"/>
      <w:lvlText w:val="(%1)"/>
      <w:numFmt w:val="lowerLetter"/>
      <w:start w:val="2"/>
    </w:lvl>
  </w:abstractNum>
  <w:abstractNum w:abstractNumId="168">
    <w:nsid w:val="5015CD1A"/>
    <w:multiLevelType w:val="hybridMultilevel"/>
    <w:lvl w:ilvl="0">
      <w:lvlJc w:val="left"/>
      <w:lvlText w:val="(%1)"/>
      <w:numFmt w:val="lowerRoman"/>
      <w:start w:val="8"/>
    </w:lvl>
  </w:abstractNum>
  <w:abstractNum w:abstractNumId="169">
    <w:nsid w:val="424479DA"/>
    <w:multiLevelType w:val="hybridMultilevel"/>
    <w:lvl w:ilvl="0">
      <w:lvlJc w:val="left"/>
      <w:lvlText w:val="(%1)"/>
      <w:numFmt w:val="decimal"/>
      <w:start w:val="2"/>
    </w:lvl>
  </w:abstractNum>
  <w:abstractNum w:abstractNumId="170">
    <w:nsid w:val="1A9A9E69"/>
    <w:multiLevelType w:val="hybridMultilevel"/>
    <w:lvl w:ilvl="0">
      <w:lvlJc w:val="left"/>
      <w:lvlText w:val="%1."/>
      <w:numFmt w:val="decimal"/>
      <w:start w:val="815"/>
    </w:lvl>
  </w:abstractNum>
  <w:abstractNum w:abstractNumId="171">
    <w:nsid w:val="475E256A"/>
    <w:multiLevelType w:val="hybridMultilevel"/>
    <w:lvl w:ilvl="0">
      <w:lvlJc w:val="left"/>
      <w:lvlText w:val="%1)"/>
      <w:numFmt w:val="decimal"/>
      <w:start w:val="2"/>
    </w:lvl>
  </w:abstractNum>
  <w:abstractNum w:abstractNumId="172">
    <w:nsid w:val="368DB37E"/>
    <w:multiLevelType w:val="hybridMultilevel"/>
    <w:lvl w:ilvl="0">
      <w:lvlJc w:val="left"/>
      <w:lvlText w:val="(%1)"/>
      <w:numFmt w:val="decimal"/>
      <w:start w:val="1"/>
    </w:lvl>
  </w:abstractNum>
  <w:abstractNum w:abstractNumId="173">
    <w:nsid w:val="6A3B714C"/>
    <w:multiLevelType w:val="hybridMultilevel"/>
    <w:lvl w:ilvl="0">
      <w:lvlJc w:val="left"/>
      <w:lvlText w:val="•"/>
      <w:numFmt w:val="bullet"/>
      <w:start w:val="1"/>
    </w:lvl>
  </w:abstractNum>
  <w:abstractNum w:abstractNumId="174">
    <w:nsid w:val="327B517E"/>
    <w:multiLevelType w:val="hybridMultilevel"/>
    <w:lvl w:ilvl="0">
      <w:lvlJc w:val="left"/>
      <w:lvlText w:val="(%1)"/>
      <w:numFmt w:val="lowerLetter"/>
      <w:start w:val="1"/>
    </w:lvl>
  </w:abstractNum>
  <w:abstractNum w:abstractNumId="175">
    <w:nsid w:val="1F461B51"/>
    <w:multiLevelType w:val="hybridMultilevel"/>
    <w:lvl w:ilvl="0">
      <w:lvlJc w:val="left"/>
      <w:lvlText w:val="(%1)"/>
      <w:numFmt w:val="lowerLetter"/>
      <w:start w:val="1"/>
    </w:lvl>
  </w:abstractNum>
  <w:abstractNum w:abstractNumId="176">
    <w:nsid w:val="29BACF25"/>
    <w:multiLevelType w:val="hybridMultilevel"/>
    <w:lvl w:ilvl="0">
      <w:lvlJc w:val="left"/>
      <w:lvlText w:val="(%1)"/>
      <w:numFmt w:val="lowerLetter"/>
      <w:start w:val="1"/>
    </w:lvl>
  </w:abstractNum>
  <w:abstractNum w:abstractNumId="177">
    <w:nsid w:val="5D5BABB3"/>
    <w:multiLevelType w:val="hybridMultilevel"/>
    <w:lvl w:ilvl="0">
      <w:lvlJc w:val="left"/>
      <w:lvlText w:val="%1."/>
      <w:numFmt w:val="decimal"/>
      <w:start w:val="606"/>
    </w:lvl>
  </w:abstractNum>
  <w:abstractNum w:abstractNumId="178">
    <w:nsid w:val="51BF6B48"/>
    <w:multiLevelType w:val="hybridMultilevel"/>
    <w:lvl w:ilvl="0">
      <w:lvlJc w:val="left"/>
      <w:lvlText w:val="%1)"/>
      <w:numFmt w:val="decimal"/>
      <w:start w:val="2"/>
    </w:lvl>
  </w:abstractNum>
  <w:abstractNum w:abstractNumId="179">
    <w:nsid w:val="7E0F6384"/>
    <w:multiLevelType w:val="hybridMultilevel"/>
    <w:lvl w:ilvl="0">
      <w:lvlJc w:val="left"/>
      <w:lvlText w:val="(%1)"/>
      <w:numFmt w:val="lowerRoman"/>
      <w:start w:val="1"/>
    </w:lvl>
  </w:abstractNum>
  <w:abstractNum w:abstractNumId="180">
    <w:nsid w:val="2B4B8B53"/>
    <w:multiLevelType w:val="hybridMultilevel"/>
    <w:lvl w:ilvl="0">
      <w:lvlJc w:val="left"/>
      <w:lvlText w:val="•"/>
      <w:numFmt w:val="bullet"/>
      <w:start w:val="1"/>
    </w:lvl>
  </w:abstractNum>
  <w:abstractNum w:abstractNumId="181">
    <w:nsid w:val="72E3413A"/>
    <w:multiLevelType w:val="hybridMultilevel"/>
    <w:lvl w:ilvl="0">
      <w:lvlJc w:val="left"/>
      <w:lvlText w:val="(%1)"/>
      <w:numFmt w:val="lowerLetter"/>
      <w:start w:val="1"/>
    </w:lvl>
  </w:abstractNum>
  <w:abstractNum w:abstractNumId="182">
    <w:nsid w:val="116AE494"/>
    <w:multiLevelType w:val="hybridMultilevel"/>
    <w:lvl w:ilvl="0">
      <w:lvlJc w:val="left"/>
      <w:lvlText w:val="(%1)"/>
      <w:numFmt w:val="lowerLetter"/>
      <w:start w:val="2"/>
    </w:lvl>
  </w:abstractNum>
  <w:abstractNum w:abstractNumId="183">
    <w:nsid w:val="3494B2FB"/>
    <w:multiLevelType w:val="hybridMultilevel"/>
    <w:lvl w:ilvl="0">
      <w:lvlJc w:val="left"/>
      <w:lvlText w:val="(%1)"/>
      <w:numFmt w:val="lowerLetter"/>
      <w:start w:val="1"/>
    </w:lvl>
  </w:abstractNum>
  <w:abstractNum w:abstractNumId="184">
    <w:nsid w:val="B13A31"/>
    <w:multiLevelType w:val="hybridMultilevel"/>
    <w:lvl w:ilvl="0">
      <w:lvlJc w:val="left"/>
      <w:lvlText w:val="(%1)"/>
      <w:numFmt w:val="lowerLetter"/>
      <w:start w:val="1"/>
    </w:lvl>
  </w:abstractNum>
  <w:abstractNum w:abstractNumId="185">
    <w:nsid w:val="64429599"/>
    <w:multiLevelType w:val="hybridMultilevel"/>
    <w:lvl w:ilvl="0">
      <w:lvlJc w:val="left"/>
      <w:lvlText w:val="(%1)"/>
      <w:numFmt w:val="decimal"/>
      <w:start w:val="1"/>
    </w:lvl>
    <w:lvl w:ilvl="1">
      <w:lvlJc w:val="left"/>
      <w:lvlText w:val="(%2)"/>
      <w:numFmt w:val="upperLetter"/>
      <w:start w:val="1"/>
    </w:lvl>
  </w:abstractNum>
  <w:abstractNum w:abstractNumId="186">
    <w:nsid w:val="631F1690"/>
    <w:multiLevelType w:val="hybridMultilevel"/>
    <w:lvl w:ilvl="0">
      <w:lvlJc w:val="left"/>
      <w:lvlText w:val="(%1)"/>
      <w:numFmt w:val="upperLetter"/>
      <w:start w:val="4"/>
    </w:lvl>
    <w:lvl w:ilvl="1">
      <w:lvlJc w:val="left"/>
      <w:lvlText w:val="(%2)"/>
      <w:numFmt w:val="lowerRoman"/>
      <w:start w:val="1"/>
    </w:lvl>
  </w:abstractNum>
  <w:abstractNum w:abstractNumId="187">
    <w:nsid w:val="25973E32"/>
    <w:multiLevelType w:val="hybridMultilevel"/>
    <w:lvl w:ilvl="0">
      <w:lvlJc w:val="left"/>
      <w:lvlText w:val="*"/>
      <w:numFmt w:val="bullet"/>
      <w:start w:val="1"/>
    </w:lvl>
  </w:abstractNum>
  <w:abstractNum w:abstractNumId="188">
    <w:nsid w:val="EAD6F5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jpe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62" Type="http://schemas.openxmlformats.org/officeDocument/2006/relationships/image" Target="media/image544.png"/><Relationship Id="rId577" Type="http://schemas.openxmlformats.org/officeDocument/2006/relationships/image" Target="media/image545.png"/><Relationship Id="rId588" Type="http://schemas.openxmlformats.org/officeDocument/2006/relationships/image" Target="media/image546.png"/><Relationship Id="rId601" Type="http://schemas.openxmlformats.org/officeDocument/2006/relationships/image" Target="media/image547.png"/><Relationship Id="rId610" Type="http://schemas.openxmlformats.org/officeDocument/2006/relationships/image" Target="media/image548.png"/><Relationship Id="rId611" Type="http://schemas.openxmlformats.org/officeDocument/2006/relationships/image" Target="media/image549.png"/><Relationship Id="rId612" Type="http://schemas.openxmlformats.org/officeDocument/2006/relationships/image" Target="media/image550.png"/><Relationship Id="rId613" Type="http://schemas.openxmlformats.org/officeDocument/2006/relationships/image" Target="media/image551.png"/><Relationship Id="rId614" Type="http://schemas.openxmlformats.org/officeDocument/2006/relationships/image" Target="media/image552.png"/><Relationship Id="rId615" Type="http://schemas.openxmlformats.org/officeDocument/2006/relationships/image" Target="media/image553.png"/><Relationship Id="rId616" Type="http://schemas.openxmlformats.org/officeDocument/2006/relationships/image" Target="media/image554.png"/><Relationship Id="rId617" Type="http://schemas.openxmlformats.org/officeDocument/2006/relationships/image" Target="media/image555.png"/><Relationship Id="rId618" Type="http://schemas.openxmlformats.org/officeDocument/2006/relationships/image" Target="media/image556.png"/><Relationship Id="rId619" Type="http://schemas.openxmlformats.org/officeDocument/2006/relationships/image" Target="media/image557.png"/><Relationship Id="rId620" Type="http://schemas.openxmlformats.org/officeDocument/2006/relationships/image" Target="media/image558.png"/><Relationship Id="rId621" Type="http://schemas.openxmlformats.org/officeDocument/2006/relationships/image" Target="media/image559.png"/><Relationship Id="rId622" Type="http://schemas.openxmlformats.org/officeDocument/2006/relationships/image" Target="media/image560.png"/><Relationship Id="rId623" Type="http://schemas.openxmlformats.org/officeDocument/2006/relationships/image" Target="media/image561.png"/><Relationship Id="rId624" Type="http://schemas.openxmlformats.org/officeDocument/2006/relationships/image" Target="media/image562.png"/><Relationship Id="rId625" Type="http://schemas.openxmlformats.org/officeDocument/2006/relationships/image" Target="media/image563.png"/><Relationship Id="rId626" Type="http://schemas.openxmlformats.org/officeDocument/2006/relationships/image" Target="media/image564.png"/><Relationship Id="rId627" Type="http://schemas.openxmlformats.org/officeDocument/2006/relationships/image" Target="media/image565.png"/><Relationship Id="rId628" Type="http://schemas.openxmlformats.org/officeDocument/2006/relationships/image" Target="media/image566.png"/><Relationship Id="rId551" Type="http://schemas.openxmlformats.org/officeDocument/2006/relationships/hyperlink" Target="http://www.sec.gov/Archives/edgar/data/2046386/000119312525328884/d933672dex31.htm" TargetMode="External"/><Relationship Id="rId552" Type="http://schemas.openxmlformats.org/officeDocument/2006/relationships/hyperlink" Target="http://www.sec.gov/Archives/edgar/data/2046386/000119312525328884/d933672dex32.htm" TargetMode="External"/><Relationship Id="rId553" Type="http://schemas.openxmlformats.org/officeDocument/2006/relationships/hyperlink" Target="http://www.sec.gov/Archives/edgar/data/2046386/000119312525253020/d932091dex41.htm" TargetMode="External"/><Relationship Id="rId554" Type="http://schemas.openxmlformats.org/officeDocument/2006/relationships/hyperlink" Target="http://www.sec.gov/Archives/edgar/data/2046386/000119312525253020/d932091dex42.htm" TargetMode="External"/><Relationship Id="rId555" Type="http://schemas.openxmlformats.org/officeDocument/2006/relationships/hyperlink" Target="http://www.sec.gov/Archives/edgar/data/2046386/000119312525253020/d932091dex43.htm" TargetMode="External"/><Relationship Id="rId556" Type="http://schemas.openxmlformats.org/officeDocument/2006/relationships/hyperlink" Target="http://www.sec.gov/Archives/edgar/data/2046386/000119312525253020/d932091dex44.htm" TargetMode="External"/><Relationship Id="rId557" Type="http://schemas.openxmlformats.org/officeDocument/2006/relationships/hyperlink" Target="http://www.sec.gov/Archives/edgar/data/2046386/000119312525253020/d932091dex45.htm" TargetMode="External"/><Relationship Id="rId558" Type="http://schemas.openxmlformats.org/officeDocument/2006/relationships/hyperlink" Target="http://www.sec.gov/Archives/edgar/data/2046386/000119312525253020/d932091dex46.htm" TargetMode="External"/><Relationship Id="rId559" Type="http://schemas.openxmlformats.org/officeDocument/2006/relationships/hyperlink" Target="http://www.sec.gov/Archives/edgar/data/2046386/000119312525253020/d932091dex47.htm" TargetMode="External"/><Relationship Id="rId560" Type="http://schemas.openxmlformats.org/officeDocument/2006/relationships/hyperlink" Target="http://www.sec.gov/Archives/edgar/data/2046386/000119312525253020/d932091dex48.htm" TargetMode="External"/><Relationship Id="rId561" Type="http://schemas.openxmlformats.org/officeDocument/2006/relationships/hyperlink" Target="http://www.sec.gov/Archives/edgar/data/2046386/000119312525253020/d932091dex49.htm" TargetMode="External"/><Relationship Id="rId563" Type="http://schemas.openxmlformats.org/officeDocument/2006/relationships/hyperlink" Target="http://www.sec.gov/Archives/edgar/data/2046386/000119312525253020/d932091dex410.htm" TargetMode="External"/><Relationship Id="rId564" Type="http://schemas.openxmlformats.org/officeDocument/2006/relationships/hyperlink" Target="http://www.sec.gov/Archives/edgar/data/2046386/000119312525253020/d932091dex411.htm" TargetMode="External"/><Relationship Id="rId565" Type="http://schemas.openxmlformats.org/officeDocument/2006/relationships/hyperlink" Target="http://www.sec.gov/Archives/edgar/data/2046386/000119312525253020/d932091dex412.htm" TargetMode="External"/><Relationship Id="rId566" Type="http://schemas.openxmlformats.org/officeDocument/2006/relationships/hyperlink" Target="http://www.sec.gov/Archives/edgar/data/2046386/000119312525328884/d933672dex101.htm" TargetMode="External"/><Relationship Id="rId567" Type="http://schemas.openxmlformats.org/officeDocument/2006/relationships/hyperlink" Target="http://www.sec.gov/Archives/edgar/data/2046386/000119312525328884/d933672dex102.htm" TargetMode="External"/><Relationship Id="rId568" Type="http://schemas.openxmlformats.org/officeDocument/2006/relationships/hyperlink" Target="http://www.sec.gov/Archives/edgar/data/2046386/000119312525328884/d933672dex103.htm" TargetMode="External"/><Relationship Id="rId569" Type="http://schemas.openxmlformats.org/officeDocument/2006/relationships/hyperlink" Target="http://www.sec.gov/Archives/edgar/data/2046386/000119312525328884/d933672dex104.htm" TargetMode="External"/><Relationship Id="rId570" Type="http://schemas.openxmlformats.org/officeDocument/2006/relationships/hyperlink" Target="http://www.sec.gov/Archives/edgar/data/2046386/000119312525328884/d933672dex1051.htm" TargetMode="External"/><Relationship Id="rId571" Type="http://schemas.openxmlformats.org/officeDocument/2006/relationships/hyperlink" Target="http://www.sec.gov/Archives/edgar/data/2046386/000119312525328884/d933672dex1052.htm" TargetMode="External"/><Relationship Id="rId572" Type="http://schemas.openxmlformats.org/officeDocument/2006/relationships/hyperlink" Target="http://www.sec.gov/Archives/edgar/data/2046386/000119312525328884/d933672dex1053.htm" TargetMode="External"/><Relationship Id="rId573" Type="http://schemas.openxmlformats.org/officeDocument/2006/relationships/hyperlink" Target="http://www.sec.gov/Archives/edgar/data/2046386/000119312525328884/d933672dex1054.htm" TargetMode="External"/><Relationship Id="rId574" Type="http://schemas.openxmlformats.org/officeDocument/2006/relationships/hyperlink" Target="http://www.sec.gov/Archives/edgar/data/2046386/000119312525253020/d932091dex106.htm" TargetMode="External"/><Relationship Id="rId575" Type="http://schemas.openxmlformats.org/officeDocument/2006/relationships/hyperlink" Target="http://www.sec.gov/Archives/edgar/data/2046386/000119312525253020/d932091dex107.htm" TargetMode="External"/><Relationship Id="rId576" Type="http://schemas.openxmlformats.org/officeDocument/2006/relationships/hyperlink" Target="http://www.sec.gov/Archives/edgar/data/2046386/000119312525253020/d932091dex108.htm" TargetMode="External"/><Relationship Id="rId578" Type="http://schemas.openxmlformats.org/officeDocument/2006/relationships/hyperlink" Target="http://www.sec.gov/Archives/edgar/data/2046386/000119312525253020/d932091dex109.htm" TargetMode="External"/><Relationship Id="rId579" Type="http://schemas.openxmlformats.org/officeDocument/2006/relationships/hyperlink" Target="http://www.sec.gov/Archives/edgar/data/2046386/000119312525253020/d932091dex1010.htm" TargetMode="External"/><Relationship Id="rId580" Type="http://schemas.openxmlformats.org/officeDocument/2006/relationships/hyperlink" Target="http://www.sec.gov/Archives/edgar/data/2046386/000119312525321135/d76744dex43.htm" TargetMode="External"/><Relationship Id="rId581" Type="http://schemas.openxmlformats.org/officeDocument/2006/relationships/hyperlink" Target="http://www.sec.gov/Archives/edgar/data/2046386/000119312525253020/d932091dex1012.htm" TargetMode="External"/><Relationship Id="rId582" Type="http://schemas.openxmlformats.org/officeDocument/2006/relationships/hyperlink" Target="http://www.sec.gov/Archives/edgar/data/2046386/000119312525253020/d932091dex1013.htm" TargetMode="External"/><Relationship Id="rId583" Type="http://schemas.openxmlformats.org/officeDocument/2006/relationships/hyperlink" Target="http://www.sec.gov/Archives/edgar/data/2046386/000119312525253020/d932091dex1014.htm" TargetMode="External"/><Relationship Id="rId584" Type="http://schemas.openxmlformats.org/officeDocument/2006/relationships/hyperlink" Target="http://www.sec.gov/Archives/edgar/data/2046386/000119312525253020/d932091dex1015.htm" TargetMode="External"/><Relationship Id="rId585" Type="http://schemas.openxmlformats.org/officeDocument/2006/relationships/hyperlink" Target="http://www.sec.gov/Archives/edgar/data/2046386/000119312525253020/d932091dex1016.htm" TargetMode="External"/><Relationship Id="rId586" Type="http://schemas.openxmlformats.org/officeDocument/2006/relationships/hyperlink" Target="http://www.sec.gov/Archives/edgar/data/2046386/000119312525253020/d932091dex1017.htm" TargetMode="External"/><Relationship Id="rId587" Type="http://schemas.openxmlformats.org/officeDocument/2006/relationships/hyperlink" Target="http://www.sec.gov/Archives/edgar/data/2046386/000119312525253020/d932091dex1018.htm" TargetMode="External"/><Relationship Id="rId589" Type="http://schemas.openxmlformats.org/officeDocument/2006/relationships/hyperlink" Target="http://www.sec.gov/Archives/edgar/data/2046386/000119312525253020/d932091dex1019.htm" TargetMode="External"/><Relationship Id="rId590" Type="http://schemas.openxmlformats.org/officeDocument/2006/relationships/hyperlink" Target="http://www.sec.gov/Archives/edgar/data/2046386/000119312525253020/d932091dex1020.htm" TargetMode="External"/><Relationship Id="rId591" Type="http://schemas.openxmlformats.org/officeDocument/2006/relationships/hyperlink" Target="http://www.sec.gov/Archives/edgar/data/2046386/000119312525253020/d932091dex1021.htm" TargetMode="External"/><Relationship Id="rId592" Type="http://schemas.openxmlformats.org/officeDocument/2006/relationships/hyperlink" Target="http://www.sec.gov/Archives/edgar/data/2046386/000119312525253020/d932091dex1022.htm" TargetMode="External"/><Relationship Id="rId593" Type="http://schemas.openxmlformats.org/officeDocument/2006/relationships/hyperlink" Target="http://www.sec.gov/Archives/edgar/data/2046386/000119312525253020/d932091dex1023.htm" TargetMode="External"/><Relationship Id="rId594" Type="http://schemas.openxmlformats.org/officeDocument/2006/relationships/hyperlink" Target="http://www.sec.gov/Archives/edgar/data/2046386/000119312525253020/d932091dex1024.htm" TargetMode="External"/><Relationship Id="rId595" Type="http://schemas.openxmlformats.org/officeDocument/2006/relationships/hyperlink" Target="http://www.sec.gov/Archives/edgar/data/2046386/000119312525253020/d932091dex1025.htm" TargetMode="External"/><Relationship Id="rId596" Type="http://schemas.openxmlformats.org/officeDocument/2006/relationships/hyperlink" Target="http://www.sec.gov/Archives/edgar/data/2046386/000119312525253020/d932091dex1026.htm" TargetMode="External"/><Relationship Id="rId597" Type="http://schemas.openxmlformats.org/officeDocument/2006/relationships/hyperlink" Target="http://www.sec.gov/Archives/edgar/data/2046386/000119312525253020/d932091dex1027.htm" TargetMode="External"/><Relationship Id="rId598" Type="http://schemas.openxmlformats.org/officeDocument/2006/relationships/hyperlink" Target="http://www.sec.gov/Archives/edgar/data/2046386/000119312525253020/d932091dex1028.htm" TargetMode="External"/><Relationship Id="rId599" Type="http://schemas.openxmlformats.org/officeDocument/2006/relationships/hyperlink" Target="http://www.sec.gov/Archives/edgar/data/2046386/000119312525321135/d76744dex44.htm" TargetMode="External"/><Relationship Id="rId600" Type="http://schemas.openxmlformats.org/officeDocument/2006/relationships/hyperlink" Target="http://www.sec.gov/Archives/edgar/data/2046386/000119312525253020/d932091dex1030.htm" TargetMode="External"/><Relationship Id="rId602" Type="http://schemas.openxmlformats.org/officeDocument/2006/relationships/hyperlink" Target="http://www.sec.gov/Archives/edgar/data/2046386/000119312525253020/d932091dex1031.htm" TargetMode="External"/><Relationship Id="rId603" Type="http://schemas.openxmlformats.org/officeDocument/2006/relationships/hyperlink" Target="http://www.sec.gov/Archives/edgar/data/2046386/000119312525253020/d932091dex1032.htm" TargetMode="External"/><Relationship Id="rId604" Type="http://schemas.openxmlformats.org/officeDocument/2006/relationships/hyperlink" Target="http://www.sec.gov/Archives/edgar/data/2046386/000119312525253020/d932091dex1033.htm" TargetMode="External"/><Relationship Id="rId605" Type="http://schemas.openxmlformats.org/officeDocument/2006/relationships/hyperlink" Target="http://www.sec.gov/Archives/edgar/data/2046386/000119312525253020/d932091dex1034.htm" TargetMode="External"/><Relationship Id="rId606" Type="http://schemas.openxmlformats.org/officeDocument/2006/relationships/hyperlink" Target="http://www.sec.gov/Archives/edgar/data/2046386/000119312525253020/d932091dex1035.htm" TargetMode="External"/><Relationship Id="rId607" Type="http://schemas.openxmlformats.org/officeDocument/2006/relationships/hyperlink" Target="http://www.sec.gov/Archives/edgar/data/2046386/000119312525253020/d932091dex1036.htm" TargetMode="External"/><Relationship Id="rId608" Type="http://schemas.openxmlformats.org/officeDocument/2006/relationships/hyperlink" Target="http://www.sec.gov/Archives/edgar/data/2046386/000119312525328884/d933672dex106.htm" TargetMode="External"/><Relationship Id="rId609" Type="http://schemas.openxmlformats.org/officeDocument/2006/relationships/hyperlink" Target="http://www.sec.gov/Archives/edgar/data/2046386/000119312525253020/d932091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2026-03-03T23:19:09Z</dcterms:created>
  <dcterms:modified xsi:type="dcterms:W3CDTF">2026-03-03T23:19:09Z</dcterms:modified>
</cp:coreProperties>
</file>