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6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9"/>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50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BX Mozart ML-2 Holdco L.P.</w:t>
              </w:r>
            </w:hyperlink>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Medline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MDLN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500" w:type="dxa"/>
            <w:vAlign w:val="bottom"/>
            <w:gridSpan w:val="6"/>
            <w:vMerge w:val="continue"/>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gridSpan w:val="4"/>
            <w:vMerge w:val="continue"/>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500" w:type="dxa"/>
            <w:vAlign w:val="bottom"/>
            <w:gridSpan w:val="6"/>
            <w:vMerge w:val="continue"/>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gridSpan w:val="2"/>
            <w:vMerge w:val="restart"/>
          </w:tcPr>
          <w:p>
            <w:pPr>
              <w:ind w:left="400"/>
              <w:spacing w:after="0"/>
              <w:rPr>
                <w:sz w:val="20"/>
                <w:szCs w:val="20"/>
                <w:color w:val="auto"/>
              </w:rPr>
            </w:pPr>
            <w:r>
              <w:rPr>
                <w:rFonts w:ascii="Arial" w:cs="Arial" w:eastAsia="Arial" w:hAnsi="Arial"/>
                <w:sz w:val="13"/>
                <w:szCs w:val="13"/>
                <w:color w:val="auto"/>
              </w:rPr>
              <w:t>Director</w:t>
            </w:r>
          </w:p>
        </w:tc>
        <w:tc>
          <w:tcPr>
            <w:tcW w:w="320" w:type="dxa"/>
            <w:vAlign w:val="bottom"/>
          </w:tcPr>
          <w:p>
            <w:pPr>
              <w:spacing w:after="0"/>
              <w:rPr>
                <w:sz w:val="5"/>
                <w:szCs w:val="5"/>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vMerge w:val="restart"/>
          </w:tcPr>
          <w:p>
            <w:pPr>
              <w:spacing w:after="0"/>
              <w:rPr>
                <w:sz w:val="9"/>
                <w:szCs w:val="9"/>
                <w:color w:val="auto"/>
              </w:rPr>
            </w:pPr>
          </w:p>
        </w:tc>
        <w:tc>
          <w:tcPr>
            <w:tcW w:w="80" w:type="dxa"/>
            <w:vAlign w:val="bottom"/>
            <w:vMerge w:val="restart"/>
          </w:tcPr>
          <w:p>
            <w:pPr>
              <w:spacing w:after="0"/>
              <w:rPr>
                <w:sz w:val="9"/>
                <w:szCs w:val="9"/>
                <w:color w:val="auto"/>
              </w:rPr>
            </w:pPr>
          </w:p>
        </w:tc>
        <w:tc>
          <w:tcPr>
            <w:tcW w:w="1400" w:type="dxa"/>
            <w:vAlign w:val="bottom"/>
            <w:gridSpan w:val="2"/>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9"/>
                <w:szCs w:val="9"/>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40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320" w:type="dxa"/>
            <w:vAlign w:val="bottom"/>
          </w:tcPr>
          <w:p>
            <w:pPr>
              <w:spacing w:after="0"/>
              <w:rPr>
                <w:sz w:val="16"/>
                <w:szCs w:val="16"/>
                <w:color w:val="auto"/>
              </w:rPr>
            </w:pPr>
          </w:p>
        </w:tc>
        <w:tc>
          <w:tcPr>
            <w:tcW w:w="720" w:type="dxa"/>
            <w:vAlign w:val="bottom"/>
          </w:tcPr>
          <w:p>
            <w:pPr>
              <w:ind w:left="2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BLACKSTONE INC.</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80" w:type="dxa"/>
            <w:vAlign w:val="bottom"/>
            <w:gridSpan w:val="10"/>
          </w:tcPr>
          <w:p>
            <w:pPr>
              <w:ind w:left="300"/>
              <w:spacing w:after="0"/>
              <w:rPr>
                <w:sz w:val="20"/>
                <w:szCs w:val="20"/>
                <w:color w:val="auto"/>
              </w:rPr>
            </w:pPr>
            <w:r>
              <w:rPr>
                <w:rFonts w:ascii="Times New Roman" w:cs="Times New Roman" w:eastAsia="Times New Roman" w:hAnsi="Times New Roman"/>
                <w:sz w:val="17"/>
                <w:szCs w:val="17"/>
                <w:color w:val="0000FF"/>
              </w:rPr>
              <w:t>05/28/2026</w:t>
            </w: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345 PARK AVENUE</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2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9"/>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2"/>
            <w:vMerge w:val="continue"/>
          </w:tcPr>
          <w:p>
            <w:pPr>
              <w:spacing w:after="0"/>
              <w:rPr>
                <w:sz w:val="9"/>
                <w:szCs w:val="9"/>
                <w:color w:val="auto"/>
              </w:rPr>
            </w:pPr>
          </w:p>
        </w:tc>
        <w:tc>
          <w:tcPr>
            <w:tcW w:w="334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92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9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gridSpan w:val="3"/>
            <w:vMerge w:val="restart"/>
          </w:tcPr>
          <w:p>
            <w:pPr>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20" w:type="dxa"/>
            <w:vAlign w:val="bottom"/>
            <w:gridSpan w:val="7"/>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7"/>
                <w:szCs w:val="17"/>
                <w:color w:val="0000FF"/>
              </w:rPr>
              <w:t>NY</w:t>
            </w:r>
          </w:p>
        </w:tc>
        <w:tc>
          <w:tcPr>
            <w:tcW w:w="120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7"/>
                <w:szCs w:val="17"/>
                <w:color w:val="0000FF"/>
              </w:rPr>
              <w:t>10154</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20" w:type="dxa"/>
            <w:vAlign w:val="bottom"/>
            <w:gridSpan w:val="7"/>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tcPr>
          <w:p>
            <w:pPr>
              <w:ind w:left="400"/>
              <w:spacing w:after="0"/>
              <w:rPr>
                <w:sz w:val="20"/>
                <w:szCs w:val="20"/>
                <w:color w:val="auto"/>
              </w:rPr>
            </w:pPr>
            <w:r>
              <w:rPr>
                <w:rFonts w:ascii="Arial" w:cs="Arial" w:eastAsia="Arial" w:hAnsi="Arial"/>
                <w:sz w:val="13"/>
                <w:szCs w:val="13"/>
                <w:color w:val="auto"/>
              </w:rPr>
              <w:t>Person</w:t>
            </w: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23"/>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8"/>
          </w:tcPr>
          <w:p>
            <w:pPr>
              <w:ind w:left="2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2400" w:type="dxa"/>
            <w:vAlign w:val="bottom"/>
            <w:gridSpan w:val="5"/>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600" w:type="dxa"/>
            <w:vAlign w:val="bottom"/>
          </w:tcPr>
          <w:p>
            <w:pPr>
              <w:ind w:left="280"/>
              <w:spacing w:after="0"/>
              <w:rPr>
                <w:sz w:val="20"/>
                <w:szCs w:val="20"/>
                <w:color w:val="auto"/>
              </w:rPr>
            </w:pPr>
            <w:r>
              <w:rPr>
                <w:rFonts w:ascii="Arial" w:cs="Arial" w:eastAsia="Arial" w:hAnsi="Arial"/>
                <w:sz w:val="12"/>
                <w:szCs w:val="12"/>
                <w:b w:val="1"/>
                <w:bCs w:val="1"/>
                <w:color w:val="auto"/>
              </w:rPr>
              <w:t>6.</w:t>
            </w:r>
          </w:p>
        </w:tc>
        <w:tc>
          <w:tcPr>
            <w:tcW w:w="320" w:type="dxa"/>
            <w:vAlign w:val="bottom"/>
          </w:tcPr>
          <w:p>
            <w:pPr>
              <w:spacing w:after="0"/>
              <w:rPr>
                <w:sz w:val="15"/>
                <w:szCs w:val="15"/>
                <w:color w:val="auto"/>
              </w:rPr>
            </w:pPr>
          </w:p>
        </w:tc>
        <w:tc>
          <w:tcPr>
            <w:tcW w:w="1500" w:type="dxa"/>
            <w:vAlign w:val="bottom"/>
            <w:gridSpan w:val="4"/>
          </w:tcPr>
          <w:p>
            <w:pPr>
              <w:ind w:left="2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20" w:type="dxa"/>
            <w:vAlign w:val="bottom"/>
            <w:gridSpan w:val="8"/>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30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4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1500" w:type="dxa"/>
            <w:vAlign w:val="bottom"/>
            <w:gridSpan w:val="4"/>
          </w:tcPr>
          <w:p>
            <w:pPr>
              <w:ind w:left="2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8"/>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14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2420" w:type="dxa"/>
            <w:vAlign w:val="bottom"/>
            <w:gridSpan w:val="6"/>
          </w:tcPr>
          <w:p>
            <w:pPr>
              <w:ind w:left="280"/>
              <w:spacing w:after="0" w:line="133" w:lineRule="exact"/>
              <w:rPr>
                <w:sz w:val="20"/>
                <w:szCs w:val="20"/>
                <w:color w:val="auto"/>
              </w:rPr>
            </w:pPr>
            <w:r>
              <w:rPr>
                <w:rFonts w:ascii="Arial" w:cs="Arial" w:eastAsia="Arial" w:hAnsi="Arial"/>
                <w:sz w:val="12"/>
                <w:szCs w:val="12"/>
                <w:b w:val="1"/>
                <w:bCs w:val="1"/>
                <w:color w:val="auto"/>
              </w:rPr>
              <w:t>Form: Direct   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gridSpan w:val="8"/>
          </w:tcPr>
          <w:p>
            <w:pPr>
              <w:ind w:left="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0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3"/>
              </w:rPr>
              <w:t>(D) or</w:t>
            </w:r>
          </w:p>
        </w:tc>
        <w:tc>
          <w:tcPr>
            <w:tcW w:w="320" w:type="dxa"/>
            <w:vAlign w:val="bottom"/>
          </w:tcPr>
          <w:p>
            <w:pPr>
              <w:spacing w:after="0"/>
              <w:rPr>
                <w:sz w:val="11"/>
                <w:szCs w:val="11"/>
                <w:color w:val="auto"/>
              </w:rPr>
            </w:pPr>
          </w:p>
        </w:tc>
        <w:tc>
          <w:tcPr>
            <w:tcW w:w="72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vMerge w:val="restart"/>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8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4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(Instr. 3 and 4)</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200" w:type="dxa"/>
            <w:vAlign w:val="bottom"/>
            <w:gridSpan w:val="2"/>
            <w:vMerge w:val="restart"/>
          </w:tcPr>
          <w:p>
            <w:pPr>
              <w:jc w:val="right"/>
              <w:ind w:right="153"/>
              <w:spacing w:after="0"/>
              <w:rPr>
                <w:sz w:val="20"/>
                <w:szCs w:val="20"/>
                <w:color w:val="auto"/>
              </w:rPr>
            </w:pPr>
            <w:r>
              <w:rPr>
                <w:rFonts w:ascii="Times New Roman" w:cs="Times New Roman" w:eastAsia="Times New Roman" w:hAnsi="Times New Roman"/>
                <w:sz w:val="17"/>
                <w:szCs w:val="17"/>
                <w:color w:val="0000FF"/>
              </w:rPr>
              <w:t>05/28/2026</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color w:val="0000FF"/>
                <w:w w:val="82"/>
              </w:rPr>
              <w:t>S</w:t>
            </w:r>
          </w:p>
        </w:tc>
        <w:tc>
          <w:tcPr>
            <w:tcW w:w="1080" w:type="dxa"/>
            <w:vAlign w:val="bottom"/>
            <w:gridSpan w:val="2"/>
            <w:vMerge w:val="restart"/>
          </w:tcPr>
          <w:p>
            <w:pPr>
              <w:jc w:val="center"/>
              <w:ind w:left="69"/>
              <w:spacing w:after="0"/>
              <w:rPr>
                <w:sz w:val="20"/>
                <w:szCs w:val="20"/>
                <w:color w:val="auto"/>
              </w:rPr>
            </w:pPr>
            <w:r>
              <w:rPr>
                <w:rFonts w:ascii="Times New Roman" w:cs="Times New Roman" w:eastAsia="Times New Roman" w:hAnsi="Times New Roman"/>
                <w:sz w:val="17"/>
                <w:szCs w:val="17"/>
                <w:color w:val="0000FF"/>
              </w:rPr>
              <w:t>19,712,326</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36.5375</w:t>
            </w:r>
            <w:r>
              <w:rPr>
                <w:rFonts w:ascii="Times New Roman" w:cs="Times New Roman" w:eastAsia="Times New Roman" w:hAnsi="Times New Roman"/>
                <w:sz w:val="22"/>
                <w:szCs w:val="22"/>
                <w:color w:val="008000"/>
                <w:w w:val="95"/>
                <w:vertAlign w:val="superscript"/>
              </w:rPr>
              <w:t>(1)</w:t>
            </w:r>
          </w:p>
        </w:tc>
        <w:tc>
          <w:tcPr>
            <w:tcW w:w="152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7"/>
                <w:szCs w:val="17"/>
                <w:color w:val="0000FF"/>
              </w:rPr>
              <w:t>89,537,913</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7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520" w:type="dxa"/>
            <w:vAlign w:val="bottom"/>
            <w:gridSpan w:val="4"/>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500" w:type="dxa"/>
            <w:vAlign w:val="bottom"/>
            <w:gridSpan w:val="4"/>
            <w:vMerge w:val="restart"/>
          </w:tcPr>
          <w:p>
            <w:pPr>
              <w:ind w:left="2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(2)(7)(8)</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200" w:type="dxa"/>
            <w:vAlign w:val="bottom"/>
            <w:tcBorders>
              <w:top w:val="single" w:sz="8" w:color="2C2C2C"/>
            </w:tcBorders>
            <w:gridSpan w:val="2"/>
            <w:vMerge w:val="restart"/>
          </w:tcPr>
          <w:p>
            <w:pPr>
              <w:jc w:val="right"/>
              <w:ind w:right="153"/>
              <w:spacing w:after="0"/>
              <w:rPr>
                <w:sz w:val="20"/>
                <w:szCs w:val="20"/>
                <w:color w:val="auto"/>
              </w:rPr>
            </w:pPr>
            <w:r>
              <w:rPr>
                <w:rFonts w:ascii="Times New Roman" w:cs="Times New Roman" w:eastAsia="Times New Roman" w:hAnsi="Times New Roman"/>
                <w:sz w:val="17"/>
                <w:szCs w:val="17"/>
                <w:color w:val="0000FF"/>
              </w:rPr>
              <w:t>05/28/2026</w:t>
            </w:r>
          </w:p>
        </w:tc>
        <w:tc>
          <w:tcPr>
            <w:tcW w:w="1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color w:val="0000FF"/>
                <w:w w:val="82"/>
              </w:rPr>
              <w:t>S</w:t>
            </w:r>
          </w:p>
        </w:tc>
        <w:tc>
          <w:tcPr>
            <w:tcW w:w="1080" w:type="dxa"/>
            <w:vAlign w:val="bottom"/>
            <w:tcBorders>
              <w:top w:val="single" w:sz="8" w:color="2C2C2C"/>
            </w:tcBorders>
            <w:gridSpan w:val="2"/>
            <w:vMerge w:val="restart"/>
          </w:tcPr>
          <w:p>
            <w:pPr>
              <w:jc w:val="center"/>
              <w:ind w:left="49"/>
              <w:spacing w:after="0"/>
              <w:rPr>
                <w:sz w:val="20"/>
                <w:szCs w:val="20"/>
                <w:color w:val="auto"/>
              </w:rPr>
            </w:pPr>
            <w:r>
              <w:rPr>
                <w:rFonts w:ascii="Times New Roman" w:cs="Times New Roman" w:eastAsia="Times New Roman" w:hAnsi="Times New Roman"/>
                <w:sz w:val="17"/>
                <w:szCs w:val="17"/>
                <w:color w:val="0000FF"/>
                <w:w w:val="99"/>
              </w:rPr>
              <w:t>9,858,774</w:t>
            </w:r>
          </w:p>
        </w:tc>
        <w:tc>
          <w:tcPr>
            <w:tcW w:w="44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36.5375</w:t>
            </w:r>
            <w:r>
              <w:rPr>
                <w:rFonts w:ascii="Times New Roman" w:cs="Times New Roman" w:eastAsia="Times New Roman" w:hAnsi="Times New Roman"/>
                <w:sz w:val="22"/>
                <w:szCs w:val="22"/>
                <w:color w:val="008000"/>
                <w:w w:val="95"/>
                <w:vertAlign w:val="superscript"/>
              </w:rPr>
              <w:t>(1)</w:t>
            </w:r>
          </w:p>
        </w:tc>
        <w:tc>
          <w:tcPr>
            <w:tcW w:w="920" w:type="dxa"/>
            <w:vAlign w:val="bottom"/>
            <w:tcBorders>
              <w:top w:val="single" w:sz="8" w:color="2C2C2C"/>
            </w:tcBorders>
            <w:gridSpan w:val="3"/>
            <w:vMerge w:val="restart"/>
          </w:tcPr>
          <w:p>
            <w:pPr>
              <w:jc w:val="center"/>
              <w:ind w:left="162"/>
              <w:spacing w:after="0"/>
              <w:rPr>
                <w:sz w:val="20"/>
                <w:szCs w:val="20"/>
                <w:color w:val="auto"/>
              </w:rPr>
            </w:pPr>
            <w:r>
              <w:rPr>
                <w:rFonts w:ascii="Times New Roman" w:cs="Times New Roman" w:eastAsia="Times New Roman" w:hAnsi="Times New Roman"/>
                <w:sz w:val="17"/>
                <w:szCs w:val="17"/>
                <w:color w:val="0000FF"/>
              </w:rPr>
              <w:t>10,185</w:t>
            </w:r>
          </w:p>
        </w:tc>
        <w:tc>
          <w:tcPr>
            <w:tcW w:w="6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720" w:type="dxa"/>
            <w:vAlign w:val="bottom"/>
            <w:tcBorders>
              <w:top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500" w:type="dxa"/>
            <w:vAlign w:val="bottom"/>
            <w:gridSpan w:val="4"/>
            <w:vMerge w:val="restart"/>
          </w:tcPr>
          <w:p>
            <w:pPr>
              <w:ind w:left="2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(3)(7)(8)</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200" w:type="dxa"/>
            <w:vAlign w:val="bottom"/>
            <w:tcBorders>
              <w:top w:val="single" w:sz="8" w:color="2C2C2C"/>
            </w:tcBorders>
            <w:gridSpan w:val="2"/>
            <w:vMerge w:val="restart"/>
          </w:tcPr>
          <w:p>
            <w:pPr>
              <w:jc w:val="right"/>
              <w:ind w:right="153"/>
              <w:spacing w:after="0"/>
              <w:rPr>
                <w:sz w:val="20"/>
                <w:szCs w:val="20"/>
                <w:color w:val="auto"/>
              </w:rPr>
            </w:pPr>
            <w:r>
              <w:rPr>
                <w:rFonts w:ascii="Times New Roman" w:cs="Times New Roman" w:eastAsia="Times New Roman" w:hAnsi="Times New Roman"/>
                <w:sz w:val="17"/>
                <w:szCs w:val="17"/>
                <w:color w:val="0000FF"/>
              </w:rPr>
              <w:t>05/28/2026</w:t>
            </w:r>
          </w:p>
        </w:tc>
        <w:tc>
          <w:tcPr>
            <w:tcW w:w="1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color w:val="0000FF"/>
                <w:w w:val="82"/>
              </w:rPr>
              <w:t>S</w:t>
            </w:r>
          </w:p>
        </w:tc>
        <w:tc>
          <w:tcPr>
            <w:tcW w:w="1080" w:type="dxa"/>
            <w:vAlign w:val="bottom"/>
            <w:tcBorders>
              <w:top w:val="single" w:sz="8" w:color="2C2C2C"/>
            </w:tcBorders>
            <w:gridSpan w:val="2"/>
            <w:vMerge w:val="restart"/>
          </w:tcPr>
          <w:p>
            <w:pPr>
              <w:jc w:val="center"/>
              <w:ind w:left="49"/>
              <w:spacing w:after="0"/>
              <w:rPr>
                <w:sz w:val="20"/>
                <w:szCs w:val="20"/>
                <w:color w:val="auto"/>
              </w:rPr>
            </w:pPr>
            <w:r>
              <w:rPr>
                <w:rFonts w:ascii="Times New Roman" w:cs="Times New Roman" w:eastAsia="Times New Roman" w:hAnsi="Times New Roman"/>
                <w:sz w:val="17"/>
                <w:szCs w:val="17"/>
                <w:color w:val="0000FF"/>
                <w:w w:val="99"/>
              </w:rPr>
              <w:t>2,256,800</w:t>
            </w:r>
          </w:p>
        </w:tc>
        <w:tc>
          <w:tcPr>
            <w:tcW w:w="44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36.5375</w:t>
            </w:r>
            <w:r>
              <w:rPr>
                <w:rFonts w:ascii="Times New Roman" w:cs="Times New Roman" w:eastAsia="Times New Roman" w:hAnsi="Times New Roman"/>
                <w:sz w:val="22"/>
                <w:szCs w:val="22"/>
                <w:color w:val="008000"/>
                <w:w w:val="95"/>
                <w:vertAlign w:val="superscript"/>
              </w:rPr>
              <w:t>(1)</w:t>
            </w:r>
          </w:p>
        </w:tc>
        <w:tc>
          <w:tcPr>
            <w:tcW w:w="1520" w:type="dxa"/>
            <w:vAlign w:val="bottom"/>
            <w:tcBorders>
              <w:top w:val="single" w:sz="8" w:color="2C2C2C"/>
            </w:tcBorders>
            <w:gridSpan w:val="4"/>
            <w:vMerge w:val="restart"/>
          </w:tcPr>
          <w:p>
            <w:pPr>
              <w:jc w:val="center"/>
              <w:ind w:right="280"/>
              <w:spacing w:after="0"/>
              <w:rPr>
                <w:sz w:val="20"/>
                <w:szCs w:val="20"/>
                <w:color w:val="auto"/>
              </w:rPr>
            </w:pPr>
            <w:r>
              <w:rPr>
                <w:rFonts w:ascii="Times New Roman" w:cs="Times New Roman" w:eastAsia="Times New Roman" w:hAnsi="Times New Roman"/>
                <w:sz w:val="17"/>
                <w:szCs w:val="17"/>
                <w:color w:val="0000FF"/>
              </w:rPr>
              <w:t>10,250,904</w:t>
            </w:r>
          </w:p>
        </w:tc>
        <w:tc>
          <w:tcPr>
            <w:tcW w:w="3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720" w:type="dxa"/>
            <w:vAlign w:val="bottom"/>
            <w:tcBorders>
              <w:top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520" w:type="dxa"/>
            <w:vAlign w:val="bottom"/>
            <w:gridSpan w:val="4"/>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500" w:type="dxa"/>
            <w:vAlign w:val="bottom"/>
            <w:gridSpan w:val="4"/>
            <w:vMerge w:val="restart"/>
          </w:tcPr>
          <w:p>
            <w:pPr>
              <w:ind w:left="2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(4)(7)(8)</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200" w:type="dxa"/>
            <w:vAlign w:val="bottom"/>
            <w:tcBorders>
              <w:top w:val="single" w:sz="8" w:color="2C2C2C"/>
            </w:tcBorders>
            <w:gridSpan w:val="2"/>
            <w:vMerge w:val="restart"/>
          </w:tcPr>
          <w:p>
            <w:pPr>
              <w:jc w:val="right"/>
              <w:ind w:right="153"/>
              <w:spacing w:after="0"/>
              <w:rPr>
                <w:sz w:val="20"/>
                <w:szCs w:val="20"/>
                <w:color w:val="auto"/>
              </w:rPr>
            </w:pPr>
            <w:r>
              <w:rPr>
                <w:rFonts w:ascii="Times New Roman" w:cs="Times New Roman" w:eastAsia="Times New Roman" w:hAnsi="Times New Roman"/>
                <w:sz w:val="17"/>
                <w:szCs w:val="17"/>
                <w:color w:val="0000FF"/>
              </w:rPr>
              <w:t>05/28/2026</w:t>
            </w:r>
          </w:p>
        </w:tc>
        <w:tc>
          <w:tcPr>
            <w:tcW w:w="1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color w:val="0000FF"/>
                <w:w w:val="82"/>
              </w:rPr>
              <w:t>S</w:t>
            </w:r>
          </w:p>
        </w:tc>
        <w:tc>
          <w:tcPr>
            <w:tcW w:w="1080" w:type="dxa"/>
            <w:vAlign w:val="bottom"/>
            <w:tcBorders>
              <w:top w:val="single" w:sz="8" w:color="2C2C2C"/>
            </w:tcBorders>
            <w:gridSpan w:val="2"/>
            <w:vMerge w:val="restart"/>
          </w:tcPr>
          <w:p>
            <w:pPr>
              <w:jc w:val="center"/>
              <w:ind w:left="49"/>
              <w:spacing w:after="0"/>
              <w:rPr>
                <w:sz w:val="20"/>
                <w:szCs w:val="20"/>
                <w:color w:val="auto"/>
              </w:rPr>
            </w:pPr>
            <w:r>
              <w:rPr>
                <w:rFonts w:ascii="Times New Roman" w:cs="Times New Roman" w:eastAsia="Times New Roman" w:hAnsi="Times New Roman"/>
                <w:sz w:val="17"/>
                <w:szCs w:val="17"/>
                <w:color w:val="0000FF"/>
                <w:w w:val="99"/>
              </w:rPr>
              <w:t>1,489,924</w:t>
            </w:r>
          </w:p>
        </w:tc>
        <w:tc>
          <w:tcPr>
            <w:tcW w:w="44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36.5375</w:t>
            </w:r>
            <w:r>
              <w:rPr>
                <w:rFonts w:ascii="Times New Roman" w:cs="Times New Roman" w:eastAsia="Times New Roman" w:hAnsi="Times New Roman"/>
                <w:sz w:val="22"/>
                <w:szCs w:val="22"/>
                <w:color w:val="008000"/>
                <w:w w:val="95"/>
                <w:vertAlign w:val="superscript"/>
              </w:rPr>
              <w:t>(1)</w:t>
            </w:r>
          </w:p>
        </w:tc>
        <w:tc>
          <w:tcPr>
            <w:tcW w:w="920" w:type="dxa"/>
            <w:vAlign w:val="bottom"/>
            <w:tcBorders>
              <w:top w:val="single" w:sz="8" w:color="2C2C2C"/>
            </w:tcBorders>
            <w:gridSpan w:val="3"/>
            <w:vMerge w:val="restart"/>
          </w:tcPr>
          <w:p>
            <w:pPr>
              <w:jc w:val="center"/>
              <w:ind w:left="162"/>
              <w:spacing w:after="0"/>
              <w:rPr>
                <w:sz w:val="20"/>
                <w:szCs w:val="20"/>
                <w:color w:val="auto"/>
              </w:rPr>
            </w:pPr>
            <w:r>
              <w:rPr>
                <w:rFonts w:ascii="Times New Roman" w:cs="Times New Roman" w:eastAsia="Times New Roman" w:hAnsi="Times New Roman"/>
                <w:sz w:val="17"/>
                <w:szCs w:val="17"/>
                <w:color w:val="0000FF"/>
              </w:rPr>
              <w:t>1,539</w:t>
            </w:r>
          </w:p>
        </w:tc>
        <w:tc>
          <w:tcPr>
            <w:tcW w:w="6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720" w:type="dxa"/>
            <w:vAlign w:val="bottom"/>
            <w:tcBorders>
              <w:top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500" w:type="dxa"/>
            <w:vAlign w:val="bottom"/>
            <w:gridSpan w:val="4"/>
            <w:vMerge w:val="restart"/>
          </w:tcPr>
          <w:p>
            <w:pPr>
              <w:ind w:left="240"/>
              <w:spacing w:after="0" w:line="281" w:lineRule="exact"/>
              <w:rPr>
                <w:sz w:val="20"/>
                <w:szCs w:val="20"/>
                <w:color w:val="auto"/>
              </w:rPr>
            </w:pPr>
            <w:r>
              <w:rPr>
                <w:rFonts w:ascii="Times New Roman" w:cs="Times New Roman" w:eastAsia="Times New Roman" w:hAnsi="Times New Roman"/>
                <w:sz w:val="32"/>
                <w:szCs w:val="32"/>
                <w:color w:val="0000FF"/>
                <w:w w:val="99"/>
                <w:vertAlign w:val="subscript"/>
              </w:rPr>
              <w:t>Footnotes</w:t>
            </w:r>
            <w:r>
              <w:rPr>
                <w:rFonts w:ascii="Times New Roman" w:cs="Times New Roman" w:eastAsia="Times New Roman" w:hAnsi="Times New Roman"/>
                <w:sz w:val="11"/>
                <w:szCs w:val="11"/>
                <w:color w:val="008000"/>
                <w:w w:val="99"/>
              </w:rPr>
              <w:t>(5)(7)(8)</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200" w:type="dxa"/>
            <w:vAlign w:val="bottom"/>
            <w:tcBorders>
              <w:top w:val="single" w:sz="8" w:color="2C2C2C"/>
            </w:tcBorders>
            <w:gridSpan w:val="2"/>
            <w:vMerge w:val="restart"/>
          </w:tcPr>
          <w:p>
            <w:pPr>
              <w:jc w:val="right"/>
              <w:ind w:right="153"/>
              <w:spacing w:after="0"/>
              <w:rPr>
                <w:sz w:val="20"/>
                <w:szCs w:val="20"/>
                <w:color w:val="auto"/>
              </w:rPr>
            </w:pPr>
            <w:r>
              <w:rPr>
                <w:rFonts w:ascii="Times New Roman" w:cs="Times New Roman" w:eastAsia="Times New Roman" w:hAnsi="Times New Roman"/>
                <w:sz w:val="17"/>
                <w:szCs w:val="17"/>
                <w:color w:val="0000FF"/>
              </w:rPr>
              <w:t>05/28/2026</w:t>
            </w:r>
          </w:p>
        </w:tc>
        <w:tc>
          <w:tcPr>
            <w:tcW w:w="1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gridSpan w:val="2"/>
            <w:vMerge w:val="restart"/>
          </w:tcPr>
          <w:p>
            <w:pPr>
              <w:jc w:val="center"/>
              <w:ind w:right="200"/>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(9)</w:t>
            </w:r>
          </w:p>
        </w:tc>
        <w:tc>
          <w:tcPr>
            <w:tcW w:w="1080" w:type="dxa"/>
            <w:vAlign w:val="bottom"/>
            <w:tcBorders>
              <w:top w:val="single" w:sz="8" w:color="2C2C2C"/>
            </w:tcBorders>
            <w:gridSpan w:val="2"/>
            <w:vMerge w:val="restart"/>
          </w:tcPr>
          <w:p>
            <w:pPr>
              <w:jc w:val="center"/>
              <w:ind w:left="49"/>
              <w:spacing w:after="0"/>
              <w:rPr>
                <w:sz w:val="20"/>
                <w:szCs w:val="20"/>
                <w:color w:val="auto"/>
              </w:rPr>
            </w:pPr>
            <w:r>
              <w:rPr>
                <w:rFonts w:ascii="Times New Roman" w:cs="Times New Roman" w:eastAsia="Times New Roman" w:hAnsi="Times New Roman"/>
                <w:sz w:val="17"/>
                <w:szCs w:val="17"/>
                <w:color w:val="0000FF"/>
              </w:rPr>
              <w:t>438,214</w:t>
            </w:r>
          </w:p>
        </w:tc>
        <w:tc>
          <w:tcPr>
            <w:tcW w:w="440" w:type="dxa"/>
            <w:vAlign w:val="bottom"/>
            <w:tcBorders>
              <w:top w:val="single" w:sz="8" w:color="2C2C2C"/>
            </w:tcBorders>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top w:val="single" w:sz="8" w:color="2C2C2C"/>
            </w:tcBorders>
            <w:vMerge w:val="restart"/>
          </w:tcPr>
          <w:p>
            <w:pPr>
              <w:jc w:val="center"/>
              <w:ind w:left="34"/>
              <w:spacing w:after="0"/>
              <w:rPr>
                <w:sz w:val="20"/>
                <w:szCs w:val="20"/>
                <w:color w:val="auto"/>
              </w:rPr>
            </w:pPr>
            <w:r>
              <w:rPr>
                <w:rFonts w:ascii="Times New Roman" w:cs="Times New Roman" w:eastAsia="Times New Roman" w:hAnsi="Times New Roman"/>
                <w:sz w:val="11"/>
                <w:szCs w:val="11"/>
                <w:color w:val="008000"/>
              </w:rPr>
              <w:t>(9)</w:t>
            </w:r>
          </w:p>
        </w:tc>
        <w:tc>
          <w:tcPr>
            <w:tcW w:w="80" w:type="dxa"/>
            <w:vAlign w:val="bottom"/>
            <w:tcBorders>
              <w:top w:val="single" w:sz="8" w:color="2C2C2C"/>
            </w:tcBorders>
          </w:tcPr>
          <w:p>
            <w:pPr>
              <w:spacing w:after="0"/>
              <w:rPr>
                <w:sz w:val="21"/>
                <w:szCs w:val="21"/>
                <w:color w:val="auto"/>
              </w:rPr>
            </w:pPr>
          </w:p>
        </w:tc>
        <w:tc>
          <w:tcPr>
            <w:tcW w:w="1520" w:type="dxa"/>
            <w:vAlign w:val="bottom"/>
            <w:tcBorders>
              <w:top w:val="single" w:sz="8" w:color="2C2C2C"/>
            </w:tcBorders>
            <w:gridSpan w:val="4"/>
            <w:vMerge w:val="restart"/>
          </w:tcPr>
          <w:p>
            <w:pPr>
              <w:jc w:val="center"/>
              <w:ind w:right="300"/>
              <w:spacing w:after="0"/>
              <w:rPr>
                <w:sz w:val="20"/>
                <w:szCs w:val="20"/>
                <w:color w:val="auto"/>
              </w:rPr>
            </w:pPr>
            <w:r>
              <w:rPr>
                <w:rFonts w:ascii="Times New Roman" w:cs="Times New Roman" w:eastAsia="Times New Roman" w:hAnsi="Times New Roman"/>
                <w:sz w:val="17"/>
                <w:szCs w:val="17"/>
                <w:color w:val="0000FF"/>
                <w:w w:val="99"/>
              </w:rPr>
              <w:t>1,990,467</w:t>
            </w:r>
          </w:p>
        </w:tc>
        <w:tc>
          <w:tcPr>
            <w:tcW w:w="3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720" w:type="dxa"/>
            <w:vAlign w:val="bottom"/>
            <w:tcBorders>
              <w:top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4"/>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1500" w:type="dxa"/>
            <w:vAlign w:val="bottom"/>
            <w:gridSpan w:val="4"/>
            <w:vMerge w:val="restart"/>
          </w:tcPr>
          <w:p>
            <w:pPr>
              <w:ind w:left="240"/>
              <w:spacing w:after="0" w:line="281" w:lineRule="exact"/>
              <w:rPr>
                <w:sz w:val="20"/>
                <w:szCs w:val="20"/>
                <w:color w:val="auto"/>
              </w:rPr>
            </w:pPr>
            <w:r>
              <w:rPr>
                <w:rFonts w:ascii="Times New Roman" w:cs="Times New Roman" w:eastAsia="Times New Roman" w:hAnsi="Times New Roman"/>
                <w:sz w:val="32"/>
                <w:szCs w:val="32"/>
                <w:color w:val="0000FF"/>
                <w:w w:val="99"/>
                <w:vertAlign w:val="subscript"/>
              </w:rPr>
              <w:t>Footnotes</w:t>
            </w:r>
            <w:r>
              <w:rPr>
                <w:rFonts w:ascii="Times New Roman" w:cs="Times New Roman" w:eastAsia="Times New Roman" w:hAnsi="Times New Roman"/>
                <w:sz w:val="11"/>
                <w:szCs w:val="11"/>
                <w:color w:val="008000"/>
                <w:w w:val="99"/>
              </w:rPr>
              <w:t>(6)(7)(8)</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15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40" w:type="dxa"/>
            <w:vAlign w:val="bottom"/>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960" w:type="dxa"/>
            <w:vAlign w:val="bottom"/>
            <w:gridSpan w:val="20"/>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280" w:type="dxa"/>
            <w:vAlign w:val="bottom"/>
          </w:tcPr>
          <w:p>
            <w:pPr>
              <w:spacing w:after="0"/>
              <w:rPr>
                <w:sz w:val="15"/>
                <w:szCs w:val="15"/>
                <w:color w:val="auto"/>
              </w:rPr>
            </w:pP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5"/>
          </w:tcPr>
          <w:p>
            <w:pPr>
              <w:ind w:left="2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4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940" w:type="dxa"/>
            <w:vAlign w:val="bottom"/>
            <w:gridSpan w:val="9"/>
          </w:tcPr>
          <w:p>
            <w:pPr>
              <w:ind w:left="20"/>
              <w:spacing w:after="0" w:line="133" w:lineRule="exact"/>
              <w:rPr>
                <w:sz w:val="20"/>
                <w:szCs w:val="20"/>
                <w:color w:val="auto"/>
              </w:rPr>
            </w:pPr>
            <w:r>
              <w:rPr>
                <w:rFonts w:ascii="Arial" w:cs="Arial" w:eastAsia="Arial" w:hAnsi="Arial"/>
                <w:sz w:val="12"/>
                <w:szCs w:val="12"/>
                <w:b w:val="1"/>
                <w:bCs w:val="1"/>
                <w:color w:val="auto"/>
              </w:rPr>
              <w:t>(Month/Day/Year)  8)</w:t>
            </w:r>
          </w:p>
        </w:tc>
        <w:tc>
          <w:tcPr>
            <w:tcW w:w="7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4"/>
          </w:tcPr>
          <w:p>
            <w:pPr>
              <w:spacing w:after="0"/>
              <w:rPr>
                <w:sz w:val="3"/>
                <w:szCs w:val="3"/>
                <w:color w:val="auto"/>
              </w:rPr>
            </w:pPr>
          </w:p>
        </w:tc>
        <w:tc>
          <w:tcPr>
            <w:tcW w:w="8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0" w:type="dxa"/>
            <w:vAlign w:val="bottom"/>
            <w:gridSpan w:val="5"/>
          </w:tcPr>
          <w:p>
            <w:pPr>
              <w:ind w:left="4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480"/>
              <w:spacing w:after="0" w:line="133"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88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Date</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  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5"/>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600" w:type="dxa"/>
            <w:vAlign w:val="bottom"/>
            <w:tcBorders>
              <w:top w:val="single" w:sz="8" w:color="2C2C2C"/>
            </w:tcBorders>
            <w:gridSpan w:val="7"/>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00" w:type="dxa"/>
            <w:vAlign w:val="bottom"/>
            <w:gridSpan w:val="6"/>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BX Mozart ML-2 Holdco L.P.</w:t>
              </w:r>
            </w:hyperlink>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80" w:type="dxa"/>
            <w:vAlign w:val="bottom"/>
          </w:tcPr>
          <w:p>
            <w:pPr>
              <w:spacing w:after="0"/>
              <w:rPr>
                <w:sz w:val="24"/>
                <w:szCs w:val="24"/>
                <w:color w:val="auto"/>
              </w:rPr>
            </w:pPr>
          </w:p>
        </w:tc>
        <w:tc>
          <w:tcPr>
            <w:tcW w:w="920" w:type="dxa"/>
            <w:vAlign w:val="bottom"/>
          </w:tcPr>
          <w:p>
            <w:pPr>
              <w:jc w:val="right"/>
              <w:ind w:right="153"/>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BLACKSTONE INC.</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345 PARK AVENUE</w:t>
            </w: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2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10154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28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-3533140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BX Mozart ML-1 Holdco L.P.</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220"/>
              <w:spacing w:after="0"/>
              <w:rPr>
                <w:sz w:val="20"/>
                <w:szCs w:val="20"/>
                <w:color w:val="auto"/>
              </w:rPr>
            </w:pPr>
            <w:r>
              <w:rPr>
                <w:rFonts w:ascii="Arial" w:cs="Arial" w:eastAsia="Arial" w:hAnsi="Arial"/>
                <w:sz w:val="13"/>
                <w:szCs w:val="13"/>
                <w:color w:val="auto"/>
              </w:rPr>
              <w:t>(First)</w:t>
            </w:r>
          </w:p>
        </w:tc>
        <w:tc>
          <w:tcPr>
            <w:tcW w:w="1820" w:type="dxa"/>
            <w:vAlign w:val="bottom"/>
          </w:tcPr>
          <w:p>
            <w:pPr>
              <w:ind w:left="4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BLACKSTONE INC.</w:t>
            </w:r>
          </w:p>
        </w:tc>
        <w:tc>
          <w:tcPr>
            <w:tcW w:w="18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345 PARK AVENUE</w:t>
            </w:r>
          </w:p>
        </w:tc>
        <w:tc>
          <w:tcPr>
            <w:tcW w:w="18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2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10154</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220"/>
              <w:spacing w:after="0"/>
              <w:rPr>
                <w:sz w:val="20"/>
                <w:szCs w:val="20"/>
                <w:color w:val="auto"/>
              </w:rPr>
            </w:pPr>
            <w:r>
              <w:rPr>
                <w:rFonts w:ascii="Arial" w:cs="Arial" w:eastAsia="Arial" w:hAnsi="Arial"/>
                <w:sz w:val="13"/>
                <w:szCs w:val="13"/>
                <w:color w:val="auto"/>
              </w:rPr>
              <w:t>(State)</w:t>
            </w:r>
          </w:p>
        </w:tc>
        <w:tc>
          <w:tcPr>
            <w:tcW w:w="1820" w:type="dxa"/>
            <w:vAlign w:val="bottom"/>
          </w:tcPr>
          <w:p>
            <w:pPr>
              <w:ind w:left="4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Mozart Aggregator II UNLV Holdco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220"/>
              <w:spacing w:after="0"/>
              <w:rPr>
                <w:sz w:val="20"/>
                <w:szCs w:val="20"/>
                <w:color w:val="auto"/>
              </w:rPr>
            </w:pPr>
            <w:r>
              <w:rPr>
                <w:rFonts w:ascii="Arial" w:cs="Arial" w:eastAsia="Arial" w:hAnsi="Arial"/>
                <w:sz w:val="13"/>
                <w:szCs w:val="13"/>
                <w:color w:val="auto"/>
              </w:rPr>
              <w:t>(First)</w:t>
            </w:r>
          </w:p>
        </w:tc>
        <w:tc>
          <w:tcPr>
            <w:tcW w:w="1820" w:type="dxa"/>
            <w:vAlign w:val="bottom"/>
          </w:tcPr>
          <w:p>
            <w:pPr>
              <w:ind w:left="4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BLACKSTONE INC.</w:t>
            </w:r>
          </w:p>
        </w:tc>
        <w:tc>
          <w:tcPr>
            <w:tcW w:w="18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345 PARK AVENUE</w:t>
            </w:r>
          </w:p>
        </w:tc>
        <w:tc>
          <w:tcPr>
            <w:tcW w:w="18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2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10154</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220"/>
              <w:spacing w:after="0"/>
              <w:rPr>
                <w:sz w:val="20"/>
                <w:szCs w:val="20"/>
                <w:color w:val="auto"/>
              </w:rPr>
            </w:pPr>
            <w:r>
              <w:rPr>
                <w:rFonts w:ascii="Arial" w:cs="Arial" w:eastAsia="Arial" w:hAnsi="Arial"/>
                <w:sz w:val="13"/>
                <w:szCs w:val="13"/>
                <w:color w:val="auto"/>
              </w:rPr>
              <w:t>(State)</w:t>
            </w:r>
          </w:p>
        </w:tc>
        <w:tc>
          <w:tcPr>
            <w:tcW w:w="1820" w:type="dxa"/>
            <w:vAlign w:val="bottom"/>
          </w:tcPr>
          <w:p>
            <w:pPr>
              <w:ind w:left="4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Mozart Aggregator UNLV Holdco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BLACKSTONE INC.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345 PARK AVENUE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10154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Mozart Aggregator II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BLACKSTONE INC.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345 PARK AVENUE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10154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BX Mozart ML-2 Holdco GP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220"/>
              <w:spacing w:after="0"/>
              <w:rPr>
                <w:sz w:val="20"/>
                <w:szCs w:val="20"/>
                <w:color w:val="auto"/>
              </w:rPr>
            </w:pPr>
            <w:r>
              <w:rPr>
                <w:rFonts w:ascii="Arial" w:cs="Arial" w:eastAsia="Arial" w:hAnsi="Arial"/>
                <w:sz w:val="13"/>
                <w:szCs w:val="13"/>
                <w:color w:val="auto"/>
              </w:rPr>
              <w:t>(First)</w:t>
            </w:r>
          </w:p>
        </w:tc>
        <w:tc>
          <w:tcPr>
            <w:tcW w:w="1820" w:type="dxa"/>
            <w:vAlign w:val="bottom"/>
          </w:tcPr>
          <w:p>
            <w:pPr>
              <w:ind w:left="4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BLACKSTONE INC.</w:t>
            </w:r>
          </w:p>
        </w:tc>
        <w:tc>
          <w:tcPr>
            <w:tcW w:w="18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345 PARK AVENUE</w:t>
            </w:r>
          </w:p>
        </w:tc>
        <w:tc>
          <w:tcPr>
            <w:tcW w:w="18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2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10154</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220"/>
              <w:spacing w:after="0"/>
              <w:rPr>
                <w:sz w:val="20"/>
                <w:szCs w:val="20"/>
                <w:color w:val="auto"/>
              </w:rPr>
            </w:pPr>
            <w:r>
              <w:rPr>
                <w:rFonts w:ascii="Arial" w:cs="Arial" w:eastAsia="Arial" w:hAnsi="Arial"/>
                <w:sz w:val="13"/>
                <w:szCs w:val="13"/>
                <w:color w:val="auto"/>
              </w:rPr>
              <w:t>(State)</w:t>
            </w:r>
          </w:p>
        </w:tc>
        <w:tc>
          <w:tcPr>
            <w:tcW w:w="1820" w:type="dxa"/>
            <w:vAlign w:val="bottom"/>
          </w:tcPr>
          <w:p>
            <w:pPr>
              <w:ind w:left="4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BX Mozart ML-1 Holdco GP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220"/>
              <w:spacing w:after="0"/>
              <w:rPr>
                <w:sz w:val="20"/>
                <w:szCs w:val="20"/>
                <w:color w:val="auto"/>
              </w:rPr>
            </w:pPr>
            <w:r>
              <w:rPr>
                <w:rFonts w:ascii="Arial" w:cs="Arial" w:eastAsia="Arial" w:hAnsi="Arial"/>
                <w:sz w:val="13"/>
                <w:szCs w:val="13"/>
                <w:color w:val="auto"/>
              </w:rPr>
              <w:t>(First)</w:t>
            </w:r>
          </w:p>
        </w:tc>
        <w:tc>
          <w:tcPr>
            <w:tcW w:w="1820" w:type="dxa"/>
            <w:vAlign w:val="bottom"/>
          </w:tcPr>
          <w:p>
            <w:pPr>
              <w:ind w:left="4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BLACKSTONE INC.</w:t>
            </w:r>
          </w:p>
        </w:tc>
        <w:tc>
          <w:tcPr>
            <w:tcW w:w="18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345 PARK AVENUE</w:t>
            </w:r>
          </w:p>
        </w:tc>
        <w:tc>
          <w:tcPr>
            <w:tcW w:w="18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2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10154</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220"/>
              <w:spacing w:after="0"/>
              <w:rPr>
                <w:sz w:val="20"/>
                <w:szCs w:val="20"/>
                <w:color w:val="auto"/>
              </w:rPr>
            </w:pPr>
            <w:r>
              <w:rPr>
                <w:rFonts w:ascii="Arial" w:cs="Arial" w:eastAsia="Arial" w:hAnsi="Arial"/>
                <w:sz w:val="13"/>
                <w:szCs w:val="13"/>
                <w:color w:val="auto"/>
              </w:rPr>
              <w:t>(State)</w:t>
            </w:r>
          </w:p>
        </w:tc>
        <w:tc>
          <w:tcPr>
            <w:tcW w:w="1820" w:type="dxa"/>
            <w:vAlign w:val="bottom"/>
          </w:tcPr>
          <w:p>
            <w:pPr>
              <w:ind w:left="460"/>
              <w:spacing w:after="0"/>
              <w:rPr>
                <w:sz w:val="20"/>
                <w:szCs w:val="20"/>
                <w:color w:val="auto"/>
              </w:rPr>
            </w:pPr>
            <w:r>
              <w:rPr>
                <w:rFonts w:ascii="Arial" w:cs="Arial" w:eastAsia="Arial" w:hAnsi="Arial"/>
                <w:sz w:val="13"/>
                <w:szCs w:val="13"/>
                <w:color w:val="auto"/>
              </w:rPr>
              <w:t>(Zip)</w:t>
            </w:r>
          </w:p>
        </w:tc>
      </w:tr>
    </w:tbl>
    <w:p>
      <w:pPr>
        <w:spacing w:after="0" w:line="154"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9979"/>
          </w:cols>
          <w:pgMar w:left="480" w:top="167" w:right="1440" w:bottom="0" w:gutter="0" w:footer="0" w:header="0"/>
        </w:sectPr>
      </w:pPr>
    </w:p>
    <w:bookmarkStart w:id="2" w:name="page3"/>
    <w:bookmarkEnd w:id="2"/>
    <w:p>
      <w:pPr>
        <w:ind w:left="80"/>
        <w:spacing w:after="0"/>
        <w:rPr>
          <w:rFonts w:ascii="Times New Roman" w:cs="Times New Roman" w:eastAsia="Times New Roman" w:hAnsi="Times New Roman"/>
          <w:sz w:val="21"/>
          <w:szCs w:val="21"/>
          <w:u w:val="single" w:color="auto"/>
          <w:color w:val="0000EE"/>
        </w:rPr>
      </w:pPr>
      <w:hyperlink r:id="rId23">
        <w:r>
          <w:rPr>
            <w:rFonts w:ascii="Times New Roman" w:cs="Times New Roman" w:eastAsia="Times New Roman" w:hAnsi="Times New Roman"/>
            <w:sz w:val="21"/>
            <w:szCs w:val="21"/>
            <w:u w:val="single" w:color="auto"/>
            <w:color w:val="0000EE"/>
          </w:rPr>
          <w:t>BCP Mozart Aggregator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-134620</wp:posOffset>
            </wp:positionV>
            <wp:extent cx="2809240" cy="34055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2809240" cy="3405505"/>
                    </a:xfrm>
                    <a:prstGeom prst="rect">
                      <a:avLst/>
                    </a:prstGeom>
                    <a:noFill/>
                  </pic:spPr>
                </pic:pic>
              </a:graphicData>
            </a:graphic>
          </wp:anchor>
        </w:drawing>
      </w: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220"/>
              <w:spacing w:after="0"/>
              <w:rPr>
                <w:sz w:val="20"/>
                <w:szCs w:val="20"/>
                <w:color w:val="auto"/>
              </w:rPr>
            </w:pPr>
            <w:r>
              <w:rPr>
                <w:rFonts w:ascii="Arial" w:cs="Arial" w:eastAsia="Arial" w:hAnsi="Arial"/>
                <w:sz w:val="13"/>
                <w:szCs w:val="13"/>
                <w:color w:val="auto"/>
              </w:rPr>
              <w:t>(First)</w:t>
            </w:r>
          </w:p>
        </w:tc>
        <w:tc>
          <w:tcPr>
            <w:tcW w:w="1820" w:type="dxa"/>
            <w:vAlign w:val="bottom"/>
          </w:tcPr>
          <w:p>
            <w:pPr>
              <w:ind w:left="4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BLACKSTONE INC.</w:t>
            </w:r>
          </w:p>
        </w:tc>
        <w:tc>
          <w:tcPr>
            <w:tcW w:w="18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345 PARK AVENUE</w:t>
            </w:r>
          </w:p>
        </w:tc>
        <w:tc>
          <w:tcPr>
            <w:tcW w:w="18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2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10154</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220"/>
              <w:spacing w:after="0"/>
              <w:rPr>
                <w:sz w:val="20"/>
                <w:szCs w:val="20"/>
                <w:color w:val="auto"/>
              </w:rPr>
            </w:pPr>
            <w:r>
              <w:rPr>
                <w:rFonts w:ascii="Arial" w:cs="Arial" w:eastAsia="Arial" w:hAnsi="Arial"/>
                <w:sz w:val="13"/>
                <w:szCs w:val="13"/>
                <w:color w:val="auto"/>
              </w:rPr>
              <w:t>(State)</w:t>
            </w:r>
          </w:p>
        </w:tc>
        <w:tc>
          <w:tcPr>
            <w:tcW w:w="1820" w:type="dxa"/>
            <w:vAlign w:val="bottom"/>
          </w:tcPr>
          <w:p>
            <w:pPr>
              <w:ind w:left="4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25">
        <w:r>
          <w:rPr>
            <w:rFonts w:ascii="Times New Roman" w:cs="Times New Roman" w:eastAsia="Times New Roman" w:hAnsi="Times New Roman"/>
            <w:sz w:val="21"/>
            <w:szCs w:val="21"/>
            <w:u w:val="single" w:color="auto"/>
            <w:color w:val="0000EE"/>
          </w:rPr>
          <w:t>Blackstone Management Associates VIII L.P.</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220"/>
              <w:spacing w:after="0"/>
              <w:rPr>
                <w:sz w:val="20"/>
                <w:szCs w:val="20"/>
                <w:color w:val="auto"/>
              </w:rPr>
            </w:pPr>
            <w:r>
              <w:rPr>
                <w:rFonts w:ascii="Arial" w:cs="Arial" w:eastAsia="Arial" w:hAnsi="Arial"/>
                <w:sz w:val="13"/>
                <w:szCs w:val="13"/>
                <w:color w:val="auto"/>
              </w:rPr>
              <w:t>(First)</w:t>
            </w:r>
          </w:p>
        </w:tc>
        <w:tc>
          <w:tcPr>
            <w:tcW w:w="1820" w:type="dxa"/>
            <w:vAlign w:val="bottom"/>
          </w:tcPr>
          <w:p>
            <w:pPr>
              <w:ind w:left="4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BLACKSTONE INC.</w:t>
            </w:r>
          </w:p>
        </w:tc>
        <w:tc>
          <w:tcPr>
            <w:tcW w:w="18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345 PARK AVENUE</w:t>
            </w:r>
          </w:p>
        </w:tc>
        <w:tc>
          <w:tcPr>
            <w:tcW w:w="18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2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10154</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220"/>
              <w:spacing w:after="0"/>
              <w:rPr>
                <w:sz w:val="20"/>
                <w:szCs w:val="20"/>
                <w:color w:val="auto"/>
              </w:rPr>
            </w:pPr>
            <w:r>
              <w:rPr>
                <w:rFonts w:ascii="Arial" w:cs="Arial" w:eastAsia="Arial" w:hAnsi="Arial"/>
                <w:sz w:val="13"/>
                <w:szCs w:val="13"/>
                <w:color w:val="auto"/>
              </w:rPr>
              <w:t>(State)</w:t>
            </w:r>
          </w:p>
        </w:tc>
        <w:tc>
          <w:tcPr>
            <w:tcW w:w="1820" w:type="dxa"/>
            <w:vAlign w:val="bottom"/>
          </w:tcPr>
          <w:p>
            <w:pPr>
              <w:ind w:left="4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8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closing of the secondary offering of Class A common stock ("Class A Common Stock") of Medline Inc. (the "Issuer"), certain of the Reporting Persons sold shares of Class A Common Stock to the underwriters at a price per shares equal to the public offering price of $37.00 per shares of Class A Common Stock, less the underwriting discounts and commissions of $0.4625 per share.</w:t>
      </w:r>
    </w:p>
    <w:p>
      <w:pPr>
        <w:spacing w:after="0" w:line="20" w:lineRule="exact"/>
        <w:rPr>
          <w:rFonts w:ascii="Times New Roman" w:cs="Times New Roman" w:eastAsia="Times New Roman" w:hAnsi="Times New Roman"/>
          <w:sz w:val="13"/>
          <w:szCs w:val="13"/>
          <w:color w:val="008000"/>
        </w:rPr>
      </w:pPr>
    </w:p>
    <w:p>
      <w:pPr>
        <w:jc w:val="both"/>
        <w:ind w:right="14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of the Issuer held directly by BX Mozart ML-2 Holdco L.P. BX Mozart ML-2 Holdco GP L.L.C. is the general partner of BX Mozart ML-2 Holdco L.P. Mozart Aggregator II LP is the managing member of BX Mozart ML-2 Holdco GP L.L.C. Blackstone Management Associates VIII L.P. is the general partner of Mozart Aggregator II LP. BMA VIII L.L.C. is the general partner of Blackstone Management Associates VIII L.P.</w:t>
      </w:r>
    </w:p>
    <w:p>
      <w:pPr>
        <w:spacing w:after="0" w:line="20" w:lineRule="exact"/>
        <w:rPr>
          <w:rFonts w:ascii="Times New Roman" w:cs="Times New Roman" w:eastAsia="Times New Roman" w:hAnsi="Times New Roman"/>
          <w:sz w:val="13"/>
          <w:szCs w:val="13"/>
          <w:color w:val="008000"/>
        </w:rPr>
      </w:pPr>
    </w:p>
    <w:p>
      <w:pPr>
        <w:jc w:val="both"/>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of the Issuer held directly by BX Mozart ML-1 Holdco L.P. BX Mozart ML-1 Holdco GP L.L.C. is the general partner of BX Mozart ML-1 Holdco L.P. BCP Mozart Aggregator L.P. is the managing member of BX Mozart ML-1 Holdco GP L.L.C. BCP 8 Holdings Mozart Manager L.L.C. is the general partner of BCP Mozart Aggregator L.P. BMA VIII L.L.C. is the managing member of BCP 8 Holdings Mozart Manager L.L.C.</w:t>
      </w:r>
    </w:p>
    <w:p>
      <w:pPr>
        <w:spacing w:after="0" w:line="20" w:lineRule="exact"/>
        <w:rPr>
          <w:rFonts w:ascii="Times New Roman" w:cs="Times New Roman" w:eastAsia="Times New Roman" w:hAnsi="Times New Roman"/>
          <w:sz w:val="13"/>
          <w:szCs w:val="13"/>
          <w:color w:val="008000"/>
        </w:rPr>
      </w:pPr>
    </w:p>
    <w:p>
      <w:pPr>
        <w:ind w:right="24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of the Issuer held directly by Mozart Aggregator II UNLV Holdco L.P. Blackstone Management Associates VIII L.P. is the general partner of Mozart Aggregator II UNLV Holdco L.P. BMA VIII L.L.C. is the general partner of Blackstone Management Associates VIII L.P.</w:t>
      </w:r>
    </w:p>
    <w:p>
      <w:pPr>
        <w:spacing w:after="0" w:line="7" w:lineRule="exact"/>
        <w:rPr>
          <w:rFonts w:ascii="Times New Roman" w:cs="Times New Roman" w:eastAsia="Times New Roman" w:hAnsi="Times New Roman"/>
          <w:sz w:val="13"/>
          <w:szCs w:val="13"/>
          <w:color w:val="008000"/>
        </w:rPr>
      </w:pPr>
    </w:p>
    <w:p>
      <w:pPr>
        <w:ind w:right="14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of the Issuer held directly by Mozart Aggregator UNLV Holdco L.P. BCP 8 Holdings Mozart Manager L.L.C. is the general partner of Mozart Aggregator UNLV Holdco L.P. BMA VIII L.L.C. is the managing member of BCP 8 Holdings Mozart Manager L.L.C.</w:t>
      </w:r>
    </w:p>
    <w:p>
      <w:pPr>
        <w:spacing w:after="0" w:line="7" w:lineRule="exact"/>
        <w:rPr>
          <w:rFonts w:ascii="Times New Roman" w:cs="Times New Roman" w:eastAsia="Times New Roman" w:hAnsi="Times New Roman"/>
          <w:sz w:val="13"/>
          <w:szCs w:val="13"/>
          <w:color w:val="008000"/>
        </w:rPr>
      </w:pPr>
    </w:p>
    <w:p>
      <w:pPr>
        <w:ind w:right="6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Class A Common Stock of the Issuer held directly by Mozart Aggregator II LP. Blackstone Management Associates VIII L.P. is the general partner of Mozart Aggregator II LP. BMA VIII L.L.C. is the general partner of Blackstone Management Associates VIII L.P.</w:t>
      </w:r>
    </w:p>
    <w:p>
      <w:pPr>
        <w:spacing w:after="0" w:line="7" w:lineRule="exact"/>
        <w:rPr>
          <w:rFonts w:ascii="Times New Roman" w:cs="Times New Roman" w:eastAsia="Times New Roman" w:hAnsi="Times New Roman"/>
          <w:sz w:val="13"/>
          <w:szCs w:val="13"/>
          <w:color w:val="008000"/>
        </w:rPr>
      </w:pPr>
    </w:p>
    <w:p>
      <w:pPr>
        <w:jc w:val="both"/>
        <w:ind w:right="2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Blackstone Holdings II L.P. is the managing member of BMA VIII L.L.C. Blackstone Holdings I/II GP L.L.C. is the general partner of Blackstone Holdings II L.P. Blackstone Inc. is the sole member of Blackstone Holdings I/II GP L.L.C. The sole holder of the Series II preferred stock of Blackstone Inc. is Blackstone Group Management L.L.C. Blackstone Group Management L.L.C. is wholly-owned by Blackstone's senior managing directors and controlled by its founder, Stephen A. Schwarzman.</w:t>
      </w:r>
    </w:p>
    <w:p>
      <w:pPr>
        <w:spacing w:after="0" w:line="20" w:lineRule="exact"/>
        <w:rPr>
          <w:rFonts w:ascii="Times New Roman" w:cs="Times New Roman" w:eastAsia="Times New Roman" w:hAnsi="Times New Roman"/>
          <w:sz w:val="13"/>
          <w:szCs w:val="13"/>
          <w:color w:val="008000"/>
        </w:rPr>
      </w:pPr>
    </w:p>
    <w:p>
      <w:pPr>
        <w:ind w:right="40" w:firstLine="7"/>
        <w:spacing w:after="0" w:line="24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(other than to the extent it directly holds securities reported herein) disclaims beneficial ownership of the securities held by the other Reporting Persons, except to the extent of such Reporting Person's pecuniary interest therein, and, pursuant to Rule 16a-1(a)(4) under the Securities Exchange Act of 1934, each of the Reporting Persons (other than to the extent it directly holds securities reported herein) states that the inclusion of these securities in this report shall not be deemed an admission of beneficial ownership of all of the reported securities for purposes of Section</w:t>
      </w:r>
    </w:p>
    <w:p>
      <w:pPr>
        <w:spacing w:after="0" w:line="1" w:lineRule="exact"/>
        <w:rPr>
          <w:rFonts w:ascii="Times New Roman" w:cs="Times New Roman" w:eastAsia="Times New Roman" w:hAnsi="Times New Roman"/>
          <w:sz w:val="13"/>
          <w:szCs w:val="13"/>
          <w:color w:val="008000"/>
        </w:rPr>
      </w:pPr>
    </w:p>
    <w:p>
      <w:pPr>
        <w:ind w:right="680" w:firstLine="7"/>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or for any other purpose. Information with respect to each of the Reporting Persons is given solely by such Reporting Person, and no Reporting Person has responsibility for the accuracy or completeness of information supplied by another Reporting Person.</w:t>
      </w:r>
    </w:p>
    <w:p>
      <w:pPr>
        <w:spacing w:after="0" w:line="21" w:lineRule="exact"/>
        <w:rPr>
          <w:rFonts w:ascii="Times New Roman" w:cs="Times New Roman" w:eastAsia="Times New Roman" w:hAnsi="Times New Roman"/>
          <w:sz w:val="13"/>
          <w:szCs w:val="13"/>
          <w:color w:val="008000"/>
        </w:rPr>
      </w:pPr>
    </w:p>
    <w:p>
      <w:pPr>
        <w:ind w:right="2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28, 2026, Mozart Aggregator II LP initiated in-kind distributions of shares of Class A Common Stock to one of its investors and certain affiliated entities of that investor. Such distributees have agreed to be bound in writing by the restrictions set forth in the Lock Up Agreement entered into by and among the Reporting Persons and the underwriters.</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3"/>
          <w:szCs w:val="13"/>
          <w:color w:val="008000"/>
        </w:rPr>
        <w:t>Because no more than 10 reporting persons can file any one Form 4 through the Securities and Exchange Commission's EDGAR system, certain affiliates of the Reporting Persons have filed a separate Form 4.</w:t>
      </w:r>
    </w:p>
    <w:p>
      <w:pPr>
        <w:sectPr>
          <w:pgSz w:w="11900" w:h="16838" w:orient="portrait"/>
          <w:cols w:equalWidth="0" w:num="1">
            <w:col w:w="10900"/>
          </w:cols>
          <w:pgMar w:left="500" w:top="111" w:right="499" w:bottom="0" w:gutter="0" w:footer="0" w:header="0"/>
        </w:sectPr>
      </w:pP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BX MOZART ML-2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220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9220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HOLDCO L.P., By: BX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09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0509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Mozart ML-2 Holdco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14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1214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87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Robert Brooks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66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0966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Robert Brooks, Title: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26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1626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095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BX MOZART ML-1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220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9220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HOLDCO L.P., By: BX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09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0509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Mozart ML-1 Holdco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14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1214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87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Robert Brooks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66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0966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Robert Brooks, Title: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26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1626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095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MOZART AGGREGATOR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6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UNLV HOLDCO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38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1938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Blackstone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02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0902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Associates VIII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45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0445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BMA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99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1499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72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0172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Robert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46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Name: Robert Brooks,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47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2547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MOZART AGGREGATOR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287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22872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UNLV HOLDCO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38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1938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BCP 8 Holdings Mozart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61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Manager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85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2185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BMA VIII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614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700" w:space="40"/>
            <w:col w:w="2160"/>
          </w:cols>
          <w:pgMar w:left="500" w:top="111" w:right="499" w:bottom="0" w:gutter="0" w:footer="0" w:header="0"/>
          <w:type w:val="continuous"/>
        </w:sectPr>
      </w:pPr>
    </w:p>
    <w:bookmarkStart w:id="3" w:name="page4"/>
    <w:bookmarkEnd w:id="3"/>
    <w:p>
      <w:pPr>
        <w:ind w:left="6540"/>
        <w:spacing w:after="0"/>
        <w:rPr>
          <w:sz w:val="20"/>
          <w:szCs w:val="20"/>
          <w:color w:val="auto"/>
        </w:rPr>
      </w:pPr>
      <w:r>
        <w:rPr>
          <w:rFonts w:ascii="Times New Roman" w:cs="Times New Roman" w:eastAsia="Times New Roman" w:hAnsi="Times New Roman"/>
          <w:sz w:val="17"/>
          <w:szCs w:val="17"/>
          <w:color w:val="0000FF"/>
        </w:rPr>
        <w:t>its managing member,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941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Robert Brooks Name: Robert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22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Brooks, Title: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96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1296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MOZART AGGREGATOR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6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Blackstone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64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Associates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90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99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2299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BMA VIII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54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Robert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46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Name: Robert Brooks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74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2274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BX MOZART ML-2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220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9220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HOLDCO GP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96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12896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Robert Brooks Name: Robert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22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Brooks, 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25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BX MOZART ML-1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220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9220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HOLDCO GP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96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12896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Robert Brooks Name: Robert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22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Brooks, 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25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0" w:lineRule="exact"/>
        <w:rPr>
          <w:sz w:val="20"/>
          <w:szCs w:val="20"/>
          <w:color w:val="auto"/>
        </w:rPr>
      </w:pPr>
    </w:p>
    <w:p>
      <w:pPr>
        <w:sectPr>
          <w:pgSz w:w="11900" w:h="16838" w:orient="portrait"/>
          <w:cols w:equalWidth="0" w:num="2">
            <w:col w:w="8640" w:space="100"/>
            <w:col w:w="1440"/>
          </w:cols>
          <w:pgMar w:left="500" w:top="125" w:right="1219" w:bottom="1440" w:gutter="0" w:footer="0" w:header="0"/>
        </w:sectPr>
      </w:pPr>
    </w:p>
    <w:p>
      <w:pPr>
        <w:ind w:left="6540"/>
        <w:spacing w:after="0"/>
        <w:rPr>
          <w:sz w:val="20"/>
          <w:szCs w:val="20"/>
          <w:color w:val="auto"/>
        </w:rPr>
      </w:pPr>
      <w:r>
        <w:rPr>
          <w:rFonts w:ascii="Times New Roman" w:cs="Times New Roman" w:eastAsia="Times New Roman" w:hAnsi="Times New Roman"/>
          <w:sz w:val="17"/>
          <w:szCs w:val="17"/>
          <w:color w:val="0000FF"/>
        </w:rPr>
        <w:t>BCP MOZART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6934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6934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AGGREGATOR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63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11563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BCP 8 Holdings Mozart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61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Manager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85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12185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BMA VIII L.L.C., 06/01/2026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its managing member,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41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Robert Brooks Name: Robert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22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Brooks Title: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17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11017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BLACKSTONE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251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72517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9438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7943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ASSOCIATES VIII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33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BMA VIII L.L.C., its general</w:t>
        <w:tab/>
        <w:t>06/01/2026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Robert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46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Name: Robert Brooks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74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12274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6"/>
    </w:lvl>
  </w:abstractNum>
  <w:abstractNum w:abstractNumId="2">
    <w:nsid w:val="2AE8944A"/>
    <w:multiLevelType w:val="hybridMultilevel"/>
    <w:lvl w:ilvl="0">
      <w:lvlJc w:val="left"/>
      <w:lvlText w:val="%1."/>
      <w:numFmt w:val="decimal"/>
      <w:start w:val="9"/>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24"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13" Type="http://schemas.openxmlformats.org/officeDocument/2006/relationships/hyperlink" Target="http://www.sec.gov/cgi-bin/browse-edgar?action=getcompany&amp;CIK=0002102360" TargetMode="External"/><Relationship Id="rId14" Type="http://schemas.openxmlformats.org/officeDocument/2006/relationships/hyperlink" Target="http://www.sec.gov/cgi-bin/browse-edgar?action=getcompany&amp;CIK=0002046386" TargetMode="External"/><Relationship Id="rId16" Type="http://schemas.openxmlformats.org/officeDocument/2006/relationships/hyperlink" Target="http://www.sec.gov/cgi-bin/browse-edgar?action=getcompany&amp;CIK=0002102428" TargetMode="External"/><Relationship Id="rId18" Type="http://schemas.openxmlformats.org/officeDocument/2006/relationships/hyperlink" Target="http://www.sec.gov/cgi-bin/browse-edgar?action=getcompany&amp;CIK=0002108059" TargetMode="External"/><Relationship Id="rId19" Type="http://schemas.openxmlformats.org/officeDocument/2006/relationships/hyperlink" Target="http://www.sec.gov/cgi-bin/browse-edgar?action=getcompany&amp;CIK=0002108063" TargetMode="External"/><Relationship Id="rId20" Type="http://schemas.openxmlformats.org/officeDocument/2006/relationships/hyperlink" Target="http://www.sec.gov/cgi-bin/browse-edgar?action=getcompany&amp;CIK=0002098582" TargetMode="External"/><Relationship Id="rId21" Type="http://schemas.openxmlformats.org/officeDocument/2006/relationships/hyperlink" Target="http://www.sec.gov/cgi-bin/browse-edgar?action=getcompany&amp;CIK=0002102581" TargetMode="External"/><Relationship Id="rId22" Type="http://schemas.openxmlformats.org/officeDocument/2006/relationships/hyperlink" Target="http://www.sec.gov/cgi-bin/browse-edgar?action=getcompany&amp;CIK=0002102570" TargetMode="External"/><Relationship Id="rId23" Type="http://schemas.openxmlformats.org/officeDocument/2006/relationships/hyperlink" Target="http://www.sec.gov/cgi-bin/browse-edgar?action=getcompany&amp;CIK=0002094487" TargetMode="External"/><Relationship Id="rId25" Type="http://schemas.openxmlformats.org/officeDocument/2006/relationships/hyperlink" Target="http://www.sec.gov/cgi-bin/browse-edgar?action=getcompany&amp;CIK=00020843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2026-06-01T16:41:50Z</dcterms:created>
  <dcterms:modified xsi:type="dcterms:W3CDTF">2026-06-01T16:41:50Z</dcterms:modified>
</cp:coreProperties>
</file>