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24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quarterly period ended September 26, 2026</w:t>
      </w:r>
    </w:p>
    <w:p>
      <w:pPr>
        <w:pStyle w:val="TextBody"/>
        <w:bidi w:val="0"/>
        <w:spacing w:lineRule="auto" w:line="333" w:before="240" w:after="24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transition period from ___________ to ___________</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Commission File Number: 001-43022</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Medline Inc.</w:t>
      </w:r>
    </w:p>
    <w:p>
      <w:pPr>
        <w:pStyle w:val="TextBody"/>
        <w:bidi w:val="0"/>
        <w:spacing w:lineRule="auto" w:line="333" w:before="0" w:after="0"/>
        <w:jc w:val="center"/>
        <w:rPr>
          <w:rFonts w:ascii="Times New Roman;serif" w:hAnsi="Times New Roman;serif"/>
          <w:b/>
          <w:color w:val="181717"/>
          <w:sz w:val="20"/>
        </w:rPr>
      </w:pPr>
      <w:r>
        <w:rPr>
          <w:rFonts w:ascii="Times New Roman;serif" w:hAnsi="Times New Roman;serif"/>
          <w:b/>
          <w:color w:val="181717"/>
          <w:sz w:val="20"/>
        </w:rPr>
        <w:t>(Exact name of registrant as specified in its charter)</w:t>
      </w:r>
    </w:p>
    <w:p>
      <w:pPr>
        <w:pStyle w:val="TextBody"/>
        <w:bidi w:val="0"/>
        <w:spacing w:lineRule="auto" w:line="333" w:before="0" w:after="24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5275" w:type="dxa"/>
        <w:jc w:val="left"/>
        <w:tblInd w:w="0" w:type="dxa"/>
        <w:tblLayout w:type="fixed"/>
        <w:tblCellMar>
          <w:top w:w="28" w:type="dxa"/>
          <w:left w:w="28" w:type="dxa"/>
          <w:bottom w:w="28" w:type="dxa"/>
          <w:right w:w="28" w:type="dxa"/>
        </w:tblCellMar>
      </w:tblPr>
      <w:tblGrid>
        <w:gridCol w:w="1193"/>
        <w:gridCol w:w="1047"/>
        <w:gridCol w:w="1059"/>
        <w:gridCol w:w="109"/>
        <w:gridCol w:w="109"/>
        <w:gridCol w:w="109"/>
        <w:gridCol w:w="481"/>
        <w:gridCol w:w="481"/>
        <w:gridCol w:w="687"/>
      </w:tblGrid>
      <w:t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33-1845288</w:t>
            </w:r>
          </w:p>
        </w:tc>
      </w:tr>
      <w:t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20"/>
              </w:rPr>
            </w:pPr>
            <w:r>
              <w:rPr>
                <w:rFonts w:ascii="Times New Roman;serif" w:hAnsi="Times New Roman;serif"/>
                <w:b/>
                <w:color w:val="000000"/>
                <w:sz w:val="20"/>
              </w:rPr>
              <w:t>3 Lakes Drive</w:t>
            </w:r>
          </w:p>
          <w:p>
            <w:pPr>
              <w:pStyle w:val="TableContents"/>
              <w:bidi w:val="0"/>
              <w:spacing w:lineRule="auto" w:line="288" w:before="0" w:after="30"/>
              <w:jc w:val="center"/>
              <w:rPr>
                <w:rFonts w:ascii="Times New Roman;serif" w:hAnsi="Times New Roman;serif"/>
                <w:b/>
                <w:color w:val="000000"/>
                <w:sz w:val="20"/>
              </w:rPr>
            </w:pPr>
            <w:r>
              <w:rPr>
                <w:rFonts w:ascii="Times New Roman;serif" w:hAnsi="Times New Roman;serif"/>
                <w:b/>
                <w:color w:val="000000"/>
                <w:sz w:val="20"/>
              </w:rPr>
              <w:t>Northfield,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60093</w:t>
            </w:r>
          </w:p>
        </w:tc>
      </w:tr>
      <w:t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ind w:left="0" w:right="0" w:hanging="10"/>
        <w:jc w:val="center"/>
      </w:pPr>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(847) 949 5500</w:t>
      </w:r>
    </w:p>
    <w:p>
      <w:pPr>
        <w:pStyle w:val="TextBody"/>
        <w:bidi w:val="0"/>
        <w:spacing w:lineRule="auto" w:line="333"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before="0" w:after="0"/>
        <w:jc w:val="center"/>
      </w:pPr>
      <w:r/>
    </w:p>
    <w:p>
      <w:pPr>
        <w:pStyle w:val="TextBody"/>
        <w:bidi w:val="0"/>
        <w:spacing w:lineRule="auto" w:line="333" w:before="0" w:after="0"/>
        <w:jc w:val="center"/>
        <w:rPr>
          <w:rFonts w:ascii="Times New Roman;serif" w:hAnsi="Times New Roman;serif"/>
          <w:b w:val="false"/>
          <w:color w:val="181717"/>
          <w:sz w:val="20"/>
        </w:rPr>
      </w:pPr>
      <w:r>
        <w:rPr>
          <w:rFonts w:ascii="Times New Roman;serif" w:hAnsi="Times New Roman;serif"/>
          <w:b w:val="false"/>
          <w:color w:val="181717"/>
          <w:sz w:val="20"/>
        </w:rPr>
        <w:t>N/A</w:t>
      </w:r>
    </w:p>
    <w:p>
      <w:pPr>
        <w:pStyle w:val="TextBody"/>
        <w:bidi w:val="0"/>
        <w:spacing w:lineRule="auto" w:line="288" w:before="0" w:after="0"/>
        <w:ind w:left="0" w:right="0" w:firstLine="720"/>
        <w:jc w:val="center"/>
        <w:rPr>
          <w:rFonts w:ascii="Times New Roman;serif" w:hAnsi="Times New Roman;serif"/>
          <w:b w:val="false"/>
          <w:color w:val="181717"/>
          <w:sz w:val="20"/>
        </w:rPr>
      </w:pPr>
      <w:r>
        <w:rPr>
          <w:rFonts w:ascii="Times New Roman;serif" w:hAnsi="Times New Roman;serif"/>
          <w:b w:val="false"/>
          <w:color w:val="181717"/>
          <w:sz w:val="20"/>
        </w:rPr>
        <w:t>(Former name, former address and former fiscal year, if changed since last report)</w:t>
      </w:r>
    </w:p>
    <w:p>
      <w:pPr>
        <w:pStyle w:val="TextBody"/>
        <w:bidi w:val="0"/>
        <w:spacing w:before="0" w:after="0"/>
        <w:jc w:val="both"/>
      </w:pPr>
      <w:r/>
    </w:p>
    <w:p>
      <w:pPr>
        <w:pStyle w:val="TextBody"/>
        <w:bidi w:val="0"/>
        <w:spacing w:lineRule="auto" w:line="333" w:before="240" w:after="283"/>
        <w:jc w:val="center"/>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MDLN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Nasdaq Global Select Market </w:t>
            </w:r>
          </w:p>
        </w:tc>
      </w:tr>
      <w:t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33" w:before="0" w:after="0"/>
        <w:jc w:val="right"/>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33" w:before="0" w:after="0"/>
        <w:jc w:val="right"/>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 xml:space="preserve">☐                </w:t>
      </w:r>
    </w:p>
    <w:p>
      <w:pPr>
        <w:pStyle w:val="TextBody"/>
        <w:bidi w:val="0"/>
        <w:spacing w:lineRule="auto" w:line="333" w:before="240" w:after="24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181717"/>
              </w:rPr>
            </w:pPr>
            <w:r>
              <w:rPr>
                <w:color w:val="1817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333" w:before="0" w:after="0"/>
        <w:jc w:val="right"/>
        <w:rPr>
          <w:color w:val="181717"/>
        </w:rPr>
      </w:pP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Exchange Act).</w:t>
      </w:r>
    </w:p>
    <w:p>
      <w:pPr>
        <w:pStyle w:val="TextBody"/>
        <w:bidi w:val="0"/>
        <w:spacing w:lineRule="auto" w:line="333" w:before="0" w:after="0"/>
        <w:jc w:val="right"/>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pPr>
      <w:r>
        <w:rPr>
          <w:rFonts w:ascii="Times New Roman;serif" w:hAnsi="Times New Roman;serif"/>
          <w:b w:val="false"/>
          <w:color w:val="181717"/>
          <w:sz w:val="20"/>
        </w:rPr>
        <w:t xml:space="preserve">As of November 2, 2026, there were </w:t>
      </w:r>
      <w:r>
        <w:rPr>
          <w:rFonts w:ascii="Times New Roman;serif" w:hAnsi="Times New Roman;serif"/>
          <w:b w:val="false"/>
          <w:color w:val="000000"/>
          <w:sz w:val="20"/>
        </w:rPr>
        <w:t>878,657,055</w:t>
      </w:r>
      <w:r>
        <w:rPr>
          <w:color w:val="181717"/>
        </w:rPr>
        <w:t xml:space="preserve"> </w:t>
      </w:r>
      <w:r>
        <w:rPr>
          <w:rFonts w:ascii="Times New Roman;serif" w:hAnsi="Times New Roman;serif"/>
          <w:b w:val="false"/>
          <w:color w:val="181717"/>
          <w:sz w:val="20"/>
        </w:rPr>
        <w:t xml:space="preserve">shares of the registrant’s Class A common stock and </w:t>
      </w:r>
      <w:r>
        <w:rPr>
          <w:rFonts w:ascii="Times New Roman;serif" w:hAnsi="Times New Roman;serif"/>
          <w:b w:val="false"/>
          <w:color w:val="000000"/>
          <w:sz w:val="20"/>
        </w:rPr>
        <w:t xml:space="preserve">436,664,379 </w:t>
      </w:r>
      <w:r>
        <w:rPr>
          <w:rFonts w:ascii="Times New Roman;serif" w:hAnsi="Times New Roman;serif"/>
          <w:b w:val="false"/>
          <w:color w:val="181717"/>
          <w:sz w:val="20"/>
        </w:rPr>
        <w:t xml:space="preserve">shares of the registrant’s Class B common stock outstanding. </w:t>
      </w:r>
    </w:p>
    <w:p>
      <w:pPr>
        <w:pStyle w:val="TextBody"/>
        <w:bidi w:val="0"/>
        <w:spacing w:before="240" w:after="283"/>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both"/>
      </w:p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before="0" w:after="0"/>
        <w:jc w:val="center"/>
      </w:pPr>
      <w:r/>
    </w:p>
    <w:tbl>
      <w:tblPr>
        <w:tblW w:w="8266" w:type="dxa"/>
        <w:jc w:val="center"/>
        <w:tblInd w:w="0" w:type="dxa"/>
        <w:tblLayout w:type="fixed"/>
        <w:tblCellMar>
          <w:top w:w="28" w:type="dxa"/>
          <w:left w:w="28" w:type="dxa"/>
          <w:bottom w:w="28" w:type="dxa"/>
          <w:right w:w="28" w:type="dxa"/>
        </w:tblCellMar>
      </w:tblPr>
      <w:tblGrid>
        <w:gridCol w:w="158"/>
        <w:gridCol w:w="138"/>
        <w:gridCol w:w="140"/>
        <w:gridCol w:w="2428"/>
        <w:gridCol w:w="2428"/>
        <w:gridCol w:w="2433"/>
        <w:gridCol w:w="158"/>
        <w:gridCol w:w="158"/>
        <w:gridCol w:w="225"/>
      </w:tblGrid>
      <w:t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Item</w:t>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19">
              <w:r>
                <w:rPr>
                  <w:rStyle w:val="InternetLink"/>
                  <w:rFonts w:ascii="Times New Roman;serif" w:hAnsi="Times New Roman;serif"/>
                  <w:b w:val="false"/>
                  <w:color w:val="0000FF"/>
                  <w:sz w:val="18"/>
                  <w:u w:val="single"/>
                </w:rPr>
                <w:t>Cautionary Note Regarding Forward-Looking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19">
              <w:r>
                <w:rPr>
                  <w:rStyle w:val="InternetLink"/>
                  <w:rFonts w:ascii="Times New Roman;serif" w:hAnsi="Times New Roman;serif"/>
                  <w:b w:val="false"/>
                  <w:strike w:val="false"/>
                  <w:dstrike w:val="false"/>
                  <w:color w:val="000000"/>
                  <w:sz w:val="20"/>
                  <w:u w:val="none"/>
                  <w:effect w:val="none"/>
                </w:rPr>
                <w:t>2</w:t>
              </w:r>
            </w:hyperlink>
          </w:p>
        </w:tc>
      </w:tr>
      <w:tr>
        <w:tc>
          <w:tcPr>
            <w:tcW w:w="436" w:type="dxa"/>
            <w:gridSpan w:val="3"/>
            <w:tcBorders/>
            <w:vAlign w:val="center"/>
          </w:tcPr>
          <w:p>
            <w:pPr>
              <w:pStyle w:val="TableContents"/>
              <w:bidi w:val="0"/>
              <w:spacing w:before="0" w:after="283"/>
              <w:jc w:val="left"/>
              <w:rPr>
                <w:sz w:val="4"/>
                <w:szCs w:val="4"/>
              </w:rPr>
            </w:pPr>
            <w:r>
              <w:rPr>
                <w:sz w:val="4"/>
                <w:szCs w:val="4"/>
              </w:rPr>
            </w:r>
          </w:p>
        </w:tc>
        <w:tc>
          <w:tcPr>
            <w:tcW w:w="728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5">
              <w:r>
                <w:rPr>
                  <w:rStyle w:val="InternetLink"/>
                  <w:rFonts w:ascii="Times New Roman;serif" w:hAnsi="Times New Roman;serif"/>
                  <w:b w:val="false"/>
                  <w:color w:val="0000FF"/>
                  <w:sz w:val="18"/>
                  <w:u w:val="single"/>
                </w:rPr>
                <w:t>Certain Definitions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5">
              <w:r>
                <w:rPr>
                  <w:rStyle w:val="InternetLink"/>
                  <w:rFonts w:ascii="Times New Roman;serif" w:hAnsi="Times New Roman;serif"/>
                  <w:b w:val="false"/>
                  <w:strike w:val="false"/>
                  <w:dstrike w:val="false"/>
                  <w:color w:val="000000"/>
                  <w:sz w:val="20"/>
                  <w:u w:val="none"/>
                  <w:effect w:val="none"/>
                </w:rPr>
                <w:t>4</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3a82007ccd2401190f903625feece35_28">
              <w:r>
                <w:rPr>
                  <w:rStyle w:val="InternetLink"/>
                  <w:rFonts w:ascii="Times New Roman;serif" w:hAnsi="Times New Roman;serif"/>
                  <w:b w:val="false"/>
                  <w:color w:val="0000FF"/>
                  <w:sz w:val="18"/>
                  <w:u w:val="single"/>
                </w:rPr>
                <w:t>PART I—FINANCIAL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31">
              <w:r>
                <w:rPr>
                  <w:rStyle w:val="InternetLink"/>
                  <w:rFonts w:ascii="Times New Roman;serif" w:hAnsi="Times New Roman;serif"/>
                  <w:b w:val="false"/>
                  <w:color w:val="0000FF"/>
                  <w:sz w:val="18"/>
                  <w:u w:val="single"/>
                </w:rPr>
                <w:t>Financial Statements</w:t>
              </w:r>
            </w:hyperlink>
            <w:r>
              <w:rPr>
                <w:color w:val="000000"/>
              </w:rPr>
              <w:t xml:space="preserve"> </w:t>
            </w:r>
            <w:r>
              <w:rPr>
                <w:rFonts w:ascii="Times New Roman;serif" w:hAnsi="Times New Roman;serif"/>
                <w:b w:val="false"/>
                <w:color w:val="000000"/>
                <w:sz w:val="18"/>
              </w:rPr>
              <w:t>(Unaudited)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31">
              <w:r>
                <w:rPr>
                  <w:rStyle w:val="InternetLink"/>
                  <w:rFonts w:ascii="Times New Roman;serif" w:hAnsi="Times New Roman;serif"/>
                  <w:b w:val="false"/>
                  <w:strike w:val="false"/>
                  <w:dstrike w:val="false"/>
                  <w:color w:val="000000"/>
                  <w:sz w:val="20"/>
                  <w:u w:val="none"/>
                  <w:effect w:val="none"/>
                </w:rPr>
                <w:t>6</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37">
              <w:r>
                <w:rPr>
                  <w:rStyle w:val="InternetLink"/>
                  <w:rFonts w:ascii="Times New Roman;serif" w:hAnsi="Times New Roman;serif"/>
                  <w:b w:val="false"/>
                  <w:color w:val="0000FF"/>
                  <w:sz w:val="18"/>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37">
              <w:r>
                <w:rPr>
                  <w:rStyle w:val="InternetLink"/>
                  <w:rFonts w:ascii="Times New Roman;serif" w:hAnsi="Times New Roman;serif"/>
                  <w:b w:val="false"/>
                  <w:strike w:val="false"/>
                  <w:dstrike w:val="false"/>
                  <w:color w:val="000000"/>
                  <w:sz w:val="20"/>
                  <w:u w:val="none"/>
                  <w:effect w:val="none"/>
                </w:rPr>
                <w:t>7</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40">
              <w:r>
                <w:rPr>
                  <w:rStyle w:val="InternetLink"/>
                  <w:rFonts w:ascii="Times New Roman;serif" w:hAnsi="Times New Roman;serif"/>
                  <w:b w:val="false"/>
                  <w:color w:val="0000FF"/>
                  <w:sz w:val="18"/>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40">
              <w:r>
                <w:rPr>
                  <w:rStyle w:val="InternetLink"/>
                  <w:rFonts w:ascii="Times New Roman;serif" w:hAnsi="Times New Roman;serif"/>
                  <w:b w:val="false"/>
                  <w:strike w:val="false"/>
                  <w:dstrike w:val="false"/>
                  <w:color w:val="000000"/>
                  <w:sz w:val="20"/>
                  <w:u w:val="none"/>
                  <w:effect w:val="none"/>
                </w:rPr>
                <w:t>8</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43">
              <w:r>
                <w:rPr>
                  <w:rStyle w:val="InternetLink"/>
                  <w:rFonts w:ascii="Times New Roman;serif" w:hAnsi="Times New Roman;serif"/>
                  <w:b w:val="false"/>
                  <w:color w:val="0000FF"/>
                  <w:sz w:val="18"/>
                  <w:u w:val="single"/>
                </w:rPr>
                <w:t>Condensed Consolidated Statements of Stockholders' Equity, Mezzanine Equity and Partners’ Capital</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43">
              <w:r>
                <w:rPr>
                  <w:rStyle w:val="InternetLink"/>
                  <w:rFonts w:ascii="Times New Roman;serif" w:hAnsi="Times New Roman;serif"/>
                  <w:b w:val="false"/>
                  <w:strike w:val="false"/>
                  <w:dstrike w:val="false"/>
                  <w:color w:val="000000"/>
                  <w:sz w:val="20"/>
                  <w:u w:val="none"/>
                  <w:effect w:val="none"/>
                </w:rPr>
                <w:t>9</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46">
              <w:r>
                <w:rPr>
                  <w:rStyle w:val="InternetLink"/>
                  <w:rFonts w:ascii="Times New Roman;serif" w:hAnsi="Times New Roman;serif"/>
                  <w:b w:val="false"/>
                  <w:color w:val="0000FF"/>
                  <w:sz w:val="18"/>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46">
              <w:r>
                <w:rPr>
                  <w:rStyle w:val="InternetLink"/>
                  <w:rFonts w:ascii="Times New Roman;serif" w:hAnsi="Times New Roman;serif"/>
                  <w:b w:val="false"/>
                  <w:strike w:val="false"/>
                  <w:dstrike w:val="false"/>
                  <w:color w:val="000000"/>
                  <w:sz w:val="20"/>
                  <w:u w:val="none"/>
                  <w:effect w:val="none"/>
                </w:rPr>
                <w:t>11</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52">
              <w:r>
                <w:rPr>
                  <w:rStyle w:val="InternetLink"/>
                  <w:rFonts w:ascii="Times New Roman;serif" w:hAnsi="Times New Roman;serif"/>
                  <w:b w:val="false"/>
                  <w:color w:val="0000FF"/>
                  <w:sz w:val="18"/>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52">
              <w:r>
                <w:rPr>
                  <w:rStyle w:val="InternetLink"/>
                  <w:rFonts w:ascii="Times New Roman;serif" w:hAnsi="Times New Roman;serif"/>
                  <w:b w:val="false"/>
                  <w:strike w:val="false"/>
                  <w:dstrike w:val="false"/>
                  <w:color w:val="000000"/>
                  <w:sz w:val="20"/>
                  <w:u w:val="none"/>
                  <w:effect w:val="none"/>
                </w:rPr>
                <w:t>13</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151">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151">
              <w:r>
                <w:rPr>
                  <w:rStyle w:val="InternetLink"/>
                  <w:rFonts w:ascii="Times New Roman;serif" w:hAnsi="Times New Roman;serif"/>
                  <w:b w:val="false"/>
                  <w:strike w:val="false"/>
                  <w:dstrike w:val="false"/>
                  <w:color w:val="000000"/>
                  <w:sz w:val="20"/>
                  <w:u w:val="none"/>
                  <w:effect w:val="none"/>
                </w:rPr>
                <w:t>42</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23">
              <w:r>
                <w:rPr>
                  <w:rStyle w:val="InternetLink"/>
                  <w:rFonts w:ascii="Times New Roman;serif" w:hAnsi="Times New Roman;serif"/>
                  <w:b w:val="false"/>
                  <w:color w:val="0000FF"/>
                  <w:sz w:val="18"/>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23">
              <w:r>
                <w:rPr>
                  <w:rStyle w:val="InternetLink"/>
                  <w:rFonts w:ascii="Times New Roman;serif" w:hAnsi="Times New Roman;serif"/>
                  <w:b w:val="false"/>
                  <w:strike w:val="false"/>
                  <w:dstrike w:val="false"/>
                  <w:color w:val="000000"/>
                  <w:sz w:val="20"/>
                  <w:u w:val="none"/>
                  <w:effect w:val="none"/>
                </w:rPr>
                <w:t>58</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29">
              <w:r>
                <w:rPr>
                  <w:rStyle w:val="InternetLink"/>
                  <w:rFonts w:ascii="Times New Roman;serif" w:hAnsi="Times New Roman;serif"/>
                  <w:b w:val="false"/>
                  <w:color w:val="0000FF"/>
                  <w:sz w:val="18"/>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29">
              <w:r>
                <w:rPr>
                  <w:rStyle w:val="InternetLink"/>
                  <w:rFonts w:ascii="Times New Roman;serif" w:hAnsi="Times New Roman;serif"/>
                  <w:b w:val="false"/>
                  <w:strike w:val="false"/>
                  <w:dstrike w:val="false"/>
                  <w:color w:val="000000"/>
                  <w:sz w:val="20"/>
                  <w:u w:val="none"/>
                  <w:effect w:val="none"/>
                </w:rPr>
                <w:t>58</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3a82007ccd2401190f903625feece35_232">
              <w:r>
                <w:rPr>
                  <w:rStyle w:val="InternetLink"/>
                  <w:rFonts w:ascii="Times New Roman;serif" w:hAnsi="Times New Roman;serif"/>
                  <w:b w:val="false"/>
                  <w:color w:val="0000FF"/>
                  <w:sz w:val="18"/>
                  <w:u w:val="single"/>
                </w:rPr>
                <w:t>PART II—OTHER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35">
              <w:r>
                <w:rPr>
                  <w:rStyle w:val="InternetLink"/>
                  <w:rFonts w:ascii="Times New Roman;serif" w:hAnsi="Times New Roman;serif"/>
                  <w:b w:val="false"/>
                  <w:color w:val="0000FF"/>
                  <w:sz w:val="18"/>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35">
              <w:r>
                <w:rPr>
                  <w:rStyle w:val="InternetLink"/>
                  <w:rFonts w:ascii="Times New Roman;serif" w:hAnsi="Times New Roman;serif"/>
                  <w:b w:val="false"/>
                  <w:strike w:val="false"/>
                  <w:dstrike w:val="false"/>
                  <w:color w:val="000000"/>
                  <w:sz w:val="20"/>
                  <w:u w:val="none"/>
                  <w:effect w:val="none"/>
                </w:rPr>
                <w:t>59</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1A.</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38">
              <w:r>
                <w:rPr>
                  <w:rStyle w:val="InternetLink"/>
                  <w:rFonts w:ascii="Times New Roman;serif" w:hAnsi="Times New Roman;serif"/>
                  <w:b w:val="false"/>
                  <w:color w:val="0000FF"/>
                  <w:sz w:val="18"/>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38">
              <w:r>
                <w:rPr>
                  <w:rStyle w:val="InternetLink"/>
                  <w:rFonts w:ascii="Times New Roman;serif" w:hAnsi="Times New Roman;serif"/>
                  <w:b w:val="false"/>
                  <w:strike w:val="false"/>
                  <w:dstrike w:val="false"/>
                  <w:color w:val="000000"/>
                  <w:sz w:val="20"/>
                  <w:u w:val="none"/>
                  <w:effect w:val="none"/>
                </w:rPr>
                <w:t>59</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44">
              <w:r>
                <w:rPr>
                  <w:rStyle w:val="InternetLink"/>
                  <w:rFonts w:ascii="Times New Roman;serif" w:hAnsi="Times New Roman;serif"/>
                  <w:b w:val="false"/>
                  <w:color w:val="0000FF"/>
                  <w:sz w:val="18"/>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44">
              <w:r>
                <w:rPr>
                  <w:rStyle w:val="InternetLink"/>
                  <w:rFonts w:ascii="Times New Roman;serif" w:hAnsi="Times New Roman;serif"/>
                  <w:b w:val="false"/>
                  <w:strike w:val="false"/>
                  <w:dstrike w:val="false"/>
                  <w:color w:val="000000"/>
                  <w:sz w:val="20"/>
                  <w:u w:val="none"/>
                  <w:effect w:val="none"/>
                </w:rPr>
                <w:t>59</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50">
              <w:r>
                <w:rPr>
                  <w:rStyle w:val="InternetLink"/>
                  <w:rFonts w:ascii="Times New Roman;serif" w:hAnsi="Times New Roman;serif"/>
                  <w:b w:val="false"/>
                  <w:color w:val="0000FF"/>
                  <w:sz w:val="18"/>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50">
              <w:r>
                <w:rPr>
                  <w:rStyle w:val="InternetLink"/>
                  <w:rFonts w:ascii="Times New Roman;serif" w:hAnsi="Times New Roman;serif"/>
                  <w:b w:val="false"/>
                  <w:strike w:val="false"/>
                  <w:dstrike w:val="false"/>
                  <w:color w:val="000000"/>
                  <w:sz w:val="20"/>
                  <w:u w:val="none"/>
                  <w:effect w:val="none"/>
                </w:rPr>
                <w:t>59</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53">
              <w:r>
                <w:rPr>
                  <w:rStyle w:val="InternetLink"/>
                  <w:rFonts w:ascii="Times New Roman;serif" w:hAnsi="Times New Roman;serif"/>
                  <w:b w:val="false"/>
                  <w:color w:val="0000FF"/>
                  <w:sz w:val="18"/>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53">
              <w:r>
                <w:rPr>
                  <w:rStyle w:val="InternetLink"/>
                  <w:rFonts w:ascii="Times New Roman;serif" w:hAnsi="Times New Roman;serif"/>
                  <w:b w:val="false"/>
                  <w:strike w:val="false"/>
                  <w:dstrike w:val="false"/>
                  <w:color w:val="000000"/>
                  <w:sz w:val="20"/>
                  <w:u w:val="none"/>
                  <w:effect w:val="none"/>
                </w:rPr>
                <w:t>59</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56">
              <w:r>
                <w:rPr>
                  <w:rStyle w:val="InternetLink"/>
                  <w:rFonts w:ascii="Times New Roman;serif" w:hAnsi="Times New Roman;serif"/>
                  <w:b w:val="false"/>
                  <w:color w:val="0000FF"/>
                  <w:sz w:val="18"/>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56">
              <w:r>
                <w:rPr>
                  <w:rStyle w:val="InternetLink"/>
                  <w:rFonts w:ascii="Times New Roman;serif" w:hAnsi="Times New Roman;serif"/>
                  <w:b w:val="false"/>
                  <w:strike w:val="false"/>
                  <w:dstrike w:val="false"/>
                  <w:color w:val="000000"/>
                  <w:sz w:val="20"/>
                  <w:u w:val="none"/>
                  <w:effect w:val="none"/>
                </w:rPr>
                <w:t>60</w:t>
              </w:r>
            </w:hyperlink>
          </w:p>
        </w:tc>
      </w:tr>
      <w:t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65">
              <w:r>
                <w:rPr>
                  <w:rStyle w:val="InternetLink"/>
                  <w:rFonts w:ascii="Times New Roman;serif" w:hAnsi="Times New Roman;serif"/>
                  <w:b w:val="false"/>
                  <w:color w:val="0000FF"/>
                  <w:sz w:val="18"/>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65">
              <w:r>
                <w:rPr>
                  <w:rStyle w:val="InternetLink"/>
                  <w:rFonts w:ascii="Times New Roman;serif" w:hAnsi="Times New Roman;serif"/>
                  <w:b w:val="false"/>
                  <w:strike w:val="false"/>
                  <w:dstrike w:val="false"/>
                  <w:color w:val="000000"/>
                  <w:sz w:val="20"/>
                  <w:u w:val="none"/>
                  <w:effect w:val="none"/>
                </w:rPr>
                <w:t>61</w:t>
              </w:r>
            </w:hyperlink>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3a82007ccd2401190f903625feece35_277">
              <w:r>
                <w:rPr>
                  <w:rStyle w:val="InternetLink"/>
                  <w:rFonts w:ascii="Times New Roman;serif" w:hAnsi="Times New Roman;serif"/>
                  <w:b w:val="false"/>
                  <w:color w:val="0000FF"/>
                  <w:sz w:val="18"/>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3a82007ccd2401190f903625feece35_277">
              <w:r>
                <w:rPr>
                  <w:rStyle w:val="InternetLink"/>
                  <w:rFonts w:ascii="Times New Roman;serif" w:hAnsi="Times New Roman;serif"/>
                  <w:b w:val="false"/>
                  <w:strike w:val="false"/>
                  <w:dstrike w:val="false"/>
                  <w:color w:val="000000"/>
                  <w:sz w:val="20"/>
                  <w:u w:val="none"/>
                  <w:effect w:val="none"/>
                </w:rPr>
                <w:t>62</w:t>
              </w:r>
            </w:hyperlink>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95250"/>
                <wp:effectExtent l="0" t="0" r="0" b="0"/>
                <wp:wrapNone/>
                <wp:docPr id="2" name="Frame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Forward-looking statements include all statements that are not historical facts. Words such as “anticipate,” “assume,” “believe” “contemplate,” “continue,” “could,” “estimate,” “expect,” “foreseeable,” “intend,” “may,” “plan,” “potentially,” “predict,” “project,” “seek,” “should,” “will,” or “would,” or similar words or phrases that convey uncertainty of future events or outcomes, are intended to identify forward-looking statements in this Quarterly Report. These forward-looking statements relate to matters such as our industry, business strategy, costs, and costs savings, impacts of accounting standards and guidance, goals and expectations, market position, future operations, margins, profitability, capital expenditures, liquidity and capital resources, legal matters, trends, and other financial and operating information. The forward-looking statements are based on management’s current expectations and are subject to various risks, uncertainty, and changes in circumstances, many of which are beyond our control, that could cause actual results to differ materially. Although we believe that the assumptions underlying the forward-looking statements are reasonable, we cannot guarantee future results, level of activity, performance, or achievements. Factors that may cause actual results to differ from expected results include, but are not limited to, the following:</w:t>
      </w:r>
    </w:p>
    <w:p>
      <w:pPr>
        <w:pStyle w:val="TextBody"/>
        <w:bidi w:val="0"/>
        <w:spacing w:before="0" w:after="0"/>
        <w:jc w:val="both"/>
      </w:pPr>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0"/>
        </w:rPr>
        <w:t>Our global operations are subject to inherent risks that could materially adversely affect our business, results of operations, and financial condition.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We may be unable to derive fully the anticipated benefits from our existing or future acquisitions, joint ventures, investments, dispositions, or other strategic transactions.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Consolidation in the healthcare industry could have an adverse effect on our business, results of operations, and financial condition.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We operate in a highly competitive industry, with accelerating pricing pressure and changes in technology.</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Changes to the U.S. and global healthcare environments may not be favorable to us.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Increases in shipping costs or service issues with our third-party shippers could harm our business.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Significant challenges or delays in our sourcing of new products and technologies could have an adverse impact on our long-term success.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Quality problems and product liability claims have in the past led, and could in the future lead, to recalls or safety alerts, reputational harm, discontinuation of product or product lines, warning letters and other regulatory actions by the U.S. Food and Drug Administration (“FDA”), adverse verdicts, or costly settlements, and could have a material adverse effect on our business, results of operations, and financial condition.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We have concentration in and dependence on certain healthcare provider customers and Group Purchasing Organizations (“GPOs”), and the loss, termination, non-renewal, or material modification of a significant customer or GPO relationship could have a material adverse effect on our business, results of operations, and financial condition.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Our business and operations depend on the proper functioning of our critical facilities and distribution networks and has been and could in the future be negatively impacted by events outside our control, such as the Tracy facility fire.</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Our failure to establish and maintain Prime Vendor relationships may cause our revenue to decline.</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 xml:space="preserve">We may not realize the expected benefits from planned cost savings and business improvement initiatives. </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If we experience increased pressure to maintain or decrease the price of our goods and services and we are unable to reduce our expenses, there may be a material adverse effect on our business, results of operations, and financial condition.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Any failure by or loss of a third-party manufacturer or supplier or other manufacturing or supply-related impacts could result in delays and increased costs, which may adversely affect our business.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We rely on the proper function, security, and availability of our information technology systems and data, as well as those of third parties throughout our global supply chain, to operate our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95250"/>
                <wp:effectExtent l="0" t="0" r="0" b="0"/>
                <wp:wrapNone/>
                <wp:docPr id="3" name="Frame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We are subject to extensive and complex laws and governmental regulations and any adverse regulatory action may materially adversely affect our business, results of operations, and financial condition both inside and outside the United States.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Our use or our third-party service providers’ or business partners’ use of artificial intelligence, automated decision-making and machine learning technologies and the evolving regulatory framework in this area may subject us to risks or heightened costs that could adversely affect business, results of operation and financial condition.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Our failure to comply with laws and regulations relating to reimbursement of healthcare goods and services may subject us to penalties and adversely impact our reputation, business, results of operations, financial condition, and cash flows.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Uncertain global and domestic macro-economic and political conditions, including as a result of global geopolitical conflicts and tensions, such as the ongoing conflicts in Ukraine and the Middle East, could materially adversely affect our business, results of operations, and financial condition.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0"/>
        </w:rPr>
        <w:t>The credit agreement that governs the Senior Secured Credit Facilities (as defined herein) (the “Credit Agreement”) and the indentures that govern the Senior Notes (as defined herein) will each impose significant operating and financial restrictions on our subsidiaries, which may prevent us from capitalizing on business opportunities.</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0"/>
        </w:rPr>
        <w:t>Our insurance program may not cover claims brought against us, deny coverage of claims, or be inadequate to cover future losses.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Medline Inc. is a holding company and its only material assets are its equity interests held directly or indirectly through wholly owned subsidiaries in Medline Holdings, LP (“Medline Holdings”), and it is accordingly dependent upon distributions from Medline Holdings to pay taxes, make payments under the tax receivable agreement, and pay any dividends.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The Designating Stockholders hold a significant percentage of our stock, and their interests may conflict with ours or yours in the future.</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 xml:space="preserve">Our amended and restated certificate of incorporation does not limit the ability of our Sponsors, the Mills family, and certain other pre-IPO investors to compete with us, and they may have investments in businesses whose interests conflict with ours.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these and other risks and uncertainties that we face, see Part I, “Item 1A—Risk Factors” of our Annual Report on Form 10-K for the year ended December 31, 2025 (the “2025 Form 10-K”) and other filings that we make with the Securities and Exchange Commission (the “SEC”). The forward-looking statements included in this Quarterly Report speak only as of the date of this Quarterly Report or as of the date they are made, as applicable. Except as otherwise required by law, we disclaim any intent or obligation to update any “forward-looking statement” made in this Quarterly Report to reflect changed assumptions, the occurrence of unanticipated events, or changes to future operating results over time.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5250"/>
                <wp:effectExtent l="0" t="0" r="0" b="0"/>
                <wp:wrapNone/>
                <wp:docPr id="4" name="Frame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DEFINITIONS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unless otherwise noted or the context requires otherwise, the following terms have the following meanings:</w:t>
      </w:r>
    </w:p>
    <w:p>
      <w:pPr>
        <w:pStyle w:val="TextBody"/>
        <w:bidi w:val="0"/>
        <w:spacing w:before="0" w:after="0"/>
        <w:jc w:val="both"/>
      </w:pPr>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2029 Notes” refers to (i) the $4,500 million aggregate principal amount of senior secured notes issued in 2021, which bear interest at a fixed rate of 3.875% and mature on April 1, 2029, (ii) the $2,500 million aggregate principal amount of senior unsecured notes issued in 2021, which bear interest at a fixed rate of 5.250% and mature on October 1, 2029, and (iii) the senior secured notes issued in 2024 with an original aggregate principal amount of $1,500 million, which bear interest at a fixed rate of 6.250% and mature on April 1, 2029, of which $1,000 million aggregate principal amount remained outstanding as of September 26, 2026.</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2031 Notes” refers to the $1,250 million aggregate principal amount of senior secured notes issued in 2026, which bear interest at a fixed rate of 5.000% and mature on June 15, 2031.</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2033 Notes” refers to the $750 million aggregate principal amount of senior secured notes issued in 2026, which bear interest at a fixed rate of 5.250% and mature on June 15, 2033.</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Class A Units” refers to the interests in Medline Holdings called “Class A Units” that were outstanding prior to the Reclassification. In connection with the Reclassification, (i) Class A Units held by Common Unitholders were converted into Common Units and (ii) Class A Units held by Exchanging Class A Unitholders were directly or indirectly exchanged for shares of Class A common stock.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Class B Units” refers to the interests in Medline Holdings called “Class B Units” that were outstanding prior to the Reclassification, and does not include CUPI Units. In connection with the Reclassification, (i) Class B Units held by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Common Units” refers to the new class of units of Medline Holdings created by the Reclassification and does not include Incentive Units.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Common Unitholders” refers to certain pre-IPO holders of Class A Units and/or CUPI Units who hold Common Units following the Reclassification.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CUPI Units” refers to the interests in Medline Holdings that were designated as “Catch-Up Class B Units” and outstanding prior to the Reclassification. In connection with the Reclassification, (i) CUPI Units held by Common Unitholders were converted into Common Units and (ii) CUPI Units held by Exchanging CUPI Unitholders were directly or indirectly exchanged for shares of Class A common stock.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Designating Stockholder” refers to each of our Principal Stockholders with whom we entered into separate director nomination agreements.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Exchanging Class A Unitholder” refers to pre-IPO holders of Class A Units whose Class A Units were directly or indirectly exchanged for shares of Class A common stock following the Reclassification.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Exchanging CUPI Unitholder” refers to pre-IPO holders of CUPI Units whose CUPI Units were directly or indirectly exchanged for shares of Class A common stock following the Reclassification.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Exchanging Unitholders” refers collectively to Exchanging Class A Unitholders, Exchanging CUPI Unitholders, and Exchanging Class B Unitholders.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Incentive Units” refers to the new class of units of Medline Holdings created by the reclassification of the Class B Units in the Reclassification.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Incentive Unitholders” refers to certain pre-IPO holders of Class B Units who will hold Incentive Units following the Reclassification.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IPO” refers to our initial public offering of Class A common stock, which was completed on December 18,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5250"/>
                <wp:effectExtent l="0" t="0" r="0" b="0"/>
                <wp:wrapNone/>
                <wp:docPr id="5" name="Frame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before="0" w:after="0"/>
        <w:jc w:val="both"/>
      </w:pPr>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Prime Vendor” refers to a relationship for which there is a multi-year distribution agreement between Medline and a customer, whereby the customer agrees to use Medline for the vast majority of its medical-surgical (“med-surg”) product needs. Our Prime Vendor model began in the acute care channel and, as these hospitals expanded into other sites of care, we have extended this model into the non-acute space to include those affiliated sites of care (“acute affiliated”). For purposes of the Prime Vendor data within this Quarterly Report, we are only including those customers that are acute and acute affiliated. Over time, we have also entered into Prime Vendor agreements with facilities that are non-acute and not affiliated with a hospital system (i.e., not acute affiliated). Data in this Quarterly Report does not include Prime Vendor relationships outside of acute and acute affiliated.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Principal Stockholders” refers collectively to investment funds associated with Blackstone Inc., The Carlyle Group Inc. and Hellman &amp; Friedman LLC, and members of the Mills family.</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Reclassification” refers to the reclassification of the partnership interests of Medline Holdings prior to the IPO.</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Senior Notes” refers collectively to the 2029 Notes, the 2031 Notes, and the 2033 Notes.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Sponsors” refers collectively to Blackstone Inc., The Carlyle Group Inc., and Hellman &amp; Friedman LLC.</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Units” refers collectively to Common Units and Incentive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5250"/>
                <wp:effectExtent l="0" t="0" r="0" b="0"/>
                <wp:wrapNone/>
                <wp:docPr id="6" name="Frame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v:textbox>
                <w10:wrap type="none"/>
              </v:rect>
            </w:pict>
          </mc:Fallback>
        </mc:AlternateContent>
      </w:r>
    </w:p>
    <w:p>
      <w:pPr>
        <w:pStyle w:val="TextBody"/>
        <w:bidi w:val="0"/>
        <w:spacing w:before="0" w:after="0"/>
        <w:jc w:val="both"/>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5250"/>
                <wp:effectExtent l="0" t="0" r="0" b="0"/>
                <wp:wrapNone/>
                <wp:docPr id="7" name="Frame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w:t>
                      </w:r>
                    </w:p>
                  </w:txbxContent>
                </v:textbox>
                <w10:wrap type="none"/>
              </v:rect>
            </w:pict>
          </mc:Fallback>
        </mc:AlternateContent>
      </w:r>
    </w:p>
    <w:p>
      <w:pPr>
        <w:pStyle w:val="TextBody"/>
        <w:bidi w:val="0"/>
        <w:spacing w:before="0" w:after="0"/>
        <w:jc w:val="center"/>
      </w:p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759"/>
        <w:gridCol w:w="1950"/>
        <w:gridCol w:w="1967"/>
        <w:gridCol w:w="365"/>
        <w:gridCol w:w="1207"/>
        <w:gridCol w:w="203"/>
        <w:gridCol w:w="109"/>
        <w:gridCol w:w="109"/>
        <w:gridCol w:w="109"/>
        <w:gridCol w:w="279"/>
        <w:gridCol w:w="923"/>
        <w:gridCol w:w="225"/>
      </w:tblGrid>
      <w:tr>
        <w:tc>
          <w:tcPr>
            <w:tcW w:w="275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6676"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As of September 26,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 for credit losses of $148 and $152 as of September 26, 2026 and December 31, 2025, respectively</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non-current assets</w:t>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22,797 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borrowings</w:t>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liabilities</w:t>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17,663 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16,708 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Total liabilities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19,198 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 50,000 shares authorized; 879 and 812 shares issued and outstanding as of September 26, 2026 and December 31, 2025, respectively</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$0.0001 per share; 50,000 shares authorized; 437 and 502 shares issued and outstanding as of September 26, 2026 and December 31, 2025, respectively</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$0.0001; 5,000 shares authorized; no shares issued and outstanding</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Medline Inc. stockholders’ equity</w:t>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19,386 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6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16305"/>
                <wp:effectExtent l="0" t="0" r="0" b="0"/>
                <wp:wrapNone/>
                <wp:docPr id="8" name="Frame8"/>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r>
                          </w:tbl>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r>
                    </w:tbl>
                    <w:p>
                      <w:pPr>
                        <w:pStyle w:val="TextBody"/>
                        <w:bidi w:val="0"/>
                        <w:spacing w:before="0" w:after="283"/>
                        <w:jc w:val="left"/>
                      </w:pPr>
                      <w:r/>
                    </w:p>
                  </w:txbxContent>
                </v:textbox>
                <w10:wrap type="none"/>
              </v:rect>
            </w:pict>
          </mc:Fallback>
        </mc:AlternateContent>
      </w:r>
    </w:p>
    <w:p>
      <w:pPr>
        <w:pStyle w:val="TextBody"/>
        <w:bidi w:val="0"/>
        <w:spacing w:before="0" w:after="0"/>
        <w:jc w:val="center"/>
      </w:p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1546"/>
        <w:gridCol w:w="1109"/>
        <w:gridCol w:w="1119"/>
        <w:gridCol w:w="291"/>
        <w:gridCol w:w="826"/>
        <w:gridCol w:w="161"/>
        <w:gridCol w:w="109"/>
        <w:gridCol w:w="109"/>
        <w:gridCol w:w="109"/>
        <w:gridCol w:w="291"/>
        <w:gridCol w:w="826"/>
        <w:gridCol w:w="161"/>
        <w:gridCol w:w="109"/>
        <w:gridCol w:w="109"/>
        <w:gridCol w:w="109"/>
        <w:gridCol w:w="270"/>
        <w:gridCol w:w="892"/>
        <w:gridCol w:w="150"/>
        <w:gridCol w:w="109"/>
        <w:gridCol w:w="109"/>
        <w:gridCol w:w="109"/>
        <w:gridCol w:w="270"/>
        <w:gridCol w:w="892"/>
        <w:gridCol w:w="150"/>
        <w:gridCol w:w="109"/>
        <w:gridCol w:w="161"/>
      </w:tblGrid>
      <w:tr>
        <w:tc>
          <w:tcPr>
            <w:tcW w:w="15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270" w:type="dxa"/>
            <w:gridSpan w:val="2"/>
            <w:tcBorders/>
          </w:tcPr>
          <w:p>
            <w:pPr>
              <w:pStyle w:val="TableContents"/>
              <w:bidi w:val="0"/>
              <w:spacing w:before="0" w:after="283"/>
              <w:jc w:val="left"/>
              <w:rPr>
                <w:sz w:val="4"/>
                <w:szCs w:val="4"/>
              </w:rPr>
            </w:pPr>
            <w:r>
              <w:rPr>
                <w:sz w:val="4"/>
                <w:szCs w:val="4"/>
              </w:rPr>
            </w:r>
          </w:p>
        </w:tc>
      </w:tr>
      <w:tr>
        <w:tc>
          <w:tcPr>
            <w:tcW w:w="3774"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22,893 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expenses,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(loss), net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attributable to Medline Inc.</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Earnings per share attributable to Medline Inc.</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Weighted-average number of Class A common stock outstanding</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on derivative instruments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comprehensive income (loss), net of tax </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comprehensive income</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attributable to Medline Inc.</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77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b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16305"/>
                <wp:effectExtent l="0" t="0" r="0" b="0"/>
                <wp:wrapNone/>
                <wp:docPr id="9" name="Frame9"/>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r>
                          </w:tbl>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r>
                    </w:tbl>
                    <w:p>
                      <w:pPr>
                        <w:pStyle w:val="TextBody"/>
                        <w:bidi w:val="0"/>
                        <w:spacing w:before="0" w:after="283"/>
                        <w:jc w:val="left"/>
                      </w:pPr>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MEZZANINE EQUITY AND PARTNERS' CAPITAL (Unaudited)</w:t>
      </w:r>
    </w:p>
    <w:tbl>
      <w:tblPr>
        <w:tblW w:w="10205" w:type="dxa"/>
        <w:jc w:val="center"/>
        <w:tblInd w:w="0" w:type="dxa"/>
        <w:tblLayout w:type="fixed"/>
        <w:tblCellMar>
          <w:top w:w="28" w:type="dxa"/>
          <w:left w:w="28" w:type="dxa"/>
          <w:bottom w:w="28" w:type="dxa"/>
          <w:right w:w="28" w:type="dxa"/>
        </w:tblCellMar>
      </w:tblPr>
      <w:tblGrid>
        <w:gridCol w:w="745"/>
        <w:gridCol w:w="461"/>
        <w:gridCol w:w="360"/>
        <w:gridCol w:w="210"/>
        <w:gridCol w:w="211"/>
        <w:gridCol w:w="186"/>
        <w:gridCol w:w="213"/>
        <w:gridCol w:w="441"/>
        <w:gridCol w:w="118"/>
        <w:gridCol w:w="210"/>
        <w:gridCol w:w="211"/>
        <w:gridCol w:w="186"/>
        <w:gridCol w:w="212"/>
        <w:gridCol w:w="441"/>
        <w:gridCol w:w="118"/>
        <w:gridCol w:w="222"/>
        <w:gridCol w:w="732"/>
        <w:gridCol w:w="123"/>
        <w:gridCol w:w="218"/>
        <w:gridCol w:w="469"/>
        <w:gridCol w:w="121"/>
        <w:gridCol w:w="526"/>
        <w:gridCol w:w="687"/>
        <w:gridCol w:w="293"/>
        <w:gridCol w:w="284"/>
        <w:gridCol w:w="808"/>
        <w:gridCol w:w="159"/>
        <w:gridCol w:w="241"/>
        <w:gridCol w:w="797"/>
        <w:gridCol w:w="202"/>
      </w:tblGrid>
      <w:tr>
        <w:tc>
          <w:tcPr>
            <w:tcW w:w="74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26, 2026</w:t>
            </w:r>
          </w:p>
        </w:tc>
      </w:tr>
      <w:t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13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10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8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5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12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2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8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5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2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2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27,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11,396 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19,077 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common units for Class A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deferred tax assets from equity transactions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employee stock options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under employee stock plans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c>
          <w:tcPr>
            <w:tcW w:w="1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noncontrolling interests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26, 2026</w:t>
            </w:r>
          </w:p>
        </w:tc>
        <w:tc>
          <w:tcPr>
            <w:tcW w:w="6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11,428 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19,386 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10510" w:type="dxa"/>
        <w:jc w:val="center"/>
        <w:tblInd w:w="0" w:type="dxa"/>
        <w:tblLayout w:type="fixed"/>
        <w:tblCellMar>
          <w:top w:w="28" w:type="dxa"/>
          <w:left w:w="28" w:type="dxa"/>
          <w:bottom w:w="28" w:type="dxa"/>
          <w:right w:w="28" w:type="dxa"/>
        </w:tblCellMar>
      </w:tblPr>
      <w:tblGrid>
        <w:gridCol w:w="629"/>
        <w:gridCol w:w="330"/>
        <w:gridCol w:w="212"/>
        <w:gridCol w:w="155"/>
        <w:gridCol w:w="155"/>
        <w:gridCol w:w="156"/>
        <w:gridCol w:w="196"/>
        <w:gridCol w:w="421"/>
        <w:gridCol w:w="109"/>
        <w:gridCol w:w="204"/>
        <w:gridCol w:w="149"/>
        <w:gridCol w:w="113"/>
        <w:gridCol w:w="204"/>
        <w:gridCol w:w="438"/>
        <w:gridCol w:w="115"/>
        <w:gridCol w:w="231"/>
        <w:gridCol w:w="496"/>
        <w:gridCol w:w="129"/>
        <w:gridCol w:w="199"/>
        <w:gridCol w:w="199"/>
        <w:gridCol w:w="203"/>
        <w:gridCol w:w="196"/>
        <w:gridCol w:w="646"/>
        <w:gridCol w:w="109"/>
        <w:gridCol w:w="155"/>
        <w:gridCol w:w="155"/>
        <w:gridCol w:w="156"/>
        <w:gridCol w:w="196"/>
        <w:gridCol w:w="421"/>
        <w:gridCol w:w="109"/>
        <w:gridCol w:w="155"/>
        <w:gridCol w:w="155"/>
        <w:gridCol w:w="156"/>
        <w:gridCol w:w="208"/>
        <w:gridCol w:w="351"/>
        <w:gridCol w:w="117"/>
        <w:gridCol w:w="365"/>
        <w:gridCol w:w="617"/>
        <w:gridCol w:w="204"/>
        <w:gridCol w:w="196"/>
        <w:gridCol w:w="646"/>
        <w:gridCol w:w="154"/>
      </w:tblGrid>
      <w:tr>
        <w:tc>
          <w:tcPr>
            <w:tcW w:w="6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27, 2025</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6068" w:type="dxa"/>
            <w:gridSpan w:val="24"/>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Partners’ Capital</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2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Mezzanine Equity</w:t>
            </w:r>
          </w:p>
        </w:tc>
        <w:tc>
          <w:tcPr>
            <w:tcW w:w="1552" w:type="dxa"/>
            <w:gridSpan w:val="6"/>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CUPI</w:t>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 Partners' Capital</w:t>
            </w:r>
          </w:p>
        </w:tc>
      </w:tr>
      <w:t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601"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28, 2025</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partners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27, 2025</w:t>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pPr>
      <w:r/>
    </w:p>
    <w:p>
      <w:pPr>
        <w:pStyle w:val="TextBody"/>
        <w:bidi w:val="0"/>
        <w:spacing w:before="200" w:after="283"/>
        <w:jc w:val="center"/>
      </w:pPr>
      <w:r/>
    </w:p>
    <w:p>
      <w:pPr>
        <w:pStyle w:val="TextBody"/>
        <w:bidi w:val="0"/>
        <w:spacing w:before="200" w:after="283"/>
        <w:jc w:val="center"/>
      </w:pPr>
      <w:r/>
    </w:p>
    <w:p>
      <w:pPr>
        <w:pStyle w:val="TextBody"/>
        <w:bidi w:val="0"/>
        <w:spacing w:before="200" w:after="283"/>
        <w:jc w:val="center"/>
      </w:pPr>
      <w:r/>
    </w:p>
    <w:p>
      <w:pPr>
        <w:pStyle w:val="TextBody"/>
        <w:bidi w:val="0"/>
        <w:spacing w:before="200" w:after="283"/>
        <w:jc w:val="center"/>
      </w:pPr>
      <w:r/>
    </w:p>
    <w:p>
      <w:pPr>
        <w:pStyle w:val="TextBody"/>
        <w:bidi w:val="0"/>
        <w:spacing w:before="200" w:after="283"/>
        <w:jc w:val="center"/>
      </w:pPr>
      <w:r/>
    </w:p>
    <w:p>
      <w:pPr>
        <w:pStyle w:val="TextBody"/>
        <w:bidi w:val="0"/>
        <w:spacing w:before="200" w:after="283"/>
        <w:jc w:val="center"/>
      </w:pPr>
      <w:r/>
    </w:p>
    <w:p>
      <w:pPr>
        <w:pStyle w:val="TextBody"/>
        <w:bidi w:val="0"/>
        <w:spacing w:before="200" w:after="283"/>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16305"/>
                <wp:effectExtent l="0" t="0" r="0" b="0"/>
                <wp:wrapNone/>
                <wp:docPr id="10" name="Frame10"/>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r>
                          </w:tbl>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r>
                    </w:tbl>
                    <w:p>
                      <w:pPr>
                        <w:pStyle w:val="TextBody"/>
                        <w:bidi w:val="0"/>
                        <w:spacing w:before="0" w:after="283"/>
                        <w:jc w:val="left"/>
                      </w:pPr>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MEZZANINE EQUITY AND PARTNERS' CAPITAL (Unaudited) (Continued)</w:t>
      </w:r>
    </w:p>
    <w:tbl>
      <w:tblPr>
        <w:tblW w:w="10205" w:type="dxa"/>
        <w:jc w:val="center"/>
        <w:tblInd w:w="0" w:type="dxa"/>
        <w:tblLayout w:type="fixed"/>
        <w:tblCellMar>
          <w:top w:w="28" w:type="dxa"/>
          <w:left w:w="28" w:type="dxa"/>
          <w:bottom w:w="28" w:type="dxa"/>
          <w:right w:w="28" w:type="dxa"/>
        </w:tblCellMar>
      </w:tblPr>
      <w:tblGrid>
        <w:gridCol w:w="889"/>
        <w:gridCol w:w="353"/>
        <w:gridCol w:w="290"/>
        <w:gridCol w:w="210"/>
        <w:gridCol w:w="211"/>
        <w:gridCol w:w="186"/>
        <w:gridCol w:w="205"/>
        <w:gridCol w:w="424"/>
        <w:gridCol w:w="114"/>
        <w:gridCol w:w="210"/>
        <w:gridCol w:w="211"/>
        <w:gridCol w:w="186"/>
        <w:gridCol w:w="204"/>
        <w:gridCol w:w="424"/>
        <w:gridCol w:w="113"/>
        <w:gridCol w:w="209"/>
        <w:gridCol w:w="691"/>
        <w:gridCol w:w="116"/>
        <w:gridCol w:w="325"/>
        <w:gridCol w:w="700"/>
        <w:gridCol w:w="183"/>
        <w:gridCol w:w="416"/>
        <w:gridCol w:w="704"/>
        <w:gridCol w:w="233"/>
        <w:gridCol w:w="275"/>
        <w:gridCol w:w="783"/>
        <w:gridCol w:w="154"/>
        <w:gridCol w:w="230"/>
        <w:gridCol w:w="760"/>
        <w:gridCol w:w="196"/>
      </w:tblGrid>
      <w:tr>
        <w:tc>
          <w:tcPr>
            <w:tcW w:w="8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26, 2026</w:t>
            </w:r>
          </w:p>
        </w:tc>
      </w:tr>
      <w:t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13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10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3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2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3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common units for Class A common stock</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deferred tax assets from equity transactions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liability-classified units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employee stock options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under employee stock plans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on issuance of stock-based awards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noncontrolling interests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26, 2026</w:t>
            </w:r>
          </w:p>
        </w:tc>
        <w:tc>
          <w:tcPr>
            <w:tcW w:w="6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11,428 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19,386 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75" w:type="dxa"/>
        <w:jc w:val="center"/>
        <w:tblInd w:w="0" w:type="dxa"/>
        <w:tblLayout w:type="fixed"/>
        <w:tblCellMar>
          <w:top w:w="28" w:type="dxa"/>
          <w:left w:w="28" w:type="dxa"/>
          <w:bottom w:w="28" w:type="dxa"/>
          <w:right w:w="28" w:type="dxa"/>
        </w:tblCellMar>
      </w:tblPr>
      <w:tblGrid>
        <w:gridCol w:w="781"/>
        <w:gridCol w:w="343"/>
        <w:gridCol w:w="212"/>
        <w:gridCol w:w="155"/>
        <w:gridCol w:w="155"/>
        <w:gridCol w:w="156"/>
        <w:gridCol w:w="196"/>
        <w:gridCol w:w="421"/>
        <w:gridCol w:w="109"/>
        <w:gridCol w:w="204"/>
        <w:gridCol w:w="149"/>
        <w:gridCol w:w="113"/>
        <w:gridCol w:w="204"/>
        <w:gridCol w:w="438"/>
        <w:gridCol w:w="115"/>
        <w:gridCol w:w="231"/>
        <w:gridCol w:w="496"/>
        <w:gridCol w:w="129"/>
        <w:gridCol w:w="199"/>
        <w:gridCol w:w="199"/>
        <w:gridCol w:w="203"/>
        <w:gridCol w:w="196"/>
        <w:gridCol w:w="646"/>
        <w:gridCol w:w="109"/>
        <w:gridCol w:w="155"/>
        <w:gridCol w:w="155"/>
        <w:gridCol w:w="156"/>
        <w:gridCol w:w="196"/>
        <w:gridCol w:w="421"/>
        <w:gridCol w:w="109"/>
        <w:gridCol w:w="155"/>
        <w:gridCol w:w="155"/>
        <w:gridCol w:w="156"/>
        <w:gridCol w:w="208"/>
        <w:gridCol w:w="351"/>
        <w:gridCol w:w="117"/>
        <w:gridCol w:w="365"/>
        <w:gridCol w:w="617"/>
        <w:gridCol w:w="204"/>
        <w:gridCol w:w="196"/>
        <w:gridCol w:w="646"/>
        <w:gridCol w:w="154"/>
      </w:tblGrid>
      <w:tr>
        <w:tc>
          <w:tcPr>
            <w:tcW w:w="78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27, 2025</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6068" w:type="dxa"/>
            <w:gridSpan w:val="24"/>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Partners’ Capital</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2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Mezzanine Equity</w:t>
            </w:r>
          </w:p>
        </w:tc>
        <w:tc>
          <w:tcPr>
            <w:tcW w:w="1552" w:type="dxa"/>
            <w:gridSpan w:val="6"/>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CUPI</w:t>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Partners' Capital</w:t>
            </w:r>
          </w:p>
        </w:tc>
      </w:tr>
      <w:tr>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601"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2025</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933</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w:t>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liability-classified units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partners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27, 2025</w:t>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16305"/>
                <wp:effectExtent l="0" t="0" r="0" b="0"/>
                <wp:wrapNone/>
                <wp:docPr id="11" name="Frame11"/>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10</w:t>
                                  </w:r>
                                </w:p>
                              </w:tc>
                            </w:tr>
                          </w:tbl>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10</w:t>
                            </w:r>
                          </w:p>
                        </w:tc>
                      </w:tr>
                    </w:tbl>
                    <w:p>
                      <w:pPr>
                        <w:pStyle w:val="TextBody"/>
                        <w:bidi w:val="0"/>
                        <w:spacing w:before="0" w:after="283"/>
                        <w:jc w:val="left"/>
                      </w:pPr>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pPr>
      <w:r/>
    </w:p>
    <w:p>
      <w:pPr>
        <w:pStyle w:val="TextBody"/>
        <w:bidi w:val="0"/>
        <w:spacing w:before="0" w:after="0"/>
        <w:jc w:val="both"/>
      </w:pPr>
      <w:r/>
    </w:p>
    <w:p>
      <w:pPr>
        <w:pStyle w:val="TextBody"/>
        <w:bidi w:val="0"/>
        <w:spacing w:before="0" w:after="0"/>
        <w:jc w:val="both"/>
      </w:pPr>
      <w:r/>
    </w:p>
    <w:p>
      <w:pPr>
        <w:pStyle w:val="TextBody"/>
        <w:bidi w:val="0"/>
        <w:spacing w:lineRule="auto" w:line="288" w:before="200" w:after="283"/>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 (Unaudited)</w:t>
      </w:r>
    </w:p>
    <w:p>
      <w:pPr>
        <w:pStyle w:val="TextBody"/>
        <w:bidi w:val="0"/>
        <w:spacing w:before="0" w:after="0"/>
        <w:jc w:val="center"/>
      </w:pPr>
      <w:r/>
    </w:p>
    <w:tbl>
      <w:tblPr>
        <w:tblW w:w="9438" w:type="dxa"/>
        <w:jc w:val="center"/>
        <w:tblInd w:w="0" w:type="dxa"/>
        <w:tblLayout w:type="fixed"/>
        <w:tblCellMar>
          <w:top w:w="28" w:type="dxa"/>
          <w:left w:w="28" w:type="dxa"/>
          <w:bottom w:w="28" w:type="dxa"/>
          <w:right w:w="28" w:type="dxa"/>
        </w:tblCellMar>
      </w:tblPr>
      <w:tblGrid>
        <w:gridCol w:w="2095"/>
        <w:gridCol w:w="1844"/>
        <w:gridCol w:w="1850"/>
        <w:gridCol w:w="348"/>
        <w:gridCol w:w="988"/>
        <w:gridCol w:w="193"/>
        <w:gridCol w:w="109"/>
        <w:gridCol w:w="109"/>
        <w:gridCol w:w="109"/>
        <w:gridCol w:w="413"/>
        <w:gridCol w:w="887"/>
        <w:gridCol w:w="230"/>
        <w:gridCol w:w="109"/>
        <w:gridCol w:w="154"/>
      </w:tblGrid>
      <w:t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 loss,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related to distribution center fire,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recoveries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acquired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asset acquisitions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(1,537)</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borrowings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for long-term borrowings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under lines of credit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lines of credit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debt issuance cost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offering costs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towards Class B unit repurchases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on stock-based awards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taxes withheld on stock-based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 and restricted cash</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year</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16305"/>
                <wp:effectExtent l="0" t="0" r="0" b="0"/>
                <wp:wrapNone/>
                <wp:docPr id="12" name="Frame12"/>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11</w:t>
                                  </w:r>
                                </w:p>
                              </w:tc>
                            </w:tr>
                          </w:tbl>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11</w:t>
                            </w:r>
                          </w:p>
                        </w:tc>
                      </w:tr>
                    </w:tbl>
                    <w:p>
                      <w:pPr>
                        <w:pStyle w:val="TextBody"/>
                        <w:bidi w:val="0"/>
                        <w:spacing w:before="0" w:after="283"/>
                        <w:jc w:val="left"/>
                      </w:pPr>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pPr>
      <w:r/>
    </w:p>
    <w:p>
      <w:pPr>
        <w:pStyle w:val="TextBody"/>
        <w:bidi w:val="0"/>
        <w:spacing w:before="0" w:after="0"/>
        <w:jc w:val="both"/>
      </w:pPr>
      <w:r/>
    </w:p>
    <w:p>
      <w:pPr>
        <w:pStyle w:val="TextBody"/>
        <w:bidi w:val="0"/>
        <w:spacing w:before="0" w:after="0"/>
        <w:jc w:val="both"/>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 (Unaudited) (Continued)</w:t>
      </w:r>
    </w:p>
    <w:p>
      <w:pPr>
        <w:pStyle w:val="TextBody"/>
        <w:bidi w:val="0"/>
        <w:spacing w:before="0" w:after="0"/>
        <w:jc w:val="center"/>
      </w:pPr>
      <w:r/>
    </w:p>
    <w:tbl>
      <w:tblPr>
        <w:tblW w:w="7924" w:type="dxa"/>
        <w:jc w:val="center"/>
        <w:tblInd w:w="0" w:type="dxa"/>
        <w:tblLayout w:type="fixed"/>
        <w:tblCellMar>
          <w:top w:w="28" w:type="dxa"/>
          <w:left w:w="28" w:type="dxa"/>
          <w:bottom w:w="28" w:type="dxa"/>
          <w:right w:w="28" w:type="dxa"/>
        </w:tblCellMar>
      </w:tblPr>
      <w:tblGrid>
        <w:gridCol w:w="1547"/>
        <w:gridCol w:w="1358"/>
        <w:gridCol w:w="1369"/>
        <w:gridCol w:w="413"/>
        <w:gridCol w:w="887"/>
        <w:gridCol w:w="230"/>
        <w:gridCol w:w="109"/>
        <w:gridCol w:w="109"/>
        <w:gridCol w:w="109"/>
        <w:gridCol w:w="413"/>
        <w:gridCol w:w="887"/>
        <w:gridCol w:w="230"/>
        <w:gridCol w:w="109"/>
        <w:gridCol w:w="154"/>
      </w:tblGrid>
      <w:t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on borrowings</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interest rate hedging activities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plant and equipment</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tax receivable agreement liability</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deferred tax assets from equity transactions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7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4"/>
        <w:gridCol w:w="532"/>
        <w:gridCol w:w="532"/>
        <w:gridCol w:w="784"/>
        <w:gridCol w:w="2162"/>
        <w:gridCol w:w="423"/>
        <w:gridCol w:w="423"/>
        <w:gridCol w:w="423"/>
        <w:gridCol w:w="423"/>
        <w:gridCol w:w="762"/>
        <w:gridCol w:w="2162"/>
        <w:gridCol w:w="605"/>
      </w:tblGrid>
      <w:tr>
        <w:tc>
          <w:tcPr>
            <w:tcW w:w="97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reconciliation of cash, cash equivalents and restricted cash shown above to the amounts reported within the Condensed Consolidated Balance Sheets as of September 26, 2026 and December 31, 2025:</w:t>
            </w:r>
          </w:p>
        </w:tc>
      </w:tr>
      <w:tr>
        <w:tc>
          <w:tcPr>
            <w:tcW w:w="2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38" w:type="dxa"/>
            <w:gridSpan w:val="3"/>
            <w:tcBorders/>
            <w:vAlign w:val="center"/>
          </w:tcPr>
          <w:p>
            <w:pPr>
              <w:pStyle w:val="TableContents"/>
              <w:bidi w:val="0"/>
              <w:spacing w:before="0" w:after="283"/>
              <w:jc w:val="left"/>
              <w:rPr>
                <w:sz w:val="4"/>
                <w:szCs w:val="4"/>
              </w:rPr>
            </w:pPr>
            <w:r>
              <w:rPr>
                <w:sz w:val="4"/>
                <w:szCs w:val="4"/>
              </w:rPr>
            </w:r>
          </w:p>
        </w:tc>
        <w:tc>
          <w:tcPr>
            <w:tcW w:w="3369" w:type="dxa"/>
            <w:gridSpan w:val="3"/>
            <w:tcBorders/>
            <w:vAlign w:val="center"/>
          </w:tcPr>
          <w:p>
            <w:pPr>
              <w:pStyle w:val="TableContents"/>
              <w:bidi w:val="0"/>
              <w:spacing w:before="0" w:after="283"/>
              <w:ind w:left="0" w:right="0" w:hanging="0"/>
              <w:jc w:val="left"/>
              <w:rPr>
                <w:sz w:val="4"/>
                <w:szCs w:val="4"/>
              </w:rPr>
            </w:pPr>
            <w:r>
              <w:rPr>
                <w:sz w:val="4"/>
                <w:szCs w:val="4"/>
              </w:rPr>
            </w:r>
          </w:p>
        </w:tc>
        <w:tc>
          <w:tcPr>
            <w:tcW w:w="4798" w:type="dxa"/>
            <w:gridSpan w:val="6"/>
            <w:tcBorders/>
          </w:tcPr>
          <w:p>
            <w:pPr>
              <w:pStyle w:val="TableContents"/>
              <w:bidi w:val="0"/>
              <w:spacing w:before="0" w:after="283"/>
              <w:jc w:val="left"/>
              <w:rPr>
                <w:sz w:val="4"/>
                <w:szCs w:val="4"/>
              </w:rPr>
            </w:pPr>
            <w:r>
              <w:rPr>
                <w:sz w:val="4"/>
                <w:szCs w:val="4"/>
              </w:rPr>
            </w:r>
          </w:p>
        </w:tc>
      </w:tr>
      <w:tr>
        <w:tc>
          <w:tcPr>
            <w:tcW w:w="2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 (Unaudited)</w:t>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2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2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2,323 </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916305"/>
                <wp:effectExtent l="0" t="0" r="0" b="0"/>
                <wp:wrapNone/>
                <wp:docPr id="13" name="Frame13"/>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r>
                          </w:tbl>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r>
                    </w:tbl>
                    <w:p>
                      <w:pPr>
                        <w:pStyle w:val="TextBody"/>
                        <w:bidi w:val="0"/>
                        <w:spacing w:before="0" w:after="283"/>
                        <w:jc w:val="left"/>
                      </w:pPr>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p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Inc., a Delaware corporation formed on November 6, 2024, is a holding company, and its material assets are its equity interests held directly or indirectly through wholly owned subsidiaries in Medline Holdings, LP (“Medline Holdings”), and its subsidiaries (together, the “Company” or “Medline”). The Company is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Tracy, California Distribution Center</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11, 2026, a fire destroyed the Company's distribution center in Tracy, California. All employees were safely evacuated. For the three and nine months ended September 26, 2026, the Company has estimated incurred losses of $80 million and $416 million respectively, which consist of $1 million and $205 million related to inventory losses, $8 million and $124 million related to fixed asset losses, and $71 million and $87 million related to other expenses. In the third quarter 2026, the Company has received and recognized $100 million of insurance recoveries related to the fire. The losses, net of the insurance recoveries, were recorded in Other operating expenses in the unaudited Condensed Consolidated Statements of Comprehensive Income. The Company is working closely with its insurance carriers as it finalizes and submits appliable claims. While the Company expects to recover these amounts, the ultimate amount and timing of additional recoveries is not guaranteed and will be determined as the claims process progresses. Following the fire, the Company entered into lease agreements for two distribution centers in Northern California to maintain support service to healthcare providers and customers in Northern California. The Company may incur additional losses and costs in future periods associated with the fire and its related impacts.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Secondary Offerings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2026, the Company completed an underwritten public offering of an aggregate of 72,554,594 shares of Class A common stock sold by a wholly owned subsidiary of Abu Dhabi Investment Authority and certain affiliates of the Company’s Sponsors (collectively, the “May 2026 Selling Stockholders”) at a public offering price of $37.00 per share, for aggregate gross proceeds of approximately $2.7 billion to the May 2026 Selling Stockholders (the “May 2026 Resale Offering”). This transaction resulted in the issuance of 29,505,565 shares of Class A common stock in connection with the exchange of Common Units by the May 2026 Selling Stockholders. The exchange reduced the ownership of noncontrolling interest in Medline Holdings by approximately 2% and will increase the net income attributable to the Company in a proportionate amount. The Company did not sell any shares in this May 2026 Resale Offering and did not receive any of the proceeds from the sale of the shares of Class A common stock in this May 2026 Resale Offering. The Company paid the offering expenses associated with the sale of the shares by the May 2026 Selling Stockholders, net of the underwriting discounts and commissions.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10, 2026, the Company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and certain affiliates of the Company’s Sponsors (collectively, the “March 2026 Selling Stockholders”) at a public offering price of $41.00 per share, for aggregate gross proceeds of approximately $3.5 billion to the March 2026 Selling Stockholders (the “March 2026 Resale Offering”). This transaction resulted in the issuance of 33,963,901 shares of Class A common stock in connection with the exchange of Common Units by the March 2026 Selling Stockholders. The exchange reduced the ownership of noncontrolling interest in Medline Holdings by approximately 3% and will increase the net income attributable to the Company in a proportionate amount. The Company did not sell any shares in this March 2026 Resale Offering and did not receive any of the proceeds from the sale of the shares of Class A common stock in this March 2026 Resale Offering. The Company paid the offering expenses associated with the sale of the shares by the March 2026 Selling Stockholders, net of the underwriting discounts and commissions.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95250"/>
                <wp:effectExtent l="0" t="0" r="0" b="0"/>
                <wp:wrapNone/>
                <wp:docPr id="14" name="Frame1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v:textbox>
                <w10:wrap type="none"/>
              </v:rect>
            </w:pict>
          </mc:Fallback>
        </mc:AlternateContent>
      </w:r>
    </w:p>
    <w:p>
      <w:pPr>
        <w:pStyle w:val="TextBody"/>
        <w:bidi w:val="0"/>
        <w:spacing w:before="0" w:after="0"/>
        <w:jc w:val="both"/>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 xml:space="preserve">On December 16, 2025, the SEC declared effective the Company’s Registration Statement on Form S-1 filed in connection with the IPO. The Company’s Class A common stock started trading on </w:t>
      </w:r>
      <w:r>
        <w:rPr>
          <w:rFonts w:ascii="Times New Roman;serif" w:hAnsi="Times New Roman;serif"/>
          <w:b w:val="false"/>
          <w:color w:val="181717"/>
          <w:sz w:val="20"/>
        </w:rPr>
        <w:t>The Nasdaq Global Select Market</w:t>
      </w:r>
      <w:r>
        <w:rPr>
          <w:color w:val="000000"/>
        </w:rPr>
        <w:t xml:space="preserve"> </w:t>
      </w:r>
      <w:r>
        <w:rPr>
          <w:rFonts w:ascii="Times New Roman;serif" w:hAnsi="Times New Roman;serif"/>
          <w:b w:val="false"/>
          <w:color w:val="000000"/>
          <w:sz w:val="20"/>
        </w:rPr>
        <w:t xml:space="preserve">on December 17, 2025. </w:t>
      </w:r>
      <w:r>
        <w:rPr>
          <w:rFonts w:ascii="Times New Roman;serif" w:hAnsi="Times New Roman;serif"/>
          <w:b w:val="false"/>
          <w:color w:val="000000"/>
          <w:sz w:val="20"/>
          <w:shd w:fill="FFFFFF" w:val="clear"/>
        </w:rPr>
        <w:t xml:space="preserve">On December 18, 2025, the Company completed the IPO of its Class A common stock in which the Company issued and sold </w:t>
      </w:r>
      <w:r>
        <w:rPr>
          <w:rFonts w:ascii="Times New Roman;serif" w:hAnsi="Times New Roman;serif"/>
          <w:b w:val="false"/>
          <w:color w:val="000000"/>
          <w:sz w:val="20"/>
        </w:rPr>
        <w:t>248,439,654</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(including shares issued pursuant to the exercise in full of the underwriters’ option to purchase additional shares) for cash consideration of </w:t>
      </w:r>
      <w:r>
        <w:rPr>
          <w:rFonts w:ascii="Times New Roman;serif" w:hAnsi="Times New Roman;serif"/>
          <w:b w:val="false"/>
          <w:color w:val="000000"/>
          <w:sz w:val="20"/>
        </w:rPr>
        <w:t>$29.00</w:t>
      </w:r>
      <w:r>
        <w:rPr>
          <w:color w:val="000000"/>
          <w:shd w:fill="FFFFFF" w:val="clear"/>
        </w:rPr>
        <w:t xml:space="preserve"> </w:t>
      </w:r>
      <w:r>
        <w:rPr>
          <w:rFonts w:ascii="Times New Roman;serif" w:hAnsi="Times New Roman;serif"/>
          <w:b w:val="false"/>
          <w:color w:val="000000"/>
          <w:sz w:val="20"/>
          <w:shd w:fill="FFFFFF" w:val="clear"/>
        </w:rPr>
        <w:t xml:space="preserve">per share. </w:t>
      </w:r>
      <w:r>
        <w:rPr>
          <w:rFonts w:ascii="Times New Roman;serif" w:hAnsi="Times New Roman;serif"/>
          <w:b w:val="false"/>
          <w:color w:val="000000"/>
          <w:sz w:val="20"/>
        </w:rPr>
        <w:t>The IPO generated net proceeds of approximately $7,048 million after deducting underwriting discounts and commissions of approximately $157 million, but before deducting offering expenses of approximately $40 million. The Company</w:t>
      </w:r>
      <w:r>
        <w:rPr>
          <w:color w:val="000000"/>
          <w:shd w:fill="FFFFFF" w:val="clear"/>
        </w:rPr>
        <w:t xml:space="preserve"> </w:t>
      </w:r>
      <w:r>
        <w:rPr>
          <w:rFonts w:ascii="Times New Roman;serif" w:hAnsi="Times New Roman;serif"/>
          <w:b w:val="false"/>
          <w:color w:val="000000"/>
          <w:sz w:val="20"/>
          <w:shd w:fill="FFFFFF" w:val="clear"/>
        </w:rPr>
        <w:t xml:space="preserve">used the proceeds (net of underwriting discounts and commissions) from the issuance of </w:t>
      </w:r>
      <w:r>
        <w:rPr>
          <w:rFonts w:ascii="Times New Roman;serif" w:hAnsi="Times New Roman;serif"/>
          <w:b w:val="false"/>
          <w:color w:val="000000"/>
          <w:sz w:val="20"/>
        </w:rPr>
        <w:t>179,000,000</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$5,078</w:t>
      </w:r>
      <w:r>
        <w:rPr>
          <w:color w:val="000000"/>
          <w:shd w:fill="FFFFFF" w:val="clear"/>
        </w:rPr>
        <w:t xml:space="preserve"> </w:t>
      </w:r>
      <w:r>
        <w:rPr>
          <w:rFonts w:ascii="Times New Roman;serif" w:hAnsi="Times New Roman;serif"/>
          <w:b w:val="false"/>
          <w:color w:val="000000"/>
          <w:sz w:val="20"/>
          <w:shd w:fill="FFFFFF" w:val="clear"/>
        </w:rPr>
        <w:t xml:space="preserve">million) in the IPO to purchase an equivalent number of newly issued Common Units from Medline Holdings, which Medline Holdings has in turn used </w:t>
      </w:r>
      <w:r>
        <w:rPr>
          <w:rFonts w:ascii="Times New Roman;serif" w:hAnsi="Times New Roman;serif"/>
          <w:b w:val="false"/>
          <w:color w:val="000000"/>
          <w:sz w:val="20"/>
        </w:rPr>
        <w:t>$731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in full all outstanding Euro Term Loans (as defined herein) and </w:t>
      </w:r>
      <w:r>
        <w:rPr>
          <w:rFonts w:ascii="Times New Roman;serif" w:hAnsi="Times New Roman;serif"/>
          <w:b w:val="false"/>
          <w:color w:val="000000"/>
          <w:sz w:val="20"/>
        </w:rPr>
        <w:t>$3,292</w:t>
      </w:r>
      <w:r>
        <w:rPr>
          <w:color w:val="000000"/>
          <w:shd w:fill="FFFFFF" w:val="clear"/>
        </w:rPr>
        <w:t xml:space="preserve"> </w:t>
      </w:r>
      <w:r>
        <w:rPr>
          <w:rFonts w:ascii="Times New Roman;serif" w:hAnsi="Times New Roman;serif"/>
          <w:b w:val="false"/>
          <w:color w:val="000000"/>
          <w:sz w:val="20"/>
          <w:shd w:fill="FFFFFF" w:val="clear"/>
        </w:rPr>
        <w:t xml:space="preserve">million of which to repay a portion of the outstanding Dollar Term Loans (as defined herein) which, pursuant to the amendment executed in July 2025, mature in 2033. The Company will use the remaining net proceeds for general corporate purposes and to bear all of the expenses of the IPO. The Company has used the proceeds (net of underwriting discounts and commissions) from the issuance of </w:t>
      </w:r>
      <w:r>
        <w:rPr>
          <w:rFonts w:ascii="Times New Roman;serif" w:hAnsi="Times New Roman;serif"/>
          <w:b w:val="false"/>
          <w:color w:val="000000"/>
          <w:sz w:val="20"/>
        </w:rPr>
        <w:t>37,034,482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$1,051</w:t>
      </w:r>
      <w:r>
        <w:rPr>
          <w:color w:val="000000"/>
          <w:shd w:fill="FFFFFF" w:val="clear"/>
        </w:rPr>
        <w:t xml:space="preserve"> </w:t>
      </w:r>
      <w:r>
        <w:rPr>
          <w:rFonts w:ascii="Times New Roman;serif" w:hAnsi="Times New Roman;serif"/>
          <w:b w:val="false"/>
          <w:color w:val="000000"/>
          <w:sz w:val="20"/>
          <w:shd w:fill="FFFFFF" w:val="clear"/>
        </w:rPr>
        <w:t xml:space="preserve">million) and the issuance of </w:t>
      </w:r>
      <w:r>
        <w:rPr>
          <w:rFonts w:ascii="Times New Roman;serif" w:hAnsi="Times New Roman;serif"/>
          <w:b w:val="false"/>
          <w:color w:val="000000"/>
          <w:sz w:val="20"/>
        </w:rPr>
        <w:t>32,405,172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$919</w:t>
      </w:r>
      <w:r>
        <w:rPr>
          <w:color w:val="000000"/>
          <w:shd w:fill="FFFFFF" w:val="clear"/>
        </w:rPr>
        <w:t xml:space="preserve"> </w:t>
      </w:r>
      <w:r>
        <w:rPr>
          <w:rFonts w:ascii="Times New Roman;serif" w:hAnsi="Times New Roman;serif"/>
          <w:b w:val="false"/>
          <w:color w:val="000000"/>
          <w:sz w:val="20"/>
          <w:shd w:fill="FFFFFF" w:val="clear"/>
        </w:rPr>
        <w:t>million) pursuant to the exercise in full by the underwriters of their option to purchase additional shares in the IPO to purchase or redeem an equivalent aggregate number of shares of Class A common stock and Common Units from certain pre-IPO owners.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Reorganization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16, 2025, prior to the completion of the IPO, the Company executed several reorganization transactions (the “Reorganization”) and amended and restated Limited Partnership Agreement of Medline Holdings (the “LP Agreement”), resulting in the following:</w:t>
      </w:r>
    </w:p>
    <w:p>
      <w:pPr>
        <w:pStyle w:val="TextBody"/>
        <w:bidi w:val="0"/>
        <w:spacing w:before="0" w:after="0"/>
        <w:jc w:val="both"/>
      </w:pPr>
      <w:r/>
    </w:p>
    <w:p>
      <w:pPr>
        <w:pStyle w:val="TextBody"/>
        <w:bidi w:val="0"/>
        <w:spacing w:lineRule="auto" w:line="288" w:before="0" w:after="60"/>
        <w:ind w:left="0" w:right="0" w:hanging="360"/>
        <w:jc w:val="both"/>
      </w:pPr>
      <w:r>
        <w:rPr>
          <w:color w:val="000000"/>
        </w:rPr>
        <w:t>•</w:t>
      </w:r>
      <w:r>
        <w:rPr>
          <w:rFonts w:ascii="Times New Roman;serif" w:hAnsi="Times New Roman;serif"/>
          <w:b w:val="false"/>
          <w:color w:val="000000"/>
          <w:sz w:val="20"/>
        </w:rPr>
        <w:t>Medline Inc. became the general partner of Medline Holdings with 100% of the voting power and control of Medline Holdings.</w:t>
      </w:r>
    </w:p>
    <w:p>
      <w:pPr>
        <w:pStyle w:val="TextBody"/>
        <w:bidi w:val="0"/>
        <w:spacing w:lineRule="auto" w:line="288" w:before="0" w:after="60"/>
        <w:ind w:left="0" w:right="0" w:hanging="360"/>
        <w:jc w:val="both"/>
      </w:pPr>
      <w:r>
        <w:rPr>
          <w:color w:val="000000"/>
        </w:rPr>
        <w:t>•</w:t>
      </w:r>
      <w:r>
        <w:rPr>
          <w:rFonts w:ascii="Times New Roman;serif" w:hAnsi="Times New Roman;serif"/>
          <w:b w:val="false"/>
          <w:color w:val="000000"/>
          <w:sz w:val="20"/>
        </w:rPr>
        <w:t>All outstanding Class A Units and Class B CUPI Units of Medline Holdings were either (1) reclassified into Common Units, a new class of partnership interest of Medline Holdings, or (2) directly or indirectly exchanged for vested shares of Class A common stock and restricted stock units (“RSUs”) of Medline Inc. The holders of Common Units were also allocated shares of Class B common stock of Medline Inc. on a one-for-one basis with the number of their Common Units.</w:t>
      </w:r>
    </w:p>
    <w:p>
      <w:pPr>
        <w:pStyle w:val="TextBody"/>
        <w:bidi w:val="0"/>
        <w:spacing w:lineRule="auto" w:line="288" w:before="0" w:after="60"/>
        <w:ind w:left="0" w:right="0" w:hanging="360"/>
        <w:jc w:val="both"/>
      </w:pPr>
      <w:r>
        <w:rPr>
          <w:color w:val="000000"/>
        </w:rPr>
        <w:t>•</w:t>
      </w:r>
      <w:r>
        <w:rPr>
          <w:rFonts w:ascii="Times New Roman;serif" w:hAnsi="Times New Roman;serif"/>
          <w:b w:val="false"/>
          <w:color w:val="000000"/>
          <w:sz w:val="20"/>
        </w:rPr>
        <w:t>All outstanding Class B units of Medline Holdings were either (1) reclassified into Incentive Units, a new class of partnership interest of Medline Holdings, or (2) directly or indirectly exchanged for vested shares of Class A common stock of Medline Inc., in the case of vested Class B units, and restricted stock awards (“RSAs”), RSUs, and options of Medline Inc., in the case of unvested Class B units.</w:t>
      </w:r>
    </w:p>
    <w:p>
      <w:pPr>
        <w:pStyle w:val="TextBody"/>
        <w:bidi w:val="0"/>
        <w:spacing w:lineRule="auto" w:line="288" w:before="0" w:after="60"/>
        <w:ind w:left="0" w:right="0" w:hanging="360"/>
        <w:jc w:val="both"/>
      </w:pPr>
      <w:r>
        <w:rPr>
          <w:color w:val="000000"/>
        </w:rPr>
        <w:t>•</w:t>
      </w:r>
      <w:r>
        <w:rPr>
          <w:rFonts w:ascii="Times New Roman;serif" w:hAnsi="Times New Roman;serif"/>
          <w:b w:val="false"/>
          <w:color w:val="000000"/>
          <w:sz w:val="20"/>
        </w:rPr>
        <w:t>Holders of Incentive Units (“Incentive Unitholders”) have the right to exchange their vested Incentive Units for Common Units at the exchange rate defined by the amended LP Agreement.</w:t>
      </w:r>
    </w:p>
    <w:p>
      <w:pPr>
        <w:pStyle w:val="TextBody"/>
        <w:bidi w:val="0"/>
        <w:spacing w:lineRule="auto" w:line="288" w:before="0" w:after="60"/>
        <w:ind w:left="0" w:right="0" w:hanging="360"/>
        <w:jc w:val="both"/>
      </w:pPr>
      <w:r>
        <w:rPr>
          <w:color w:val="000000"/>
        </w:rPr>
        <w:t>•</w:t>
      </w:r>
      <w:r>
        <w:rPr>
          <w:rFonts w:ascii="Times New Roman;serif" w:hAnsi="Times New Roman;serif"/>
          <w:b w:val="false"/>
          <w:color w:val="000000"/>
          <w:sz w:val="20"/>
        </w:rPr>
        <w:t xml:space="preserve">Recognition of noncontrolling interests due to the pre-IPO owners retaining an economic interest in Medline Holdings related to Common Units and Incentive Units.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the Reorganization, Medline Inc.’s sole material asset is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recognized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95250"/>
                <wp:effectExtent l="0" t="0" r="0" b="0"/>
                <wp:wrapNone/>
                <wp:docPr id="15" name="Frame1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v:textbox>
                <w10:wrap type="none"/>
              </v:rect>
            </w:pict>
          </mc:Fallback>
        </mc:AlternateContent>
      </w:r>
    </w:p>
    <w:p>
      <w:pPr>
        <w:pStyle w:val="TextBody"/>
        <w:bidi w:val="0"/>
        <w:spacing w:before="0" w:after="0"/>
        <w:jc w:val="both"/>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The unaudited condensed consolidated financial statements and accompanying notes are prepared in accordance with United States generally accepted accounting principles (“GAAP”) for interim financial information. Accordingly, certain information and footnote disclosures normally included in annual financial statements prepared in accordance with GAAP have been omitted. These unaudited interim condensed consolidated financial statements should be read in conjunction with the Company's consolidated financial statements for the year ended December 31, 2025. The results of businesses acquired or disposed of are included in the unaudited condensed consolidated financial statements from the date of the acquisition or up to the date of disposal, respectively. All adjustments, in the opinion of management, necessary to a fair statement of the results for the interim and annual periods presented have been made.</w:t>
      </w:r>
      <w:r>
        <w:rPr>
          <w:color w:val="000000"/>
        </w:rPr>
        <w:t xml:space="preserve">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financial statements of the Company, all entities that are wholly-owned by the Company and all entities in which the Company has a controlling financial interest. All intercompany transactions and balances have been eliminated. A noncontrolling interest in a consolidated subsidiary represents the portion of the equity (net assets) in a subsidiary not attributable, directly or indirectly, to the Company. Noncontrolling interests are presented as a separate component of equity in the unaudited Condensed Consolidated Balance Sheets and the presentation of net income (loss) is modified to present earnings and other comprehensive income (loss) attributed to controlling and noncontrolling interests.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reclassified certain prior period amounts in the unaudited Condensed Consolidated Statements of Cash Flows to conform to the current year’s presentation. Specifically, one immaterial line item was combined with another line item, and a line item previously included within another caption is now presented separately. The reclassifications had no impact on the Company’s net cash provided by operating activities or net cash used in investing and financing activities.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Periods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fiscal year begins on January 1 and ends on December 31. The fiscal quarters are based on a four-four-five-week calendar with periods ending on the Saturday of the last week in the quarter, with the exception of December 31, which is always the fiscal year end date. The current period end date is September 26, 2026.</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tax receivable agreement (“TRA”), deferred tax valuations, depreciation and amortization, actuarial assumptions, and fair value allocations related to business combinations. Actual results could differ from those estimates.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(ASC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adopted this standard on a prospective basis in the first quarter of 2026, and the adoption did not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5250"/>
                <wp:effectExtent l="0" t="0" r="0" b="0"/>
                <wp:wrapNone/>
                <wp:docPr id="16" name="Frame1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INVENTORIES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as of:</w:t>
      </w:r>
    </w:p>
    <w:p>
      <w:pPr>
        <w:pStyle w:val="TextBody"/>
        <w:bidi w:val="0"/>
        <w:spacing w:before="0" w:after="0"/>
        <w:jc w:val="both"/>
      </w:pPr>
      <w:r/>
    </w:p>
    <w:tbl>
      <w:tblPr>
        <w:tblW w:w="6310" w:type="dxa"/>
        <w:jc w:val="left"/>
        <w:tblInd w:w="0" w:type="dxa"/>
        <w:tblLayout w:type="fixed"/>
        <w:tblCellMar>
          <w:top w:w="28" w:type="dxa"/>
          <w:left w:w="28" w:type="dxa"/>
          <w:bottom w:w="28" w:type="dxa"/>
          <w:right w:w="28" w:type="dxa"/>
        </w:tblCellMar>
      </w:tblPr>
      <w:tblGrid>
        <w:gridCol w:w="1053"/>
        <w:gridCol w:w="927"/>
        <w:gridCol w:w="930"/>
        <w:gridCol w:w="348"/>
        <w:gridCol w:w="988"/>
        <w:gridCol w:w="193"/>
        <w:gridCol w:w="109"/>
        <w:gridCol w:w="109"/>
        <w:gridCol w:w="109"/>
        <w:gridCol w:w="334"/>
        <w:gridCol w:w="948"/>
        <w:gridCol w:w="262"/>
      </w:tblGrid>
      <w:t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work in process, net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last-in, first-out inventories had been valued on a current cost or first-in, first-out basis, they would have been greater by $513 million and $359 million as of September 26, 2026 and December 31, 2025, respectively. The inventory reserve for obsolescence was $60 million and $44 million as of September 26, 2026 and December 31, 2025, respectively.</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GOODWILL AND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were as follows:</w:t>
      </w:r>
    </w:p>
    <w:tbl>
      <w:tblPr>
        <w:tblW w:w="6842" w:type="dxa"/>
        <w:jc w:val="left"/>
        <w:tblInd w:w="0" w:type="dxa"/>
        <w:tblLayout w:type="fixed"/>
        <w:tblCellMar>
          <w:top w:w="28" w:type="dxa"/>
          <w:left w:w="28" w:type="dxa"/>
          <w:bottom w:w="28" w:type="dxa"/>
          <w:right w:w="28" w:type="dxa"/>
        </w:tblCellMar>
      </w:tblPr>
      <w:tblGrid>
        <w:gridCol w:w="885"/>
        <w:gridCol w:w="779"/>
        <w:gridCol w:w="781"/>
        <w:gridCol w:w="554"/>
        <w:gridCol w:w="306"/>
        <w:gridCol w:w="310"/>
        <w:gridCol w:w="109"/>
        <w:gridCol w:w="109"/>
        <w:gridCol w:w="109"/>
        <w:gridCol w:w="850"/>
        <w:gridCol w:w="472"/>
        <w:gridCol w:w="477"/>
        <w:gridCol w:w="109"/>
        <w:gridCol w:w="109"/>
        <w:gridCol w:w="109"/>
        <w:gridCol w:w="218"/>
        <w:gridCol w:w="229"/>
        <w:gridCol w:w="327"/>
      </w:tblGrid>
      <w:t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w:t>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26, 2026</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8,073</w:t>
            </w:r>
          </w:p>
        </w:tc>
      </w:tr>
    </w:tbl>
    <w:p>
      <w:pPr>
        <w:pStyle w:val="TextBody"/>
        <w:bidi w:val="0"/>
        <w:spacing w:before="0" w:after="0"/>
        <w:jc w:val="both"/>
      </w:p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consist of the following as of:</w:t>
      </w:r>
    </w:p>
    <w:tbl>
      <w:tblPr>
        <w:tblW w:w="11153" w:type="dxa"/>
        <w:jc w:val="left"/>
        <w:tblInd w:w="0" w:type="dxa"/>
        <w:tblLayout w:type="fixed"/>
        <w:tblCellMar>
          <w:top w:w="28" w:type="dxa"/>
          <w:left w:w="28" w:type="dxa"/>
          <w:bottom w:w="28" w:type="dxa"/>
          <w:right w:w="28" w:type="dxa"/>
        </w:tblCellMar>
      </w:tblPr>
      <w:tblGrid>
        <w:gridCol w:w="628"/>
        <w:gridCol w:w="315"/>
        <w:gridCol w:w="258"/>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09"/>
        <w:gridCol w:w="109"/>
        <w:gridCol w:w="109"/>
        <w:gridCol w:w="109"/>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54"/>
      </w:tblGrid>
      <w:tr>
        <w:tc>
          <w:tcPr>
            <w:tcW w:w="62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Finite-lived intangible assets: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intangible assets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trade names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95250"/>
                <wp:effectExtent l="0" t="0" r="0" b="0"/>
                <wp:wrapNone/>
                <wp:docPr id="17" name="Frame1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v:textbox>
                <w10:wrap type="none"/>
              </v:rect>
            </w:pict>
          </mc:Fallback>
        </mc:AlternateContent>
      </w:r>
    </w:p>
    <w:p>
      <w:pPr>
        <w:pStyle w:val="TextBody"/>
        <w:bidi w:val="0"/>
        <w:spacing w:before="0" w:after="0"/>
        <w:jc w:val="both"/>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GOODWILL AND INTANGIBLE ASSETS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for the remainder of fiscal year 2026 and over the next four years and thereafter is as follows:</w:t>
      </w:r>
    </w:p>
    <w:tbl>
      <w:tblPr>
        <w:tblW w:w="1763" w:type="dxa"/>
        <w:jc w:val="left"/>
        <w:tblInd w:w="0" w:type="dxa"/>
        <w:tblLayout w:type="fixed"/>
        <w:tblCellMar>
          <w:top w:w="28" w:type="dxa"/>
          <w:left w:w="28" w:type="dxa"/>
          <w:bottom w:w="28" w:type="dxa"/>
          <w:right w:w="28" w:type="dxa"/>
        </w:tblCellMar>
      </w:tblPr>
      <w:tblGrid>
        <w:gridCol w:w="358"/>
        <w:gridCol w:w="315"/>
        <w:gridCol w:w="316"/>
        <w:gridCol w:w="218"/>
        <w:gridCol w:w="228"/>
        <w:gridCol w:w="328"/>
      </w:tblGrid>
      <w:t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6,554</w:t>
            </w:r>
          </w:p>
        </w:tc>
      </w:tr>
      <w:t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ACCRUED EXPENSES AND OTHER CURRENT LIABILITIES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elements of Accrued expenses and other current liabilities are as follows as of:</w:t>
      </w:r>
    </w:p>
    <w:p>
      <w:pPr>
        <w:pStyle w:val="TextBody"/>
        <w:bidi w:val="0"/>
        <w:spacing w:before="0" w:after="0"/>
        <w:jc w:val="both"/>
      </w:pPr>
      <w:r/>
    </w:p>
    <w:tbl>
      <w:tblPr>
        <w:tblW w:w="6744" w:type="dxa"/>
        <w:jc w:val="left"/>
        <w:tblInd w:w="0" w:type="dxa"/>
        <w:tblLayout w:type="fixed"/>
        <w:tblCellMar>
          <w:top w:w="28" w:type="dxa"/>
          <w:left w:w="28" w:type="dxa"/>
          <w:bottom w:w="28" w:type="dxa"/>
          <w:right w:w="28" w:type="dxa"/>
        </w:tblCellMar>
      </w:tblPr>
      <w:tblGrid>
        <w:gridCol w:w="1208"/>
        <w:gridCol w:w="1063"/>
        <w:gridCol w:w="1073"/>
        <w:gridCol w:w="348"/>
        <w:gridCol w:w="988"/>
        <w:gridCol w:w="193"/>
        <w:gridCol w:w="109"/>
        <w:gridCol w:w="109"/>
        <w:gridCol w:w="109"/>
        <w:gridCol w:w="334"/>
        <w:gridCol w:w="948"/>
        <w:gridCol w:w="262"/>
      </w:tblGrid>
      <w:tr>
        <w:tc>
          <w:tcPr>
            <w:tcW w:w="120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rebates and distributor chargebacks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tax payable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34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CREDIT AGREEMENTS AND BORROWINGS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Current portion of long-term borrowings and other short-term borrowings consists of the following as of:</w:t>
      </w:r>
    </w:p>
    <w:tbl>
      <w:tblPr>
        <w:tblW w:w="6085" w:type="dxa"/>
        <w:jc w:val="left"/>
        <w:tblInd w:w="0" w:type="dxa"/>
        <w:tblLayout w:type="fixed"/>
        <w:tblCellMar>
          <w:top w:w="28" w:type="dxa"/>
          <w:left w:w="28" w:type="dxa"/>
          <w:bottom w:w="28" w:type="dxa"/>
          <w:right w:w="28" w:type="dxa"/>
        </w:tblCellMar>
      </w:tblPr>
      <w:tblGrid>
        <w:gridCol w:w="972"/>
        <w:gridCol w:w="855"/>
        <w:gridCol w:w="858"/>
        <w:gridCol w:w="470"/>
        <w:gridCol w:w="795"/>
        <w:gridCol w:w="264"/>
        <w:gridCol w:w="109"/>
        <w:gridCol w:w="109"/>
        <w:gridCol w:w="109"/>
        <w:gridCol w:w="443"/>
        <w:gridCol w:w="750"/>
        <w:gridCol w:w="351"/>
      </w:tblGrid>
      <w:t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Current portion of long-term debt </w:t>
            </w:r>
            <w:r>
              <w:rPr>
                <w:rFonts w:ascii="Times New Roman;serif" w:hAnsi="Times New Roman;serif"/>
                <w:b w:val="false"/>
                <w:color w:val="000000"/>
                <w:sz w:val="12"/>
              </w:rPr>
              <w:t>(1)</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short-term debt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pPr>
      <w:r>
        <w:rPr>
          <w:rFonts w:ascii="Times New Roman;serif" w:hAnsi="Times New Roman;serif"/>
          <w:b w:val="false"/>
          <w:color w:val="000000"/>
          <w:sz w:val="12"/>
        </w:rPr>
        <w:t xml:space="preserve">(1) </w:t>
      </w:r>
      <w:r>
        <w:rPr>
          <w:rFonts w:ascii="Times New Roman;serif" w:hAnsi="Times New Roman;serif"/>
          <w:b w:val="false"/>
          <w:color w:val="000000"/>
          <w:sz w:val="18"/>
        </w:rPr>
        <w:t>Consists of a portion of the secured Dollar Term Loans (as defined herein) bearing variable interest rate.</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95250"/>
                <wp:effectExtent l="0" t="0" r="0" b="0"/>
                <wp:wrapNone/>
                <wp:docPr id="18" name="Frame1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long-term borrowings and the effective interest rates are summarized as follows as of:</w:t>
      </w:r>
    </w:p>
    <w:tbl>
      <w:tblPr>
        <w:tblW w:w="10205" w:type="dxa"/>
        <w:jc w:val="left"/>
        <w:tblInd w:w="0" w:type="dxa"/>
        <w:tblLayout w:type="fixed"/>
        <w:tblCellMar>
          <w:top w:w="28" w:type="dxa"/>
          <w:left w:w="28" w:type="dxa"/>
          <w:bottom w:w="28" w:type="dxa"/>
          <w:right w:w="28" w:type="dxa"/>
        </w:tblCellMar>
      </w:tblPr>
      <w:tblGrid>
        <w:gridCol w:w="783"/>
        <w:gridCol w:w="688"/>
        <w:gridCol w:w="693"/>
        <w:gridCol w:w="349"/>
        <w:gridCol w:w="349"/>
        <w:gridCol w:w="351"/>
        <w:gridCol w:w="109"/>
        <w:gridCol w:w="109"/>
        <w:gridCol w:w="109"/>
        <w:gridCol w:w="199"/>
        <w:gridCol w:w="657"/>
        <w:gridCol w:w="110"/>
        <w:gridCol w:w="109"/>
        <w:gridCol w:w="109"/>
        <w:gridCol w:w="109"/>
        <w:gridCol w:w="452"/>
        <w:gridCol w:w="415"/>
        <w:gridCol w:w="979"/>
        <w:gridCol w:w="109"/>
        <w:gridCol w:w="109"/>
        <w:gridCol w:w="109"/>
        <w:gridCol w:w="199"/>
        <w:gridCol w:w="657"/>
        <w:gridCol w:w="110"/>
        <w:gridCol w:w="109"/>
        <w:gridCol w:w="109"/>
        <w:gridCol w:w="109"/>
        <w:gridCol w:w="427"/>
        <w:gridCol w:w="387"/>
        <w:gridCol w:w="1092"/>
      </w:tblGrid>
      <w:t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Maturity dates </w:t>
              <w:br/>
              <w:t>by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r>
      <w:t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Long-term borrowings</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unsecured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debt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2029 - 2033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6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r>
      <w:t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2026 - 2033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due within one year</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long-term borrowings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deferred financing costs and embedded derivative related to the Dollar Term Loans (as defined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Long-Term Borrowings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Senior Secured and Unsecured Notes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Senior Notes comprise the 2029 Notes, the 2031 Notes, and the 2033 Notes.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2029 Notes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the Company issued senior secured notes with a principal amount of $4,500 million, at a fixed rate of 3.875% and maturity date of April 1, 2029 and senior unsecured notes with a principal amount of $2,500 million at a fixed rate of 5.250% with a maturity date of October 1, 2029. </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Company issued senior secured notes with a principal amount of $1,500 million at a fixed rate of 6.250% and a maturity date of April 1, 2029. On May 28, 2026, the Company redeemed $500 million of the 6.250% senior secured notes due 2029.</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2031 Notes and 2033 Notes</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May 28, 2026, the Company issued senior secured notes with a principal amount of $1,250 million, at a fixed rate of 5.000% and a maturity date of June 15, 2031, and senior secured notes with a principal amount of $750 million, at a fixed rate of 5.250% and a maturity date of June 15, 2033.</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Interest on the Senior Notes is payable in cash on a semi-annual basis. Interest on the 2029 Notes is payable in arrears on April 1 and October 1 of each calendar year. Interest on the 2031 Notes and the 2033 Notes is payable in arrears on June 15 and December 15 of each calendar year, commencing on December 15,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95250"/>
                <wp:effectExtent l="0" t="0" r="0" b="0"/>
                <wp:wrapNone/>
                <wp:docPr id="19" name="Frame1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v:textbox>
                <w10:wrap type="none"/>
              </v:rect>
            </w:pict>
          </mc:Fallback>
        </mc:AlternateContent>
      </w:r>
    </w:p>
    <w:p>
      <w:pPr>
        <w:pStyle w:val="TextBody"/>
        <w:bidi w:val="0"/>
        <w:spacing w:before="0" w:after="0"/>
        <w:jc w:val="both"/>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88" w:before="0" w:after="0"/>
        <w:jc w:val="both"/>
      </w:pPr>
      <w:r>
        <w:rPr>
          <w:rFonts w:ascii="Times New Roman;serif" w:hAnsi="Times New Roman;serif"/>
          <w:b/>
          <w:i/>
          <w:color w:val="000000"/>
          <w:sz w:val="20"/>
        </w:rPr>
        <w:t>Term Loan Facilities</w:t>
      </w:r>
      <w:r>
        <w:rPr>
          <w:color w:val="000000"/>
        </w:rPr>
        <w:t xml:space="preserve">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2021, the Company borrowed $7,270 million under a senior secured term loan facility (the “Dollar Term Loans”), in addition to €435 million under a separate euro-denominated senior secured term loan facility (the “Euro Term Loans”), both established under a credit agreement (the “Credit Agreement”). The Credit Agreement permits the Company, at any time, subject to customary conditions, to request incremental term loans or incremental revolving credit commitments in an aggregate principal amount of up to (a) the greater of (1) $2,375 million and (2) an amount equal to 100% of the Company’s trailing consolidated EBITDA (as defined in the Credit Agreement)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Credit Agreement underwent three separate amendments. These amendments resulted in an increase of $520 million in the principal amount of the Dollar Term Loans, as well as an increase of €185 million in the aggregate principal amount of the Euro Term Loans. In addition, pursuant to the amendments, the applicable interest rate margins were lowered, resulting in a variable interest rate of Secured Overnight Financing Rate (“SOFR”) plus a spread of 2.25% for the Dollar Term Loans, and a variable interest rate of EURO Interbank Offer Rate plus an applicable spread ranging from 2.25% to 2.75% based on certain of the Company’s debt ratios for the Euro Term Loans.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the Credit Agreement was amended to reduce the margin spread and to extend the maturity of certain obligations. Pursuant to the amendment, all of the Dollar Term Loans are subject to a margin spread of SOFR plus 2.00%. The principal amount of the Dollar Term Loans equal to $4,074 million will mature on October 21, 2028, which remained unchanged, while the principal amount of the Dollar Term Loans equal to $3,500 million will mature on October 23, 2030, extended from the original maturity date.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used a portion of the proceeds from the IPO to prepay a portion of the Dollar Term Loans with a maturity date of October 21, 2028 in the amount of $3,281 million and all of the outstanding principal of the Euro Term Loans, equivalent to $730 million. Per the terms of the Credit Agreement, the completion of the IPO also triggered a reduction in variable interest rate of 0.25%, resulting in a variable interest rate of SOFR plus 1.75% for the remaining Dollar Term Loans.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2026, concurrently with the offering of the 2031 Notes and the 2033 Notes, the Company entered into Amendment No. 7 to the Credit Agreement to amend and extend its existing senior secured dollar-denominated term loan facility due 2030 (the “2030 Term Loan Facility”) with a new senior secured dollar-denominated term loan facility in an aggregate principal amount of $2,750 million (the “2033 Refinancing Term Loan Facility” and, together with the existing revolving credit facility, the “Senior Secured Credit Facilities”). The 2033 Refinancing Term Loan Facility bears a variable interest rate of SOFR plus a spread of 1.5%.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22, 2026, the Company prepaid $750 million in aggregate principal amount of the 2033 Refinancing Term Loan Facility. See Note 17—Subsequent Events for additional information.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dollar-denominated term loan facilities require quarterly amortization payments of 0.25% of the original principal due at each calendar quarter-end. There were $26 million and $38 million amortization payments for the nine months ended September 26, 2026 and September 27, 2025, respectively. The remaining principal balance of dollar-denominated term loan facilities is due in 2033. There were no mandatory amortization payments for the euro-denominated term loan facilities.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5250"/>
                <wp:effectExtent l="0" t="0" r="0" b="0"/>
                <wp:wrapNone/>
                <wp:docPr id="20" name="Frame2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v:textbox>
                <w10:wrap type="none"/>
              </v:rect>
            </w:pict>
          </mc:Fallback>
        </mc:AlternateContent>
      </w:r>
    </w:p>
    <w:p>
      <w:pPr>
        <w:pStyle w:val="TextBody"/>
        <w:bidi w:val="0"/>
        <w:spacing w:before="0" w:after="0"/>
        <w:jc w:val="both"/>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net proceeds from the offering of the 2031 Notes and the 2033 Notes, together with the borrowings under the 2033 Refinancing Term Loan Facility and cash on hand, were used to (i) repay in full all outstanding indebtedness under the Company’s existing senior secured dollar-denominated term loan facility due 2028 of $762 million, (ii) repay $724 million of the 2030 Term Loan Facility, (iii) redeem $500 million of the Issuers’ 6.250% Senior Secured Notes due 2029 and (iv) pay the related fees and expenses with respect to (i) through (iii), the issuance of 2031 Notes and 2033 Notes and the amendment and extension of the 2030 Term Loan Facility.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refinancing transaction on May 28, 2026, the Company recognized debt extinguishment losses of $23 million for the nine months ended September 26, 2026, related to the write-off of unamortized debt discounts and deferred financing costs associated with the debts repaid or refinanced. In addition, the Company incurred third party and lender fees of $1 million and $23 million, which were expensed for the three and nine months ended September 26, 2026, respectively. These costs were included in Other loss, net in the unaudited Condensed Consolidated Statements of Comprehensive Income.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long-term borrowings as of September 26, 2026 and December 31, 2025 was based on recent trades as reported by a third-party bond pricing service and summarized as follows. Due to the infrequency of trades, these inputs are considered to be Level 2 inputs.</w:t>
      </w:r>
    </w:p>
    <w:p>
      <w:pPr>
        <w:pStyle w:val="TextBody"/>
        <w:bidi w:val="0"/>
        <w:spacing w:before="0" w:after="0"/>
        <w:jc w:val="both"/>
      </w:pPr>
      <w:r/>
    </w:p>
    <w:tbl>
      <w:tblPr>
        <w:tblW w:w="5526"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348"/>
        <w:gridCol w:w="988"/>
        <w:gridCol w:w="193"/>
        <w:gridCol w:w="109"/>
        <w:gridCol w:w="109"/>
        <w:gridCol w:w="109"/>
        <w:gridCol w:w="334"/>
        <w:gridCol w:w="948"/>
        <w:gridCol w:w="262"/>
      </w:tblGrid>
      <w:t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17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3.875% fixed 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5.000% fixed 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5.250% fixed 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6.250% fixed 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indentures contain certain affirmative and negative covenants, which require, among other provisions, delivery of the unaudited condensed consolidated financial statements to the relevant note holders. Compliance with the covenants does not significantly impact the Company’s operations. As of September 26, 2026, the Company was in compliance with all applicable covenants.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aggregate principal amounts for the remainder of fiscal year 2026 and over the next four years and thereafter are as follows:</w:t>
      </w:r>
    </w:p>
    <w:p>
      <w:pPr>
        <w:pStyle w:val="TextBody"/>
        <w:bidi w:val="0"/>
        <w:spacing w:before="0" w:after="0"/>
        <w:jc w:val="both"/>
      </w:pPr>
      <w:r/>
    </w:p>
    <w:tbl>
      <w:tblPr>
        <w:tblW w:w="2248" w:type="dxa"/>
        <w:jc w:val="left"/>
        <w:tblInd w:w="0" w:type="dxa"/>
        <w:tblLayout w:type="fixed"/>
        <w:tblCellMar>
          <w:top w:w="28" w:type="dxa"/>
          <w:left w:w="28" w:type="dxa"/>
          <w:bottom w:w="28" w:type="dxa"/>
          <w:right w:w="28" w:type="dxa"/>
        </w:tblCellMar>
      </w:tblPr>
      <w:tblGrid>
        <w:gridCol w:w="358"/>
        <w:gridCol w:w="315"/>
        <w:gridCol w:w="316"/>
        <w:gridCol w:w="248"/>
        <w:gridCol w:w="817"/>
        <w:gridCol w:w="194"/>
      </w:tblGrid>
      <w:t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Debt Maturities</w:t>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Revolving Credit Facilities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certain lenders provided the Company with commitments under a $1,000 million senior secured revolving credit facility under the Credit Agreement (the “Revolving Credit Facility”). </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95250"/>
                <wp:effectExtent l="0" t="0" r="0" b="0"/>
                <wp:wrapNone/>
                <wp:docPr id="21" name="Frame2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br/>
        <w:t>NOTE 5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amendment to the Credit Agreement in 2024 extended the maturity date of the Revolving Credit Facility from October 21, 2026 to July 8, 2029 (subject to a springing maturity 91 days inside of the maturity date of all secured and unsecured notes and term loan facilities) and did not change the maximum borrowing capacity of $1,000 million or any other terms.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28, 2025, the Company amended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26, 2026 and December 31, 2025, the Revolving Credit Facility had several financial institutions as lenders for a maximum borrowing capacity of $1,000 million. The Revolving Credit Facility accrues commitment fees in respect of unfunded commitments thereunder. Letters of credit issued under the Revolving Credit Facility reduce availability under the Revolving Credit Facility dollar-for-dollar. As of September 26, 2026 and December 31, 2025, availability under the Revolving Credit Facility was $962 million and $947 million, respectively, after taking into account outstanding letters of credit of $38 million and $53 million, respectively. The Company had no borrowings under the Revolving Credit Facility during the nine months ended September 26, 2026. During the year ended December 31, 2025, the Company borrowed and repaid $179 million under the Revolving Credit Facility. As a result, there were no amounts outstanding as of September 26, 2026 or December 31, 2025.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which require, among other provisions, delivery of the unaudited condensed consolidated financial statements to the relevant debt holders. As of September 26, 2026, the Company was in compliance with all applicable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6 - INTEREST EXPENSE, NET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Interest expense, net:</w:t>
      </w:r>
    </w:p>
    <w:p>
      <w:pPr>
        <w:pStyle w:val="TextBody"/>
        <w:bidi w:val="0"/>
        <w:spacing w:before="0" w:after="0"/>
        <w:jc w:val="both"/>
      </w:pPr>
      <w:r/>
    </w:p>
    <w:tbl>
      <w:tblPr>
        <w:tblW w:w="9059" w:type="dxa"/>
        <w:jc w:val="left"/>
        <w:tblInd w:w="0" w:type="dxa"/>
        <w:tblLayout w:type="fixed"/>
        <w:tblCellMar>
          <w:top w:w="28" w:type="dxa"/>
          <w:left w:w="28" w:type="dxa"/>
          <w:bottom w:w="28" w:type="dxa"/>
          <w:right w:w="28" w:type="dxa"/>
        </w:tblCellMar>
      </w:tblPr>
      <w:tblGrid>
        <w:gridCol w:w="614"/>
        <w:gridCol w:w="540"/>
        <w:gridCol w:w="541"/>
        <w:gridCol w:w="404"/>
        <w:gridCol w:w="899"/>
        <w:gridCol w:w="227"/>
        <w:gridCol w:w="109"/>
        <w:gridCol w:w="109"/>
        <w:gridCol w:w="109"/>
        <w:gridCol w:w="404"/>
        <w:gridCol w:w="899"/>
        <w:gridCol w:w="227"/>
        <w:gridCol w:w="109"/>
        <w:gridCol w:w="109"/>
        <w:gridCol w:w="109"/>
        <w:gridCol w:w="404"/>
        <w:gridCol w:w="899"/>
        <w:gridCol w:w="227"/>
        <w:gridCol w:w="109"/>
        <w:gridCol w:w="109"/>
        <w:gridCol w:w="109"/>
        <w:gridCol w:w="404"/>
        <w:gridCol w:w="899"/>
        <w:gridCol w:w="227"/>
        <w:gridCol w:w="109"/>
        <w:gridCol w:w="154"/>
      </w:tblGrid>
      <w:t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977" w:type="dxa"/>
            <w:gridSpan w:val="14"/>
            <w:tcBorders/>
          </w:tcPr>
          <w:p>
            <w:pPr>
              <w:pStyle w:val="TableContents"/>
              <w:bidi w:val="0"/>
              <w:spacing w:before="0" w:after="283"/>
              <w:jc w:val="left"/>
              <w:rPr>
                <w:sz w:val="4"/>
                <w:szCs w:val="4"/>
              </w:rPr>
            </w:pPr>
            <w:r>
              <w:rPr>
                <w:sz w:val="4"/>
                <w:szCs w:val="4"/>
              </w:rPr>
            </w:r>
          </w:p>
        </w:tc>
      </w:tr>
      <w:t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 net</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TAX RECEIVABLE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entered into a TRA with certain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certain entities that are taxable as corporations for U.S. federal income tax purposes through which the pre-IPO owners held their interest in Medline Holdings prior to the IPO, which Medline Inc. acquired in connection with the IPO, and (iv) certain other tax benefits related to entering into the TRA, including tax benefits attributable to payments under the TRA. </w:t>
      </w:r>
    </w:p>
    <w:p>
      <w:pPr>
        <w:pStyle w:val="TextBody"/>
        <w:bidi w:val="0"/>
        <w:spacing w:before="0" w:after="0"/>
        <w:jc w:val="both"/>
      </w:pPr>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95250"/>
                <wp:effectExtent l="0" t="0" r="0" b="0"/>
                <wp:wrapNone/>
                <wp:docPr id="22" name="Frame2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v:textbox>
                <w10:wrap type="none"/>
              </v:rect>
            </w:pict>
          </mc:Fallback>
        </mc:AlternateContent>
      </w:r>
    </w:p>
    <w:p>
      <w:pPr>
        <w:pStyle w:val="TextBody"/>
        <w:bidi w:val="0"/>
        <w:spacing w:before="0" w:after="0"/>
        <w:jc w:val="both"/>
      </w:pPr>
      <w:r/>
    </w:p>
    <w:p>
      <w:pPr>
        <w:pStyle w:val="TextBody"/>
        <w:bidi w:val="0"/>
        <w:spacing w:before="0" w:after="0"/>
        <w:jc w:val="both"/>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TAX RECEIVABLE AGREEMENT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or exchanges of Common Units by their holders to Medline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Actual tax benefits realized by Medline Inc. may differ from tax benefits calculated under the TRA as a result of the use of certain assumptions in the TRA, including the use of an assumed weighted-average state and local income tax rate of 6% (as adjusted to take into account the U.S. federal tax benefit of such taxes) to calculate the tax benefits. This payment obligation is an obligation of Medline Inc. and not of Medline Holdings. Changes in the estimate of expected tax benefits Medline would realize and the amount payable under the TRA as a result of changes in tax rates will be reflected in the unaudited Condensed Consolidated Statements of Comprehensive Income.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The balance of the TRA liability was $4,415 million and $3,542 million as of September 26, 2026 and December 31, 2025, respectively. As of September 26, 2026, $12 million was included in Accrued expenses and other current liabilities with the remainder in Tax receivable agreement liability in the unaudited Condensed Consolidated Balance Sheets. The Company’s TRA liability increased by $873 million due to the effects of the May 2026 Resale Offering, the March 2026 Resale Offering, and other exchanges of Incentive Units and Common Units during the nine months ended September 26, 2026. The Company did not make any payment pursuant to the TRA or record a remeasurement adjustment during the nine months ended September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17.80% and 6.86% for the three months ended September 26, 2026 and September 27, 2025, respectively, and 23.73% and 6.30% for the nine months ended September 26, 2026 and September 27, 2025, respectively. The Company’s effective income tax rate can differ from the 21% U.S. federal statutory rate due to a number of factors, including the operating partnership, tax incentives, foreign rate differences, state income taxes, non-deductible expenses, and non-taxable income. The increase in the effective income tax rate as compared to prior year is primarily driven by the Reorganization in connection with the IPO, which resulted in a greater portion of income being subject to U.S. federal and state income taxes. Prior to the completion of the IPO, the Company executed the Reorganization, resulting in Medline Inc. becoming the sole general partner of Medline Holdings, with its sole material asset being a controlling equity interest in Medline Holdings. Following the IPO, Medline Inc. is required to pay U.S. federal and state income taxes as a corporation on its share of Medline Holdings’ taxable income.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26, 2026, the Company’s effective tax rate differed from the 21% U.S. federal statutory rate primarily due to its organizational structure and ownership composition, including noncontrolling interests of Medline Holdings. The effective tax rate is higher for the nine months ended September 26, 2026 due to the impact of the net losses incurred as a result of the fire at the Company’s distribution center in Tracy, California for which no tax benefit is recorded at this time. The ultimate tax impact may differ as additional losses, costs, insurance recoveries, and other related matters are determined.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27, 2025, the Company’s effective tax rate differed from the 21% U.S. federal statutory rate primarily due to the operating partnership, tax incentives, foreign rate differences, state income taxes, non-deductible expenses, and non-taxable income.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and the IPO, the Company also entered into a TRA with certain pre-IPO owners. See Note 7—Tax Receivable Agreement for additional information. During the nine months ended September 26, 2026, the Company recorded additional TRA liability of $873 million and additional deferred tax assets of $394 million (net of a $215 million valuation allowance), principally due to the effects of the May 2026 Resale Offering, the March 2026 Resale Offering, and other exchanges of Incentive Units and Common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95250"/>
                <wp:effectExtent l="0" t="0" r="0" b="0"/>
                <wp:wrapNone/>
                <wp:docPr id="23" name="Frame2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379" w:type="dxa"/>
        <w:jc w:val="left"/>
        <w:tblInd w:w="0" w:type="dxa"/>
        <w:tblLayout w:type="fixed"/>
        <w:tblCellMar>
          <w:top w:w="28" w:type="dxa"/>
          <w:left w:w="28" w:type="dxa"/>
          <w:bottom w:w="28" w:type="dxa"/>
          <w:right w:w="28" w:type="dxa"/>
        </w:tblCellMar>
      </w:tblPr>
      <w:tblGrid>
        <w:gridCol w:w="441"/>
        <w:gridCol w:w="387"/>
        <w:gridCol w:w="551"/>
      </w:tblGrid>
      <w:tr>
        <w:tc>
          <w:tcPr>
            <w:tcW w:w="44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MEDLINE INC.</w:t>
            </w:r>
          </w:p>
        </w:tc>
      </w:tr>
      <w:tr>
        <w:tc>
          <w:tcPr>
            <w:tcW w:w="1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litigation matters, subject to policy limits, applicable deductibles and insurer solvency. The Company establishes reserves from time to time based upon periodic assessment of the potential outcomes of pending matters.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Starting in January 2019, the Company was named as a defendant in mass tort litigation in Cook County, Illinois involving claims by approximately 380 plaintiffs who alleged personal injuries associated with the Company’s ethylene oxide activities in Lake County, Illinois. In October 2023, the Company agreed to a settlement with all but five existing plaintiffs, which was finalized in March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actively pursuing litigation with its excess insurance carriers related to their obligations to reimburse the Company for substantially all unreimbursed settlement payments and fees incurred in connection with the lawsuits described above. The Company has not recorded a receivable for expected recoveries of the remaining settlement payments and fees from excess insurance carriers as of September 26, 2026.</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2023, the Company received a letter from the San Joaquin County District Attorney’s Office, in cooperation with certain other California District Attorneys, notifying the Company of an investigation into alleged violations with respect to the Company’s management and disposal of hazardous materials, hazardous waste, universal waste, and medical waste at its California facilities.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reached an agreed resolution in this matter, as set forth in a proposed stipulated judgment that was signed by the Company and the District Attorneys on May 29, 2026, and filed with the Superior Court of the State of California for the County of San Joaquin on June 2, 2026, along with a civil complaint setting forth the allegations addressed in the stipulated judgment. The Court approved the stipulated judgment on June 3, 2026. The resolution includes aggregate payments of $900,000, consisting of a civil penalty of $750,000 and reimbursement of certain investigation- and enforcement-related costs of $150,000, of which $525,000 was paid as of September 26, 2026. The settlement also includes certain injunctive relief, including requirements that the Company conduct waste audits at its California facilities and provide status updates for a specified number of years.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current knowledge and the advice of legal counsel, management believes that the reserve as of September 26, 2026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unaudited condensed consolidated financial statements.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Impacts of Tariff Refunds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U.S. Supreme Court ruled that the International Emergency Economic Powers Act (“IEEPA”) does not authorize the President to impose tariffs. Following that decision, U.S. Customs and Border Protection (“CBP”) established an expedited administrative process through its Consolidated Administration and Processing of Entries (“CAPE”) portal to refund IEEPA duties that had already been paid.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95250"/>
                <wp:effectExtent l="0" t="0" r="0" b="0"/>
                <wp:wrapNone/>
                <wp:docPr id="24" name="Frame2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26, 2026, CBP had accepted approximately $402 million in total refunds the Company has submitted, and actions to recover the remaining expected amounts are ongoing. The Company evaluates recoveries of IEEPA tariffs in accordance with applicable gain contingency guidance and recognizes such recoveries when they are received or realizable. As of September 26, 2026, of the accepted claims, the Company had received approximately $399 million in refunds. Accordingly, the Company recorded a receivable of approximately $3 million within Other current assets related to the remaining accepted refund claims as of September 26, 2026. Interest associated with refunded IEEPA tariffs is recognized in the period in which it is received or realizable. The Company expects to remit a portion of the tariff refunds to customers. As of September 26, 2026, the Company recorded approximately $78 million within Accrued expenses and other current liabilities for the total amount estimated to be remitted to customers in connection with total tariff refund claims expected.</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26, 2026, the Company recognized approximately $70 million and $402 million, respectively, as a reduction of Cost of goods sold related to tariff refunds received or accepted and approximately $4 million and $18 million, respectively, of interest income in Interest expense, net. During the three and nine months ended September 26, 2026, the Company recognized an $11 million increase and $78 million reduction, respectively, in Net sales related to customer repayments associated with tariff refunds. The increase recognized during the three-month period reflected a reduction in estimated customer repayments. These amounts were recorded entirely within the Medline Brand segment.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ultimate amount and timing of the IEEPA tariff refunds not yet received are subject to eligibility requirements, regulatory review, administrative processing, and other limitations.</w:t>
      </w:r>
    </w:p>
    <w:p>
      <w:pPr>
        <w:pStyle w:val="TextBody"/>
        <w:bidi w:val="0"/>
        <w:spacing w:before="0" w:after="0"/>
        <w:jc w:val="both"/>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Tracy, California Distribution Center</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11, 2026, a fire destroyed the Company's distribution center in Tracy, California. As of September 26, 2026, the Company has received and recognized $100 million of insurance recoveries related to the fire. The Company may incur additional losses and costs in future periods associated with the fire and its related impacts. The Company is working closely with its insurance carriers as it finalizes and submits appliable claims. While the Company expects to recover these amounts, the ultimate amount and timing of additional recoveries is not guaranteed and will be determined as the claims process progresses. See Note 1—Nature of Business and Significant Accounting Policies for additional information. </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Unconditional purchase obligations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Purchases made under the unconditional purchase obligations were $43 million, $58 million, $137 million and $151 million for the three and nine months ended September 26, 2026, and September 27,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5250"/>
                <wp:effectExtent l="0" t="0" r="0" b="0"/>
                <wp:wrapNone/>
                <wp:docPr id="25" name="Frame2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26, 2026, future obligations related to commitments for the remainder of fiscal year 2026 and over the next four years and thereafter are as follows:</w:t>
      </w:r>
    </w:p>
    <w:p>
      <w:pPr>
        <w:pStyle w:val="TextBody"/>
        <w:bidi w:val="0"/>
        <w:spacing w:before="0" w:after="0"/>
        <w:jc w:val="both"/>
      </w:pPr>
      <w:r/>
    </w:p>
    <w:tbl>
      <w:tblPr>
        <w:tblW w:w="1760" w:type="dxa"/>
        <w:jc w:val="left"/>
        <w:tblInd w:w="0" w:type="dxa"/>
        <w:tblLayout w:type="fixed"/>
        <w:tblCellMar>
          <w:top w:w="28" w:type="dxa"/>
          <w:left w:w="28" w:type="dxa"/>
          <w:bottom w:w="28" w:type="dxa"/>
          <w:right w:w="28" w:type="dxa"/>
        </w:tblCellMar>
      </w:tblPr>
      <w:tblGrid>
        <w:gridCol w:w="358"/>
        <w:gridCol w:w="315"/>
        <w:gridCol w:w="316"/>
        <w:gridCol w:w="196"/>
        <w:gridCol w:w="421"/>
        <w:gridCol w:w="154"/>
      </w:tblGrid>
      <w:t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descriptions of the valuation methods and assumptions used by the Company to estimate the fair values of investments apply to all investments held directly by the Company:</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Contracts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incorporates credit valuation adjustments to appropriately reflect both the Company’s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September 26, 2026 and December 31, 2025 were classified as Level 2 of the fair value hierarchy.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11—Derivatives and Hedging Activities Risk Management for additional information regarding interest rate contracts.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Acquisition-Related Contingent Consideration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payments related to acquisition-related contingent consideration that required fair value measurement every reporting period. The fair value of the contingent payments was reported as the present value of the expected amount to settle the obligation using discounted cash flow techniques which included significant assumptions. The significant unobservable inputs used in the determination of the fair value of the contingent consideration are classified as Level 3, which is unchanged from the classification as of December 31,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95250"/>
                <wp:effectExtent l="0" t="0" r="0" b="0"/>
                <wp:wrapNone/>
                <wp:docPr id="26" name="Frame2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 FAIR VALUE MEASUREMENTS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Short-Term Investments in Time Deposits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invests a portion of its excess cash in time deposits. The deposits with original maturities of longer than 90 days are not considered a cash equivalent and are reported at fair value within Short-term investments in the unaudited Condensed Consolidated Balance Sheets. As of September 26, 2026 the aggregate fair value of these deposits was $1,287 million. As of December 31, 2025, the Company held time deposits, none of which had original maturities exceeding 90 days. The fair value of these deposits is determined by discounted cash flow techniques that reflect the contractual cash flows through maturity and observable market-based discount rate obtained from a third-party pricing service for matching credit quality and terms. As a result, these time deposits were classified as Level 2 of the fair value hierarchy.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are summarized below:</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824"/>
        <w:gridCol w:w="606"/>
        <w:gridCol w:w="590"/>
        <w:gridCol w:w="730"/>
        <w:gridCol w:w="1514"/>
        <w:gridCol w:w="406"/>
        <w:gridCol w:w="109"/>
        <w:gridCol w:w="109"/>
        <w:gridCol w:w="109"/>
        <w:gridCol w:w="315"/>
        <w:gridCol w:w="895"/>
        <w:gridCol w:w="176"/>
        <w:gridCol w:w="109"/>
        <w:gridCol w:w="109"/>
        <w:gridCol w:w="109"/>
        <w:gridCol w:w="577"/>
        <w:gridCol w:w="1200"/>
        <w:gridCol w:w="323"/>
        <w:gridCol w:w="109"/>
        <w:gridCol w:w="109"/>
        <w:gridCol w:w="109"/>
        <w:gridCol w:w="229"/>
        <w:gridCol w:w="652"/>
        <w:gridCol w:w="187"/>
      </w:tblGrid>
      <w:tr>
        <w:tc>
          <w:tcPr>
            <w:tcW w:w="8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r>
      <w:tr>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c>
          <w:tcPr>
            <w:tcW w:w="2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c>
          <w:tcPr>
            <w:tcW w:w="2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 (time deposits)</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0" w:type="dxa"/>
            <w:gridSpan w:val="3"/>
            <w:tcBorders/>
            <w:vAlign w:val="center"/>
          </w:tcPr>
          <w:p>
            <w:pPr>
              <w:pStyle w:val="TableContents"/>
              <w:bidi w:val="0"/>
              <w:spacing w:before="0" w:after="283"/>
              <w:jc w:val="left"/>
              <w:rPr>
                <w:sz w:val="4"/>
                <w:szCs w:val="4"/>
              </w:rPr>
            </w:pPr>
            <w:r>
              <w:rPr>
                <w:sz w:val="4"/>
                <w:szCs w:val="4"/>
              </w:rPr>
            </w:r>
          </w:p>
        </w:tc>
        <w:tc>
          <w:tcPr>
            <w:tcW w:w="2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c>
          <w:tcPr>
            <w:tcW w:w="2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2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0" w:type="dxa"/>
            <w:gridSpan w:val="3"/>
            <w:tcBorders/>
            <w:vAlign w:val="center"/>
          </w:tcPr>
          <w:p>
            <w:pPr>
              <w:pStyle w:val="TableContents"/>
              <w:bidi w:val="0"/>
              <w:spacing w:before="0" w:after="283"/>
              <w:jc w:val="left"/>
              <w:rPr>
                <w:sz w:val="4"/>
                <w:szCs w:val="4"/>
              </w:rPr>
            </w:pPr>
            <w:r>
              <w:rPr>
                <w:sz w:val="4"/>
                <w:szCs w:val="4"/>
              </w:rPr>
            </w:r>
          </w:p>
        </w:tc>
        <w:tc>
          <w:tcPr>
            <w:tcW w:w="2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c>
          <w:tcPr>
            <w:tcW w:w="2020" w:type="dxa"/>
            <w:gridSpan w:val="3"/>
            <w:tcBorders/>
            <w:vAlign w:val="center"/>
          </w:tcPr>
          <w:p>
            <w:pPr>
              <w:pStyle w:val="TableContents"/>
              <w:bidi w:val="0"/>
              <w:spacing w:before="0" w:after="283"/>
              <w:jc w:val="left"/>
              <w:rPr>
                <w:sz w:val="4"/>
                <w:szCs w:val="4"/>
              </w:rPr>
            </w:pPr>
            <w:r>
              <w:rPr>
                <w:sz w:val="4"/>
                <w:szCs w:val="4"/>
              </w:rPr>
            </w:r>
          </w:p>
        </w:tc>
        <w:tc>
          <w:tcPr>
            <w:tcW w:w="2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c>
          <w:tcPr>
            <w:tcW w:w="2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2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0" w:type="dxa"/>
            <w:gridSpan w:val="3"/>
            <w:tcBorders/>
            <w:vAlign w:val="center"/>
          </w:tcPr>
          <w:p>
            <w:pPr>
              <w:pStyle w:val="TableContents"/>
              <w:bidi w:val="0"/>
              <w:spacing w:before="0" w:after="283"/>
              <w:jc w:val="left"/>
              <w:rPr>
                <w:sz w:val="4"/>
                <w:szCs w:val="4"/>
              </w:rPr>
            </w:pPr>
            <w:r>
              <w:rPr>
                <w:sz w:val="4"/>
                <w:szCs w:val="4"/>
              </w:rPr>
            </w:r>
          </w:p>
        </w:tc>
        <w:tc>
          <w:tcPr>
            <w:tcW w:w="2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c>
          <w:tcPr>
            <w:tcW w:w="2020" w:type="dxa"/>
            <w:gridSpan w:val="3"/>
            <w:tcBorders/>
            <w:vAlign w:val="center"/>
          </w:tcPr>
          <w:p>
            <w:pPr>
              <w:pStyle w:val="TableContents"/>
              <w:bidi w:val="0"/>
              <w:spacing w:before="0" w:after="283"/>
              <w:jc w:val="left"/>
              <w:rPr>
                <w:sz w:val="4"/>
                <w:szCs w:val="4"/>
              </w:rPr>
            </w:pPr>
            <w:r>
              <w:rPr>
                <w:sz w:val="4"/>
                <w:szCs w:val="4"/>
              </w:rPr>
            </w:r>
          </w:p>
        </w:tc>
        <w:tc>
          <w:tcPr>
            <w:tcW w:w="2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c>
          <w:tcPr>
            <w:tcW w:w="2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2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763"/>
        <w:gridCol w:w="548"/>
        <w:gridCol w:w="539"/>
        <w:gridCol w:w="763"/>
        <w:gridCol w:w="1581"/>
        <w:gridCol w:w="424"/>
        <w:gridCol w:w="109"/>
        <w:gridCol w:w="109"/>
        <w:gridCol w:w="109"/>
        <w:gridCol w:w="390"/>
        <w:gridCol w:w="810"/>
        <w:gridCol w:w="218"/>
        <w:gridCol w:w="109"/>
        <w:gridCol w:w="109"/>
        <w:gridCol w:w="109"/>
        <w:gridCol w:w="595"/>
        <w:gridCol w:w="1236"/>
        <w:gridCol w:w="333"/>
        <w:gridCol w:w="109"/>
        <w:gridCol w:w="109"/>
        <w:gridCol w:w="109"/>
        <w:gridCol w:w="280"/>
        <w:gridCol w:w="513"/>
        <w:gridCol w:w="231"/>
      </w:tblGrid>
      <w:tr>
        <w:tc>
          <w:tcPr>
            <w:tcW w:w="7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c>
          <w:tcPr>
            <w:tcW w:w="1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0"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c>
          <w:tcPr>
            <w:tcW w:w="1850"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2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7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unaudited Condensed Consolidated Balance Sheets and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95250"/>
                <wp:effectExtent l="0" t="0" r="0" b="0"/>
                <wp:wrapNone/>
                <wp:docPr id="27" name="Frame2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DERIVATIVES AND HEDGING ACTIVITIES RISK MANAGEMENT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Risk Management Objective of Using Derivatives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is determined by interest rates or foreign currency exchange rates. The Company’s derivative financial instruments are used to manage differences in the amount, timing, and duration of the Company’s known or expected cash receipts and payments principally related to the Company’s borrowings and acquisitions.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 Hedges of Interest Rate Risk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Interest rate swaps involve the receipt of variable amounts from a counterparty in exchange for the Company making fixed-rate payments over the life of the agreements without exchange of the underlying notional amount. Interest rate caps involve the receipt of variable amounts from a counterparty if interest rates rise above the strike rate on the contract in exchange for a premium. During the nine months ended September 26, 2026 and September 27, 2025, certain such interest rate derivatives were used to hedge the variable cash flows associated with existing variable-rate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reported in Accumulated other comprehensive (loss) income (“AOCI”) related to derivatives will be reclassified to Interest expense, net, as interest payments are made on the Company’s variable-rate debt. The Company estimates that $13 million will be reclassified as a decrease to interest expense within one year after September 26, 2026.</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outstanding interest rate derivatives are summarized as follows: </w:t>
      </w:r>
    </w:p>
    <w:p>
      <w:pPr>
        <w:pStyle w:val="TextBody"/>
        <w:bidi w:val="0"/>
        <w:spacing w:before="0" w:after="0"/>
        <w:jc w:val="both"/>
      </w:pPr>
      <w:r/>
    </w:p>
    <w:tbl>
      <w:tblPr>
        <w:tblW w:w="10175" w:type="dxa"/>
        <w:jc w:val="left"/>
        <w:tblInd w:w="0" w:type="dxa"/>
        <w:tblLayout w:type="fixed"/>
        <w:tblCellMar>
          <w:top w:w="28" w:type="dxa"/>
          <w:left w:w="28" w:type="dxa"/>
          <w:bottom w:w="28" w:type="dxa"/>
          <w:right w:w="28" w:type="dxa"/>
        </w:tblCellMar>
      </w:tblPr>
      <w:tblGrid>
        <w:gridCol w:w="1091"/>
        <w:gridCol w:w="961"/>
        <w:gridCol w:w="963"/>
        <w:gridCol w:w="255"/>
        <w:gridCol w:w="255"/>
        <w:gridCol w:w="256"/>
        <w:gridCol w:w="109"/>
        <w:gridCol w:w="109"/>
        <w:gridCol w:w="109"/>
        <w:gridCol w:w="294"/>
        <w:gridCol w:w="833"/>
        <w:gridCol w:w="163"/>
        <w:gridCol w:w="110"/>
        <w:gridCol w:w="110"/>
        <w:gridCol w:w="110"/>
        <w:gridCol w:w="409"/>
        <w:gridCol w:w="409"/>
        <w:gridCol w:w="411"/>
        <w:gridCol w:w="109"/>
        <w:gridCol w:w="109"/>
        <w:gridCol w:w="109"/>
        <w:gridCol w:w="293"/>
        <w:gridCol w:w="833"/>
        <w:gridCol w:w="163"/>
        <w:gridCol w:w="109"/>
        <w:gridCol w:w="109"/>
        <w:gridCol w:w="109"/>
        <w:gridCol w:w="373"/>
        <w:gridCol w:w="373"/>
        <w:gridCol w:w="529"/>
      </w:tblGrid>
      <w:t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Designated cash flow hedges: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r>
      <w:t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Undesignated derivative instruments: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caps with notional value of $1,000 million in 2023, which took effect on December 31, 2025 and mature on December 31, 2026.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contractual terms, the notional amounts of interest rate swaps and interest rate caps each decreased in increments of $500 million on December 31, 2025 and 2024,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the financing activities in May 2026, the Company de-designated an interest rate cap contract with a notional value of $500 million and maturity date of December 31, 2026. See Note 5—Credit Agreements and Borrowings for additional information regarding financing activities in May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0510"/>
                <wp:effectExtent l="0" t="0" r="0" b="0"/>
                <wp:wrapNone/>
                <wp:docPr id="28" name="Frame28"/>
                <a:graphic xmlns:a="http://schemas.openxmlformats.org/drawingml/2006/main">
                  <a:graphicData uri="http://schemas.microsoft.com/office/word/2010/wordprocessingShape">
                    <wps:wsp>
                      <wps:cNvSpPr txBox="1"/>
                      <wps:spPr>
                        <a:xfrm>
                          <a:off x="0" y="0"/>
                          <a:ext cx="6480175" cy="270510"/>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DERIVATIVES AND HEDGING ACTIVITIES RISK MANAGEMENT (Continued)</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Gains and Losses on Hedging Instruments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cash flow hedge accounting on AOCI for each reporting period:</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528"/>
        <w:gridCol w:w="444"/>
        <w:gridCol w:w="446"/>
        <w:gridCol w:w="469"/>
        <w:gridCol w:w="469"/>
        <w:gridCol w:w="470"/>
        <w:gridCol w:w="109"/>
        <w:gridCol w:w="109"/>
        <w:gridCol w:w="109"/>
        <w:gridCol w:w="274"/>
        <w:gridCol w:w="274"/>
        <w:gridCol w:w="275"/>
        <w:gridCol w:w="109"/>
        <w:gridCol w:w="109"/>
        <w:gridCol w:w="109"/>
        <w:gridCol w:w="279"/>
        <w:gridCol w:w="581"/>
        <w:gridCol w:w="158"/>
        <w:gridCol w:w="109"/>
        <w:gridCol w:w="109"/>
        <w:gridCol w:w="109"/>
        <w:gridCol w:w="306"/>
        <w:gridCol w:w="540"/>
        <w:gridCol w:w="172"/>
        <w:gridCol w:w="109"/>
        <w:gridCol w:w="109"/>
        <w:gridCol w:w="109"/>
        <w:gridCol w:w="109"/>
        <w:gridCol w:w="124"/>
        <w:gridCol w:w="124"/>
        <w:gridCol w:w="339"/>
        <w:gridCol w:w="540"/>
        <w:gridCol w:w="139"/>
        <w:gridCol w:w="109"/>
        <w:gridCol w:w="109"/>
        <w:gridCol w:w="109"/>
        <w:gridCol w:w="306"/>
        <w:gridCol w:w="540"/>
        <w:gridCol w:w="172"/>
        <w:gridCol w:w="109"/>
        <w:gridCol w:w="109"/>
        <w:gridCol w:w="109"/>
        <w:gridCol w:w="165"/>
      </w:tblGrid>
      <w:tr>
        <w:tc>
          <w:tcPr>
            <w:tcW w:w="52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837" w:type="dxa"/>
            <w:gridSpan w:val="10"/>
            <w:tcBorders/>
          </w:tcPr>
          <w:p>
            <w:pPr>
              <w:pStyle w:val="TableContents"/>
              <w:bidi w:val="0"/>
              <w:spacing w:before="0" w:after="283"/>
              <w:jc w:val="left"/>
              <w:rPr>
                <w:sz w:val="4"/>
                <w:szCs w:val="4"/>
              </w:rPr>
            </w:pPr>
            <w:r>
              <w:rPr>
                <w:sz w:val="4"/>
                <w:szCs w:val="4"/>
              </w:rPr>
            </w:r>
          </w:p>
        </w:tc>
      </w:tr>
      <w:t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c>
          <w:tcPr>
            <w:tcW w:w="14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300"/>
              <w:jc w:val="left"/>
              <w:rPr>
                <w:rFonts w:ascii="Times New Roman;serif" w:hAnsi="Times New Roman;serif"/>
                <w:b w:val="false"/>
                <w:color w:val="000000"/>
                <w:sz w:val="18"/>
              </w:rPr>
            </w:pPr>
            <w:r>
              <w:rPr>
                <w:rFonts w:ascii="Times New Roman;serif" w:hAnsi="Times New Roman;serif"/>
                <w:b w:val="false"/>
                <w:color w:val="000000"/>
                <w:sz w:val="18"/>
              </w:rPr>
              <w:t xml:space="preserve">Gain (loss) recognized in AOCI </w:t>
            </w:r>
          </w:p>
        </w:tc>
        <w:tc>
          <w:tcPr>
            <w:tcW w:w="140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vMerge w:val="continue"/>
            <w:tcBorders/>
            <w:shd w:fill="CCEEFF" w:val="clear"/>
            <w:tcMar>
              <w:top w:w="0" w:type="dxa"/>
              <w:left w:w="0" w:type="dxa"/>
              <w:bottom w:w="0" w:type="dxa"/>
              <w:right w:w="0" w:type="dxa"/>
            </w:tcMar>
            <w:vAlign w:val="center"/>
          </w:tcPr>
          <w:p>
            <w:pPr>
              <w:pStyle w:val="Normal"/>
              <w:bidi w:val="0"/>
              <w:jc w:val="left"/>
            </w:pPr>
            <w:r/>
          </w:p>
        </w:tc>
        <w:tc>
          <w:tcPr>
            <w:tcW w:w="1408" w:type="dxa"/>
            <w:gridSpan w:val="3"/>
            <w:vMerge w:val="continue"/>
            <w:tcBorders/>
            <w:shd w:fill="CCEEFF" w:val="clear"/>
            <w:tcMar>
              <w:top w:w="0" w:type="dxa"/>
              <w:left w:w="0" w:type="dxa"/>
              <w:bottom w:w="0" w:type="dxa"/>
              <w:right w:w="0" w:type="dxa"/>
            </w:tcMar>
            <w:vAlign w:val="center"/>
          </w:tcPr>
          <w:p>
            <w:pPr>
              <w:pStyle w:val="Normal"/>
              <w:bidi w:val="0"/>
              <w:jc w:val="left"/>
            </w:p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vMerge w:val="continue"/>
            <w:tcBorders/>
            <w:shd w:fill="CCEEFF" w:val="clear"/>
            <w:tcMar>
              <w:top w:w="0" w:type="dxa"/>
              <w:left w:w="0" w:type="dxa"/>
              <w:bottom w:w="0" w:type="dxa"/>
              <w:right w:w="0" w:type="dxa"/>
            </w:tcMar>
            <w:vAlign w:val="center"/>
          </w:tcPr>
          <w:p>
            <w:pPr>
              <w:pStyle w:val="Normal"/>
              <w:bidi w:val="0"/>
              <w:jc w:val="left"/>
            </w:p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Excluded from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reclassified from AOCI into earnings</w:t>
            </w:r>
          </w:p>
        </w:tc>
        <w:tc>
          <w:tcPr>
            <w:tcW w:w="140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vMerge w:val="continue"/>
            <w:tcBorders/>
            <w:shd w:fill="CCEEFF" w:val="clear"/>
            <w:tcMar>
              <w:top w:w="0" w:type="dxa"/>
              <w:left w:w="0" w:type="dxa"/>
              <w:bottom w:w="0" w:type="dxa"/>
              <w:right w:w="0" w:type="dxa"/>
            </w:tcMar>
            <w:vAlign w:val="center"/>
          </w:tcPr>
          <w:p>
            <w:pPr>
              <w:pStyle w:val="Normal"/>
              <w:bidi w:val="0"/>
              <w:jc w:val="left"/>
            </w:pPr>
            <w:r/>
          </w:p>
        </w:tc>
        <w:tc>
          <w:tcPr>
            <w:tcW w:w="1408" w:type="dxa"/>
            <w:gridSpan w:val="3"/>
            <w:vMerge w:val="continue"/>
            <w:tcBorders/>
            <w:shd w:fill="CCEEFF" w:val="clear"/>
            <w:tcMar>
              <w:top w:w="0" w:type="dxa"/>
              <w:left w:w="0" w:type="dxa"/>
              <w:bottom w:w="0" w:type="dxa"/>
              <w:right w:w="0" w:type="dxa"/>
            </w:tcMar>
            <w:vAlign w:val="center"/>
          </w:tcPr>
          <w:p>
            <w:pPr>
              <w:pStyle w:val="Normal"/>
              <w:bidi w:val="0"/>
              <w:jc w:val="left"/>
            </w:p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vMerge w:val="continue"/>
            <w:tcBorders/>
            <w:shd w:fill="CCEEFF" w:val="clear"/>
            <w:tcMar>
              <w:top w:w="0" w:type="dxa"/>
              <w:left w:w="0" w:type="dxa"/>
              <w:bottom w:w="0" w:type="dxa"/>
              <w:right w:w="0" w:type="dxa"/>
            </w:tcMar>
            <w:vAlign w:val="center"/>
          </w:tcPr>
          <w:p>
            <w:pPr>
              <w:pStyle w:val="Normal"/>
              <w:bidi w:val="0"/>
              <w:jc w:val="left"/>
            </w:p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Excluded from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976"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gain (loss) reclassed from AOCI into earnings on designated derivatives is recorded to Interest expense, net in unaudited Condensed Consolidated Statements of Comprehensive Income. The gains and losses on the undesignated derivatives were immaterial for the three and nine months ended September 26, 2026.</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derivatives designated as hedges are classified in the same line item as the cash flows of the hedged transaction within operating activities. Cash flows from undesignated derivatives are classified within investing activities.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Assets and Liabilities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both the designated and undesignated interest rate derivatives at fair value in the unaudited Condensed Consolidated Balance Sheets. The respective assets and liabilities are generally classified as short-term or long-term based on the maturity dates of the derivatives.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classification and fair value of the designated derivatives for each reporting period:</w:t>
      </w:r>
    </w:p>
    <w:p>
      <w:pPr>
        <w:pStyle w:val="TextBody"/>
        <w:bidi w:val="0"/>
        <w:spacing w:before="0" w:after="0"/>
        <w:jc w:val="both"/>
      </w:pPr>
      <w:r/>
    </w:p>
    <w:tbl>
      <w:tblPr>
        <w:tblW w:w="8297"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504"/>
        <w:gridCol w:w="504"/>
        <w:gridCol w:w="506"/>
        <w:gridCol w:w="109"/>
        <w:gridCol w:w="109"/>
        <w:gridCol w:w="109"/>
        <w:gridCol w:w="470"/>
        <w:gridCol w:w="795"/>
        <w:gridCol w:w="264"/>
        <w:gridCol w:w="109"/>
        <w:gridCol w:w="109"/>
        <w:gridCol w:w="109"/>
        <w:gridCol w:w="443"/>
        <w:gridCol w:w="750"/>
        <w:gridCol w:w="351"/>
      </w:tblGrid>
      <w:t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designated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undesignated derivatives was immaterial and was recorded in Other current assets as of September 26, 2026. There were no undesignated derivatives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95250"/>
                <wp:effectExtent l="0" t="0" r="0" b="0"/>
                <wp:wrapNone/>
                <wp:docPr id="29" name="Frame2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completed its IPO and executed the Reorganization that impacted its capital structure. See Note 1—Nature of Business and Significant Accounting Policies for additional information regarding the IPO and Reorganization. </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Structure Prior to IPO and Reorganization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Partners’ Capital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Reorganization and the IPO, Medline Holdings had three classes of authorized units: Class A Units, Class B CUPI Units, and Class B Units.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rights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all three classes of units were limited partners and did not have voting rights (although certain limited partners had certain consent rights as set forth in the Medline Holdings GP, LLC’s Limited Liability Company Agreement (the “GP LLC Agreement”)). Medline Holdings GP, LLC was the general partner of Medline Holdings. Medline Holdings GP, LLC did not hold any units, and it was authorized to take any action and cause Medline Holdings to take any action, subject to the terms of LP Agreement and the GP LLC Agreement.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Distributions and liquidations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both distributions (other than tax distributions) and liquidations, the Class A unit holders would receive 100% of the distributions until the Class A unit holders had received cumulative distributions equal to $1.00 per Class A unit.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Second, except for Operating Distributions (as defined in the LP Agreement), 100% of the remainder of the distributions following the distributions to the Class A Unit holders would be distributed to the holders of Class B CUPI Units until the holders of Class B CUPI Units received cumulative distributions equal to the catch-up amount for such units ($1.00 per Class B CUPI Unit).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Third, the remainder of the distributions would be distributed on a pro rata basis (based on the number of units held and subject to vesting and, with respect to Class B units, deemed unit prices) to the Class A Unit holders, the holders of Class B CUPI units, and the Class B Unit holders, subject to the LP Agreement. Net income and net loss of Medline Holdings were allocated in a manner similar to the foregoing distributions pursuant to the GP LLC Agreement.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rights and privileges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remaining rights and privileges of the holders of all three classes of units were identical.</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A - Mezzanine Equity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 units held by members of management (the “Class A Mezzanine Units”) included a put right that permitted the holders to redeem 50% of their Class A units under conditions outside of the control of the Company. For the periods that management determined it was probable that the Class A Mezzanine Units would become redeemable, the Company had elected to carry the shares at the maximum redemption value, or fair value, in Mezzanine equity in the unaudited Condensed Consolidated Balance Sheets. During the fourth quarter of 2024, management determined that the redemption was no longer probable, and, therefore, no changes in redemption value were recorded, prospectively. The redemption rights terminated upon the IPO, and Class A Mezzanine Units were reclassed to permanent equity.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95250"/>
                <wp:effectExtent l="0" t="0" r="0" b="0"/>
                <wp:wrapNone/>
                <wp:docPr id="30" name="Frame3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 Mezzanine Equity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B CUPI Units and Class B Units also included a put right that permitted holders to redeem 20% of matured Class B Units and 50% of Class B CUPI Units under conditions outside of the control of the Company. During the periods when redemption was probable, redeemable units were carried at redemption value, or current intrinsic value, in Mezzanine equity in the unaudited Condensed Consolidated Balance Sheets. During the fourth quarter of 2024, management determined that the redemption was no longer probable and, therefore, no changes in redemption value were recorded, prospectively. The redemption rights terminated upon the IPO, and the redeemable units were reclassed to permanent equity.</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Equity Structure After IPO and Reorganization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three classes of ownership interests: 50,000,000,000 shares of Class A common stock, par value $0.0001 per share, 50,000,000,000 shares of Class B common stock, par value $0.0001 per share, and 5,000,000,000 shares of Preferred stock, par value $0.0001 per share.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A Common Stock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A common stock have both voting and economic rights. Holders of Class A common stock are entitled to one vote for each share of Class A common stock held. Shares of Class A common stock are entitled to dividends and pro rata distribution of remaining available assets upon liquidation. Shares of Class A common stock do not have preemptive, subscription, redemption, or conversion rights.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B Common Stock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have voting but no economic rights. Holders of Class B common stock are entitled to one vote for each share of Class B common stock held. Shares of Class B common stock do not have any right to receive dividends or distribution upon liquidation.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Class B common stock, together with the transfer of an identical number of Common Units, are convertible at the option of the holder into shares of Class A common stock on a one-for-one basis, subject to customary conversion rate adjustments for stock splits, stock dividends, and reclassifications. Upon conversion, the shares of Class B common stock will be automatically canceled and no longer outstanding.</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without the approval of its stockholders, one or more series of preferred stock. The Board may determine, with respect to any series of preferred stock, the powers, including voting powers, preferences and relative, participating, optional or other special rights.</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Common Units and vested Incentive Units held by pre-IPO owners. These Common Units are not attributable to the controlling Class A common stock ownership of Medline Inc. The noncontrolling interests are accounted for as permanent equity in the unaudited Condensed Consolidated Balance Sheets. Net income is reduced by the portion of net income attributable to noncontrolling interests. The conversions into Class A common stock of Class B common stock and Common Units are considered equity transactions and will result in a change in ownership, reduce the amount recorded as Noncontrolling interests, and increase Additional paid-in capital in the Company’s unaudited Condensed Consolidated Balance Sheets.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5250"/>
                <wp:effectExtent l="0" t="0" r="0" b="0"/>
                <wp:wrapNone/>
                <wp:docPr id="31" name="Frame3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AOCI, net of tax:</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122"/>
        <w:gridCol w:w="867"/>
        <w:gridCol w:w="759"/>
        <w:gridCol w:w="568"/>
        <w:gridCol w:w="961"/>
        <w:gridCol w:w="318"/>
        <w:gridCol w:w="109"/>
        <w:gridCol w:w="109"/>
        <w:gridCol w:w="109"/>
        <w:gridCol w:w="455"/>
        <w:gridCol w:w="806"/>
        <w:gridCol w:w="256"/>
        <w:gridCol w:w="109"/>
        <w:gridCol w:w="109"/>
        <w:gridCol w:w="109"/>
        <w:gridCol w:w="354"/>
        <w:gridCol w:w="462"/>
        <w:gridCol w:w="197"/>
        <w:gridCol w:w="109"/>
        <w:gridCol w:w="109"/>
        <w:gridCol w:w="109"/>
        <w:gridCol w:w="675"/>
        <w:gridCol w:w="882"/>
        <w:gridCol w:w="542"/>
      </w:tblGrid>
      <w:tr>
        <w:tc>
          <w:tcPr>
            <w:tcW w:w="112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26, 2026</w:t>
            </w:r>
          </w:p>
        </w:tc>
      </w:tr>
      <w:tr>
        <w:tc>
          <w:tcPr>
            <w:tcW w:w="2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r>
      <w:tr>
        <w:tc>
          <w:tcPr>
            <w:tcW w:w="2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27, 2026</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 income</w:t>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Other comprehensive (loss) income attributable to noncontrolling interests</w:t>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26, 2026</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940"/>
        <w:gridCol w:w="719"/>
        <w:gridCol w:w="621"/>
        <w:gridCol w:w="622"/>
        <w:gridCol w:w="1052"/>
        <w:gridCol w:w="348"/>
        <w:gridCol w:w="109"/>
        <w:gridCol w:w="109"/>
        <w:gridCol w:w="109"/>
        <w:gridCol w:w="485"/>
        <w:gridCol w:w="859"/>
        <w:gridCol w:w="273"/>
        <w:gridCol w:w="109"/>
        <w:gridCol w:w="109"/>
        <w:gridCol w:w="109"/>
        <w:gridCol w:w="373"/>
        <w:gridCol w:w="459"/>
        <w:gridCol w:w="209"/>
        <w:gridCol w:w="109"/>
        <w:gridCol w:w="109"/>
        <w:gridCol w:w="109"/>
        <w:gridCol w:w="647"/>
        <w:gridCol w:w="1094"/>
        <w:gridCol w:w="523"/>
      </w:tblGrid>
      <w:tr>
        <w:tc>
          <w:tcPr>
            <w:tcW w:w="9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27, 2025</w:t>
            </w:r>
          </w:p>
        </w:tc>
      </w:tr>
      <w:t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r>
      <w:t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28, 2025</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 income</w:t>
            </w:r>
          </w:p>
        </w:tc>
        <w:tc>
          <w:tcPr>
            <w:tcW w:w="1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27, 2025</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085"/>
        <w:gridCol w:w="777"/>
        <w:gridCol w:w="703"/>
        <w:gridCol w:w="577"/>
        <w:gridCol w:w="975"/>
        <w:gridCol w:w="322"/>
        <w:gridCol w:w="109"/>
        <w:gridCol w:w="109"/>
        <w:gridCol w:w="109"/>
        <w:gridCol w:w="535"/>
        <w:gridCol w:w="700"/>
        <w:gridCol w:w="299"/>
        <w:gridCol w:w="109"/>
        <w:gridCol w:w="109"/>
        <w:gridCol w:w="109"/>
        <w:gridCol w:w="355"/>
        <w:gridCol w:w="464"/>
        <w:gridCol w:w="198"/>
        <w:gridCol w:w="109"/>
        <w:gridCol w:w="109"/>
        <w:gridCol w:w="109"/>
        <w:gridCol w:w="637"/>
        <w:gridCol w:w="1077"/>
        <w:gridCol w:w="358"/>
        <w:gridCol w:w="162"/>
      </w:tblGrid>
      <w:tr>
        <w:tc>
          <w:tcPr>
            <w:tcW w:w="10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26, 2026</w:t>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2026</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w:t>
            </w:r>
          </w:p>
        </w:tc>
        <w:tc>
          <w:tcPr>
            <w:tcW w:w="1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Other comprehensive loss attributable to noncontrolling interests</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26, 2026</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95250"/>
                <wp:effectExtent l="0" t="0" r="0" b="0"/>
                <wp:wrapNone/>
                <wp:docPr id="32" name="Frame3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tbl>
      <w:tblPr>
        <w:tblW w:w="10205" w:type="dxa"/>
        <w:jc w:val="left"/>
        <w:tblInd w:w="0" w:type="dxa"/>
        <w:tblLayout w:type="fixed"/>
        <w:tblCellMar>
          <w:top w:w="28" w:type="dxa"/>
          <w:left w:w="28" w:type="dxa"/>
          <w:bottom w:w="28" w:type="dxa"/>
          <w:right w:w="28" w:type="dxa"/>
        </w:tblCellMar>
      </w:tblPr>
      <w:tblGrid>
        <w:gridCol w:w="1018"/>
        <w:gridCol w:w="729"/>
        <w:gridCol w:w="659"/>
        <w:gridCol w:w="562"/>
        <w:gridCol w:w="1122"/>
        <w:gridCol w:w="292"/>
        <w:gridCol w:w="109"/>
        <w:gridCol w:w="109"/>
        <w:gridCol w:w="109"/>
        <w:gridCol w:w="443"/>
        <w:gridCol w:w="917"/>
        <w:gridCol w:w="231"/>
        <w:gridCol w:w="109"/>
        <w:gridCol w:w="109"/>
        <w:gridCol w:w="109"/>
        <w:gridCol w:w="379"/>
        <w:gridCol w:w="460"/>
        <w:gridCol w:w="196"/>
        <w:gridCol w:w="109"/>
        <w:gridCol w:w="109"/>
        <w:gridCol w:w="109"/>
        <w:gridCol w:w="642"/>
        <w:gridCol w:w="1099"/>
        <w:gridCol w:w="475"/>
      </w:tblGrid>
      <w:tr>
        <w:tc>
          <w:tcPr>
            <w:tcW w:w="10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27, 2025</w:t>
            </w:r>
          </w:p>
        </w:tc>
      </w:tr>
      <w:tr>
        <w:tc>
          <w:tcPr>
            <w:tcW w:w="2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r>
      <w:tr>
        <w:tc>
          <w:tcPr>
            <w:tcW w:w="2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2025</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 income</w:t>
            </w:r>
          </w:p>
        </w:tc>
        <w:tc>
          <w:tcPr>
            <w:tcW w:w="16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r>
      <w:tr>
        <w:tc>
          <w:tcPr>
            <w:tcW w:w="2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27, 2025</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11—Derivatives and Hedging Activities Risk Management for additional information regarding hedging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as a component of Selling, general and administrative expenses and Cost of goods sold in the unaudited Condensed Consolidated Statements of Comprehensive Income. The following table presents the stock-based compensation expense for the three and nine months ended September 26, 2026 and September 27, 2025:</w:t>
      </w:r>
    </w:p>
    <w:tbl>
      <w:tblPr>
        <w:tblW w:w="9122" w:type="dxa"/>
        <w:jc w:val="center"/>
        <w:tblInd w:w="0" w:type="dxa"/>
        <w:tblLayout w:type="fixed"/>
        <w:tblCellMar>
          <w:top w:w="28" w:type="dxa"/>
          <w:left w:w="28" w:type="dxa"/>
          <w:bottom w:w="28" w:type="dxa"/>
          <w:right w:w="28" w:type="dxa"/>
        </w:tblCellMar>
      </w:tblPr>
      <w:tblGrid>
        <w:gridCol w:w="715"/>
        <w:gridCol w:w="629"/>
        <w:gridCol w:w="635"/>
        <w:gridCol w:w="470"/>
        <w:gridCol w:w="795"/>
        <w:gridCol w:w="264"/>
        <w:gridCol w:w="109"/>
        <w:gridCol w:w="109"/>
        <w:gridCol w:w="109"/>
        <w:gridCol w:w="470"/>
        <w:gridCol w:w="795"/>
        <w:gridCol w:w="264"/>
        <w:gridCol w:w="109"/>
        <w:gridCol w:w="109"/>
        <w:gridCol w:w="109"/>
        <w:gridCol w:w="470"/>
        <w:gridCol w:w="795"/>
        <w:gridCol w:w="264"/>
        <w:gridCol w:w="109"/>
        <w:gridCol w:w="109"/>
        <w:gridCol w:w="109"/>
        <w:gridCol w:w="453"/>
        <w:gridCol w:w="764"/>
        <w:gridCol w:w="358"/>
      </w:tblGrid>
      <w:t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Classification</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Equity-classified awards</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Liability-classified awards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1" w:type="dxa"/>
            <w:gridSpan w:val="9"/>
            <w:tcBorders/>
          </w:tcPr>
          <w:p>
            <w:pPr>
              <w:pStyle w:val="TableContents"/>
              <w:bidi w:val="0"/>
              <w:spacing w:before="0" w:after="283"/>
              <w:jc w:val="left"/>
              <w:rPr>
                <w:sz w:val="4"/>
                <w:szCs w:val="4"/>
              </w:rPr>
            </w:pPr>
            <w:r>
              <w:rPr>
                <w:sz w:val="4"/>
                <w:szCs w:val="4"/>
              </w:rPr>
            </w:r>
          </w:p>
        </w:tc>
      </w:tr>
      <w:tr>
        <w:tc>
          <w:tcPr>
            <w:tcW w:w="19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1"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Equity-classified awards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Prior to IPO and Reorganization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Holdings had two classes of incentive units, Class B units and Class B CUPIs (“Holdings Incentive Units”) that were granted to certain employees and vested upon satisfaction of one or multiple market, performance, and/or service conditions of each award. In accordance with ASC 718, “Compensation - Stock Compensation” (“ASC 718”), all incentive units officially granted represent ownership interests and were classified as equity.</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All of the Holdings Incentive Units included a put right that permitted the holders to redeem certain units under conditions outside of the control of the Company. The redemption rights terminated upon the IPO, and the redeemable units were reclassed to permanent equity. See Note 12—Stockholders’ Equity, Mezzanine Equity and Partners’ Capital</w:t>
      </w:r>
      <w:r>
        <w:rPr>
          <w:color w:val="000000"/>
        </w:rPr>
        <w:t xml:space="preserve"> </w:t>
      </w:r>
      <w:r>
        <w:rPr>
          <w:rFonts w:ascii="Times New Roman;serif" w:hAnsi="Times New Roman;serif"/>
          <w:b w:val="false"/>
          <w:color w:val="000000"/>
          <w:sz w:val="20"/>
        </w:rPr>
        <w:t>for additional information regarding mezzanine equity.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B CUPIs vested prior to 2025. The Class B units were subject to a five-year vesting period, with 20% of units vesting on each of the five anniversaries of the grant date. Total fair value of Class B units vested was $3 million and $16 million during the three and nine months ended September 27,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5250"/>
                <wp:effectExtent l="0" t="0" r="0" b="0"/>
                <wp:wrapNone/>
                <wp:docPr id="33" name="Frame3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Post-IPO Awards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 of Holdings Incentive Units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and Reorganization, the Holdings Incentive Unit awards issued prior to the IPO were reclassified as follows: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Continuing Unitholders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time-vesting and performance-vesting Class B units held by certain pre-IPO holders of Class B units (the “Continuing Unitholders”) were reclassified into vested Incentive Units, in the case of vested Class B units, and unvested Incentive Units, in the case of unvested Class B units, in Medline Holdings. These Incentive Units retain the vesting attributes of the Class B units reclassified, including original service period vesting start date. The Class B CUPIs were reclassified to vested Common Units in Medline Holdings. The fair value of Incentive Units was the same immediately prior to and after the reclassification.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Incentive Units vested was $5 million and $16 million for the three and nine months ended September 26, 2026, respectively. As of September 26, 2026, there was $17 million of unrecognized compensation cost related to unvested Incentive Units, which is expected to be recognized on a graded or straight-line basis over a weighted-average period of 1.2 years. The following table summarizes the Incentive Units activity and related information for the nine months ended September 26, 2026:</w:t>
      </w:r>
    </w:p>
    <w:p>
      <w:pPr>
        <w:pStyle w:val="TextBody"/>
        <w:bidi w:val="0"/>
        <w:spacing w:before="0" w:after="0"/>
        <w:jc w:val="both"/>
      </w:pPr>
      <w:r/>
    </w:p>
    <w:tbl>
      <w:tblPr>
        <w:tblW w:w="6858" w:type="dxa"/>
        <w:jc w:val="left"/>
        <w:tblInd w:w="0" w:type="dxa"/>
        <w:tblLayout w:type="fixed"/>
        <w:tblCellMar>
          <w:top w:w="28" w:type="dxa"/>
          <w:left w:w="28" w:type="dxa"/>
          <w:bottom w:w="28" w:type="dxa"/>
          <w:right w:w="28" w:type="dxa"/>
        </w:tblCellMar>
      </w:tblPr>
      <w:tblGrid>
        <w:gridCol w:w="960"/>
        <w:gridCol w:w="846"/>
        <w:gridCol w:w="849"/>
        <w:gridCol w:w="480"/>
        <w:gridCol w:w="481"/>
        <w:gridCol w:w="396"/>
        <w:gridCol w:w="109"/>
        <w:gridCol w:w="109"/>
        <w:gridCol w:w="109"/>
        <w:gridCol w:w="605"/>
        <w:gridCol w:w="1439"/>
        <w:gridCol w:w="475"/>
      </w:tblGrid>
      <w:t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Incentive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14,538,818 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(2,772,508)</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(728,736)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September 26,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11,037,574 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Exchanges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2026, there were two exchanges by Continuing Unitholders: (i) 1,163,309 Incentive Units in Medline Holdings for 673,281 shares of Class B common stock and an equal number of Common Units in Medline Holdings; (ii) 1,893,419 shares of Class B common stock and an equal number of Common Units in Medline Holdings for 1,893,419 shares of Class A common stock. No proceeds were received from these exchanges by the Company.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2026, there were multiple exchanges by Continuing Unitholders and pre-IPO holders: (i) 643,673 Incentive Units in Medline Holdings for 348,162 shares of Class B common stock and an equal number of Common Units in Medline Holdings; (ii) an aggregate of 1,040,057 shares of Class B common stock and an equal number of Common Units in Medline Holdings for 1,040,057 shares of Class A common stock. No proceeds were received from these exchanges by the Company.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5250"/>
                <wp:effectExtent l="0" t="0" r="0" b="0"/>
                <wp:wrapNone/>
                <wp:docPr id="34" name="Frame3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Exchanging Unitholders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Holdings Incentive Units and Class A units held by participants other than Continuing Unitholders (the “Exchanging Unitholders”) were exchanged for vested Class A common stock and RSUs, in the case of Class A units and Class B CUPIs, and vested Class A common stock, RSUs, RSAs, and options, in the case of Class B units, in the Company. The RSAs, RSUs, and options will vest according to the same vesting schedule as the corresponding Class B units, in respect of which they are being granted, except that no awards will vest until the later of the date that is 180 days following the IPO and the existing vesting date of the underlying Class B units. This modification resulted in the re-measurement of the awards in accordance with ASC 718. Total compensation cost for the modified awards equaled the grant date fair value of the pre-IPO awards, plus any incremental compensation cost measured at the modification date (i.e. the IPO date). The change in fair value of these awards prior to and after the reclassification was not material. The modification impacted 68 participants.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RSAs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RSAs vested for the three months ended September 26, 2026 was not material and was $12 million for the nine months ended September 26, 2026. As of September 26, 2026, there was $7 million of unrecognized compensation cost related to unvested RSAs, which is expected to be recognized on a graded or straight-line basis over a weighted-average period of 1.2 years. The following table summarizes the RSAs activity and related information for the nine months ended September 26, 2026:</w:t>
      </w:r>
    </w:p>
    <w:p>
      <w:pPr>
        <w:pStyle w:val="TextBody"/>
        <w:bidi w:val="0"/>
        <w:spacing w:before="0" w:after="0"/>
        <w:jc w:val="both"/>
      </w:pPr>
      <w:r/>
    </w:p>
    <w:tbl>
      <w:tblPr>
        <w:tblW w:w="6554" w:type="dxa"/>
        <w:jc w:val="left"/>
        <w:tblInd w:w="0" w:type="dxa"/>
        <w:tblLayout w:type="fixed"/>
        <w:tblCellMar>
          <w:top w:w="28" w:type="dxa"/>
          <w:left w:w="28" w:type="dxa"/>
          <w:bottom w:w="28" w:type="dxa"/>
          <w:right w:w="28" w:type="dxa"/>
        </w:tblCellMar>
      </w:tblPr>
      <w:tblGrid>
        <w:gridCol w:w="960"/>
        <w:gridCol w:w="846"/>
        <w:gridCol w:w="849"/>
        <w:gridCol w:w="435"/>
        <w:gridCol w:w="436"/>
        <w:gridCol w:w="181"/>
        <w:gridCol w:w="109"/>
        <w:gridCol w:w="109"/>
        <w:gridCol w:w="109"/>
        <w:gridCol w:w="545"/>
        <w:gridCol w:w="1547"/>
        <w:gridCol w:w="428"/>
      </w:tblGrid>
      <w:t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1,958,657 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(425,912)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September 26,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1,503,419 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RSUs and Performance Stock Units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26, 2026, the Company granted RSUs to certain employees and members of the Board of Directors. Performance Stock Units (“PSUs”) were granted to certain employees during the nine months ended September 26, 2026. The grant date fair value of RSUs and PSUs is based on the fair market value of the Company’s underlying common stock at the grant date. The RSUs vest over one to five years contingent upon employment on the vesting date. The PSUs generally vest over four years contingent upon achievement of certain performance conditions and employment on the vesting date. The RSU expense is recognized using a graded vesting method or straight-line method. The PSU expense is recognized using a graded vesting method. The probability of achieving the PSU performance conditions is assessed each reporting period for expense purposes.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5250"/>
                <wp:effectExtent l="0" t="0" r="0" b="0"/>
                <wp:wrapNone/>
                <wp:docPr id="35" name="Frame3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RSUs vested for the three months ended September 26, 2026 was not material and was $15 million for the nine months ended September 26, 2026. As of September 26, 2026, there was $59 million of unrecognized compensation cost related to unvested RSUs, which is expected to be recognized over a weighted-average period of 1.8 years, and there was $36 million of unrecognized compensation cost related to unvested PSUs, which is expected to be recognized over a weighted-average period of 1.2 years. The following table summarizes the RSUs and PSUs activity and related information for the nine months ended September 26, 2026:</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894"/>
        <w:gridCol w:w="785"/>
        <w:gridCol w:w="788"/>
        <w:gridCol w:w="435"/>
        <w:gridCol w:w="436"/>
        <w:gridCol w:w="181"/>
        <w:gridCol w:w="109"/>
        <w:gridCol w:w="109"/>
        <w:gridCol w:w="109"/>
        <w:gridCol w:w="524"/>
        <w:gridCol w:w="1489"/>
        <w:gridCol w:w="291"/>
        <w:gridCol w:w="109"/>
        <w:gridCol w:w="109"/>
        <w:gridCol w:w="109"/>
        <w:gridCol w:w="435"/>
        <w:gridCol w:w="436"/>
        <w:gridCol w:w="176"/>
        <w:gridCol w:w="109"/>
        <w:gridCol w:w="109"/>
        <w:gridCol w:w="109"/>
        <w:gridCol w:w="508"/>
        <w:gridCol w:w="1443"/>
        <w:gridCol w:w="403"/>
      </w:tblGrid>
      <w:t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c>
          <w:tcPr>
            <w:tcW w:w="2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523,795 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1,926,984 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1,206,267 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(441,452)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September 26,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1,935,575 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1,142,702 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Options issued entitle the holder to future purchases of Class A common stock and are exercisable up to the tenth anniversary of the grant date. The total intrinsic value of options exercised was $2 million for both the three and nine months ended September 26, 2026. As of September 26, 2026, there was $12 million of unrecognized compensation cost related to options, which is expected to be recognized on a graded or straight-line basis over a weighted-average period of 1.4 years. The following table summarizes option activity and related information for the nine months ended September 26, 2026:</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687"/>
        <w:gridCol w:w="603"/>
        <w:gridCol w:w="607"/>
        <w:gridCol w:w="435"/>
        <w:gridCol w:w="436"/>
        <w:gridCol w:w="226"/>
        <w:gridCol w:w="109"/>
        <w:gridCol w:w="109"/>
        <w:gridCol w:w="109"/>
        <w:gridCol w:w="351"/>
        <w:gridCol w:w="996"/>
        <w:gridCol w:w="195"/>
        <w:gridCol w:w="109"/>
        <w:gridCol w:w="109"/>
        <w:gridCol w:w="109"/>
        <w:gridCol w:w="296"/>
        <w:gridCol w:w="841"/>
        <w:gridCol w:w="164"/>
        <w:gridCol w:w="109"/>
        <w:gridCol w:w="109"/>
        <w:gridCol w:w="109"/>
        <w:gridCol w:w="568"/>
        <w:gridCol w:w="568"/>
        <w:gridCol w:w="570"/>
        <w:gridCol w:w="109"/>
        <w:gridCol w:w="109"/>
        <w:gridCol w:w="109"/>
        <w:gridCol w:w="388"/>
        <w:gridCol w:w="654"/>
        <w:gridCol w:w="312"/>
      </w:tblGrid>
      <w:t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Aggregate Intrinsic Value</w:t>
              <w:br/>
              <w:t>(in millions)</w:t>
            </w:r>
          </w:p>
        </w:tc>
      </w:tr>
      <w:tr>
        <w:tc>
          <w:tcPr>
            <w:tcW w:w="1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(319,704)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September 26,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6,294,286 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as of September 26, 2026</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2,754,729 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as of September 26, 2026</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3,539,557 </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cumulative difference between the closing price of Class A common stock on September 25, 2026 and the option exercise price.</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Liability-classified awards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Liability-classified awards are presented in Other long-term liabilities in the unaudited Condensed Consolidated Balance Sheets. The Company reevaluates the fair value of liability-classified awards periodically until they are reclassified as equity when granted, with the fair value change recorded ratably in the current-period compensation expense. For the nine months ended September 26, 2026 and September 27, 2025, the Company reclassified liabilities of $11 million and $10 million, respectively, to equity.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5250"/>
                <wp:effectExtent l="0" t="0" r="0" b="0"/>
                <wp:wrapNone/>
                <wp:docPr id="36" name="Frame3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Prior to Reorganization and IPO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2025 and March 2024, Medline Holdings authorized Class B units to be granted to certain employees upon fulfillment of certain performance conditions. With each grant, the number of Class B units to be issued and the grant date fair value of the award were dependent on the performance targets achieved and Medline Holdings’ equity value, and would be determined on the official grant date. The Class B units were subject to a five-year service vesting period, with 20% of units vesting on each of the five anniversaries from the official grant date. The award was classified as a liability in accordance with ASC 718 until the official grant date, when it was reclassified as equity.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50,659,004 Class B Units were legally granted with a grant date fair value of $29 million.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IPO and Reorganization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time of IPO, the liability-classified awards authorized in the nine months ended September 27, 2025 were not yet granted and classified as a liability (“2025 Awards”). Both the underlying equity instrument and the vesting condition were modified upon the IPO. In March 2026, the 2025 Awards were settled into 521,371 RSUs with grant date fair value of $23 million, and the respective liabilities were reclassified as equity. 25% of the 2025 Awards have vested 180 days post-IPO while the remaining 75% of the 2025 Awards will vest on each of the three anniversaries from the official grant date. As of September 26, 2026, the Company has no liability-classified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EARNINGS PER SHARE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net income prior to the IPO was entirely allocable to partners of Medline Holdings. As a result of the Reorganization and IPO, the Company’s capital structure before and after IPO are not comparable, and the presentation of earnings per share for the periods prior to the IPO is not meaningful and not presented herein.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computes earnings per share of Class A common stock using the two-class method required for participating securities. Shares of Class B common stock are not considered participating securities because they have no right to receive dividends and no right to receive distribution on liquidation or winding up of Medline Inc., and no earnings or losses are allocable to such class. Therefore, basic and diluted earnings per share of Class B common stock have not been presented.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the Company’s stockholders is computed by dividing net income attributable to the Company by the weighted-average number of Class A common stock outstanding during the period. Diluted earnings per share attributable to the Company gives effect to all potential shares of Class A common stock, including conversion of Class B common stock, conversion of Medline Holdings Incentive Units, options, RSAs, RSUs, PSUs, and ESPP to the extent these are dilutive.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5250"/>
                <wp:effectExtent l="0" t="0" r="0" b="0"/>
                <wp:wrapNone/>
                <wp:docPr id="37" name="Frame3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EARNINGS PER SHARE (Continued)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of Class A common stock:</w:t>
      </w:r>
    </w:p>
    <w:p>
      <w:pPr>
        <w:pStyle w:val="TextBody"/>
        <w:bidi w:val="0"/>
        <w:spacing w:before="0" w:after="0"/>
        <w:jc w:val="both"/>
      </w:pPr>
      <w:r/>
    </w:p>
    <w:tbl>
      <w:tblPr>
        <w:tblW w:w="8876" w:type="dxa"/>
        <w:jc w:val="center"/>
        <w:tblInd w:w="0" w:type="dxa"/>
        <w:tblLayout w:type="fixed"/>
        <w:tblCellMar>
          <w:top w:w="28" w:type="dxa"/>
          <w:left w:w="28" w:type="dxa"/>
          <w:bottom w:w="28" w:type="dxa"/>
          <w:right w:w="28" w:type="dxa"/>
        </w:tblCellMar>
      </w:tblPr>
      <w:tblGrid>
        <w:gridCol w:w="1963"/>
        <w:gridCol w:w="1726"/>
        <w:gridCol w:w="1741"/>
        <w:gridCol w:w="393"/>
        <w:gridCol w:w="934"/>
        <w:gridCol w:w="218"/>
        <w:gridCol w:w="109"/>
        <w:gridCol w:w="109"/>
        <w:gridCol w:w="109"/>
        <w:gridCol w:w="378"/>
        <w:gridCol w:w="900"/>
        <w:gridCol w:w="296"/>
      </w:tblGrid>
      <w:tr>
        <w:tc>
          <w:tcPr>
            <w:tcW w:w="1963"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c>
          <w:tcPr>
            <w:tcW w:w="5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number of shares and per share amounts)</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Medline Inc.</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net income attributed to vested incentive units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876,467,488 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851,211,179 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 (Basic)</w:t>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compensation awards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conversion of Class B common stock to Class A common stock</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 (Diluted)</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 (Basic)</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876,467,488 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851,211,179 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compensation awards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2,962,759 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4,263,402 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conversion of Class B common stock to Class A common stock</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436,975,667 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461,290,893 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 (Diluted)</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1,316,405,914 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1,316,765,474 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outstanding shares of potentially dilutive securities excluded from the calculation of diluted earnings per share because including them would have had an anti-dilutive effect, or issuance of such shares is contingent upon the satisfaction of certain conditions which were not satisfied at the end of the respective period:</w:t>
      </w:r>
    </w:p>
    <w:p>
      <w:pPr>
        <w:pStyle w:val="TextBody"/>
        <w:bidi w:val="0"/>
        <w:spacing w:before="0" w:after="0"/>
        <w:jc w:val="both"/>
      </w:pPr>
      <w:r/>
    </w:p>
    <w:tbl>
      <w:tblPr>
        <w:tblW w:w="5516" w:type="dxa"/>
        <w:jc w:val="left"/>
        <w:tblInd w:w="0" w:type="dxa"/>
        <w:tblLayout w:type="fixed"/>
        <w:tblCellMar>
          <w:top w:w="28" w:type="dxa"/>
          <w:left w:w="28" w:type="dxa"/>
          <w:bottom w:w="28" w:type="dxa"/>
          <w:right w:w="28" w:type="dxa"/>
        </w:tblCellMar>
      </w:tblPr>
      <w:tblGrid>
        <w:gridCol w:w="747"/>
        <w:gridCol w:w="655"/>
        <w:gridCol w:w="668"/>
        <w:gridCol w:w="514"/>
        <w:gridCol w:w="514"/>
        <w:gridCol w:w="516"/>
        <w:gridCol w:w="109"/>
        <w:gridCol w:w="109"/>
        <w:gridCol w:w="109"/>
        <w:gridCol w:w="461"/>
        <w:gridCol w:w="461"/>
        <w:gridCol w:w="653"/>
      </w:tblGrid>
      <w:tr>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PSUs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1,142,702 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1,142,702 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1,081,432 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anti-dilutive securities</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2,224,134 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1,142,702 </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5250"/>
                <wp:effectExtent l="0" t="0" r="0" b="0"/>
                <wp:wrapNone/>
                <wp:docPr id="38" name="Frame3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 RELATED PARTY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Credit Agreements and Borrowings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long-term debts held by certain affiliates of the Company’s private equity sponsors. The terms of these debts are identical to all other debts issued. See Note 5—Credit Agreements and Borrowings for additional information on the long-term debt. </w:t>
      </w:r>
    </w:p>
    <w:p>
      <w:pPr>
        <w:pStyle w:val="TextBody"/>
        <w:bidi w:val="0"/>
        <w:spacing w:before="0" w:after="0"/>
        <w:jc w:val="both"/>
      </w:pPr>
      <w:r/>
    </w:p>
    <w:tbl>
      <w:tblPr>
        <w:tblW w:w="8696" w:type="dxa"/>
        <w:jc w:val="center"/>
        <w:tblInd w:w="0" w:type="dxa"/>
        <w:tblLayout w:type="fixed"/>
        <w:tblCellMar>
          <w:top w:w="28" w:type="dxa"/>
          <w:left w:w="28" w:type="dxa"/>
          <w:bottom w:w="28" w:type="dxa"/>
          <w:right w:w="28" w:type="dxa"/>
        </w:tblCellMar>
      </w:tblPr>
      <w:tblGrid>
        <w:gridCol w:w="1917"/>
        <w:gridCol w:w="1686"/>
        <w:gridCol w:w="1692"/>
        <w:gridCol w:w="420"/>
        <w:gridCol w:w="872"/>
        <w:gridCol w:w="237"/>
        <w:gridCol w:w="109"/>
        <w:gridCol w:w="109"/>
        <w:gridCol w:w="109"/>
        <w:gridCol w:w="511"/>
        <w:gridCol w:w="630"/>
        <w:gridCol w:w="404"/>
      </w:tblGrid>
      <w:t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9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and the IPO, the Company has entered into a TRA with certain of its pre-IPO owners. See Note 7—Tax Receivable Agreement for additional information. Among these pre-IPO owners are individuals and entities classified as related parties of the Company; consequently, transactions pertaining to the TRA are regarded as related party transactions in relation to these individuals and entities. From time to time, the pre-IPO owners party to the TRA have, and may in the future, transfer and assign their rights under the TRA in accordance with its terms. Such transfers and assignments do not affect the Company’s underlying rights and obligations under the TRA. For the nine months ended September 26, 2026, certain of the pre-IPO owners entered into an assignment and assumption agreement, pursuant to which, such parties transferred and assigned their rights under the TRA to certain other pre-IPO owners for approximately $1.4 billion. </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other significant transactions with related parties during the periods presented.</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discloses information regarding reportable segments based on the way management organizes the business for assessing performance, making operational decisions, and allocating resources. The Company reports its financial results in two reportable segments: Medline Brand and Supply Chain Solutions, described further as follows: </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The Medline Brand segment procures and manufactures products from three product categories - Surgical Solutions, Front Line Care, and Laboratory &amp; Diagnostics. This segment provides its products to domestic and international consumers.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w:t>
      </w:r>
      <w:r>
        <w:rPr>
          <w:color w:val="000000"/>
          <w:shd w:fill="FFFFFF" w:val="clear"/>
        </w:rPr>
        <w:t xml:space="preserve"> </w:t>
      </w:r>
      <w:r>
        <w:rPr>
          <w:rFonts w:ascii="Times New Roman;serif" w:hAnsi="Times New Roman;serif"/>
          <w:b w:val="false"/>
          <w:color w:val="000000"/>
          <w:sz w:val="20"/>
        </w:rPr>
        <w:t>over 1,300 third-party suppliers, the Company sells products across a large number of product groups to the entire continuum of care and, as a result, it is impracticable to provide segment information at the product group level for Supply Chain Solutions.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5250"/>
                <wp:effectExtent l="0" t="0" r="0" b="0"/>
                <wp:wrapNone/>
                <wp:docPr id="39" name="Frame3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organizational structure also includes Corporate &amp; Other which consists of expenses related to centralized corporate functions, such as finance, information technology, legal, human resources, and internal audit. 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the Company’s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All the segment data disclosed reflects the way the CODM internally receives information and monitors the segment performance and is consistently presented across all public communications.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5250"/>
                <wp:effectExtent l="0" t="0" r="0" b="0"/>
                <wp:wrapNone/>
                <wp:docPr id="40" name="Frame4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by segment:</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236"/>
        <w:gridCol w:w="1038"/>
        <w:gridCol w:w="1033"/>
        <w:gridCol w:w="332"/>
        <w:gridCol w:w="945"/>
        <w:gridCol w:w="184"/>
        <w:gridCol w:w="109"/>
        <w:gridCol w:w="109"/>
        <w:gridCol w:w="109"/>
        <w:gridCol w:w="332"/>
        <w:gridCol w:w="945"/>
        <w:gridCol w:w="184"/>
        <w:gridCol w:w="109"/>
        <w:gridCol w:w="109"/>
        <w:gridCol w:w="109"/>
        <w:gridCol w:w="303"/>
        <w:gridCol w:w="1000"/>
        <w:gridCol w:w="168"/>
        <w:gridCol w:w="109"/>
        <w:gridCol w:w="109"/>
        <w:gridCol w:w="109"/>
        <w:gridCol w:w="298"/>
        <w:gridCol w:w="984"/>
        <w:gridCol w:w="242"/>
      </w:tblGrid>
      <w:tr>
        <w:tc>
          <w:tcPr>
            <w:tcW w:w="12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649" w:type="dxa"/>
            <w:gridSpan w:val="12"/>
            <w:tcBorders/>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Front Line Care</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Solutions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and Diagnostics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net sales to external customers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Segment Adjusted EBITDA:</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segment adjusted EBITDA</w:t>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Inventory-related adjustments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gains, net</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(1)</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Other non-core charges, net </w:t>
            </w:r>
            <w:r>
              <w:rPr>
                <w:rFonts w:ascii="Times New Roman;serif" w:hAnsi="Times New Roman;serif"/>
                <w:b w:val="false"/>
                <w:color w:val="000000"/>
                <w:sz w:val="12"/>
              </w:rPr>
              <w:t>(2)</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acquisition and integration-related costs and IPO and subsequent offerings related costs.</w:t>
      </w:r>
    </w:p>
    <w:p>
      <w:pPr>
        <w:pStyle w:val="TextBody"/>
        <w:bidi w:val="0"/>
        <w:spacing w:lineRule="auto" w:line="288" w:before="0" w:after="0"/>
        <w:jc w:val="both"/>
      </w:pPr>
      <w:r>
        <w:rPr>
          <w:rFonts w:ascii="Times New Roman;serif" w:hAnsi="Times New Roman;serif"/>
          <w:b w:val="false"/>
          <w:color w:val="000000"/>
          <w:sz w:val="12"/>
        </w:rPr>
        <w:t>(2)</w:t>
      </w:r>
      <w:r>
        <w:rPr>
          <w:rFonts w:ascii="Times New Roman;serif" w:hAnsi="Times New Roman;serif"/>
          <w:b w:val="false"/>
          <w:color w:val="000000"/>
          <w:sz w:val="18"/>
        </w:rPr>
        <w:t>Represents costs related to specified transformation and implementation projects, loss on debt extinguishment and other debt refinancing costs and fees related to specified financing transactions, and other items. The impact of a fire at the distribution center in Tracy, costs attributable to specified remediation activities undertaken in response to FDA observations and warning letters, and recall and discontinuation costs related to Medline Brand beds are included in the 2026 periods. Foreign exchange losses directly attributable to the remeasurement of euro-denominated term loans is included in the 2025 periods.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by sales office and geographic area: </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147"/>
        <w:gridCol w:w="972"/>
        <w:gridCol w:w="959"/>
        <w:gridCol w:w="320"/>
        <w:gridCol w:w="909"/>
        <w:gridCol w:w="177"/>
        <w:gridCol w:w="109"/>
        <w:gridCol w:w="109"/>
        <w:gridCol w:w="109"/>
        <w:gridCol w:w="320"/>
        <w:gridCol w:w="909"/>
        <w:gridCol w:w="177"/>
        <w:gridCol w:w="109"/>
        <w:gridCol w:w="109"/>
        <w:gridCol w:w="109"/>
        <w:gridCol w:w="293"/>
        <w:gridCol w:w="967"/>
        <w:gridCol w:w="163"/>
        <w:gridCol w:w="109"/>
        <w:gridCol w:w="109"/>
        <w:gridCol w:w="109"/>
        <w:gridCol w:w="293"/>
        <w:gridCol w:w="967"/>
        <w:gridCol w:w="163"/>
        <w:gridCol w:w="109"/>
        <w:gridCol w:w="109"/>
        <w:gridCol w:w="109"/>
        <w:gridCol w:w="161"/>
      </w:tblGrid>
      <w:tr>
        <w:tc>
          <w:tcPr>
            <w:tcW w:w="114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988" w:type="dxa"/>
            <w:gridSpan w:val="16"/>
            <w:tcBorders/>
          </w:tcPr>
          <w:p>
            <w:pPr>
              <w:pStyle w:val="TableContents"/>
              <w:bidi w:val="0"/>
              <w:spacing w:before="0" w:after="283"/>
              <w:jc w:val="left"/>
              <w:rPr>
                <w:sz w:val="4"/>
                <w:szCs w:val="4"/>
              </w:rPr>
            </w:pPr>
            <w:r>
              <w:rPr>
                <w:sz w:val="4"/>
                <w:szCs w:val="4"/>
              </w:rPr>
            </w:r>
          </w:p>
        </w:tc>
      </w:tr>
      <w:t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c>
          <w:tcPr>
            <w:tcW w:w="3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Acute care </w:t>
            </w:r>
            <w:r>
              <w:rPr>
                <w:rFonts w:ascii="Times New Roman;serif" w:hAnsi="Times New Roman;serif"/>
                <w:b w:val="false"/>
                <w:color w:val="000000"/>
                <w:sz w:val="12"/>
              </w:rPr>
              <w:t>(1)</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Non-Acute care </w:t>
            </w:r>
            <w:r>
              <w:rPr>
                <w:rFonts w:ascii="Times New Roman;serif" w:hAnsi="Times New Roman;serif"/>
                <w:b w:val="false"/>
                <w:color w:val="000000"/>
                <w:sz w:val="12"/>
              </w:rPr>
              <w:t>(2)</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21,347 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19,229 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net sales to external customers</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22,893 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Acute care represents hospital health systems. </w:t>
      </w:r>
    </w:p>
    <w:p>
      <w:pPr>
        <w:pStyle w:val="TextBody"/>
        <w:bidi w:val="0"/>
        <w:spacing w:lineRule="auto" w:line="288" w:before="0" w:after="0"/>
        <w:ind w:left="0" w:right="0" w:hanging="1"/>
        <w:jc w:val="both"/>
      </w:pPr>
      <w:r>
        <w:rPr>
          <w:rFonts w:ascii="Times New Roman;serif" w:hAnsi="Times New Roman;serif"/>
          <w:b w:val="false"/>
          <w:color w:val="000000"/>
          <w:sz w:val="12"/>
        </w:rPr>
        <w:t xml:space="preserve">(2) </w:t>
      </w:r>
      <w:r>
        <w:rPr>
          <w:rFonts w:ascii="Times New Roman;serif" w:hAnsi="Times New Roman;serif"/>
          <w:b w:val="false"/>
          <w:color w:val="000000"/>
          <w:sz w:val="18"/>
        </w:rPr>
        <w:t>Non-Acute care represents other sites of care including outpatient, post acute, physician’s office, surgery centers, and all other.</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5250"/>
                <wp:effectExtent l="0" t="0" r="0" b="0"/>
                <wp:wrapNone/>
                <wp:docPr id="41" name="Frame4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v:textbox>
                <w10:wrap type="none"/>
              </v:rect>
            </w:pict>
          </mc:Fallback>
        </mc:AlternateContent>
      </w:r>
    </w:p>
    <w:p>
      <w:pPr>
        <w:pStyle w:val="TextBody"/>
        <w:bidi w:val="0"/>
        <w:spacing w:before="0" w:after="0"/>
        <w:jc w:val="left"/>
      </w:p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 (Continued)</w:t>
      </w:r>
    </w:p>
    <w:tbl>
      <w:tblPr>
        <w:tblW w:w="6729" w:type="dxa"/>
        <w:jc w:val="left"/>
        <w:tblInd w:w="0" w:type="dxa"/>
        <w:tblLayout w:type="fixed"/>
        <w:tblCellMar>
          <w:top w:w="28" w:type="dxa"/>
          <w:left w:w="28" w:type="dxa"/>
          <w:bottom w:w="28" w:type="dxa"/>
          <w:right w:w="28" w:type="dxa"/>
        </w:tblCellMar>
      </w:tblPr>
      <w:tblGrid>
        <w:gridCol w:w="1203"/>
        <w:gridCol w:w="1057"/>
        <w:gridCol w:w="1069"/>
        <w:gridCol w:w="348"/>
        <w:gridCol w:w="988"/>
        <w:gridCol w:w="193"/>
        <w:gridCol w:w="109"/>
        <w:gridCol w:w="109"/>
        <w:gridCol w:w="109"/>
        <w:gridCol w:w="334"/>
        <w:gridCol w:w="948"/>
        <w:gridCol w:w="262"/>
      </w:tblGrid>
      <w:tr>
        <w:tc>
          <w:tcPr>
            <w:tcW w:w="120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color w:val="000000"/>
                <w:sz w:val="18"/>
                <w:u w:val="single"/>
              </w:rPr>
              <w:t xml:space="preserve">Long-lived assets by geographical area </w:t>
            </w:r>
            <w:r>
              <w:rPr>
                <w:rFonts w:ascii="Times New Roman;serif" w:hAnsi="Times New Roman;serif"/>
                <w:b/>
                <w:color w:val="000000"/>
                <w:sz w:val="12"/>
              </w:rPr>
              <w:t>(1)</w:t>
            </w:r>
            <w:r>
              <w:rPr>
                <w:rFonts w:ascii="Times New Roman;serif" w:hAnsi="Times New Roman;serif"/>
                <w:b/>
                <w:color w:val="000000"/>
                <w:sz w:val="18"/>
              </w:rPr>
              <w:t>:</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long-lived assets, net</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Includes property, plant, and equipment, net, and operating lease right-of-use assets.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Midlothian Lease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entered into a lease agreement for a warehouse facility in Midlothian, Texas to support distribution operations. The lease commenced in October 2026 upon gaining access, with an annual base rent of approximately $9 million. As a result of this lease, the Company recorded right-of-use assets and lease liabilities of approximately $81 million in October 2026.</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2026, the Company’s Board of Directors authorized a share repurchase program under which the Company may repurchase up to $1 billion of its outstanding Class A common stock and/or units of Medline Holdings (the “Share Repurchase Program”). Under the Share Repurchase Program, the Company is authorized to repurchase shares of Class A common stock and/or units of Medline Holdings through open market transactions (including pursuant to a plan intended to comply with the requirements of Rule 10b5-1 and/or Rule 10b-18 promulgated under the Exchange Act), block trades, tender offers, accelerated share repurchase programs, privately negotiated transactions or otherwise, or any combination of the foregoing in accordance with applicable securities laws and other restrictions. The Share Repurchase Program does not have an expiration date, does not obligate the Company to acquire any particular amount of Class A common stock and/or units of Medline Holdings, and may be suspended or terminated at any time at the Company's discretion.</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Prepayment of Long-Term Borrowings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2026, the Company’s Board of Directors approved the prepayment of $750 million in aggregate principal amount of the 2033 Refinancing Term Loan Facility using cash on hand. Accordingly, this prepayment, together with the payment of accrued interest, was made on October 22, 2026. In connection with the prepayment, the Company recognized a loss on extinguishment of debt of approximately $21 million in the fourth quarter of 2026. </w:t>
      </w:r>
    </w:p>
    <w:p>
      <w:pPr>
        <w:pStyle w:val="TextBody"/>
        <w:bidi w:val="0"/>
        <w:spacing w:before="0" w:after="0"/>
        <w:jc w:val="both"/>
      </w:p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Product Discontinuation and Recall</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In October 2026, the Company communicated to customers a voluntary field action related to a discontinuation and market exit of Medline Brand beds, including homecare beds, bariatric beds, and long-term-care beds, and associated rails, mattresses, and accessories. These communications established the Company’s commitment to provide customers with repai</w:t>
      </w:r>
      <w:r>
        <w:rPr>
          <w:rFonts w:ascii="Times New Roman;serif" w:hAnsi="Times New Roman;serif"/>
          <w:b w:val="false"/>
          <w:color w:val="000000"/>
          <w:sz w:val="20"/>
          <w:shd w:fill="FFFFFF" w:val="clear"/>
        </w:rPr>
        <w:t>r, replacement or refund for applicable products. The Company currently estimates the related costs to be approximately $50 million to $200 million, which are</w:t>
      </w:r>
      <w:r>
        <w:rPr>
          <w:color w:val="000000"/>
        </w:rPr>
        <w:t xml:space="preserve"> </w:t>
      </w:r>
      <w:r>
        <w:rPr>
          <w:rFonts w:ascii="Times New Roman;serif" w:hAnsi="Times New Roman;serif"/>
          <w:b w:val="false"/>
          <w:color w:val="000000"/>
          <w:sz w:val="20"/>
        </w:rPr>
        <w:t xml:space="preserve">expected to be incurred in the fourth quarter of 2026 and 2027 and to be excluded from Adjusted EBITDA. The estimated range reflects uncertainty regarding future customer participation, and actual costs and customer credits may differ materially. </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evaluated its unaudited condensed consolidated financial statements for subsequent events through November 4, 2026. Based upon this evaluation, the Company did not identify any other subsequent events that would require adjustment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5250"/>
                <wp:effectExtent l="0" t="0" r="0" b="0"/>
                <wp:wrapNone/>
                <wp:docPr id="42" name="Frame4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v:textbox>
                <w10:wrap type="none"/>
              </v:rect>
            </w:pict>
          </mc:Fallback>
        </mc:AlternateContent>
      </w:r>
    </w:p>
    <w:p>
      <w:pPr>
        <w:pStyle w:val="TextBody"/>
        <w:bidi w:val="0"/>
        <w:spacing w:before="0" w:after="0"/>
        <w:jc w:val="left"/>
      </w:p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("MD&amp;A") is intended to help you understand the financial condition, results of operations, and present business of Medline and Medline Holdings (f/k/a, Mozart Holdings, LP, the predecessor of Medline). This MD&amp;A should be read in conjunction with our consolidated financial statements and the accompanying notes in Part I, “Item 1—Financial Statements” of this Quarterly Report and in Part II, “Item 8—Financial Statements and Supplementary Data” and MD&amp;A contained in our 2025 Form 10-K. Some of the information included in this MD&amp;A or set forth elsewhere in this Quarterly Report, including information with respect to our plans and strategy for our business, include forward-looking statements that involve risks and uncertainties. Our future results and financial condition may differ materially from those we currently anticipate. You should review the “Cautionary Note Regarding Forward-Looking Statements” section in this Quarterly Report and Part I, “Item 1A—Risk Factors” of our 2025 Form 10-K for a discussion of important factors that could cause actual results to differ materially from the results described in or implied by the forward-looking statements contained in the following discussion and analysis. For purposes of the MD&amp;A, references to the “Company,” “Medline,” “we,” “us,” and “our” mean Medline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pPr>
      <w:r>
        <w:rPr>
          <w:rFonts w:ascii="Times New Roman;serif" w:hAnsi="Times New Roman;serif"/>
          <w:b w:val="false"/>
          <w:color w:val="000000"/>
          <w:sz w:val="20"/>
        </w:rPr>
        <w:t>Medline is the largest provider of med-surg products and supply chain solutions serving all points of care, based on total net sales of med-surg products. We deliver mission-critical products used daily across the full range of care settings, from hospitals and surgery centers to physician</w:t>
      </w:r>
      <w:r>
        <w:rPr>
          <w:color w:val="000000"/>
          <w:shd w:fill="FFFFFF" w:val="clear"/>
        </w:rPr>
        <w:t xml:space="preserve"> </w:t>
      </w:r>
      <w:r>
        <w:rPr>
          <w:rFonts w:ascii="Times New Roman;serif" w:hAnsi="Times New Roman;serif"/>
          <w:b w:val="false"/>
          <w:color w:val="000000"/>
          <w:sz w:val="20"/>
          <w:shd w:fill="FFFFFF" w:val="clear"/>
        </w:rPr>
        <w:t xml:space="preserve">offices and post-acute facilities. </w:t>
      </w:r>
      <w:r>
        <w:rPr>
          <w:rFonts w:ascii="Times New Roman;serif" w:hAnsi="Times New Roman;serif"/>
          <w:b w:val="false"/>
          <w:color w:val="000000"/>
          <w:sz w:val="20"/>
        </w:rPr>
        <w:t>We operate under two reportable segments, Medline Brand and Supply Chain Solutions. Both segments are supported by our Prime Vendor model, differentiated distribution network, and robust commercial platform. See Part I, “Item 1—Business” of our 2025 Form 10-K for a more detailed description of each of our segments, our Prime Vendor model, distribution network, and commercial platform.</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26, 2026, our financial results were as follows:</w:t>
      </w:r>
    </w:p>
    <w:p>
      <w:pPr>
        <w:pStyle w:val="TextBody"/>
        <w:bidi w:val="0"/>
        <w:spacing w:before="0" w:after="0"/>
        <w:jc w:val="both"/>
      </w:pPr>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We generated net sales of $7.9 billion, net income of $0.3 billion, and Adjusted EBITDA of $1.0 billion, representing a net income margin of 4.0% and an Adjusted EBITDA Margin of 12.2%.</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During that period, Medline Brand segment net sales and Segment Adjusted EBITDA were $3.6 billion and $1.0 billion, respectively, which represented 46.3% of total net sales and 83.7% of Segment Adjusted EBITDA, respectively. Supply Chain Solutions segment net sales and Segment Adjusted EBITDA were $4.2 billion and $0.2 billion, respectively, which represented 53.7% of total net sales and 16.3% of Segment Adjusted EBITDA,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26, 2026, our financial results were as follows:</w:t>
      </w:r>
    </w:p>
    <w:p>
      <w:pPr>
        <w:pStyle w:val="TextBody"/>
        <w:bidi w:val="0"/>
        <w:spacing w:before="0" w:after="0"/>
        <w:jc w:val="both"/>
      </w:pPr>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We generated net sales of $22.9 billion, net income of $0.7 billion, and Adjusted EBITDA of $2.8 billion, representing a net income margin of 3.0% and an Adjusted EBITDA Margin of 12.2%.</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During that period, Medline Brand segment net sales and Segment Adjusted EBITDA were $10.6 billion and $2.8 billion, respectively, which represented 46.5% of total net sales and 82.8% of Segment Adjusted EBITDA, respectively. Supply Chain Solutions segment net sales and Segment Adjusted EBITDA were $12.2 billion and $0.6 billion, respectively, which represented 53.5% of total net sales and 17.2% of Segment Adjusted EBITDA,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reconciliation of Adjusted EBITDA and Adjusted EBITDA Margin to the most directly comparable GAAP financial measures, information about why we consider Adjusted EBITDA and Adjusted EBITDA Margin useful, and a discussion of the material risks and limitations of these measures, see “—Non-GAAP Financial Information”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Key Factors and Trends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26, 2026, our results and operations were impacted by various factors and trends, including those discussed below. For additional information regarding factors and trends that may impact our results and operations, see Part II, “Item 7—Management’s Discussion and Analysis of Financial Condition and Results of Operations” of our 2025 Form 10-K.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5250"/>
                <wp:effectExtent l="0" t="0" r="0" b="0"/>
                <wp:wrapNone/>
                <wp:docPr id="43" name="Frame4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Trade Relations, Impacts of Tariffs on our Business, and Geopolitical Risks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The current U.S. and international political environment, including existing and potential changes to U.S. policies related to global trade and tariffs, has resulted in uncertainty surrounding the future state of the global economy. We continue to actively monitor developments in the global tariff environment and evaluate their potential impact on our business, financial condition, customers, and suppliers, as well as actions available to reduce our related financial exposure. While the global tariff environment remains unpredictable, as a global company with strategically located and owned manufacturing and a broadly diversified sourcing footprint, we believe we are well-positioned to address potential supply chain challenges. We have multiple levers at our disposal, including strategically reallocating production to other parts of the world, leveraging our new and existing supplier base, optimizing procurement and sourcing of key inputs and raw materials, optimizing our manufacturing footprint, engaging with relevant industry and policy partners, and, where needed, enacting price increases in a thoughtful and strategic way. Nevertheless, we may not be able to establish alternative sources of supply or fully mitigate the financial impact of tariffs across all products we source or manufacture. For the three and nine months ended September 26, 2026, the net impact to income before taxes from tariffs and tariff developments was appr</w:t>
      </w:r>
      <w:r>
        <w:rPr>
          <w:rFonts w:ascii="Times New Roman;serif" w:hAnsi="Times New Roman;serif"/>
          <w:b w:val="false"/>
          <w:color w:val="000000"/>
          <w:sz w:val="20"/>
          <w:shd w:fill="FFFFFF" w:val="clear"/>
        </w:rPr>
        <w:t>oximately $47 million and $277 million, respect</w:t>
      </w:r>
      <w:r>
        <w:rPr>
          <w:rFonts w:ascii="Times New Roman;serif" w:hAnsi="Times New Roman;serif"/>
          <w:b w:val="false"/>
          <w:color w:val="000000"/>
          <w:sz w:val="20"/>
        </w:rPr>
        <w:t>ively, before giving effect to the tariff refund recoveries and related customer repayments discussed below. The actual full year impact may vary based on the tariff rate changes, duration, scope, and effectiveness of our mitigation efforts.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pursued, and may continue to pursue, tariff mitigation measures, including exclusions, refunds, preferential trade agreements, and other duty recovery mechanisms. In February 2026, the U.S. Supreme Court ruled that the International Emergency Economic Powers Act (“IEEPA”) does not authorize the President to impose tariffs. Following that decision, U.S. Customs and Border Protection (“CBP”) established an expedited administrative process through its Consolidated Administration and Processing of Entries (“CAPE”) portal to refund IEEPA duties that had already been paid. </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total IEEPA refund claims, across all eligible mechanisms, to be approximately $507 million, including amounts already submitted via CAPE. As of September 26, 2026, CBP had accepted approximately $402 million in total refunds we have submitted, and actions to recover the remaining expected amounts are ongoing. We evaluate recoveries of IEEPA tariffs in accordance with applicable gain contingency guidance and recognize such recoveries when they are received or realizable. As of September 26, 2026, of the accepted claims, we had received approximately $399 million in refunds. Accordingly, we recorded a receivable of approximately $3 million within Other current assets related to the remaining accepted refund claims as of September 26, 2026. Interest associated with refunded IEEPA tariffs is recognized in the period in which it is received or realizable. We expect to remit a portion of the tariff refunds to customers. As of September 26, 2026, we recorded approximately $78 million within Accrued expenses and other current liabilities for the total amount estimated to be remitted to customers in connection with total tariff refund claims expected.</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26, 2026, we recognized approximately $70 million and $402 million as a reduction of Cost of goods sold related to tariff refunds received or accepted and approximately $4 million and $18 million of interest income in Interest expense, net, respectively. During the nine months ended September 26, 2026, we recognized approximately $78 million as a reduction of Net sales related to accrued customer repayments associated with tariff refunds. During the three months ended September 26, 2026, we recognized a $11 million increase to Net Sales, reflecting a reduction in estimated customer repayments associated with tariff refunds. These amounts were recorded entirely within the Medline Brand segment.</w:t>
      </w:r>
    </w:p>
    <w:p>
      <w:pPr>
        <w:pStyle w:val="TextBody"/>
        <w:bidi w:val="0"/>
        <w:spacing w:before="0" w:after="0"/>
        <w:jc w:val="left"/>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ultimate amount and timing of the IEEPA tariff refunds not yet received are subject to eligibility requirements, regulatory review, administrative processing, and other limitations.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ongoing geopolitical conflicts, including in the Middle East, have resulted in, and could continue to result in, significant disruption of energy supplies and increases in global energy prices, which have heightened and could continue to heighten inflationary pressures, disrupt global supply chains, and adversely impact consumer spending patterns. We will continue to evaluate the evolving macroeconomic environment and seek to take actions to mitigate the impact, if any, on our business and financial condition.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5250"/>
                <wp:effectExtent l="0" t="0" r="0" b="0"/>
                <wp:wrapNone/>
                <wp:docPr id="44" name="Frame4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Tracy, California Distribution Center</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11, 2026, a fire destroyed our distribution center in Tracy, California. All employees were safely evacuated. For the three and nine months ended September 26, 2026, we have estimated incurred losses of $80 million and $416 million, which consist of $1 million and $205 million related to inventory losses, $8 million and $124 million related to fixed asset losses, and $71 million and $87 million related to other expenses, respectively. In the third quarter of 2026, we have received and recognized $100 million of insurance recoveries related to the fire. The losses, net of the insurance recoveries, were recorded in Other operating expenses. We are working closely with our insurance carriers as we finalize and submit appliable claims. While we expect to recover these amounts, the ultimate amount and timing of additional recoveries is not guaranteed and will be determined as the claims process progresses. Following the fire, we entered into lease agreements for two distribution centers in Northern California totaling more than 1.6 million square feet, including a facility in Tracy, California for near-term occupancy and a facility in Stockton, California expected to be available for use in January 2027. These facilities are expected to maintain support service to healthcare providers and customers in Northern California following the fire. We may incur additional losses and costs in future periods associated with the fire and its related impacts. See Note 1—Nature of Business and Significant Accounting Policies to our unaudited condensed consolidated financial statements included under Part I, “Item 1—Financial Statements” of this Quarterly Report for additional information.</w:t>
      </w:r>
    </w:p>
    <w:p>
      <w:pPr>
        <w:pStyle w:val="TextBody"/>
        <w:bidi w:val="0"/>
        <w:spacing w:before="0" w:after="0"/>
        <w:jc w:val="both"/>
      </w:p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FDA and Quality Matters</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26, 2026, we have received three warning letters from the FDA, which have not been resolved. These warning letters relate to compliance with the Quality Management System Regulation and the current Good Manufacturing Practice (cGMP) regulations and were sent following inspections of Medline’s Northfield, Illinois facility and our manufacturing facilities in Glens Falls, New York and Waukegan, Illinois. We are working with the FDA to resolve the observations in the warning letters and FDA Forms 483 we have received. We have committed to taking additional remediation actions and have taken certain actions and made investments in Medline’s Quality organization, including changes to the organizational and operating model and corresponding workforce reductions during the period ended September 26, 2026, and expect increased costs for the remainder of fiscal year 2026.</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on September 16, 2026, we initiated a discontinuation and market exit of Medline Brand beds, including homecare beds, bariatric beds, and long-term care beds, and associated rails, mattresses, and accessories. On October 14, 2026, we communicated to customers a related voluntary field action advising customers that certain Medline Brand beds and associated products may be eligible for full or partial refund. On October 24, 2026, in consultation with the FDA, we issued an updated customer notification advising customers that certain Medline Brand beds and associated products may also be eligible for repair or replacement. Net sales of the affected products for the twelve months ended September 26, 2026, were approximately $50 million. In connection with the voluntary field action, we will provide customers with a replacement or credits for recalled products and facilitating repair for certain other impacted customers. For the three months ended September 26, 2026, we also recorded $13 million of inventory write-downs related to the market exit of the Medline Brand beds after initial communication to the FDA of plans to exit in September. We currently estimate the incremental related costs, including inventory write-downs, to be approximately $60 million to $210 million, which are expected to be incurred in the fourth quarter of 2026 and 2027 and to be excluded from Adjusted EBITDA. The estimated range reflects uncertainty regarding future customer participation, and actual costs and customer credits may differ materially.</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we believe our remediation efforts appropriately address the FDA’s observations and strengthen our Quality practices, no assurances can be given regarding further action by the FDA or that the corrective actions we have proposed and taken will be adequate. Any failure to adequately address the observations made by the FDA may result in regulatory actions initiated by the FDA with limited or no further notice, which may include the adverse consequences described in Part I, “Item 1A—Risk Factors—Risks Related to Regulation and Legal Proceedings—We are subject to extensive and complex laws and governmental regulations and any adverse regulatory action may materially adversely affect our business, results of operations, and financial condition both inside and outside the United States.” of our 2025 Form 10-K. While we currently believe these warning letters are not reasonably likely to materially adversely affect our business, results of operations, or financial condition, the outcomes of such matters are inherently unpredictable and subject to significant uncertainties, and if any of our assumptions change or prove to have been incorrect or there are any further adverse developments, including the receipt of additional warning letters, our business, results of operations, and/or financial condition could be materially adversely affected.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5250"/>
                <wp:effectExtent l="0" t="0" r="0" b="0"/>
                <wp:wrapNone/>
                <wp:docPr id="45" name="Frame4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44</w:t>
                      </w:r>
                    </w:p>
                  </w:txbxContent>
                </v:textbox>
                <w10:wrap type="none"/>
              </v:rect>
            </w:pict>
          </mc:Fallback>
        </mc:AlternateContent>
      </w:r>
    </w:p>
    <w:p>
      <w:pPr>
        <w:pStyle w:val="TextBody"/>
        <w:bidi w:val="0"/>
        <w:spacing w:before="0" w:after="0"/>
        <w:jc w:val="both"/>
      </w:p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Restructuring Plan</w:t>
      </w:r>
    </w:p>
    <w:p>
      <w:pPr>
        <w:pStyle w:val="TextBody"/>
        <w:bidi w:val="0"/>
        <w:spacing w:before="0" w:after="0"/>
        <w:jc w:val="left"/>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2026, management approved a restructuring plan intended to further align its organizational structure and cost base with its long-term strategic and operational objectives. Implementation of these initiatives is expected to occur over multiple reporting periods and may result in additional restructuring and related charges. We expect to incur approximately $20 million to $30 million in restructuring costs to be accrued in the fourth quarter of 2026 and excluded from Adjusted EBITDA. We expect the restructuring actions to generate approximately $80 million to $90 million of annualized run-rate cost savings upon full implementation.</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Secondary Offerings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28, 2026, we completed an underwritten public offering of an aggregate of 72,554,594 shares of Class A common stock sold by a wholly owned subsidiary of Abu Dhabi Investment Authority and certain affiliates of our Sponsors (collectively, the “May 2026 Selling Stockholders”) at a public offering price of $37.00 per share, for aggregate gross proceeds of approximately $2.7 billion to the May 2026 Selling Stockholders (the “May 2026 Resale Offering”). This transaction resulted in the issuance of 29,505,565 shares of Class A common stock in connection with the exchange of Common Units by the May 2026 Selling Stockholders. The exchange reduced the ownership of noncontrolling interest in Medline Holdings by approximately 2% and will increase the net income attributable to the Company in a proportionate amount. We did not sell any shares in this May 2026 Resale Offering and did not receive any of the proceeds from the sale of the shares of Class A common stock in this May 2026 Resale Offering. We paid the offering expenses associated with the sale of the shares by the May 2026 Selling Stockholders, net of the underwriting discounts and commissions.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10, 2026, we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and certain affiliates of our Sponsors (collectively, the “March 2026 Selling Stockholders”) at a public offering price of $41.00 per share, for aggregate gross proceeds of approximately $3.5 billion to the March 2026 Selling Stockholders (the “March 2026 Resale Offering”). This transaction resulted in the issuance of 33,963,901 shares of Class A common stock in connection with the exchange of Common Units by the March 2026 Selling Stockholders. The exchange reduced the ownership of noncontrolling interest in Medline Holdings by approximately 3% and will increase the net income attributable to the Company in a proportionate amount. We did not sell any shares in this March 2026 Resale Offering and did not receive any of the proceeds from the sale of the shares of Class A common stock in this March 2026 Resale Offering. We paid the offering expenses associated with the sale of the shares by the March 2026 Selling Stockholders, net of the underwriting discounts and commissions.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Company Costs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costs associated with public company reporting requirements during fiscal year 2025 and the first nine months of fiscal year 2026, and we expect to continue to incur additional costs associated with operating as a public company. These costs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were previously inapplicable to us as a private company. These additional rules and regulations increase our legal, regulatory, financial, and insurance compliance costs and make some activities more time-consuming and costly.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5250"/>
                <wp:effectExtent l="0" t="0" r="0" b="0"/>
                <wp:wrapNone/>
                <wp:docPr id="46" name="Frame4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IPO and Reorganization Transactions</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our IPO, which generated net proceeds of approximately $7,048 million after deducting underwriting discounts and commissions of approximately $157 million, but before deducting offering expenses of approximately $40 million. Prior to the completion of the IPO, we executed the Reorganization, resulting in Medline Inc. becoming the sole general partner of Medline Holdings, with its sole material asset being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 which pertains to partnership interests in Medline Holdings held by pre-IPO owners. See “Note 1—Nature of Business and Significant Accounting Policies—Reorganization” to our unaudited condensed consolidated financial statements, included under Part I, “Item 1—Financial Statements” of this Quarterly Report for additional information on the reorganization transactions.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Inc. is a corporation for U.S. federal and state income tax purposes. Medline Holdings is treated as a flow-through entity for U.S. federal and state income tax purposes, and, as such, has generally not been subject to U.S. federal income tax at the entity level. Accordingly, unless otherwise specified, the historical results of operations and other financial information set forth in this Quarterly Report do not include any provision for U.S. federal income tax for Medline Holdings except with respect to subsidiary corporations that are subject to U.S. federal income tax. Following the IPO, Medline Inc. is required to pay U.S. federal and state income taxes as a corporation on its share of Medline Holdings’ taxable income. </w:t>
      </w:r>
    </w:p>
    <w:p>
      <w:pPr>
        <w:pStyle w:val="TextBody"/>
        <w:bidi w:val="0"/>
        <w:spacing w:before="0" w:after="0"/>
        <w:ind w:left="0" w:right="0" w:firstLine="490"/>
        <w:jc w:val="both"/>
      </w:pPr>
      <w:r/>
    </w:p>
    <w:p>
      <w:pPr>
        <w:pStyle w:val="TextBody"/>
        <w:bidi w:val="0"/>
        <w:spacing w:lineRule="auto" w:line="288" w:before="0" w:after="0"/>
        <w:jc w:val="both"/>
      </w:pPr>
      <w:r>
        <w:rPr>
          <w:rFonts w:ascii="Times New Roman;serif" w:hAnsi="Times New Roman;serif"/>
          <w:b w:val="false"/>
          <w:color w:val="000000"/>
          <w:sz w:val="20"/>
        </w:rPr>
        <w:t>In connection with the Reorganization and the IPO, we also entered int</w:t>
      </w:r>
      <w:r>
        <w:rPr>
          <w:rFonts w:ascii="Times New Roman;serif" w:hAnsi="Times New Roman;serif"/>
          <w:b w:val="false"/>
          <w:color w:val="000000"/>
          <w:sz w:val="20"/>
          <w:shd w:fill="FFFFFF" w:val="clear"/>
        </w:rPr>
        <w:t>o a tax receivable agreement (“TRA”) with ce</w:t>
      </w:r>
      <w:r>
        <w:rPr>
          <w:rFonts w:ascii="Times New Roman;serif" w:hAnsi="Times New Roman;serif"/>
          <w:b w:val="false"/>
          <w:color w:val="000000"/>
          <w:sz w:val="20"/>
        </w:rPr>
        <w:t>rtain pre-IPO owners. See “—Liquidity and Capital Resources—Tax Receivable Agreement” for additional information. Further, in connection with the Reorganization and the IPO, we also entered into an exchange agreement with the Continuing Unitholders so that they may (subject to the terms of the exchange agreement) exchange their Common Units (including Common Units issued upon conversion of vested Incentive Units) for shares of Class A common stock of Medline Inc.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5250"/>
                <wp:effectExtent l="0" t="0" r="0" b="0"/>
                <wp:wrapNone/>
                <wp:docPr id="47" name="Frame4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46</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The diagram below depicts our current organizational structure:</w:t>
      </w:r>
      <w:r>
        <w:rPr>
          <w:color w:val="000000"/>
        </w:rPr>
        <w:t xml:space="preserve"> </w:t>
      </w:r>
    </w:p>
    <w:p>
      <w:pPr>
        <w:pStyle w:val="TextBody"/>
        <w:bidi w:val="0"/>
        <w:spacing w:before="0" w:after="0"/>
        <w:jc w:val="both"/>
      </w:pPr>
      <w:r/>
    </w:p>
    <w:p>
      <w:pPr>
        <w:pStyle w:val="TextBody"/>
        <w:bidi w:val="0"/>
        <w:spacing w:before="0" w:after="0"/>
        <w:jc w:val="left"/>
      </w:pPr>
      <w:r>
        <w:drawing>
          <wp:inline distT="0" distB="0" distL="0" distR="0">
            <wp:extent cx="6286500" cy="3971925"/>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2"/>
                    <a:stretch>
                      <a:fillRect/>
                    </a:stretch>
                  </pic:blipFill>
                  <pic:spPr bwMode="auto">
                    <a:xfrm>
                      <a:off x="0" y="0"/>
                      <a:ext cx="6286500" cy="3971925"/>
                    </a:xfrm>
                    <a:prstGeom prst="rect">
                      <a:avLst/>
                    </a:prstGeom>
                  </pic:spPr>
                </pic:pic>
              </a:graphicData>
            </a:graphic>
          </wp:inline>
        </w:drawing>
      </w:r>
      <w:bookmarkStart w:id="0" w:name="i-1"/>
      <w:bookmarkEnd w:id="0"/>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i/>
          <w:color w:val="000000"/>
          <w:sz w:val="16"/>
        </w:rPr>
        <w:t>Note:</w:t>
      </w:r>
      <w:r>
        <w:rPr>
          <w:color w:val="000000"/>
        </w:rPr>
        <w:t xml:space="preserve"> </w:t>
      </w:r>
      <w:r>
        <w:rPr>
          <w:rFonts w:ascii="Times New Roman;serif" w:hAnsi="Times New Roman;serif"/>
          <w:b w:val="false"/>
          <w:i/>
          <w:color w:val="000000"/>
          <w:sz w:val="16"/>
        </w:rPr>
        <w:t>Certain intermediate holding companies have been omitted from the structure chart.</w:t>
      </w:r>
    </w:p>
    <w:p>
      <w:pPr>
        <w:pStyle w:val="TextBody"/>
        <w:bidi w:val="0"/>
        <w:spacing w:lineRule="auto" w:line="268" w:before="0" w:after="0"/>
        <w:jc w:val="left"/>
      </w:pPr>
      <w:r>
        <w:rPr>
          <w:rFonts w:ascii="Times New Roman;serif" w:hAnsi="Times New Roman;serif"/>
          <w:b w:val="false"/>
          <w:i/>
          <w:color w:val="000000"/>
          <w:sz w:val="16"/>
        </w:rPr>
        <w:t>(1) Each share of our Class A common stock and Class B common stock entitles its holder to one vote on all matters to be voted on by the stockholders generally</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5250"/>
                <wp:effectExtent l="0" t="0" r="0" b="0"/>
                <wp:wrapNone/>
                <wp:docPr id="49" name="Frame4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47</w:t>
                      </w:r>
                    </w:p>
                  </w:txbxContent>
                </v:textbox>
                <w10:wrap type="none"/>
              </v:rect>
            </w:pict>
          </mc:Fallback>
        </mc:AlternateContent>
      </w:r>
    </w:p>
    <w:p>
      <w:pPr>
        <w:pStyle w:val="TextBody"/>
        <w:bidi w:val="0"/>
        <w:spacing w:before="0" w:after="0"/>
        <w:jc w:val="both"/>
      </w:p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color w:val="000000"/>
          <w:sz w:val="20"/>
        </w:rPr>
        <w:t>For the three and nine months ended</w:t>
      </w:r>
      <w:r>
        <w:rPr>
          <w:color w:val="000000"/>
        </w:rPr>
        <w:t xml:space="preserve"> </w:t>
      </w:r>
      <w:r>
        <w:rPr>
          <w:rFonts w:ascii="Times New Roman;serif" w:hAnsi="Times New Roman;serif"/>
          <w:b/>
          <w:color w:val="000000"/>
          <w:sz w:val="20"/>
        </w:rPr>
        <w:t>September 26, 2026 compared to the three and nine months ended September 27, 2025</w:t>
      </w:r>
    </w:p>
    <w:p>
      <w:pPr>
        <w:pStyle w:val="TextBody"/>
        <w:bidi w:val="0"/>
        <w:spacing w:before="0" w:after="0"/>
        <w:jc w:val="both"/>
      </w:pPr>
      <w:r/>
    </w:p>
    <w:tbl>
      <w:tblPr>
        <w:tblW w:w="13418" w:type="dxa"/>
        <w:jc w:val="left"/>
        <w:tblInd w:w="0" w:type="dxa"/>
        <w:tblLayout w:type="fixed"/>
        <w:tblCellMar>
          <w:top w:w="28" w:type="dxa"/>
          <w:left w:w="28" w:type="dxa"/>
          <w:bottom w:w="28" w:type="dxa"/>
          <w:right w:w="28" w:type="dxa"/>
        </w:tblCellMar>
      </w:tblPr>
      <w:tblGrid>
        <w:gridCol w:w="488"/>
        <w:gridCol w:w="311"/>
        <w:gridCol w:w="312"/>
        <w:gridCol w:w="109"/>
        <w:gridCol w:w="109"/>
        <w:gridCol w:w="109"/>
        <w:gridCol w:w="109"/>
        <w:gridCol w:w="109"/>
        <w:gridCol w:w="109"/>
        <w:gridCol w:w="109"/>
        <w:gridCol w:w="109"/>
        <w:gridCol w:w="109"/>
        <w:gridCol w:w="109"/>
        <w:gridCol w:w="109"/>
        <w:gridCol w:w="856"/>
        <w:gridCol w:w="210"/>
        <w:gridCol w:w="856"/>
        <w:gridCol w:w="109"/>
        <w:gridCol w:w="369"/>
        <w:gridCol w:w="254"/>
        <w:gridCol w:w="257"/>
        <w:gridCol w:w="109"/>
        <w:gridCol w:w="109"/>
        <w:gridCol w:w="109"/>
        <w:gridCol w:w="398"/>
        <w:gridCol w:w="254"/>
        <w:gridCol w:w="257"/>
        <w:gridCol w:w="109"/>
        <w:gridCol w:w="109"/>
        <w:gridCol w:w="109"/>
        <w:gridCol w:w="231"/>
        <w:gridCol w:w="496"/>
        <w:gridCol w:w="129"/>
        <w:gridCol w:w="109"/>
        <w:gridCol w:w="109"/>
        <w:gridCol w:w="109"/>
        <w:gridCol w:w="285"/>
        <w:gridCol w:w="285"/>
        <w:gridCol w:w="286"/>
        <w:gridCol w:w="109"/>
        <w:gridCol w:w="109"/>
        <w:gridCol w:w="109"/>
        <w:gridCol w:w="369"/>
        <w:gridCol w:w="299"/>
        <w:gridCol w:w="302"/>
        <w:gridCol w:w="109"/>
        <w:gridCol w:w="109"/>
        <w:gridCol w:w="109"/>
        <w:gridCol w:w="329"/>
        <w:gridCol w:w="298"/>
        <w:gridCol w:w="303"/>
        <w:gridCol w:w="109"/>
        <w:gridCol w:w="109"/>
        <w:gridCol w:w="109"/>
        <w:gridCol w:w="196"/>
        <w:gridCol w:w="556"/>
        <w:gridCol w:w="109"/>
        <w:gridCol w:w="109"/>
        <w:gridCol w:w="109"/>
        <w:gridCol w:w="109"/>
        <w:gridCol w:w="179"/>
        <w:gridCol w:w="153"/>
        <w:gridCol w:w="194"/>
      </w:tblGrid>
      <w:tr>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12"/>
            <w:tcBorders/>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September 26, 2026</w:t>
            </w:r>
          </w:p>
        </w:tc>
        <w:tc>
          <w:tcPr>
            <w:tcW w:w="21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September 27,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2026 vs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September 26,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2026 vs 2025</w:t>
            </w:r>
          </w:p>
        </w:tc>
        <w:tc>
          <w:tcPr>
            <w:tcW w:w="2041" w:type="dxa"/>
            <w:gridSpan w:val="12"/>
            <w:tcBorders/>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pPr>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p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Change</w:t>
            </w:r>
          </w:p>
        </w:tc>
        <w:tc>
          <w:tcPr>
            <w:tcW w:w="2041" w:type="dxa"/>
            <w:gridSpan w:val="12"/>
            <w:tcBorders/>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(in millions,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12.4%</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0.2%</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NM⁽¹⁾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NM⁽¹⁾</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(26.3)%</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(42.3)%</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NM⁽¹⁾</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NM⁽¹⁾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NM⁽¹⁾</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(45.6)%</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NM⁽¹⁾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NM⁽¹⁾</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(28.8)%</w:t>
            </w:r>
          </w:p>
        </w:tc>
      </w:tr>
    </w:tbl>
    <w:p>
      <w:pPr>
        <w:pStyle w:val="TextBody"/>
        <w:bidi w:val="0"/>
        <w:spacing w:lineRule="auto" w:line="288" w:before="0" w:after="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Not Meaningful</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for the three months ended September 26, 2026 compared to the three months ended September 27, 2025</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Net sales for the three months ended September 26, 2026</w:t>
      </w:r>
      <w:r>
        <w:rPr>
          <w:color w:val="000000"/>
          <w:shd w:fill="FFFFFF" w:val="clear"/>
        </w:rPr>
        <w:t xml:space="preserve"> </w:t>
      </w:r>
      <w:r>
        <w:rPr>
          <w:rFonts w:ascii="Times New Roman;serif" w:hAnsi="Times New Roman;serif"/>
          <w:b w:val="false"/>
          <w:color w:val="000000"/>
          <w:sz w:val="20"/>
          <w:shd w:fill="FFFFFF" w:val="clear"/>
        </w:rPr>
        <w:t>increased $741 million, or 10.4%, to $7,856 million, compared to $7,115 mil</w:t>
      </w:r>
      <w:r>
        <w:rPr>
          <w:rFonts w:ascii="Times New Roman;serif" w:hAnsi="Times New Roman;serif"/>
          <w:b w:val="false"/>
          <w:color w:val="000000"/>
          <w:sz w:val="20"/>
        </w:rPr>
        <w:t>lion for the respective period in 2025, primarily driven by increased volumes in organic net sales. Foreign currency exchange rate impact was immaterial.</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U.S. business for the three months ended September 26, 2026 increased $702 million, or 10.6%, to $7,338 million, compared to $6,636 million for the respective period in 2025, primarily due to volume growth in Prime Vendor net sales, which for the three months ended September 26, 2026 increased $844 million, or 19.0%, to $5,285 million, compared to $4,441 million for the respective period in 2025.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U.S. acute care business, which includes both Prime Vendor and non-Prime Vendor customers, increased $591 million, or 12.1%, to $5,471 million, compared to $4,880 million for the respective period in 2025, primarily driven by volume growth. Net sales for the U.S. non-acute care business increased $111 million, or 6.3%, to $1,867 million, compared to $1,756 million for the respective period in 2025, primarily driven by volume growth.</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International business for the three months ended September 26, 2026 increased $39 million, or 8.1%, to $518 million, compared to $479 million for the respective period in 2025, primarily driven by volume growth.</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5250"/>
                <wp:effectExtent l="0" t="0" r="0" b="0"/>
                <wp:wrapNone/>
                <wp:docPr id="50" name="Frame4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48</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before="0" w:after="0"/>
        <w:jc w:val="both"/>
      </w:pPr>
      <w:r/>
    </w:p>
    <w:p>
      <w:pPr>
        <w:pStyle w:val="TextBody"/>
        <w:bidi w:val="0"/>
        <w:spacing w:lineRule="auto" w:line="276" w:before="0" w:after="0"/>
        <w:jc w:val="both"/>
      </w:pPr>
      <w:r>
        <w:rPr>
          <w:rFonts w:ascii="Times New Roman;serif" w:hAnsi="Times New Roman;serif"/>
          <w:b w:val="false"/>
          <w:color w:val="000000"/>
          <w:sz w:val="20"/>
        </w:rPr>
        <w:t>Cost of goods</w:t>
      </w:r>
      <w:r>
        <w:rPr>
          <w:color w:val="000000"/>
          <w:shd w:fill="FFFFFF" w:val="clear"/>
        </w:rPr>
        <w:t xml:space="preserve"> </w:t>
      </w:r>
      <w:r>
        <w:rPr>
          <w:rFonts w:ascii="Times New Roman;serif" w:hAnsi="Times New Roman;serif"/>
          <w:b w:val="false"/>
          <w:color w:val="000000"/>
          <w:sz w:val="20"/>
          <w:shd w:fill="FFFFFF" w:val="clear"/>
        </w:rPr>
        <w:t>sold for the three months ended September 26, 2026 increased $691 million, or 13.2%, to $5,931 million, compared to $5,240 million for the respective period in 2025, primarily driven by the growth in net sales and increased inventory costs associated with inflation, partially offset by tariff refunds. Gross profit as a percentage of sales decreased from 26.4% for the three months ended September 27, 2025 to 24.5% for the three months ended September 26, 2026, primarily due to increased inventory costs associated with inflation and customer mix from Prime Vendors at lower margins within Supply Chain Solutions, partially offset by net tariff refunds.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both"/>
      </w:pPr>
      <w:r>
        <w:rPr>
          <w:rFonts w:ascii="Times New Roman;serif" w:hAnsi="Times New Roman;serif"/>
          <w:b w:val="false"/>
          <w:color w:val="000000"/>
          <w:sz w:val="20"/>
        </w:rPr>
        <w:t>Sellin</w:t>
      </w:r>
      <w:r>
        <w:rPr>
          <w:rFonts w:ascii="Times New Roman;serif" w:hAnsi="Times New Roman;serif"/>
          <w:b w:val="false"/>
          <w:color w:val="000000"/>
          <w:sz w:val="20"/>
          <w:shd w:fill="FFFFFF" w:val="clear"/>
        </w:rPr>
        <w:t>g, General, and Administrative (“SG&amp;A”) expenses for the three months ended September 26, 2026 increased $143 million, or 12.8%, to $1,259 milli</w:t>
      </w:r>
      <w:r>
        <w:rPr>
          <w:rFonts w:ascii="Times New Roman;serif" w:hAnsi="Times New Roman;serif"/>
          <w:b w:val="false"/>
          <w:color w:val="000000"/>
          <w:sz w:val="20"/>
        </w:rPr>
        <w:t>on, compared to $1,116 million for the respective period in 2025, primarily due to $92 million of higher compensation and benefit expenses related to investments in headcount, inclusive of $15 million of one-time employee bonuses related to the IPO, which are subject to an ongoing service requirement, and $31 million related to higher distribution expense, including outbound freight.</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Operating (Income) Expenses, net</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Other Operating (Income) Expenses, net improved by</w:t>
      </w:r>
      <w:r>
        <w:rPr>
          <w:color w:val="000000"/>
          <w:shd w:fill="FFFFFF" w:val="clear"/>
        </w:rPr>
        <w:t xml:space="preserve"> </w:t>
      </w:r>
      <w:r>
        <w:rPr>
          <w:rFonts w:ascii="Times New Roman;serif" w:hAnsi="Times New Roman;serif"/>
          <w:b w:val="false"/>
          <w:color w:val="000000"/>
          <w:sz w:val="20"/>
          <w:shd w:fill="FFFFFF" w:val="clear"/>
        </w:rPr>
        <w:t xml:space="preserve">$18 million to an income of $10 million </w:t>
      </w:r>
      <w:r>
        <w:rPr>
          <w:rFonts w:ascii="Times New Roman;serif" w:hAnsi="Times New Roman;serif"/>
          <w:b w:val="false"/>
          <w:color w:val="000000"/>
          <w:sz w:val="20"/>
        </w:rPr>
        <w:t>for the three months ended September 26, 2026</w:t>
      </w:r>
      <w:r>
        <w:rPr>
          <w:rFonts w:ascii="Times New Roman;serif" w:hAnsi="Times New Roman;serif"/>
          <w:b w:val="false"/>
          <w:color w:val="000000"/>
          <w:sz w:val="20"/>
          <w:shd w:fill="FFFFFF" w:val="clear"/>
        </w:rPr>
        <w:t>, compared to an expense of $8 milli</w:t>
      </w:r>
      <w:r>
        <w:rPr>
          <w:rFonts w:ascii="Times New Roman;serif" w:hAnsi="Times New Roman;serif"/>
          <w:b w:val="false"/>
          <w:color w:val="000000"/>
          <w:sz w:val="20"/>
        </w:rPr>
        <w:t>on for the respective period in 2025, primarily driven by insurance recoveries from the fire at the distribution center in Tracy, California, partially offset by the incremental fire-related costs.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i/>
          <w:color w:val="000000"/>
          <w:sz w:val="20"/>
        </w:rPr>
        <w:t>Interest Expense, net</w:t>
        <w:br/>
      </w:r>
      <w:r>
        <w:rPr>
          <w:rFonts w:ascii="Times New Roman;serif" w:hAnsi="Times New Roman;serif"/>
          <w:b w:val="false"/>
          <w:color w:val="000000"/>
          <w:sz w:val="20"/>
          <w:shd w:fill="FFFFFF" w:val="clear"/>
        </w:rPr>
        <w:br/>
        <w:t xml:space="preserve">Interest expense, net for the three months ended September 26, 2026 </w:t>
      </w:r>
      <w:r>
        <w:rPr>
          <w:rFonts w:ascii="Times New Roman;serif" w:hAnsi="Times New Roman;serif"/>
          <w:b w:val="false"/>
          <w:color w:val="000000"/>
          <w:sz w:val="20"/>
        </w:rPr>
        <w:t>decreased $95 million, or 44.6%, to $118 million, compared to $213 million for the respective period in 2025, primarily driven by 2025 repayment of term loan facilities with IPO proceeds and higher interest income.</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for the three months ended September 26, 2026 increased $45 million to $68 million, compared to $23 million for the respective period in 2025, primarily due to tax changes associated with the Reorganization, which subjected a greater portion of earnings to corporate</w:t>
        <w:noBreakHyphen/>
        <w:t>level U.S. federal and state income taxes.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for the nine months ended September 26, 2026 compared to the nine months ended September 27, 2025</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0"/>
        <w:ind w:left="0" w:right="0" w:firstLine="720"/>
        <w:jc w:val="both"/>
      </w:pPr>
      <w:r/>
    </w:p>
    <w:p>
      <w:pPr>
        <w:pStyle w:val="TextBody"/>
        <w:bidi w:val="0"/>
        <w:spacing w:lineRule="auto" w:line="288" w:before="0" w:after="0"/>
        <w:jc w:val="both"/>
      </w:pPr>
      <w:r>
        <w:rPr>
          <w:rFonts w:ascii="Times New Roman;serif" w:hAnsi="Times New Roman;serif"/>
          <w:b w:val="false"/>
          <w:color w:val="000000"/>
          <w:sz w:val="20"/>
        </w:rPr>
        <w:t>Net sales for the nine months ended September 26, 2026</w:t>
      </w:r>
      <w:r>
        <w:rPr>
          <w:color w:val="000000"/>
          <w:shd w:fill="FFFFFF" w:val="clear"/>
        </w:rPr>
        <w:t xml:space="preserve"> </w:t>
      </w:r>
      <w:r>
        <w:rPr>
          <w:rFonts w:ascii="Times New Roman;serif" w:hAnsi="Times New Roman;serif"/>
          <w:b w:val="false"/>
          <w:color w:val="000000"/>
          <w:sz w:val="20"/>
          <w:shd w:fill="FFFFFF" w:val="clear"/>
        </w:rPr>
        <w:t>increased $2,248 million, or 10.9%, to $22,893 million, compared to $20,645 million for the respective perio</w:t>
      </w:r>
      <w:r>
        <w:rPr>
          <w:rFonts w:ascii="Times New Roman;serif" w:hAnsi="Times New Roman;serif"/>
          <w:b w:val="false"/>
          <w:color w:val="000000"/>
          <w:sz w:val="20"/>
        </w:rPr>
        <w:t>d in 2025, primarily driven by increased volumes in organic net sales. Foreign currency exchange rate impact was immaterial.</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U.S. business for the nine months ended September 26, 2026 increased $2,118 million, or 11.0%, to $21,347 million, compared to $19,229 million for the respective period in 2025, primarily due to volume growth in Prime Vendor net sales, which for the nine months ended September 26, 2026 increased $2,305 million, or 17.6%, to $15,424 million, compared to $13,119 million for the respective period in 2025. The growth was partially offset by $78 million customer repayments associated with tariff refunds.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Net sales fo</w:t>
      </w:r>
      <w:r>
        <w:rPr>
          <w:rFonts w:ascii="Times New Roman;serif" w:hAnsi="Times New Roman;serif"/>
          <w:b w:val="false"/>
          <w:color w:val="000000"/>
          <w:sz w:val="20"/>
        </w:rPr>
        <w:t>r the U.S. acute care business, which includes both Prime Vendor and non-Prime Vendor customers, increased $1,835 million, or 13.0%, to $16,003 million, compared to $14,168 million for the respective period in 2025, primarily driven by volume growth, partially offset by $44 million customer repayments associated with tariff refunds. Net sales for the U.S. non-acute care business increased $283 million, or 5.6%, to $5,344 million, compared to $5,061 million for the respective period in 2025, primarily driven by volume growth, partially offset by $34 million customer repayments associated with tariff refunds.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95250"/>
                <wp:effectExtent l="0" t="0" r="0" b="0"/>
                <wp:wrapNone/>
                <wp:docPr id="51" name="Frame5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49</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business for the nine months ended September 26, 2026 increased $130 million, or 9.2%, to $1,546 million, compared to $1,416 million for the respective period in 2025, primarily driven by volume growth and favorable foreign currency exchange rates. </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before="0" w:after="0"/>
        <w:jc w:val="both"/>
      </w:pPr>
      <w:r/>
    </w:p>
    <w:p>
      <w:pPr>
        <w:pStyle w:val="TextBody"/>
        <w:bidi w:val="0"/>
        <w:spacing w:lineRule="auto" w:line="276" w:before="0" w:after="0"/>
        <w:jc w:val="both"/>
      </w:pPr>
      <w:r>
        <w:rPr>
          <w:rFonts w:ascii="Times New Roman;serif" w:hAnsi="Times New Roman;serif"/>
          <w:b w:val="false"/>
          <w:color w:val="000000"/>
          <w:sz w:val="20"/>
        </w:rPr>
        <w:t xml:space="preserve">Cost of goods sold for the nine months ended September 26, 2026 increased $1,871 million, or 12.4%, to $16,912 million, compared to $15,041 million for the respective period in 2025, primarily driven by the growth in net sales, higher import costs due to tariffs, and increased inventory costs associated with inflation, partially offset by tariff refunds. Gross profit as a percentage of sales decreased from 27.1% for the nine months ended September 27, 2025 to 26.1% for the nine months ended September 26, 2026, primarily driven by higher import costs due to tariffs, customer mix from Prime Vendors at lower margins </w:t>
      </w:r>
      <w:r>
        <w:rPr>
          <w:rFonts w:ascii="Times New Roman;serif" w:hAnsi="Times New Roman;serif"/>
          <w:b w:val="false"/>
          <w:color w:val="000000"/>
          <w:sz w:val="20"/>
          <w:shd w:fill="FFFFFF" w:val="clear"/>
        </w:rPr>
        <w:t>within Supply Chain Solutions</w:t>
      </w:r>
      <w:r>
        <w:rPr>
          <w:rFonts w:ascii="Times New Roman;serif" w:hAnsi="Times New Roman;serif"/>
          <w:b w:val="false"/>
          <w:color w:val="000000"/>
          <w:sz w:val="20"/>
        </w:rPr>
        <w:t>, a shift in segment mix toward Supply Chain Solutions, and increased inventory costs associated with inflation, partially offset by net tariff refunds.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for the nine months ended September 26, 2026 increased $523 million, or 16.0%, to $3,782 million, compared to $3,259 million for the respective period in 2025, primarily due to $340 million of higher compensation and benefit expenses related to investments in headcount, inclusive of $48 million of one-time employee bonuses related to the IPO, which are subject to an ongoing service requirement, and $82 million related to higher distribution expense, including outbound freight. The prior year also included $43 million related to the favorable settlement of an intellectual property dispute, partially offset by $32 million of credit loss expense related to certain customer receivables, neither of which recurred in 2026.</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Operating Expenses, net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Operating Expenses, net for the nine months ended September 26, 2026 increased $323 million to $353 million, compared to $30 million for the respective period in 2025, primarily driven by the impact due to fire at the distribution center in Tracy, California, partially offset by the related insurance recoveries.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i/>
          <w:color w:val="000000"/>
          <w:sz w:val="20"/>
        </w:rPr>
        <w:t>Interest Expense, net</w:t>
        <w:br/>
      </w:r>
      <w:r>
        <w:rPr>
          <w:rFonts w:ascii="Times New Roman;serif" w:hAnsi="Times New Roman;serif"/>
          <w:b w:val="false"/>
          <w:color w:val="000000"/>
          <w:sz w:val="20"/>
        </w:rPr>
        <w:br/>
        <w:t>Interest expense, net for the nine months ended September 26, 2026 decreased $273 million, or 42.3%, to $373 million, compared to $646 million for the respective period in 2025, primarily driven by 2025 repayment of term loan facilities with IPO proceeds and higher interest income.</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Loss, net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loss, net for the nine months ended September 26, 2026 increased $36 million to $42 million compared to $6 million for the respective period in 2025. The increase was primarily due to expense associated with the debt refinancing in May 2026.</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Exchange Gain (Loss), net</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Foreign exchange gain (loss), net improved by $103 million to a gain of $10 million for the nine months ended September 26, 2026, compared to a loss of $93 million for the respective peri</w:t>
      </w:r>
      <w:r>
        <w:rPr>
          <w:rFonts w:ascii="Times New Roman;serif" w:hAnsi="Times New Roman;serif"/>
          <w:b w:val="false"/>
          <w:color w:val="000000"/>
          <w:sz w:val="20"/>
          <w:shd w:fill="FFFFFF" w:val="clear"/>
        </w:rPr>
        <w:t>od in 2025, primarily due to unfavorable foreign exchange rate movement on certain settled borrowings denominated in Euro in 2025.</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Provision for income taxes for the nine months ended September 26, 2026 increased $151 million to $216 million, compared to $65 million for the respective period in 2025,</w:t>
      </w:r>
      <w:r>
        <w:rPr>
          <w:color w:val="000000"/>
          <w:shd w:fill="FFFFFF" w:val="clear"/>
        </w:rPr>
        <w:t xml:space="preserve"> </w:t>
      </w:r>
      <w:r>
        <w:rPr>
          <w:rFonts w:ascii="Times New Roman;serif" w:hAnsi="Times New Roman;serif"/>
          <w:b w:val="false"/>
          <w:color w:val="000000"/>
          <w:sz w:val="20"/>
          <w:shd w:fill="FFFFFF" w:val="clear"/>
        </w:rPr>
        <w:t>primarily due to tax changes associated with the Reorganization, which subjected a greater portion of earnings to corporate</w:t>
        <w:noBreakHyphen/>
        <w:t>level U.S. federal and state income taxes, and the additional income related to tariff refunds.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5250"/>
                <wp:effectExtent l="0" t="0" r="0" b="0"/>
                <wp:wrapNone/>
                <wp:docPr id="52" name="Frame5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50</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The following table compares business segment net sales, Segment Adjusted EBITDA, and Segment Adjusted EBITDA margin for the three and nine months ended</w:t>
      </w:r>
      <w:r>
        <w:rPr>
          <w:color w:val="000000"/>
        </w:rPr>
        <w:t xml:space="preserve"> </w:t>
      </w:r>
      <w:r>
        <w:rPr>
          <w:rFonts w:ascii="Times New Roman;serif" w:hAnsi="Times New Roman;serif"/>
          <w:b w:val="false"/>
          <w:color w:val="000000"/>
          <w:sz w:val="20"/>
        </w:rPr>
        <w:t xml:space="preserve">September 26, 2026 and September 27, 2025: </w:t>
      </w:r>
    </w:p>
    <w:p>
      <w:pPr>
        <w:pStyle w:val="TextBody"/>
        <w:bidi w:val="0"/>
        <w:spacing w:before="0" w:after="0"/>
        <w:jc w:val="both"/>
      </w:pPr>
      <w:r/>
    </w:p>
    <w:tbl>
      <w:tblPr>
        <w:tblW w:w="10352" w:type="dxa"/>
        <w:jc w:val="center"/>
        <w:tblInd w:w="0" w:type="dxa"/>
        <w:tblLayout w:type="fixed"/>
        <w:tblCellMar>
          <w:top w:w="28" w:type="dxa"/>
          <w:left w:w="28" w:type="dxa"/>
          <w:bottom w:w="28" w:type="dxa"/>
          <w:right w:w="28" w:type="dxa"/>
        </w:tblCellMar>
      </w:tblPr>
      <w:tblGrid>
        <w:gridCol w:w="353"/>
        <w:gridCol w:w="311"/>
        <w:gridCol w:w="312"/>
        <w:gridCol w:w="196"/>
        <w:gridCol w:w="556"/>
        <w:gridCol w:w="256"/>
        <w:gridCol w:w="109"/>
        <w:gridCol w:w="109"/>
        <w:gridCol w:w="109"/>
        <w:gridCol w:w="196"/>
        <w:gridCol w:w="556"/>
        <w:gridCol w:w="256"/>
        <w:gridCol w:w="109"/>
        <w:gridCol w:w="109"/>
        <w:gridCol w:w="109"/>
        <w:gridCol w:w="198"/>
        <w:gridCol w:w="426"/>
        <w:gridCol w:w="112"/>
        <w:gridCol w:w="109"/>
        <w:gridCol w:w="109"/>
        <w:gridCol w:w="109"/>
        <w:gridCol w:w="265"/>
        <w:gridCol w:w="265"/>
        <w:gridCol w:w="266"/>
        <w:gridCol w:w="109"/>
        <w:gridCol w:w="109"/>
        <w:gridCol w:w="109"/>
        <w:gridCol w:w="196"/>
        <w:gridCol w:w="646"/>
        <w:gridCol w:w="256"/>
        <w:gridCol w:w="109"/>
        <w:gridCol w:w="109"/>
        <w:gridCol w:w="109"/>
        <w:gridCol w:w="196"/>
        <w:gridCol w:w="556"/>
        <w:gridCol w:w="256"/>
        <w:gridCol w:w="109"/>
        <w:gridCol w:w="109"/>
        <w:gridCol w:w="109"/>
        <w:gridCol w:w="198"/>
        <w:gridCol w:w="426"/>
        <w:gridCol w:w="112"/>
        <w:gridCol w:w="109"/>
        <w:gridCol w:w="109"/>
        <w:gridCol w:w="109"/>
        <w:gridCol w:w="204"/>
        <w:gridCol w:w="204"/>
        <w:gridCol w:w="289"/>
      </w:tblGrid>
      <w:t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r>
      <w:t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9.2%</w:t>
            </w:r>
          </w:p>
        </w:tc>
      </w:tr>
      <w:t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15.1%</w:t>
            </w:r>
          </w:p>
        </w:tc>
      </w:tr>
      <w:t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r>
      <w:t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2"/>
        </w:rPr>
        <w:t xml:space="preserve">(1) </w:t>
      </w:r>
      <w:r>
        <w:rPr>
          <w:rFonts w:ascii="Times New Roman;serif" w:hAnsi="Times New Roman;serif"/>
          <w:b w:val="false"/>
          <w:color w:val="000000"/>
          <w:sz w:val="18"/>
        </w:rPr>
        <w:t>We define Segment Adjusted EBITDA margin as the Segment Adjusted EBITDA divided by segment net sales.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16—Segment Information to our unaudited condensed consolidated financial statements included under Part I, “Item 1—Financial Statements” of this Quarterly Report for additional information on our segments.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 for the three months ended September 26, 2026 compared to the three months ended September 27, 2025</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Medline Brand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Brand segment net sales for the three months ended September 26, 2026 increased $226 million, or 6.6%, to $3,637 million, compared to $3,411 million for the respective period in 2025. The increase was primarily driven by volume growth in Prime Vendor sales of Medline Brand products for the three months ended September 26, 2026, which increased $271 million, or 18.7%, to $1,719 million, compared to $1,448 million for the respective period in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Surgical Solutions net sales for the three months ended September 26, 2026 increased $121 million, or 7.9%, to $1,659 million, compared to $1,538 million for the respective period in 2025, primarily driven by volume growth in kitting and operating room products. Front Line Care net sales for the three months ended September 26, 2026 increased $72 million, or 4.4%, to $1,706 million, compared to $1,634 million for the respective period in 2025, primarily driven by volume growth, including exam gloves and personal care products. Laboratory and Diagnostics net sales for the three months ended September 26, 2026 increased $33 million, or 13.8%, to $272 million, compared to $239 million for the respective period in 2025, primarily driven by volume growth in laboratory products.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Brand Segment Adjusted EBITDA for the three months ended September 26, 2026 increased $122 million, or 14.9%, to $943 million, compared to $821 million for the respective period in 2025, primarily driven by growth in net sales and tariff refunds, partially offset by higher distribution expense and higher compensation and benefit expense related to investments in headcount. Medline Brand Segment Adjusted EBITDA margin increased to 25.9% from 24.1%, primarily driven by tariff refunds.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Supply Chain Solutions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Supply Chain Solutions segment net sales for the three months ended September 26, 2026 increased $515 million, or 13.9%, to $4,219 million, compared to $3,704 million for the respective period in 2025. The increase was primarily driven by volume growth in Prime Vendor sales for the three months ended September 26, 2026, which increased $573 million, or 19.1%, to $3,566 million, compared to $2,993 million for the respective period in 2025, including implementation of new relationships and growth with existing customers.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5250"/>
                <wp:effectExtent l="0" t="0" r="0" b="0"/>
                <wp:wrapNone/>
                <wp:docPr id="53" name="Frame5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51</w:t>
                      </w:r>
                    </w:p>
                  </w:txbxContent>
                </v:textbox>
                <w10:wrap type="none"/>
              </v:rect>
            </w:pict>
          </mc:Fallback>
        </mc:AlternateConten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Supply Chain Solutions Segment Adjusted EBITDA for the three months ended September 26, 2026 decreased $21 million, or 10.2%, to $184 million, compared to $205 million for the respective period in 2025. Supply Chain Solutions Segment Adjusted EBITDA margin decreased to 4.4% from 5.5%, primarily due to customer mix from Prime Vendors at lower margins and higher operating expenses, partially offset by increased vendor funding.</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 for the nine months ended September 26, 2026 compared to the nine months ended September 27, 2025</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Medline Brand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Medline Brand segment net sales for the nine months ended September 26, 2026 increased $645 million, or 6.5%, to $10,642 million, compared to $9,997 million for the respective period in 2025. The increase was primarily driven by volume grow</w:t>
      </w:r>
      <w:r>
        <w:rPr>
          <w:rFonts w:ascii="Times New Roman;serif" w:hAnsi="Times New Roman;serif"/>
          <w:b w:val="false"/>
          <w:color w:val="000000"/>
          <w:sz w:val="20"/>
          <w:shd w:fill="FFFFFF" w:val="clear"/>
        </w:rPr>
        <w:t xml:space="preserve">th in Prime Vendor sales of Medline Brand products for the nine months ended September 26, 2026, which increased $654 million, or 14.9%, to $5,031 million, compared to $4,377 million for the respective period in 2025, partially offset by customer repayments associated with tariff refunds.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Surgical Solutions net sales for the nine months ended September 26, 2026 increased $359 million, or 8.0%, to $4,853 million, compared to $4,494 million for the respective period in 2025, primarily driven by volume growth in kitting and operating room products, partially offset by customer repayments associated with tariff refunds. Front Line Care net sales for the nine months ended September 26, 2026 increased $224 million, or 4.7%, to $4,976 million, compared to $4,752 million for the respective period in 2025, primarily driven by volume growth, including exam gloves and personal care products, partially offset by customer repayments associated with tariff refunds. Laboratory and Diagnostics net sales for the nine months ended September 26, 2026 increased $62 million, or 8.3%, to $813 million, compared to $751 million for the respective period in 2025, primarily driven by volume growth in laboratory products.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Brand Segment Adjusted EBITDA for the nine months ended September 26, 2026 increased $234 million, or 9.2%, to $2,775 million, compared to $2,541 million for the respective period in 2025, primarily driven by growth in net sales and tariff refunds, partially offset by higher import costs due to tariffs, higher distribution expense, and higher compensation and benefit expense related to investments in headcount. Medline Brand Segment Adjusted EBITDA margin increased to 26.1% from 25.4%, primarily driven by tariff refunds, partially offset by higher import costs due to tariffs.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Supply Chain Solutions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Supply Chain Solutions segment net sales for the nine months ended September 26, 2026 increased $1,603 million, or 15.1%, to $12,251 million, compared to $10,648 million for the respective period in 2025. The increase was primarily driven by volume</w:t>
      </w:r>
      <w:r>
        <w:rPr>
          <w:color w:val="000000"/>
          <w:shd w:fill="FFFFFF" w:val="clear"/>
        </w:rPr>
        <w:t xml:space="preserve"> </w:t>
      </w:r>
      <w:r>
        <w:rPr>
          <w:rFonts w:ascii="Times New Roman;serif" w:hAnsi="Times New Roman;serif"/>
          <w:b w:val="false"/>
          <w:color w:val="000000"/>
          <w:sz w:val="20"/>
          <w:shd w:fill="FFFFFF" w:val="clear"/>
        </w:rPr>
        <w:t>growth in Prime Vendor sales for the nine months ended September 26, 2026, which increased $1,651 million, or 18.9%, to $10,393 million, compared to $8,742 million for the respective period in 2025, including implementation of new relationships and growth with existing customers.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Supply Chain Solutions Segment Adjusted EBITDA for the nine months ended September 26, 2026 decreased $13 million, or 2.2%, to $575 million, compared to $588 million for the respective period in 2025. Supply Chain Solutions Segment Adjusted EBITDA margin decreased to 4.7% from 5.5%, primarily due to customer mix from Prime Vendors at lower margins and higher operating expenses, partially offset by increased vendor funding.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Non-GAAP Financial Information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below.</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5250"/>
                <wp:effectExtent l="0" t="0" r="0" b="0"/>
                <wp:wrapNone/>
                <wp:docPr id="54" name="Frame5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52</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income, the most comparable GAAP measure, to Adjusted EBITDA and Adjusted EBITDA Margin:</w:t>
      </w:r>
    </w:p>
    <w:tbl>
      <w:tblPr>
        <w:tblW w:w="9827" w:type="dxa"/>
        <w:jc w:val="center"/>
        <w:tblInd w:w="0" w:type="dxa"/>
        <w:tblLayout w:type="fixed"/>
        <w:tblCellMar>
          <w:top w:w="28" w:type="dxa"/>
          <w:left w:w="28" w:type="dxa"/>
          <w:bottom w:w="28" w:type="dxa"/>
          <w:right w:w="28" w:type="dxa"/>
        </w:tblCellMar>
      </w:tblPr>
      <w:tblGrid>
        <w:gridCol w:w="971"/>
        <w:gridCol w:w="855"/>
        <w:gridCol w:w="858"/>
        <w:gridCol w:w="343"/>
        <w:gridCol w:w="738"/>
        <w:gridCol w:w="448"/>
        <w:gridCol w:w="109"/>
        <w:gridCol w:w="109"/>
        <w:gridCol w:w="109"/>
        <w:gridCol w:w="343"/>
        <w:gridCol w:w="738"/>
        <w:gridCol w:w="448"/>
        <w:gridCol w:w="109"/>
        <w:gridCol w:w="109"/>
        <w:gridCol w:w="109"/>
        <w:gridCol w:w="297"/>
        <w:gridCol w:w="844"/>
        <w:gridCol w:w="388"/>
        <w:gridCol w:w="109"/>
        <w:gridCol w:w="109"/>
        <w:gridCol w:w="109"/>
        <w:gridCol w:w="293"/>
        <w:gridCol w:w="832"/>
        <w:gridCol w:w="450"/>
      </w:tblGrid>
      <w:t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rPr>
            </w:pPr>
            <w:r>
              <w:rPr>
                <w:rFonts w:ascii="Times New Roman;serif" w:hAnsi="Times New Roman;serif"/>
                <w:b/>
                <w:color w:val="000000"/>
                <w:sz w:val="18"/>
              </w:rPr>
              <w:t>Net income</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Inventory-related adjustments </w:t>
            </w:r>
            <w:r>
              <w:rPr>
                <w:rFonts w:ascii="Times New Roman;serif" w:hAnsi="Times New Roman;serif"/>
                <w:b w:val="false"/>
                <w:color w:val="000000"/>
                <w:sz w:val="12"/>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Stock-based compensation expense</w:t>
            </w:r>
            <w:r>
              <w:rPr>
                <w:color w:val="000000"/>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Litigation gains, net </w:t>
            </w:r>
            <w:r>
              <w:rPr>
                <w:rFonts w:ascii="Times New Roman;serif" w:hAnsi="Times New Roman;serif"/>
                <w:b w:val="false"/>
                <w:color w:val="000000"/>
                <w:sz w:val="12"/>
              </w:rPr>
              <w:t xml:space="preserve">(2)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6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6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Other non-core charges </w:t>
            </w:r>
            <w:r>
              <w:rPr>
                <w:rFonts w:ascii="Times New Roman;serif" w:hAnsi="Times New Roman;serif"/>
                <w:b w:val="false"/>
                <w:color w:val="000000"/>
                <w:sz w:val="12"/>
              </w:rPr>
              <w:t xml:space="preserve">(4)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2,796 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color w:val="000000"/>
                <w:sz w:val="18"/>
              </w:rPr>
              <w:t xml:space="preserve">Net income margin </w:t>
            </w:r>
            <w:r>
              <w:rPr>
                <w:rFonts w:ascii="Times New Roman;serif" w:hAnsi="Times New Roman;serif"/>
                <w:b/>
                <w:color w:val="000000"/>
                <w:sz w:val="12"/>
              </w:rPr>
              <w:t>(5)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color w:val="000000"/>
                <w:sz w:val="18"/>
              </w:rPr>
              <w:t xml:space="preserve">Adjusted EBITDA Margin </w:t>
            </w:r>
            <w:r>
              <w:rPr>
                <w:rFonts w:ascii="Times New Roman;serif" w:hAnsi="Times New Roman;serif"/>
                <w:b/>
                <w:color w:val="000000"/>
                <w:sz w:val="12"/>
              </w:rPr>
              <w:t>(5)</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4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pPr>
      <w:r>
        <w:rPr>
          <w:rFonts w:ascii="Times New Roman;serif" w:hAnsi="Times New Roman;serif"/>
          <w:b w:val="false"/>
          <w:color w:val="000000"/>
          <w:sz w:val="12"/>
        </w:rPr>
        <w:t>(1)</w:t>
      </w:r>
      <w:r>
        <w:rPr>
          <w:rFonts w:ascii="Times New Roman;serif" w:hAnsi="Times New Roman;serif"/>
          <w:b w:val="false"/>
          <w:color w:val="000000"/>
          <w:sz w:val="18"/>
        </w:rPr>
        <w:t>Represents the non-cash impact of last-in, first-out reserve changes attributable to changes in inventory costs.</w:t>
      </w:r>
    </w:p>
    <w:p>
      <w:pPr>
        <w:pStyle w:val="TextBody"/>
        <w:bidi w:val="0"/>
        <w:spacing w:lineRule="auto" w:line="288" w:before="0" w:after="0"/>
        <w:ind w:left="0" w:right="0" w:hanging="360"/>
        <w:jc w:val="both"/>
      </w:pPr>
      <w:r>
        <w:rPr>
          <w:rFonts w:ascii="Times New Roman;serif" w:hAnsi="Times New Roman;serif"/>
          <w:b w:val="false"/>
          <w:color w:val="000000"/>
          <w:sz w:val="12"/>
        </w:rPr>
        <w:t>(2)</w:t>
      </w:r>
      <w:r>
        <w:rPr>
          <w:rFonts w:ascii="Times New Roman;serif" w:hAnsi="Times New Roman;serif"/>
          <w:b w:val="false"/>
          <w:color w:val="000000"/>
          <w:sz w:val="18"/>
        </w:rPr>
        <w:t>The nine months ended September 27, 2025, represents a settlement adjustment of $(8) million related to the ethylene oxide litigation, $(43) million related to settlement of an intellectual property dispute, and $4 million related to other legal settlements.</w:t>
      </w:r>
    </w:p>
    <w:p>
      <w:pPr>
        <w:pStyle w:val="TextBody"/>
        <w:bidi w:val="0"/>
        <w:spacing w:lineRule="auto" w:line="288" w:before="0" w:after="0"/>
        <w:ind w:left="0" w:right="0" w:hanging="360"/>
        <w:jc w:val="both"/>
      </w:pPr>
      <w:r>
        <w:rPr>
          <w:rFonts w:ascii="Times New Roman;serif" w:hAnsi="Times New Roman;serif"/>
          <w:b w:val="false"/>
          <w:color w:val="000000"/>
          <w:sz w:val="12"/>
        </w:rPr>
        <w:t>(3)</w:t>
      </w:r>
      <w:r>
        <w:rPr>
          <w:rFonts w:ascii="Times New Roman;serif" w:hAnsi="Times New Roman;serif"/>
          <w:b w:val="false"/>
          <w:color w:val="000000"/>
          <w:sz w:val="18"/>
        </w:rPr>
        <w:t>The three and nine months ended September 26, 2026 and September 27, 2025, respectively, includes $30 million, $4 million, $87 million and $12 million of expenses related to our IPO and subsequent offerings, consisting of legal, accounting, and advisory fees, as well as one-time employee bonuses, which are subject to an ongoing service requirement. The three months ended September 27, 2025 and the nine months ended September 26, 2026 and September 27, 2025 include $8 million, $7 million, and $23 million of acquisition and integration-related costs and adjustments, respectively.</w:t>
      </w:r>
    </w:p>
    <w:p>
      <w:pPr>
        <w:pStyle w:val="TextBody"/>
        <w:bidi w:val="0"/>
        <w:spacing w:lineRule="auto" w:line="288" w:before="0" w:after="0"/>
        <w:ind w:left="0" w:right="0" w:hanging="360"/>
        <w:jc w:val="both"/>
      </w:pPr>
      <w:r>
        <w:rPr>
          <w:rFonts w:ascii="Times New Roman;serif" w:hAnsi="Times New Roman;serif"/>
          <w:b w:val="false"/>
          <w:color w:val="000000"/>
          <w:sz w:val="12"/>
        </w:rPr>
        <w:t>(4)</w:t>
      </w:r>
      <w:r>
        <w:rPr>
          <w:rFonts w:ascii="Times New Roman;serif" w:hAnsi="Times New Roman;serif"/>
          <w:b w:val="false"/>
          <w:color w:val="000000"/>
          <w:sz w:val="18"/>
        </w:rPr>
        <w:t xml:space="preserve">The three and nine months ended September 26, 2026 primarily include: </w:t>
      </w:r>
    </w:p>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a.Costs related to specified transformation and implementation projects of $11 million and $34 million, respectively.</w:t>
      </w:r>
    </w:p>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b.Loss on debt extinguishment and other debt refinancing costs and fees related to specified financing transactions of $1 million and $46 million, respectively.</w:t>
      </w:r>
    </w:p>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c.The impact attributable to a fire at the distribution center in Tracy, California, net of insurance proceeds of $(20) million and $316 million, respectively.</w:t>
      </w:r>
    </w:p>
    <w:p>
      <w:pPr>
        <w:pStyle w:val="TextBody"/>
        <w:bidi w:val="0"/>
        <w:spacing w:lineRule="auto" w:line="26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d.Costs attributable to specified remediation activities undertaken in response to the FDA observations and warning letters described above under “FDA and Quality Matters” of $13 million.</w:t>
      </w:r>
    </w:p>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e.Recall and discontinuation costs related to Medline Brand beds of $13 million, as described above under “FDA and Quality Matters”.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three and nine months ended September 27, 2025 primarily include:</w:t>
      </w:r>
    </w:p>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f.Costs related to specified transformation and implementation projects of $3 million and $15 million, respectively.</w:t>
      </w:r>
    </w:p>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g.Loss on debt extinguishment and other debt refinancing costs and fees related to specified financing transactions of $6 million.</w:t>
      </w:r>
    </w:p>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h.Foreign exchange losses directly attributable to the remeasurement of euro-denominated term loans of $9 million and $84 million, respectively.</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nine months ended September 27, 2025 also includes $32 million credit loss expense related to certain customer receivable.</w:t>
      </w:r>
    </w:p>
    <w:p>
      <w:pPr>
        <w:pStyle w:val="TextBody"/>
        <w:bidi w:val="0"/>
        <w:spacing w:lineRule="auto" w:line="288" w:before="0" w:after="0"/>
        <w:ind w:left="0" w:right="0" w:hanging="360"/>
        <w:jc w:val="both"/>
      </w:pPr>
      <w:r>
        <w:rPr>
          <w:rFonts w:ascii="Times New Roman;serif" w:hAnsi="Times New Roman;serif"/>
          <w:b w:val="false"/>
          <w:color w:val="000000"/>
          <w:sz w:val="12"/>
        </w:rPr>
        <w:t>(5)</w:t>
      </w:r>
      <w:r>
        <w:rPr>
          <w:rFonts w:ascii="Times New Roman;serif" w:hAnsi="Times New Roman;serif"/>
          <w:b w:val="false"/>
          <w:color w:val="000000"/>
          <w:sz w:val="18"/>
        </w:rPr>
        <w:t>Net income margin represents net income divided by net sales and Adjusted EBITDA Margin represents Adjusted EBITDA divided by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5250"/>
                <wp:effectExtent l="0" t="0" r="0" b="0"/>
                <wp:wrapNone/>
                <wp:docPr id="55" name="Frame5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53</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Our primary sources of liquidity are our cash and cash equivalents, short-term investments, cash flows from operations, and revolving credit facility. As of September 26, 2026, we had cash and cash equivalents of $2,321 million</w:t>
      </w:r>
      <w:r>
        <w:rPr>
          <w:rFonts w:ascii="Times New Roman;serif" w:hAnsi="Times New Roman;serif"/>
          <w:b w:val="false"/>
          <w:color w:val="000000"/>
          <w:sz w:val="20"/>
        </w:rPr>
        <w:t xml:space="preserve">, short-term investments of $1,287 million, </w:t>
      </w:r>
      <w:r>
        <w:rPr>
          <w:rFonts w:ascii="Times New Roman;serif" w:hAnsi="Times New Roman;serif"/>
          <w:b w:val="false"/>
          <w:color w:val="000000"/>
          <w:sz w:val="20"/>
          <w:shd w:fill="FFFFFF" w:val="clear"/>
        </w:rPr>
        <w:t xml:space="preserve">and available liquidity under our Revolving Credit Facility of $962 million. </w:t>
      </w:r>
    </w:p>
    <w:p>
      <w:pPr>
        <w:pStyle w:val="TextBody"/>
        <w:bidi w:val="0"/>
        <w:spacing w:before="0" w:after="0"/>
        <w:jc w:val="both"/>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uses of cash include product purchases, operating costs, personnel-related costs, capital expenditures related to property and equipment, acquisitions, payments of interest under our indebtedness, distributions to noncontrolling interest holders, payments on tax receivable agreement, and may include from time to time in the future repurchases of our Class A common stock and/or units of Medline Holdings.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Our net capital expenditure</w:t>
      </w:r>
      <w:r>
        <w:rPr>
          <w:rFonts w:ascii="Times New Roman;serif" w:hAnsi="Times New Roman;serif"/>
          <w:b w:val="false"/>
          <w:color w:val="000000"/>
          <w:sz w:val="20"/>
          <w:shd w:fill="FFFFFF" w:val="clear"/>
        </w:rPr>
        <w:t>s were $348 million and</w:t>
      </w:r>
      <w:r>
        <w:rPr>
          <w:color w:val="000000"/>
        </w:rPr>
        <w:t xml:space="preserve"> </w:t>
      </w:r>
      <w:r>
        <w:rPr>
          <w:rFonts w:ascii="Times New Roman;serif" w:hAnsi="Times New Roman;serif"/>
          <w:b w:val="false"/>
          <w:color w:val="000000"/>
          <w:sz w:val="20"/>
        </w:rPr>
        <w:t>$309 million for the nine months ended September 26, 2026 and September 27, 2025, respectively. These include the continued enhancements and automation in our distribution centers and investments in our manufacturing facilities in Mexico and other regions. We anticipate the net capital expenditures for the fiscal year 2026 to total up to $600 milli</w:t>
      </w:r>
      <w:r>
        <w:rPr>
          <w:rFonts w:ascii="Times New Roman;serif" w:hAnsi="Times New Roman;serif"/>
          <w:b w:val="false"/>
          <w:color w:val="000000"/>
          <w:sz w:val="20"/>
          <w:shd w:fill="FFFFFF" w:val="clear"/>
        </w:rPr>
        <w:t>on, primarily related to the expansion of manufacturing facilities and distribution centers, further investment in automation, and investments in capital equipment lost in the Tracy fire.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28, 2026, Medline Borrower, LP and Medline Co-Issuer, Inc., our indirect subsidiaries, issued the 2031 Notes and the 2033 Notes. Concurrently with the notes offering, Medline Borrower, LP entered into Amendment No. 7 to the Credit Agreement, pursuant to which it refinanced the existing dollar-denominated term loan facility due 2030 with a new senior secured dollar-denominated term loan facility in an aggregate principal amount of approximately $2,750 million due 2033 (the “2033 Refinancing Term Loan Facility”). The net proceeds from the offering of the 2031 Notes and 2033 Notes, together with borrowings under the 2033 Refinancing Term Loan Facility and cash on hand, were used to repay in full all outstanding indebtedness under our existing dollar-denominated term loan facility due 2028, refinance approximately $724 million of our existing dollar-denominated term loan facility due 2030, redeem approximately $500 million of our 6.250% senior secured notes due 2029, and pay related fees and expenses. See Note 5—Credit Agreements and Borrowings to our unaudited condensed consolidated financial statements included under Part I, “Item 1—Financial Statements” of this Quarterly Report for additional information on our indebtedness.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22, 2026, we prepaid $750 million in aggregate principal amount of our 2033 Refinancing Term Loan Facility under our Credit Agreement using cash on hand. We expect the prepayment to reduce interest expense in future periods and to result in a loss on extinguishment of debt of approximately $21 million in the fourth quarter of 2026. See Note 5, “Credit Agreements and Borrowings,” and Note 17, “Subsequent Events,” to our unaudited condensed consolidated financial statements included in Part I, “Item 1—Financial Statements” of this Quarterly Report.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on hand, cash flows from operations, and borrowing availability under our Revolving Credit Facility will fund our ongoing working capital and investing and financing requirements, including the prepayment of long-term borrowings, sufficiently for at least the next year as well as for the longer-term.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2026, our Board of Directors authorized a share repurchase program under which we may repurchase up to $1 billion of our outstanding Class A common stock and/or units of Medline Holdings (the “Share Repurchase Program”). We may repurchase shares of Class A common stock and/or units of Medline Holdings from time to time through open market purchases, in privately negotiated transactions, or by other means in accordance with applicable securities laws and other restrictions. In determining the amount of capital to allocate to any future share repurchases, we will take into account, among other things, our historical and expected business performance and cash and liquidity position, as well as global economic and market conditions and the market price of our Class A common stock. The timing, manner, price and amount of any repurchases under the Share Repurchase Program will be determined by us in our discretion. The Share Repurchase Program does not have an expiration date, does not obligate us to acquire any particular amount of Class A common stock and/or units of Medline Holdings, and may be suspended or terminated at any time at our discretion. As of the date of this Quarterly Report, we had not repurchased any shares under the Share Repurchase Program.</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95250"/>
                <wp:effectExtent l="0" t="0" r="0" b="0"/>
                <wp:wrapNone/>
                <wp:docPr id="56" name="Frame5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54</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Initial Public Offering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After completion of the IPO, Medline Inc. became our holding company and has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certain indentures governing the Senior Notes, contain covenants that may restrict Medline Holdings and its subsidiaries from paying such distributions, subject to certain exceptions. Further, Medline Holdings is generally prohibited under Delaware law fr</w:t>
      </w:r>
      <w:r>
        <w:rPr>
          <w:rFonts w:ascii="Times New Roman;serif" w:hAnsi="Times New Roman;serif"/>
          <w:b w:val="false"/>
          <w:color w:val="000000"/>
          <w:sz w:val="20"/>
        </w:rPr>
        <w:t>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Part I, “Item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 of our 2025 Form 10-K.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both"/>
      </w:pPr>
      <w:r>
        <w:rPr>
          <w:rFonts w:ascii="Times New Roman;serif" w:hAnsi="Times New Roman;serif"/>
          <w:b w:val="false"/>
          <w:color w:val="000000"/>
          <w:sz w:val="20"/>
          <w:shd w:fill="FFFFFF" w:val="clear"/>
        </w:rPr>
        <w:t xml:space="preserve">The following table sets forth the major components of our </w:t>
      </w:r>
      <w:r>
        <w:rPr>
          <w:rFonts w:ascii="Times New Roman;serif" w:hAnsi="Times New Roman;serif"/>
          <w:b w:val="false"/>
          <w:color w:val="000000"/>
          <w:sz w:val="20"/>
        </w:rPr>
        <w:t>unaudited Condensed Consolidated</w:t>
      </w:r>
      <w:r>
        <w:rPr>
          <w:color w:val="000000"/>
          <w:shd w:fill="FFFFFF" w:val="clear"/>
        </w:rPr>
        <w:t xml:space="preserve"> </w:t>
      </w:r>
      <w:r>
        <w:rPr>
          <w:rFonts w:ascii="Times New Roman;serif" w:hAnsi="Times New Roman;serif"/>
          <w:b w:val="false"/>
          <w:color w:val="000000"/>
          <w:sz w:val="20"/>
          <w:shd w:fill="FFFFFF" w:val="clear"/>
        </w:rPr>
        <w:t>Statements of Cash Flows for the periods presented:</w:t>
      </w:r>
    </w:p>
    <w:tbl>
      <w:tblPr>
        <w:tblW w:w="8805" w:type="dxa"/>
        <w:jc w:val="center"/>
        <w:tblInd w:w="0" w:type="dxa"/>
        <w:tblLayout w:type="fixed"/>
        <w:tblCellMar>
          <w:top w:w="28" w:type="dxa"/>
          <w:left w:w="28" w:type="dxa"/>
          <w:bottom w:w="28" w:type="dxa"/>
          <w:right w:w="28" w:type="dxa"/>
        </w:tblCellMar>
      </w:tblPr>
      <w:tblGrid>
        <w:gridCol w:w="1884"/>
        <w:gridCol w:w="1658"/>
        <w:gridCol w:w="1663"/>
        <w:gridCol w:w="348"/>
        <w:gridCol w:w="990"/>
        <w:gridCol w:w="192"/>
        <w:gridCol w:w="124"/>
        <w:gridCol w:w="124"/>
        <w:gridCol w:w="124"/>
        <w:gridCol w:w="124"/>
        <w:gridCol w:w="340"/>
        <w:gridCol w:w="967"/>
        <w:gridCol w:w="267"/>
      </w:tblGrid>
      <w:tr>
        <w:tc>
          <w:tcPr>
            <w:tcW w:w="188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7"/>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1574" w:type="dxa"/>
            <w:gridSpan w:val="3"/>
            <w:tcBorders/>
          </w:tcPr>
          <w:p>
            <w:pPr>
              <w:pStyle w:val="TableContents"/>
              <w:bidi w:val="0"/>
              <w:spacing w:before="0" w:after="283"/>
              <w:jc w:val="left"/>
              <w:rPr>
                <w:sz w:val="4"/>
                <w:szCs w:val="4"/>
              </w:rPr>
            </w:pPr>
            <w:r>
              <w:rPr>
                <w:sz w:val="4"/>
                <w:szCs w:val="4"/>
              </w:rPr>
            </w:r>
          </w:p>
        </w:tc>
      </w:tr>
      <w:t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26, 2026</w:t>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27, 2025</w:t>
            </w:r>
          </w:p>
        </w:tc>
      </w:tr>
      <w:tr>
        <w:tc>
          <w:tcPr>
            <w:tcW w:w="520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ind w:left="0" w:right="0" w:hanging="144"/>
              <w:jc w:val="left"/>
              <w:rPr>
                <w:sz w:val="4"/>
                <w:szCs w:val="4"/>
              </w:rPr>
            </w:pPr>
            <w:r>
              <w:rPr>
                <w:sz w:val="4"/>
                <w:szCs w:val="4"/>
              </w:rPr>
            </w:r>
          </w:p>
        </w:tc>
      </w:tr>
      <w:t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and cash equivalents and restricted cash provided by (used in):</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$2,152 million and $1,515 million for the nine months ended September 26, 2026 and September 27, 2025, respectively.</w:t>
      </w:r>
    </w:p>
    <w:p>
      <w:pPr>
        <w:pStyle w:val="TextBody"/>
        <w:bidi w:val="0"/>
        <w:spacing w:before="0" w:after="0"/>
        <w:jc w:val="both"/>
      </w:pPr>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5250"/>
                <wp:effectExtent l="0" t="0" r="0" b="0"/>
                <wp:wrapNone/>
                <wp:docPr id="57" name="Frame5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55</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Net cash provided by operating activities for the nine months ended September 26, 2026 wa</w:t>
      </w:r>
      <w:r>
        <w:rPr>
          <w:rFonts w:ascii="Times New Roman;serif" w:hAnsi="Times New Roman;serif"/>
          <w:b w:val="false"/>
          <w:color w:val="000000"/>
          <w:sz w:val="20"/>
          <w:shd w:fill="FFFFFF" w:val="clear"/>
        </w:rPr>
        <w:t>s prima</w:t>
      </w:r>
      <w:r>
        <w:rPr>
          <w:rFonts w:ascii="Times New Roman;serif" w:hAnsi="Times New Roman;serif"/>
          <w:b w:val="false"/>
          <w:color w:val="000000"/>
          <w:sz w:val="20"/>
        </w:rPr>
        <w:t xml:space="preserve">rily driven by </w:t>
      </w:r>
      <w:r>
        <w:rPr>
          <w:rFonts w:ascii="Times New Roman;serif" w:hAnsi="Times New Roman;serif"/>
          <w:b w:val="false"/>
          <w:color w:val="000000"/>
          <w:sz w:val="20"/>
          <w:shd w:fill="FFFFFF" w:val="clear"/>
        </w:rPr>
        <w:t>net income, net of non-cash items and inclusive of</w:t>
      </w:r>
      <w:r>
        <w:rPr>
          <w:color w:val="000000"/>
        </w:rPr>
        <w:t xml:space="preserve"> </w:t>
      </w:r>
      <w:r>
        <w:rPr>
          <w:rFonts w:ascii="Times New Roman;serif" w:hAnsi="Times New Roman;serif"/>
          <w:b w:val="false"/>
          <w:color w:val="000000"/>
          <w:sz w:val="20"/>
        </w:rPr>
        <w:t>$399 million tariff refunds received, and by changes in working capital. Changes in working capital resulted in net cash provided of $105 million, which is primarily driven by an increase in accrued expenses and other current liabilities related to $102 million of interest payable, $78 million of customer repayments associated with tariff refunds, and $69 million for one-time employee bonuses related to the IPO, all anticipated to be paid during the fourth quarter 2026. Due to higher net sales, these increases are partially offset by the net impact of an increase in trade accounts receivable of $281 million and an increase in customer rebate liabilities of $89 million.</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Net cash provided by operating activities for the nine months ended September 27, 2025 was primarily driven by net income excluding non-cash items, partially offset by changes in working capita</w:t>
      </w:r>
      <w:r>
        <w:rPr>
          <w:rFonts w:ascii="Times New Roman;serif" w:hAnsi="Times New Roman;serif"/>
          <w:b w:val="false"/>
          <w:color w:val="000000"/>
          <w:sz w:val="20"/>
        </w:rPr>
        <w:t>l. Changes in working capital resulted in net cash used of $501 million, which is primarily driven by an increase in inventories of $249 million, including tariff impacts, and an increase in trade accounts receivable of $239 million.</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Investing Activities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$1,537 million and $336 million for the nine months ended September 26, 2026 and September 27, 2025,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26, 2026, net cash used in investing activities was primarily driven by short-term investments in time deposits of $1,274 million and net capital expenditures of $348 million, partially offset by insurance recoveries of $100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For the nine months ended September 27, 2025, net cash used in investing activities was primarily driven by net capital expenditures of $309 million and payments for asset acquisitions of $33 million.</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used in Financing Activities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$220 million and $498 million for the nine months ended September 26, 2026 and September 27, 2025,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26, 2026, net cash used in financing activities was primarily driven by distributions to noncontrolling interests of $164 million and $48 million net repayment of long-term borrowings.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nine months ended September 27, 2025, net cash used in financing activities was primarily driven by distribution to partners of $422 million, net repayment for long-term borrowings of $43 million, and Class B Unit repurchases of $33 million.</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before="0" w:after="0"/>
        <w:jc w:val="both"/>
      </w:pPr>
      <w:r/>
    </w:p>
    <w:p>
      <w:pPr>
        <w:pStyle w:val="TextBody"/>
        <w:bidi w:val="0"/>
        <w:spacing w:lineRule="auto" w:line="268" w:before="0" w:after="0"/>
        <w:jc w:val="both"/>
      </w:pPr>
      <w:r>
        <w:rPr>
          <w:rFonts w:ascii="Times New Roman;serif" w:hAnsi="Times New Roman;serif"/>
          <w:b w:val="false"/>
          <w:color w:val="000000"/>
          <w:sz w:val="20"/>
        </w:rPr>
        <w:t>As of September 26, 2026</w:t>
      </w:r>
      <w:r>
        <w:rPr>
          <w:rFonts w:ascii="Times New Roman;serif" w:hAnsi="Times New Roman;serif"/>
          <w:b w:val="false"/>
          <w:color w:val="000000"/>
          <w:sz w:val="20"/>
          <w:shd w:fill="FFFFFF" w:val="clear"/>
        </w:rPr>
        <w:t>, our total indebtedness was $12,743 million, including outstanding borrowings of senior unsecured notes with a principal amount of $2,500 million, senior secured notes with a principal amount of $7,500 million, and $2,743 million under a senior secured term loan facility.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28, 2026, we issued 2031 Notes and 2033 Notes. We also entered into Amendment No. 7 to the Credit Agreement, which refinanced our existing dollar-denominated term loan facility due 2030 with the 2033 Refinancing Term Loan Facility. The 2033 Refinancing Term Loan Facility amortizes in equal quarterly installments in an aggregate annual amount equal to 1.00% of the original principal amount of the loans, with the balance payable at maturity of the 2033 Refinancing Term Loan Facility.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2026, we prepaid $750 million in aggregate principal amount of our 2033 Refinancing Term Loan Facility under our Credit Agreement using cash on hand. </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95250"/>
                <wp:effectExtent l="0" t="0" r="0" b="0"/>
                <wp:wrapNone/>
                <wp:docPr id="58" name="Frame5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56</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long-term debt contains affirmative and negative covenants, including under the Credit Agreement, as amended, and the indentures governing the Senior Notes. We were in compliance with all such covenants as of September 26, 2026. The springing financial covenant under the Credit Agreement, which is applicable solely to the Revolving Credit Facility, requires compliance with a maximum ratio of consolidated first lien net indebtedness to Consolidated EBITDA (as defined in the Credit Agreement) of 8.3x,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September 26, 2026 as we did not have any outstanding borrowings under the Revolving Credit Facility at such time, our ratio of consolidated first lien net indebtedness to Consolidated EBITDA as of the last day of any applicable fiscal quarter has not exceeded the maximum ratio permitted under the springing financial covenant. The failure to satisfy this ratio would impact our ability to borrow amounts committed under our Revolving Credit Facility which could have a material impact on our liquidity.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5—Credit Agreements and Borrowings to our unaudited condensed consolidated financial statements included under Part I, “Item 1—Financial Statements” of this Quarterly Report for additional information on our indebtedness.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interest rate derivatives to add stability to interest expense and to manage our exposure to interest rate movements. See Note 11—Derivatives and Hedging Activities Risk Management to our unaudited condensed consolidated financial statements included under Part I, “Item 1—Financial Statements” of this Quarterly Report, and Part II, “Item 7—Management’s Discussion and Analysis of Financial Condition and Results of Operations —Cash Flow Hedges of Interest Rate Risk” of our 2025 Form 10-K.</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26, 2026, we had recorded a tax receivable agreement liability of $4,415 million. Assuming: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a price of $34.70 per share of our Class A common stock, which was the closing sales price of our Class A common stock on September 25, 2026 as reported on Nasdaq;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(ii) a constant corporate tax rate of 25.7%;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(iii) we will have sufficient taxable income to fully utilize the tax benefits;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(iv) no material changes in tax law,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(i) the Continuing Unitholders had exchanged all of the Common Units that they held on September 26, 2026, and (ii) all Incentive Units had been converted to Common Units and subsequently exchanged for shares of Class A common stock at a price of $34.70 per share of Class A common stock as of such date, we would, as a result of such hypothetical exchanges, (a) have incremental tax benefits related to attributes covered by the tax receivable agreement of approximately $5,889 million and (b) increase the aggregate noncurrent tax receivable agreement liability recorded, based on our estimate of the aggregate amount that Medline Inc. would pay under the tax receivable agreement, to approximately $9,703 million, generally payable over a 15-year period.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amounts are estimates and have been prepared for informational purposes only. The actual amount of tax benefits related to attributes covered by the tax receivable agreement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7—Tax Receivable Agreement and Note 15—Related Party to our unaudited condensed consolidated financial statements included under Part I, “Item 1—Financial Statements” of this Quarterly Report, and Part II, “Item 7—Management’s Discussion and Analysis of Financial Condition and Results of Operations —Tax Receivable Agreement”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95250"/>
                <wp:effectExtent l="0" t="0" r="0" b="0"/>
                <wp:wrapNone/>
                <wp:docPr id="59" name="Frame5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57</w:t>
                      </w:r>
                    </w:p>
                  </w:txbxContent>
                </v:textbox>
                <w10:wrap type="none"/>
              </v:rect>
            </w:pict>
          </mc:Fallback>
        </mc:AlternateContent>
      </w:r>
    </w:p>
    <w:p>
      <w:pPr>
        <w:pStyle w:val="TextBody"/>
        <w:bidi w:val="0"/>
        <w:spacing w:before="0" w:after="0"/>
        <w:jc w:val="both"/>
      </w:pPr>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26, 2026, other than the refinancing transactions described above and in Note 5—Credit Agreements and Borrowings to our unaudited condensed consolidated financial statements included under Part I, “Item 1—Financial Statements” of this Quarterly Report, there were no material changes to the contractual obligations from those disclosed in our 2025 Form 10-K.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debt and non-cancellable contractual service and purchases obligations, see Note 5—Credit Agreements and Borrowings and Note 9—Commitments and Contingencies to our unaudited condensed consolidated financial statements included under Part I, “Item 1—Financial Statements”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from those disclosed in Part II, “Item 7—Management’s Discussion and Analysis of Financial Condition and Results of Operations—Critical Accounting Estimates” of our 2025 Form 10-K.</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Adopted Accounting Standards and Recently Issued Accounting Standards Not Yet Adopted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adopted accounting standards and recently issued accounting standards not yet adopted, please see Note 1—Nature of Business and Significant Accounting Policies to our unaudited condensed consolidated financial statements included under Part I, “Item 1—Financial Statements” of this Quarterly Report.</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our exposure to market risks as disclosed in the 2025 Form 10-K.</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with the participation of the Company’s principal executive officer and principal financial officer, has evaluated the effectiveness of our disclosure controls and procedures, as defined in Rules 13a-15(e) and 15d-15(e) under the Exchange Act, as of the end of the period covered by this Quarterly Report.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that evaluation, the Company’s principal executive officer and principal financial officer concluded that, as of the end of the period covered by this Quarterly Report, the Company’s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identified in connection with the evaluation required by Rules 13a-15(d) and 15d-15(d) of the Exchange Act during the quarter ended September 26,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5250"/>
                <wp:effectExtent l="0" t="0" r="0" b="0"/>
                <wp:wrapNone/>
                <wp:docPr id="60" name="Frame5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58</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on Effectiveness of Controls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litigation, including those described herein,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9—Commitments and Contingencies to our unaudited condensed consolidated financial statements included under Part I, “Item 1—Financial Statements” of this Quarterly Report, which is incorporated by reference into this Item 1.</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for the period covered by this Quarterly Report to the risk factors disclosed in Part I, “Item 1A—Risk Factors” of our 2025 Form 10-K.</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the IPO of our Class A common stock in which we issued and sold 248,439,654 shares of Class A common stock (including shares issued pursuant to the exercise in full of the underwriters’ option to purchase additional shares) for cash consideration of $29.00 per share. The shares sold in the offering were registered under the Securities Act pursuant to our Registration Statement on Form S-1 (File No. 333-291112) which was declared effective by the SEC on December 16, 2025. There has been no change in the use of proceeds from our IPO as described in the 2025 Form 10-K.</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5250"/>
                <wp:effectExtent l="0" t="0" r="0" b="0"/>
                <wp:wrapNone/>
                <wp:docPr id="61" name="Frame6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59</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Trading Plan Arrangements</w:t>
      </w:r>
    </w:p>
    <w:p>
      <w:pPr>
        <w:pStyle w:val="TextBody"/>
        <w:bidi w:val="0"/>
        <w:spacing w:before="0" w:after="0"/>
        <w:ind w:left="0" w:right="0" w:firstLine="720"/>
        <w:jc w:val="both"/>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terms of any “Rule 10b5-1 trading arrangement” or any “non-Rule 10b5-1 trading arrangement” (each as defined in Item 408 of Regulation S-K of the Exchange Act) adopted or terminated by our officers or directors during the three months ended September 26, 2026. The trading arrangement listed below was intended to satisfy the affirmative defense conditions of Rule 10b5-1(c) under the Exchange Act.</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346"/>
        <w:gridCol w:w="303"/>
        <w:gridCol w:w="309"/>
        <w:gridCol w:w="439"/>
        <w:gridCol w:w="439"/>
        <w:gridCol w:w="445"/>
        <w:gridCol w:w="679"/>
        <w:gridCol w:w="679"/>
        <w:gridCol w:w="680"/>
        <w:gridCol w:w="755"/>
        <w:gridCol w:w="709"/>
        <w:gridCol w:w="710"/>
        <w:gridCol w:w="1083"/>
        <w:gridCol w:w="1083"/>
        <w:gridCol w:w="1546"/>
      </w:tblGrid>
      <w:tr>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c>
          <w:tcPr>
            <w:tcW w:w="958"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1323"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2038"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Adoption or Termination</w:t>
            </w:r>
          </w:p>
        </w:tc>
        <w:tc>
          <w:tcPr>
            <w:tcW w:w="2174"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Duration of Trading Arrangement</w:t>
            </w:r>
          </w:p>
        </w:tc>
        <w:tc>
          <w:tcPr>
            <w:tcW w:w="3712"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 to be Sold Pursuant to the Trading Arrangement</w:t>
            </w:r>
          </w:p>
        </w:tc>
      </w:tr>
      <w:tr>
        <w:tc>
          <w:tcPr>
            <w:tcW w:w="95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L. Miller</w:t>
            </w:r>
          </w:p>
        </w:tc>
        <w:tc>
          <w:tcPr>
            <w:tcW w:w="132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Former Chief Operating Officer </w:t>
            </w:r>
          </w:p>
        </w:tc>
        <w:tc>
          <w:tcPr>
            <w:tcW w:w="20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Terminated his previously disclosed plan on August 13, 2026</w:t>
            </w:r>
          </w:p>
        </w:tc>
        <w:tc>
          <w:tcPr>
            <w:tcW w:w="2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terminated plan was scheduled to expire December 31, 2026</w:t>
            </w:r>
          </w:p>
        </w:tc>
        <w:tc>
          <w:tcPr>
            <w:tcW w:w="371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terminated plan covered up to 100% of the shares of Class A common stock issued upon the vesting and exchange of 808,451 Incentive Units</w:t>
            </w:r>
          </w:p>
        </w:tc>
      </w:tr>
      <w:tr>
        <w:tc>
          <w:tcPr>
            <w:tcW w:w="95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712" w:type="dxa"/>
            <w:gridSpan w:val="3"/>
            <w:tcBorders/>
            <w:vAlign w:val="center"/>
          </w:tcPr>
          <w:p>
            <w:pPr>
              <w:pStyle w:val="TableContents"/>
              <w:bidi w:val="0"/>
              <w:spacing w:before="0" w:after="283"/>
              <w:jc w:val="left"/>
              <w:rPr>
                <w:sz w:val="4"/>
                <w:szCs w:val="4"/>
              </w:rPr>
            </w:pPr>
            <w:r>
              <w:rPr>
                <w:sz w:val="4"/>
                <w:szCs w:val="4"/>
              </w:rPr>
            </w:r>
          </w:p>
        </w:tc>
      </w:tr>
      <w:tr>
        <w:tc>
          <w:tcPr>
            <w:tcW w:w="95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712" w:type="dxa"/>
            <w:gridSpan w:val="3"/>
            <w:tcBorders/>
            <w:vAlign w:val="center"/>
          </w:tcPr>
          <w:p>
            <w:pPr>
              <w:pStyle w:val="TableContents"/>
              <w:bidi w:val="0"/>
              <w:spacing w:before="0" w:after="283"/>
              <w:jc w:val="left"/>
              <w:rPr>
                <w:sz w:val="4"/>
                <w:szCs w:val="4"/>
              </w:rPr>
            </w:pPr>
            <w:r>
              <w:rPr>
                <w:sz w:val="4"/>
                <w:szCs w:val="4"/>
              </w:rPr>
            </w:r>
          </w:p>
        </w:tc>
      </w:tr>
      <w:tr>
        <w:tc>
          <w:tcPr>
            <w:tcW w:w="95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712" w:type="dxa"/>
            <w:gridSpan w:val="3"/>
            <w:tcBorders/>
            <w:vAlign w:val="center"/>
          </w:tcPr>
          <w:p>
            <w:pPr>
              <w:pStyle w:val="TableContents"/>
              <w:bidi w:val="0"/>
              <w:spacing w:before="0" w:after="283"/>
              <w:jc w:val="left"/>
              <w:rPr>
                <w:sz w:val="4"/>
                <w:szCs w:val="4"/>
              </w:rPr>
            </w:pPr>
            <w:r>
              <w:rPr>
                <w:sz w:val="4"/>
                <w:szCs w:val="4"/>
              </w:rPr>
            </w:r>
          </w:p>
        </w:tc>
      </w:tr>
      <w:tr>
        <w:tc>
          <w:tcPr>
            <w:tcW w:w="95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712" w:type="dxa"/>
            <w:gridSpan w:val="3"/>
            <w:tcBorders/>
            <w:vAlign w:val="center"/>
          </w:tcPr>
          <w:p>
            <w:pPr>
              <w:pStyle w:val="TableContents"/>
              <w:bidi w:val="0"/>
              <w:spacing w:before="0" w:after="283"/>
              <w:jc w:val="left"/>
              <w:rPr>
                <w:sz w:val="4"/>
                <w:szCs w:val="4"/>
              </w:rPr>
            </w:pPr>
            <w:r>
              <w:rPr>
                <w:sz w:val="4"/>
                <w:szCs w:val="4"/>
              </w:rPr>
            </w:r>
          </w:p>
        </w:tc>
      </w:tr>
      <w:tr>
        <w:tc>
          <w:tcPr>
            <w:tcW w:w="95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5886" w:type="dxa"/>
            <w:gridSpan w:val="6"/>
            <w:tcBorders/>
          </w:tcPr>
          <w:p>
            <w:pPr>
              <w:pStyle w:val="TableContents"/>
              <w:bidi w:val="0"/>
              <w:spacing w:before="0" w:after="283"/>
              <w:jc w:val="left"/>
              <w:rPr>
                <w:sz w:val="4"/>
                <w:szCs w:val="4"/>
              </w:rPr>
            </w:pPr>
            <w:r>
              <w:rPr>
                <w:sz w:val="4"/>
                <w:szCs w:val="4"/>
              </w:rPr>
            </w:r>
          </w:p>
        </w:tc>
      </w:tr>
      <w:tr>
        <w:tc>
          <w:tcPr>
            <w:tcW w:w="95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712" w:type="dxa"/>
            <w:gridSpan w:val="3"/>
            <w:tcBorders/>
            <w:vAlign w:val="center"/>
          </w:tcPr>
          <w:p>
            <w:pPr>
              <w:pStyle w:val="TableContents"/>
              <w:bidi w:val="0"/>
              <w:spacing w:before="0" w:after="283"/>
              <w:jc w:val="left"/>
              <w:rPr>
                <w:sz w:val="4"/>
                <w:szCs w:val="4"/>
              </w:rPr>
            </w:pPr>
            <w:r>
              <w:rPr>
                <w:sz w:val="4"/>
                <w:szCs w:val="4"/>
              </w:rPr>
            </w:r>
          </w:p>
        </w:tc>
      </w:tr>
      <w:tr>
        <w:tc>
          <w:tcPr>
            <w:tcW w:w="95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7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95250"/>
                <wp:effectExtent l="0" t="0" r="0" b="0"/>
                <wp:wrapNone/>
                <wp:docPr id="62" name="Frame6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60</w:t>
                      </w:r>
                    </w:p>
                  </w:txbxContent>
                </v:textbox>
                <w10:wrap type="none"/>
              </v:rect>
            </w:pict>
          </mc:Fallback>
        </mc:AlternateContent>
      </w:r>
    </w:p>
    <w:p>
      <w:pPr>
        <w:pStyle w:val="TextBody"/>
        <w:bidi w:val="0"/>
        <w:spacing w:before="0" w:after="0"/>
        <w:jc w:val="both"/>
      </w:p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754"/>
        <w:gridCol w:w="2605"/>
        <w:gridCol w:w="3709"/>
      </w:tblGrid>
      <w:t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before="0" w:after="0"/>
              <w:jc w:val="both"/>
            </w:pPr>
            <w:r/>
          </w:p>
        </w:tc>
        <w:tc>
          <w:tcPr>
            <w:tcW w:w="327" w:type="dxa"/>
            <w:gridSpan w:val="3"/>
            <w:tcBorders/>
            <w:tcMar>
              <w:top w:w="0" w:type="dxa"/>
              <w:left w:w="0" w:type="dxa"/>
              <w:bottom w:w="0" w:type="dxa"/>
              <w:right w:w="0" w:type="dxa"/>
            </w:tcMar>
            <w:vAlign w:val="center"/>
          </w:tcPr>
          <w:p>
            <w:pPr>
              <w:pStyle w:val="TableContents"/>
              <w:bidi w:val="0"/>
              <w:spacing w:before="0" w:after="0"/>
              <w:jc w:val="both"/>
            </w:pPr>
            <w:r/>
          </w:p>
        </w:tc>
        <w:tc>
          <w:tcPr>
            <w:tcW w:w="9068" w:type="dxa"/>
            <w:gridSpan w:val="3"/>
            <w:tcBorders/>
            <w:tcMar>
              <w:top w:w="0" w:type="dxa"/>
              <w:left w:w="0" w:type="dxa"/>
              <w:bottom w:w="0" w:type="dxa"/>
              <w:right w:w="0" w:type="dxa"/>
            </w:tcMar>
            <w:vAlign w:val="center"/>
          </w:tcPr>
          <w:p>
            <w:pPr>
              <w:pStyle w:val="TableContents"/>
              <w:bidi w:val="0"/>
              <w:spacing w:before="0" w:after="0"/>
              <w:jc w:val="both"/>
            </w:pPr>
            <w:r/>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pPr>
            <w:r>
              <w:rPr>
                <w:rFonts w:ascii="Times New Roman;serif" w:hAnsi="Times New Roman;serif"/>
                <w:b/>
                <w:color w:val="000000"/>
                <w:sz w:val="20"/>
              </w:rPr>
              <w:t>Exhibit</w:t>
            </w:r>
            <w:r>
              <w:rPr>
                <w:rFonts w:ascii="Times New Roman;serif" w:hAnsi="Times New Roman;serif"/>
                <w:b w:val="false"/>
                <w:color w:val="000000"/>
                <w:sz w:val="20"/>
              </w:rPr>
              <w:br/>
            </w: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Description of Exhibit</w:t>
            </w:r>
          </w:p>
        </w:tc>
      </w:tr>
      <w:t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pPr>
            <w:hyperlink r:id="rId3">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filed on December 22, 2025)</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pPr>
            <w:hyperlink r:id="rId4">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filed on December 22, 2025)</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pPr>
            <w:hyperlink w:anchor="ex311ceoq32026section302ce.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pPr>
            <w:hyperlink w:anchor="ex312cfoq32026section302ce.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pPr>
            <w:hyperlink w:anchor="ex321ceoq32026section906ce.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pPr>
            <w:hyperlink w:anchor="ex322cfoq32026section906ce.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81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068"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 The certifications attached as Exhibits 32.1 and 32.2 to this Quarterly Report are deemed furnished and not filed with the SEC and are not to be incorporated by reference into any filing of the Company under the Securities Act or the Exchange Act, whether made before or after the date of this Quarterly Report, irrespective of any general incorporation language contained in such filing.</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95250"/>
                <wp:effectExtent l="0" t="0" r="0" b="0"/>
                <wp:wrapNone/>
                <wp:docPr id="63" name="Frame6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61</w:t>
                      </w:r>
                    </w:p>
                  </w:txbxContent>
                </v:textbox>
                <w10:wrap type="none"/>
              </v:rect>
            </w:pict>
          </mc:Fallback>
        </mc:AlternateContent>
      </w:r>
    </w:p>
    <w:p>
      <w:pPr>
        <w:pStyle w:val="TextBody"/>
        <w:bidi w:val="0"/>
        <w:spacing w:before="0" w:after="0"/>
        <w:jc w:val="both"/>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p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bl>
      <w:tblPr>
        <w:tblW w:w="3236" w:type="dxa"/>
        <w:jc w:val="left"/>
        <w:tblInd w:w="0" w:type="dxa"/>
        <w:tblLayout w:type="fixed"/>
        <w:tblCellMar>
          <w:top w:w="28" w:type="dxa"/>
          <w:left w:w="28" w:type="dxa"/>
          <w:bottom w:w="28" w:type="dxa"/>
          <w:right w:w="28" w:type="dxa"/>
        </w:tblCellMar>
      </w:tblPr>
      <w:tblGrid>
        <w:gridCol w:w="265"/>
        <w:gridCol w:w="233"/>
        <w:gridCol w:w="233"/>
        <w:gridCol w:w="731"/>
        <w:gridCol w:w="731"/>
        <w:gridCol w:w="1043"/>
      </w:tblGrid>
      <w:t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MEDLINE INC.</w:t>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i/>
                <w:color w:val="000000"/>
                <w:sz w:val="18"/>
              </w:rPr>
              <w:t xml:space="preserve">/s/ </w:t>
            </w:r>
            <w:r>
              <w:rPr>
                <w:rFonts w:ascii="Times New Roman;serif" w:hAnsi="Times New Roman;serif"/>
                <w:b w:val="false"/>
                <w:i/>
                <w:color w:val="000000"/>
                <w:sz w:val="20"/>
              </w:rPr>
              <w:t>Michael B. Drazin</w:t>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Michael B. Drazin</w:t>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tbl>
      <w:tblPr>
        <w:tblW w:w="3431" w:type="dxa"/>
        <w:jc w:val="left"/>
        <w:tblInd w:w="0" w:type="dxa"/>
        <w:tblLayout w:type="fixed"/>
        <w:tblCellMar>
          <w:top w:w="28" w:type="dxa"/>
          <w:left w:w="28" w:type="dxa"/>
          <w:bottom w:w="28" w:type="dxa"/>
          <w:right w:w="28" w:type="dxa"/>
        </w:tblCellMar>
      </w:tblPr>
      <w:tblGrid>
        <w:gridCol w:w="265"/>
        <w:gridCol w:w="233"/>
        <w:gridCol w:w="233"/>
        <w:gridCol w:w="788"/>
        <w:gridCol w:w="788"/>
        <w:gridCol w:w="1124"/>
      </w:tblGrid>
      <w:t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MEDLINE INC.</w:t>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i/>
                <w:color w:val="000000"/>
                <w:sz w:val="18"/>
              </w:rPr>
              <w:t xml:space="preserve">/s/ </w:t>
            </w:r>
            <w:r>
              <w:rPr>
                <w:rFonts w:ascii="Times New Roman;serif" w:hAnsi="Times New Roman;serif"/>
                <w:b w:val="false"/>
                <w:i/>
                <w:color w:val="000000"/>
                <w:sz w:val="20"/>
              </w:rPr>
              <w:t>Jessi L. Corcoran</w:t>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Jessi L. Corcoran</w:t>
            </w:r>
          </w:p>
        </w:tc>
      </w:tr>
      <w:t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95250"/>
                <wp:effectExtent l="0" t="0" r="0" b="0"/>
                <wp:wrapNone/>
                <wp:docPr id="64" name="Frame6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62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James M. Boyle, certify that: </w:t>
      </w:r>
    </w:p>
    <w:p>
      <w:pPr>
        <w:pStyle w:val="TextBody"/>
        <w:bidi w:val="0"/>
        <w:spacing w:before="0" w:after="0"/>
        <w:jc w:val="both"/>
      </w:p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5322"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694"/>
        <w:gridCol w:w="694"/>
        <w:gridCol w:w="982"/>
      </w:tblGrid>
      <w:t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c>
          <w:tcPr>
            <w:tcW w:w="26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 Michael B. Drazin, certify that: </w:t>
      </w:r>
    </w:p>
    <w:p>
      <w:pPr>
        <w:pStyle w:val="TextBody"/>
        <w:bidi w:val="0"/>
        <w:spacing w:before="0" w:after="0"/>
        <w:jc w:val="both"/>
      </w:p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5246"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671"/>
        <w:gridCol w:w="671"/>
        <w:gridCol w:w="952"/>
      </w:tblGrid>
      <w:t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c>
          <w:tcPr>
            <w:tcW w:w="26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James M. Boyle, Chief Executive Officer of Medline Inc. (the “Company”), certify, pursuant to 18 U.S.C. Section 1350, that:</w:t>
      </w:r>
    </w:p>
    <w:p>
      <w:pPr>
        <w:pStyle w:val="TextBody"/>
        <w:bidi w:val="0"/>
        <w:spacing w:before="0" w:after="0"/>
        <w:jc w:val="both"/>
      </w:p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Quarterly Report on Form 10-Q for the fiscal quarter ended September 26, 2026 containing the financial statements of the Company (the “Quarterly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Quarterly Report fairly presents, in all material respects, the financial condition and results of operations of the Company.</w:t>
      </w:r>
    </w:p>
    <w:p>
      <w:pPr>
        <w:pStyle w:val="TextBody"/>
        <w:bidi w:val="0"/>
        <w:spacing w:before="0" w:after="0"/>
        <w:jc w:val="center"/>
      </w:pPr>
      <w:r/>
    </w:p>
    <w:tbl>
      <w:tblPr>
        <w:tblW w:w="5322"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694"/>
        <w:gridCol w:w="694"/>
        <w:gridCol w:w="982"/>
      </w:tblGrid>
      <w:t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c>
          <w:tcPr>
            <w:tcW w:w="26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p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Michael B. Drazin, Chief Financial Officer of Medline Inc. (the “Company”), certify, pursuant to 18 U.S.C. Section 1350, that:</w:t>
      </w:r>
    </w:p>
    <w:p>
      <w:pPr>
        <w:pStyle w:val="TextBody"/>
        <w:bidi w:val="0"/>
        <w:spacing w:before="0" w:after="0"/>
        <w:jc w:val="both"/>
      </w:p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Quarterly Report on Form 10-Q for the fiscal quarter ended September 26, 2026 containing the financial statements of the Company (the “Quarterly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Quarterly Report fairly presents, in all material respects, the financial condition and results of operations of the Company.</w:t>
      </w:r>
    </w:p>
    <w:p>
      <w:pPr>
        <w:pStyle w:val="TextBody"/>
        <w:bidi w:val="0"/>
        <w:spacing w:before="0" w:after="0"/>
        <w:jc w:val="center"/>
      </w:pPr>
      <w:r/>
    </w:p>
    <w:tbl>
      <w:tblPr>
        <w:tblW w:w="5246"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671"/>
        <w:gridCol w:w="671"/>
        <w:gridCol w:w="952"/>
      </w:tblGrid>
      <w:t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c>
          <w:tcPr>
            <w:tcW w:w="26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p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46386/000119312525328884/d933672dex31.htm" TargetMode="External"/><Relationship Id="rId4" Type="http://schemas.openxmlformats.org/officeDocument/2006/relationships/hyperlink" Target="https://www.sec.gov/Archives/edgar/data/2046386/000119312525328884/d933672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30526</Words>
  <Characters>168763</Characters>
  <CharactersWithSpaces>197329</CharactersWithSpaces>
  <Paragraphs>3346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