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333"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___________________________</w:t>
      </w:r>
    </w:p>
    <w:p>
      <w:pPr>
        <w:pStyle w:val="TextBody"/>
        <w:bidi w:val="0"/>
        <w:spacing w:lineRule="auto" w:line="333" w:before="240" w:after="283"/>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quarterly period ended June 27, 2026</w:t>
      </w:r>
    </w:p>
    <w:p>
      <w:pPr>
        <w:pStyle w:val="TextBody"/>
        <w:bidi w:val="0"/>
        <w:spacing w:lineRule="auto" w:line="333" w:before="240" w:after="24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For the transition period from ___________ to ___________</w:t>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Commission file number 001-43022</w:t>
      </w:r>
    </w:p>
    <w:p>
      <w:pPr>
        <w:pStyle w:val="TextBody"/>
        <w:bidi w:val="0"/>
        <w:spacing w:lineRule="auto" w:line="333"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333" w:before="120" w:after="283"/>
        <w:jc w:val="center"/>
        <w:rPr>
          <w:rFonts w:ascii="Times New Roman;serif" w:hAnsi="Times New Roman;serif"/>
          <w:b/>
          <w:color w:val="181717"/>
          <w:sz w:val="36"/>
        </w:rPr>
      </w:pPr>
      <w:r>
        <w:rPr>
          <w:rFonts w:ascii="Times New Roman;serif" w:hAnsi="Times New Roman;serif"/>
          <w:b/>
          <w:color w:val="181717"/>
          <w:sz w:val="36"/>
        </w:rPr>
        <w:t>Medline Inc.</w:t>
      </w:r>
    </w:p>
    <w:p>
      <w:pPr>
        <w:pStyle w:val="TextBody"/>
        <w:bidi w:val="0"/>
        <w:spacing w:lineRule="auto" w:line="333" w:before="0" w:after="0"/>
        <w:jc w:val="center"/>
        <w:rPr>
          <w:rFonts w:ascii="Times New Roman;serif" w:hAnsi="Times New Roman;serif"/>
          <w:b/>
          <w:color w:val="181717"/>
          <w:sz w:val="20"/>
        </w:rPr>
      </w:pPr>
      <w:r>
        <w:rPr>
          <w:rFonts w:ascii="Times New Roman;serif" w:hAnsi="Times New Roman;serif"/>
          <w:b/>
          <w:color w:val="181717"/>
          <w:sz w:val="20"/>
        </w:rPr>
        <w:t>(Exact name of registrant as specified in its charter)</w:t>
      </w:r>
    </w:p>
    <w:p>
      <w:pPr>
        <w:pStyle w:val="TextBody"/>
        <w:bidi w:val="0"/>
        <w:spacing w:lineRule="auto" w:line="333" w:before="0" w:after="24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5275"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33-1845288</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20"/>
              </w:rPr>
            </w:pPr>
            <w:r>
              <w:rPr>
                <w:rFonts w:ascii="Times New Roman;serif" w:hAnsi="Times New Roman;serif"/>
                <w:b/>
                <w:color w:val="000000"/>
                <w:sz w:val="20"/>
              </w:rPr>
              <w:t>3 Lakes Drive</w:t>
            </w:r>
          </w:p>
          <w:p>
            <w:pPr>
              <w:pStyle w:val="TableContents"/>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Northfield,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60093</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ind w:left="0" w:right="0" w:hanging="10"/>
        <w:jc w:val="center"/>
        <w:rPr/>
      </w:pPr>
      <w:r>
        <w:rPr/>
      </w:r>
    </w:p>
    <w:p>
      <w:pPr>
        <w:pStyle w:val="TextBody"/>
        <w:bidi w:val="0"/>
        <w:spacing w:lineRule="auto" w:line="333" w:before="240" w:after="283"/>
        <w:jc w:val="center"/>
        <w:rPr>
          <w:rFonts w:ascii="Times New Roman;serif" w:hAnsi="Times New Roman;serif"/>
          <w:b/>
          <w:color w:val="181717"/>
          <w:sz w:val="20"/>
        </w:rPr>
      </w:pPr>
      <w:r>
        <w:rPr>
          <w:rFonts w:ascii="Times New Roman;serif" w:hAnsi="Times New Roman;serif"/>
          <w:b/>
          <w:color w:val="181717"/>
          <w:sz w:val="20"/>
        </w:rPr>
        <w:t>(847) 949 5500</w:t>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181717"/>
          <w:sz w:val="20"/>
        </w:rPr>
      </w:pPr>
      <w:r>
        <w:rPr>
          <w:rFonts w:ascii="Times New Roman;serif" w:hAnsi="Times New Roman;serif"/>
          <w:b w:val="false"/>
          <w:color w:val="181717"/>
          <w:sz w:val="20"/>
        </w:rPr>
        <w:t>N/A</w:t>
      </w:r>
    </w:p>
    <w:p>
      <w:pPr>
        <w:pStyle w:val="TextBody"/>
        <w:bidi w:val="0"/>
        <w:spacing w:lineRule="auto" w:line="288" w:before="0" w:after="0"/>
        <w:ind w:left="0" w:right="0" w:firstLine="720"/>
        <w:jc w:val="center"/>
        <w:rPr>
          <w:rFonts w:ascii="Times New Roman;serif" w:hAnsi="Times New Roman;serif"/>
          <w:b w:val="false"/>
          <w:color w:val="181717"/>
          <w:sz w:val="20"/>
        </w:rPr>
      </w:pPr>
      <w:r>
        <w:rPr>
          <w:rFonts w:ascii="Times New Roman;serif" w:hAnsi="Times New Roman;serif"/>
          <w:b w:val="false"/>
          <w:color w:val="181717"/>
          <w:sz w:val="20"/>
        </w:rPr>
        <w:t>Former name, former address and former fiscal year, if changed since last report</w:t>
      </w:r>
    </w:p>
    <w:p>
      <w:pPr>
        <w:pStyle w:val="TextBody"/>
        <w:bidi w:val="0"/>
        <w:spacing w:before="0" w:after="0"/>
        <w:jc w:val="both"/>
        <w:rPr/>
      </w:pPr>
      <w:r>
        <w:rPr/>
      </w:r>
    </w:p>
    <w:p>
      <w:pPr>
        <w:pStyle w:val="TextBody"/>
        <w:bidi w:val="0"/>
        <w:spacing w:lineRule="auto" w:line="333" w:before="240" w:after="283"/>
        <w:jc w:val="center"/>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MDLN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 xml:space="preserve">☐                </w:t>
      </w:r>
    </w:p>
    <w:p>
      <w:pPr>
        <w:pStyle w:val="TextBody"/>
        <w:bidi w:val="0"/>
        <w:spacing w:lineRule="auto" w:line="333" w:before="240" w:after="24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81717"/>
              </w:rPr>
            </w:pPr>
            <w:r>
              <w:rPr>
                <w:color w:val="1817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bl>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333" w:before="0" w:after="0"/>
        <w:jc w:val="right"/>
        <w:rPr>
          <w:color w:val="181717"/>
        </w:rPr>
      </w:pPr>
      <w:r>
        <w:rPr>
          <w:color w:val="181717"/>
        </w:rPr>
        <w:t>☐</w:t>
      </w:r>
    </w:p>
    <w:p>
      <w:pPr>
        <w:pStyle w:val="TextBody"/>
        <w:bidi w:val="0"/>
        <w:spacing w:lineRule="auto" w:line="333" w:before="24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Exchange Act).</w:t>
      </w:r>
    </w:p>
    <w:p>
      <w:pPr>
        <w:pStyle w:val="TextBody"/>
        <w:bidi w:val="0"/>
        <w:spacing w:lineRule="auto" w:line="333" w:before="0" w:after="0"/>
        <w:jc w:val="right"/>
        <w:rPr/>
      </w:pPr>
      <w:r>
        <w:rPr>
          <w:rFonts w:ascii="Times New Roman;serif" w:hAnsi="Times New Roman;serif"/>
          <w:b w:val="false"/>
          <w:color w:val="181717"/>
          <w:sz w:val="20"/>
        </w:rPr>
        <w:t xml:space="preserve">Yes </w:t>
      </w:r>
      <w:r>
        <w:rPr>
          <w:color w:val="181717"/>
        </w:rPr>
        <w:t xml:space="preserve">☐ </w:t>
      </w:r>
      <w:r>
        <w:rPr>
          <w:rFonts w:ascii="Times New Roman;serif" w:hAnsi="Times New Roman;serif"/>
          <w:b w:val="false"/>
          <w:color w:val="181717"/>
          <w:sz w:val="20"/>
        </w:rPr>
        <w:t xml:space="preserve">No </w:t>
      </w:r>
      <w:r>
        <w:rPr>
          <w:color w:val="181717"/>
        </w:rPr>
        <w:t>☒</w:t>
      </w:r>
    </w:p>
    <w:p>
      <w:pPr>
        <w:pStyle w:val="TextBody"/>
        <w:bidi w:val="0"/>
        <w:spacing w:lineRule="auto" w:line="333" w:before="240" w:after="283"/>
        <w:jc w:val="left"/>
        <w:rPr/>
      </w:pPr>
      <w:r>
        <w:rPr>
          <w:rFonts w:ascii="Times New Roman;serif" w:hAnsi="Times New Roman;serif"/>
          <w:b w:val="false"/>
          <w:color w:val="181717"/>
          <w:sz w:val="20"/>
        </w:rPr>
        <w:t xml:space="preserve">As of August 3, 2026, there were </w:t>
      </w:r>
      <w:r>
        <w:rPr>
          <w:rFonts w:ascii="Times New Roman;serif" w:hAnsi="Times New Roman;serif"/>
          <w:b w:val="false"/>
          <w:color w:val="000000"/>
          <w:sz w:val="20"/>
        </w:rPr>
        <w:t>877,351,218</w:t>
      </w:r>
      <w:r>
        <w:rPr>
          <w:color w:val="181717"/>
        </w:rPr>
        <w:t xml:space="preserve"> </w:t>
      </w:r>
      <w:r>
        <w:rPr>
          <w:rFonts w:ascii="Times New Roman;serif" w:hAnsi="Times New Roman;serif"/>
          <w:b w:val="false"/>
          <w:color w:val="181717"/>
          <w:sz w:val="20"/>
        </w:rPr>
        <w:t xml:space="preserve">shares of the registrant’s Class A common stock and </w:t>
      </w:r>
      <w:r>
        <w:rPr>
          <w:rFonts w:ascii="Times New Roman;serif" w:hAnsi="Times New Roman;serif"/>
          <w:b w:val="false"/>
          <w:color w:val="000000"/>
          <w:sz w:val="20"/>
        </w:rPr>
        <w:t xml:space="preserve">437,356,274 </w:t>
      </w:r>
      <w:r>
        <w:rPr>
          <w:rFonts w:ascii="Times New Roman;serif" w:hAnsi="Times New Roman;serif"/>
          <w:b w:val="false"/>
          <w:color w:val="181717"/>
          <w:sz w:val="20"/>
        </w:rPr>
        <w:t xml:space="preserve">shares of the registrant’s Class B common stock outstanding. </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before="0" w:after="0"/>
        <w:jc w:val="center"/>
        <w:rPr/>
      </w:pPr>
      <w:r>
        <w:rPr/>
      </w:r>
    </w:p>
    <w:tbl>
      <w:tblPr>
        <w:tblW w:w="8266" w:type="dxa"/>
        <w:jc w:val="center"/>
        <w:tblInd w:w="0" w:type="dxa"/>
        <w:tblLayout w:type="fixed"/>
        <w:tblCellMar>
          <w:top w:w="28" w:type="dxa"/>
          <w:left w:w="28" w:type="dxa"/>
          <w:bottom w:w="28" w:type="dxa"/>
          <w:right w:w="28" w:type="dxa"/>
        </w:tblCellMar>
      </w:tblPr>
      <w:tblGrid>
        <w:gridCol w:w="158"/>
        <w:gridCol w:w="138"/>
        <w:gridCol w:w="140"/>
        <w:gridCol w:w="2428"/>
        <w:gridCol w:w="2428"/>
        <w:gridCol w:w="2433"/>
        <w:gridCol w:w="158"/>
        <w:gridCol w:w="158"/>
        <w:gridCol w:w="22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Item</w:t>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19">
              <w:r>
                <w:rPr>
                  <w:rStyle w:val="InternetLink"/>
                  <w:rFonts w:ascii="Times New Roman;serif" w:hAnsi="Times New Roman;serif"/>
                  <w:b w:val="false"/>
                  <w:color w:val="0000FF"/>
                  <w:sz w:val="18"/>
                  <w:u w:val="single"/>
                </w:rPr>
                <w:t>Cautionary Note Regarding Forward-Looking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19">
              <w:r>
                <w:rPr>
                  <w:rStyle w:val="InternetLink"/>
                  <w:rFonts w:ascii="Times New Roman;serif" w:hAnsi="Times New Roman;serif"/>
                  <w:b w:val="false"/>
                  <w:strike w:val="false"/>
                  <w:dstrike w:val="false"/>
                  <w:color w:val="000000"/>
                  <w:sz w:val="20"/>
                  <w:u w:val="none"/>
                  <w:effect w:val="none"/>
                </w:rPr>
                <w:t>2</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2">
              <w:r>
                <w:rPr>
                  <w:rStyle w:val="InternetLink"/>
                  <w:rFonts w:ascii="Times New Roman;serif" w:hAnsi="Times New Roman;serif"/>
                  <w:b w:val="false"/>
                  <w:color w:val="0000FF"/>
                  <w:sz w:val="18"/>
                  <w:u w:val="single"/>
                </w:rPr>
                <w:t>Website and Social Media Disclosure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2">
              <w:r>
                <w:rPr>
                  <w:rStyle w:val="InternetLink"/>
                  <w:rFonts w:ascii="Times New Roman;serif" w:hAnsi="Times New Roman;serif"/>
                  <w:b w:val="false"/>
                  <w:strike w:val="false"/>
                  <w:dstrike w:val="false"/>
                  <w:color w:val="000000"/>
                  <w:sz w:val="20"/>
                  <w:u w:val="none"/>
                  <w:effect w:val="none"/>
                </w:rPr>
                <w:t>3</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5">
              <w:r>
                <w:rPr>
                  <w:rStyle w:val="InternetLink"/>
                  <w:rFonts w:ascii="Times New Roman;serif" w:hAnsi="Times New Roman;serif"/>
                  <w:b w:val="false"/>
                  <w:color w:val="0000FF"/>
                  <w:sz w:val="18"/>
                  <w:u w:val="single"/>
                </w:rPr>
                <w:t>Certain Definitions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5">
              <w:r>
                <w:rPr>
                  <w:rStyle w:val="InternetLink"/>
                  <w:rFonts w:ascii="Times New Roman;serif" w:hAnsi="Times New Roman;serif"/>
                  <w:b w:val="false"/>
                  <w:strike w:val="false"/>
                  <w:dstrike w:val="false"/>
                  <w:color w:val="000000"/>
                  <w:sz w:val="20"/>
                  <w:u w:val="none"/>
                  <w:effect w:val="none"/>
                </w:rPr>
                <w:t>4</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80dc3232d46e297ab7888cf455057_28">
              <w:r>
                <w:rPr>
                  <w:rStyle w:val="InternetLink"/>
                  <w:rFonts w:ascii="Times New Roman;serif" w:hAnsi="Times New Roman;serif"/>
                  <w:b w:val="false"/>
                  <w:color w:val="0000FF"/>
                  <w:sz w:val="18"/>
                  <w:u w:val="single"/>
                </w:rPr>
                <w:t>PART I—FINANCIAL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31">
              <w:r>
                <w:rPr>
                  <w:rStyle w:val="InternetLink"/>
                  <w:rFonts w:ascii="Times New Roman;serif" w:hAnsi="Times New Roman;serif"/>
                  <w:b w:val="false"/>
                  <w:color w:val="0000FF"/>
                  <w:sz w:val="18"/>
                  <w:u w:val="single"/>
                </w:rPr>
                <w:t>Financial Statements</w:t>
              </w:r>
            </w:hyperlink>
            <w:r>
              <w:rPr>
                <w:color w:val="000000"/>
              </w:rPr>
              <w:t xml:space="preserve"> </w:t>
            </w:r>
            <w:r>
              <w:rPr>
                <w:rFonts w:ascii="Times New Roman;serif" w:hAnsi="Times New Roman;serif"/>
                <w:b w:val="false"/>
                <w:color w:val="000000"/>
                <w:sz w:val="18"/>
              </w:rPr>
              <w:t>(Unaudited)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31">
              <w:r>
                <w:rPr>
                  <w:rStyle w:val="InternetLink"/>
                  <w:rFonts w:ascii="Times New Roman;serif" w:hAnsi="Times New Roman;serif"/>
                  <w:b w:val="false"/>
                  <w:strike w:val="false"/>
                  <w:dstrike w:val="false"/>
                  <w:color w:val="000000"/>
                  <w:sz w:val="20"/>
                  <w:u w:val="none"/>
                  <w:effect w:val="none"/>
                </w:rPr>
                <w:t>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37">
              <w:r>
                <w:rPr>
                  <w:rStyle w:val="InternetLink"/>
                  <w:rFonts w:ascii="Times New Roman;serif" w:hAnsi="Times New Roman;serif"/>
                  <w:b w:val="false"/>
                  <w:color w:val="0000FF"/>
                  <w:sz w:val="18"/>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37">
              <w:r>
                <w:rPr>
                  <w:rStyle w:val="InternetLink"/>
                  <w:rFonts w:ascii="Times New Roman;serif" w:hAnsi="Times New Roman;serif"/>
                  <w:b w:val="false"/>
                  <w:strike w:val="false"/>
                  <w:dstrike w:val="false"/>
                  <w:color w:val="000000"/>
                  <w:sz w:val="20"/>
                  <w:u w:val="none"/>
                  <w:effect w:val="none"/>
                </w:rPr>
                <w:t>7</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40">
              <w:r>
                <w:rPr>
                  <w:rStyle w:val="InternetLink"/>
                  <w:rFonts w:ascii="Times New Roman;serif" w:hAnsi="Times New Roman;serif"/>
                  <w:b w:val="false"/>
                  <w:color w:val="0000FF"/>
                  <w:sz w:val="18"/>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40">
              <w:r>
                <w:rPr>
                  <w:rStyle w:val="InternetLink"/>
                  <w:rFonts w:ascii="Times New Roman;serif" w:hAnsi="Times New Roman;serif"/>
                  <w:b w:val="false"/>
                  <w:strike w:val="false"/>
                  <w:dstrike w:val="false"/>
                  <w:color w:val="000000"/>
                  <w:sz w:val="20"/>
                  <w:u w:val="none"/>
                  <w:effect w:val="none"/>
                </w:rPr>
                <w:t>8</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43">
              <w:r>
                <w:rPr>
                  <w:rStyle w:val="InternetLink"/>
                  <w:rFonts w:ascii="Times New Roman;serif" w:hAnsi="Times New Roman;serif"/>
                  <w:b w:val="false"/>
                  <w:color w:val="0000FF"/>
                  <w:sz w:val="18"/>
                  <w:u w:val="single"/>
                </w:rPr>
                <w:t>Condensed Consolidated Statements of Stockholders' Equity, Mezzanine Equity and Partners’ Capital</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43">
              <w:r>
                <w:rPr>
                  <w:rStyle w:val="InternetLink"/>
                  <w:rFonts w:ascii="Times New Roman;serif" w:hAnsi="Times New Roman;serif"/>
                  <w:b w:val="false"/>
                  <w:strike w:val="false"/>
                  <w:dstrike w:val="false"/>
                  <w:color w:val="000000"/>
                  <w:sz w:val="20"/>
                  <w:u w:val="none"/>
                  <w:effect w:val="none"/>
                </w:rPr>
                <w:t>9</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46">
              <w:r>
                <w:rPr>
                  <w:rStyle w:val="InternetLink"/>
                  <w:rFonts w:ascii="Times New Roman;serif" w:hAnsi="Times New Roman;serif"/>
                  <w:b w:val="false"/>
                  <w:color w:val="0000FF"/>
                  <w:sz w:val="18"/>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46">
              <w:r>
                <w:rPr>
                  <w:rStyle w:val="InternetLink"/>
                  <w:rFonts w:ascii="Times New Roman;serif" w:hAnsi="Times New Roman;serif"/>
                  <w:b w:val="false"/>
                  <w:strike w:val="false"/>
                  <w:dstrike w:val="false"/>
                  <w:color w:val="000000"/>
                  <w:sz w:val="20"/>
                  <w:u w:val="none"/>
                  <w:effect w:val="none"/>
                </w:rPr>
                <w:t>11</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49">
              <w:r>
                <w:rPr>
                  <w:rStyle w:val="InternetLink"/>
                  <w:rFonts w:ascii="Times New Roman;serif" w:hAnsi="Times New Roman;serif"/>
                  <w:b w:val="false"/>
                  <w:color w:val="0000FF"/>
                  <w:sz w:val="18"/>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49">
              <w:r>
                <w:rPr>
                  <w:rStyle w:val="InternetLink"/>
                  <w:rFonts w:ascii="Times New Roman;serif" w:hAnsi="Times New Roman;serif"/>
                  <w:b w:val="false"/>
                  <w:strike w:val="false"/>
                  <w:dstrike w:val="false"/>
                  <w:color w:val="000000"/>
                  <w:sz w:val="20"/>
                  <w:u w:val="none"/>
                  <w:effect w:val="none"/>
                </w:rPr>
                <w:t>13</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148">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148">
              <w:r>
                <w:rPr>
                  <w:rStyle w:val="InternetLink"/>
                  <w:rFonts w:ascii="Times New Roman;serif" w:hAnsi="Times New Roman;serif"/>
                  <w:b w:val="false"/>
                  <w:strike w:val="false"/>
                  <w:dstrike w:val="false"/>
                  <w:color w:val="000000"/>
                  <w:sz w:val="20"/>
                  <w:u w:val="none"/>
                  <w:effect w:val="none"/>
                </w:rPr>
                <w:t>40</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20">
              <w:r>
                <w:rPr>
                  <w:rStyle w:val="InternetLink"/>
                  <w:rFonts w:ascii="Times New Roman;serif" w:hAnsi="Times New Roman;serif"/>
                  <w:b w:val="false"/>
                  <w:color w:val="0000FF"/>
                  <w:sz w:val="18"/>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20">
              <w:r>
                <w:rPr>
                  <w:rStyle w:val="InternetLink"/>
                  <w:rFonts w:ascii="Times New Roman;serif" w:hAnsi="Times New Roman;serif"/>
                  <w:b w:val="false"/>
                  <w:strike w:val="false"/>
                  <w:dstrike w:val="false"/>
                  <w:color w:val="000000"/>
                  <w:sz w:val="20"/>
                  <w:u w:val="none"/>
                  <w:effect w:val="none"/>
                </w:rPr>
                <w:t>55</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26">
              <w:r>
                <w:rPr>
                  <w:rStyle w:val="InternetLink"/>
                  <w:rFonts w:ascii="Times New Roman;serif" w:hAnsi="Times New Roman;serif"/>
                  <w:b w:val="false"/>
                  <w:color w:val="0000FF"/>
                  <w:sz w:val="18"/>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26">
              <w:r>
                <w:rPr>
                  <w:rStyle w:val="InternetLink"/>
                  <w:rFonts w:ascii="Times New Roman;serif" w:hAnsi="Times New Roman;serif"/>
                  <w:b w:val="false"/>
                  <w:strike w:val="false"/>
                  <w:dstrike w:val="false"/>
                  <w:color w:val="000000"/>
                  <w:sz w:val="20"/>
                  <w:u w:val="none"/>
                  <w:effect w:val="none"/>
                </w:rPr>
                <w:t>55</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c380dc3232d46e297ab7888cf455057_229">
              <w:r>
                <w:rPr>
                  <w:rStyle w:val="InternetLink"/>
                  <w:rFonts w:ascii="Times New Roman;serif" w:hAnsi="Times New Roman;serif"/>
                  <w:b w:val="false"/>
                  <w:color w:val="0000FF"/>
                  <w:sz w:val="18"/>
                  <w:u w:val="single"/>
                </w:rPr>
                <w:t>PART II—OTHER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32">
              <w:r>
                <w:rPr>
                  <w:rStyle w:val="InternetLink"/>
                  <w:rFonts w:ascii="Times New Roman;serif" w:hAnsi="Times New Roman;serif"/>
                  <w:b w:val="false"/>
                  <w:color w:val="0000FF"/>
                  <w:sz w:val="18"/>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32">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1A.</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35">
              <w:r>
                <w:rPr>
                  <w:rStyle w:val="InternetLink"/>
                  <w:rFonts w:ascii="Times New Roman;serif" w:hAnsi="Times New Roman;serif"/>
                  <w:b w:val="false"/>
                  <w:color w:val="0000FF"/>
                  <w:sz w:val="18"/>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35">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41">
              <w:r>
                <w:rPr>
                  <w:rStyle w:val="InternetLink"/>
                  <w:rFonts w:ascii="Times New Roman;serif" w:hAnsi="Times New Roman;serif"/>
                  <w:b w:val="false"/>
                  <w:color w:val="0000FF"/>
                  <w:sz w:val="18"/>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41">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47">
              <w:r>
                <w:rPr>
                  <w:rStyle w:val="InternetLink"/>
                  <w:rFonts w:ascii="Times New Roman;serif" w:hAnsi="Times New Roman;serif"/>
                  <w:b w:val="false"/>
                  <w:color w:val="0000FF"/>
                  <w:sz w:val="18"/>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47">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50">
              <w:r>
                <w:rPr>
                  <w:rStyle w:val="InternetLink"/>
                  <w:rFonts w:ascii="Times New Roman;serif" w:hAnsi="Times New Roman;serif"/>
                  <w:b w:val="false"/>
                  <w:color w:val="0000FF"/>
                  <w:sz w:val="18"/>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50">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53">
              <w:r>
                <w:rPr>
                  <w:rStyle w:val="InternetLink"/>
                  <w:rFonts w:ascii="Times New Roman;serif" w:hAnsi="Times New Roman;serif"/>
                  <w:b w:val="false"/>
                  <w:color w:val="0000FF"/>
                  <w:sz w:val="18"/>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53">
              <w:r>
                <w:rPr>
                  <w:rStyle w:val="InternetLink"/>
                  <w:rFonts w:ascii="Times New Roman;serif" w:hAnsi="Times New Roman;serif"/>
                  <w:b w:val="false"/>
                  <w:strike w:val="false"/>
                  <w:dstrike w:val="false"/>
                  <w:color w:val="000000"/>
                  <w:sz w:val="20"/>
                  <w:u w:val="none"/>
                  <w:effect w:val="none"/>
                </w:rPr>
                <w:t>56</w:t>
              </w:r>
            </w:hyperlink>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w:t>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62">
              <w:r>
                <w:rPr>
                  <w:rStyle w:val="InternetLink"/>
                  <w:rFonts w:ascii="Times New Roman;serif" w:hAnsi="Times New Roman;serif"/>
                  <w:b w:val="false"/>
                  <w:color w:val="0000FF"/>
                  <w:sz w:val="18"/>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62">
              <w:r>
                <w:rPr>
                  <w:rStyle w:val="InternetLink"/>
                  <w:rFonts w:ascii="Times New Roman;serif" w:hAnsi="Times New Roman;serif"/>
                  <w:b w:val="false"/>
                  <w:strike w:val="false"/>
                  <w:dstrike w:val="false"/>
                  <w:color w:val="000000"/>
                  <w:sz w:val="20"/>
                  <w:u w:val="none"/>
                  <w:effect w:val="none"/>
                </w:rPr>
                <w:t>57</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380dc3232d46e297ab7888cf455057_274">
              <w:r>
                <w:rPr>
                  <w:rStyle w:val="InternetLink"/>
                  <w:rFonts w:ascii="Times New Roman;serif" w:hAnsi="Times New Roman;serif"/>
                  <w:b w:val="false"/>
                  <w:color w:val="0000FF"/>
                  <w:sz w:val="18"/>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c380dc3232d46e297ab7888cf455057_274">
              <w:r>
                <w:rPr>
                  <w:rStyle w:val="InternetLink"/>
                  <w:rFonts w:ascii="Times New Roman;serif" w:hAnsi="Times New Roman;serif"/>
                  <w:b w:val="false"/>
                  <w:strike w:val="false"/>
                  <w:dstrike w:val="false"/>
                  <w:color w:val="000000"/>
                  <w:sz w:val="20"/>
                  <w:u w:val="none"/>
                  <w:effect w:val="none"/>
                </w:rPr>
                <w:t>58</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95250"/>
                <wp:effectExtent l="0" t="0" r="0" b="0"/>
                <wp:wrapNone/>
                <wp:docPr id="2" name="Frame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Forward-looking statements include all statements that are not historical facts. Words such as “anticipate,” “assume,” “believe” “contemplate,” “continue,” “could,” “estimate,” “expect,” “foreseeable,” “intend,” “may,” “plan,” “potentially,” “predict,” “project,” “seek,” “should,” “will,” or “would,” or similar words or phrases that convey uncertainty of future events or outcomes, are intended to identify forward-looking statements in this Quarterly Report. These forward-looking statements relate to matters such as our industry, business strategy, costs, and costs savings, impacts of accounting standards and guidance, goals and expectations, market position, future operations, margins, profitability, capital expenditures, liquidity and capital resources, legal matters, trends, and other financial and operating information. The forward-looking statements are based on management’s current expectations and are subject to various risks, uncertainty, and changes in circumstances, many of which are beyond our control, that could cause actual results to differ materially. Although we believe that the assumptions underlying the forward-looking statements are reasonable, we cannot guarantee future results, level of activity, performance, or achievements. Factors that may cause actual results to differ from expected results include, but are not limited to,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global operations are subject to inherent risks that could materially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derive fully the anticipated benefits from our existing or future acquisitions, joint ventures, investments, dispositions, or other strategic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Consolidation in the healthcare industry could have an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operate in a highly competitive industry, with accelerating pricing pressure and changes in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the U.S. and global healthcare environments may not be favorable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shipping costs or service issues with our third-party shippers could harm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challenges or delays in our sourcing of new products and technologies could have an adverse impact on our long-term success.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concentration in and dependence on certain healthcare provider customers and Group Purchasing Organizations (“GPOs”), and the loss, termination, non-renewal, or material modification of a significant customer or GPO relationship could have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and operations depend on the proper functioning of our critical facilities and distribution networks and has been and could in the future be negatively impacted by events outside our control, such as the Tracy facility fire.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Quality problems and product liability claims have in the past led, and could in the future lead, to recalls or safety alerts, reputational harm, warning letters and other regulatory actions by the U.S. Food and Drug Administration (“FDA”), adverse verdicts, or costly settlements, and could have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establish and maintain Prime Vendor relationships may cause our revenue to decline.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experience increased pressure to maintain or decrease the price of our goods and services and we are unable to reduce our expenses, there may be a material adverse effect on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failure by or loss of a third-party manufacturer or supplier or other manufacturing or supply-related impacts could result in delays and increased costs, which may adversely affect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on the proper function, security, and availability of our information technology systems and data, as well as those of third parties throughout our global supply chain, to operate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extensive and complex laws and governmental regulations and any adverse regulatory action may materially adversely affect our business, results of operations, and financial condition both inside and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5250"/>
                <wp:effectExtent l="0" t="0" r="0" b="0"/>
                <wp:wrapNone/>
                <wp:docPr id="3" name="Frame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use or our third-party service providers’ or business partners’ use of artificial intelligence, automated decision-making and machine learning technologies and the evolving regulatory framework in this area may subject us to risks or heightened costs that could adversely affect business, results of operation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comply with laws and regulations relating to reimbursement of healthcare goods and services may subject us to penalties and adversely impact our reputation, business, results of operations, financial condition,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 global and domestic macro-economic and political conditions, including as a result of global geopolitical conflicts and tensions, such as the ongoing conflicts in Ukraine and the Middle East, could materially adversely affect our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credit agreement that governs the Senior Secured Credit Facilities (as defined herein) (the “Credit Agreement”) and the indentures that govern the Senior Notes (as defined herein) will each impose significant operating and financial restrictions on our subsidiaries, which may prevent us from capitalizing on business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Medline Inc. is a holding company and its only material assets are its equity interests held directly or indirectly through wholly owned subsidiaries in Medline Holdings, LP (“Medline Holdings”), and it is accordingly dependent upon distributions from Medline Holdings to pay taxes, make payments under the tax receivable agreement, and pay any dividends.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Designating Stockholders hold a significant percentage of our stock, and their interests may conflict with ours or yours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amended and restated certificate of incorporation does not limit the ability of our Sponsors, the Mills family, and certain other pre-IPO investors to compete with us, and they may have investments in businesses whose interests conflict with ours.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these and other risks and uncertainties that we face, see Part I, “Item 1A—Risk Factors” of our Annual Report on Form 10-K for the year ended December 31, 2025 (the “2025 Form 10-K”). The forward-looking statements included in this Quarterly Report speak only as of the date of this Quarterly Report or as of the date they are made, as applicable. Except as otherwise required by law, we disclaim any intent or obligation to update any “forward-looking statement” made in this Quarterly Report to reflect changed assumptions, the occurrence of unanticipated events, or changes to future operating results over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file electronically with the U.S. Securities and Exchange Commission (the “SEC”) our Annual Reports on Form 10-K, Quarterly Reports on Form 10-Q, Current Reports on Form 8-K, proxy statements and other forms or reports as required. Our filings with the SEC are available to the public at the SEC’s website at www.sec.gov. We also use our investor relations website at ir.medline.com, press releases, public conference calls and webcasts, and social media as routine channels of distribution to communicate important, and often material, information about Medline to investors and the public, including information about our financial performance and results, analyst and investor presentations, investor days, products, solutions, sustainability initiatives, and corporate governance practices. We encourage you to follow these channels, in addition to our SEC filings, for timely information about the Company. Our SEC filings, including Annual Reports on Form 10-K, Quarterly Reports on Form 10-Q, Current Reports on Form 8-K, and amendments to those reports filed or furnished pursuant to Section 13(a) or 15(d) of the Exchange Act, are available free of charge on our investor relations website as soon as reasonably practicable after they are filed with or furnished to the SEC. The information on our websites is not part of this Quarterly Report and is not incorporated by reference into this report or any other filing we make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5250"/>
                <wp:effectExtent l="0" t="0" r="0" b="0"/>
                <wp:wrapNone/>
                <wp:docPr id="4" name="Frame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CERTAIN DEFINITIONS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unless otherwise noted or the context requires otherwise, the following terms have the following meanings: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2029 Notes” refers to (i) the $4,500 million aggregate principal amount of senior secured notes issued in 2021, which bear interest at a fixed rate of 3.875% and mature on April 1, 2029, (ii) the $2,500 million aggregate principal amount of senior unsecured notes issued in 2021, which bear interest at a fixed rate of 5.250% and mature on October 1, 2029, and (iii) the senior secured notes issued in 2024 with an original aggregate principal amount of $1,500 million, which bear interest at a fixed rate of 6.250% and mature on April 1, 2029, of which $1,000 million aggregate principal amount remained outstanding as of June 27,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2031 Notes” refers to the $1,250 million aggregate principal amount of senior secured notes issued in 2026, which bear interest at a fixed rate of 5.000% and mature on June 15, 2031.</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2033 Notes” refers to the $750 million aggregate principal amount of senior secured notes issued in 2026, which bear interest at a fixed rate of 5.250% and mature on June 15, 2033.</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Class A Units” refers to the interests in Medline Holdings called “Class A Units” that were outstanding prior to the Reclassification. In connection with the Reclassification, (i) Class A Units held by Common Unitholders were converted into Common Units and (ii) Class A Units held by Exchanging Class A Unitholders were directly or indirectly exchanged for shares of Class A common stock.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Class B Units” refers to the interests in Medline Holdings called “Class B Units” that were outstanding prior to the Reclassification, and does not include CUPI Units. In connection with the Reclassification, (i) Class B Units held by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Common Units” refers to the new class of units of Medline Holdings created by the Reclassification and does not include Incentive Units.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Common Unitholders” refers to certain pre-IPO holders of Class A Units and/or CUPI Units who hold Common Units following the Reclassification.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CUPI Units” refers to the interests in Medline Holdings that were designated as “Catch-Up Class B Units” and outstanding prior to the Reclassification. In connection with the Reclassification, (i) CUPI Units held by Common Unitholders were converted into Common Units and (ii) CUPI Units held by Exchanging CUPI Unitholders were directly or indirectly exchanged for shares of Class A common stock.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Designating Stockholder” refers to each of our Principal Stockholders with whom we entered into separate director nomination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Exchanging Class A Unitholder” refers to pre-IPO holders of Class A Units whose Class A Units were directly or indirectly exchanged for shares of Class A common stock following the Reclassification.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Exchanging CUPI Unitholder” refers to pre-IPO holders of CUPI Units whose CUPI Units were directly or indirectly exchanged for shares of Class A common stock following the Reclassification.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Exchanging Unitholders” refers collectively to Exchanging Class A Unitholders, Exchanging CUPI Unitholders, and Exchanging Class B Unitholders.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Incentive Units” refers to the new class of units of Medline Holdings created by the reclassification of the Class B Units in the Reclassification.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Incentive Unitholders” refers to certain pre-IPO holders of Class B Units who will hold Incentive Units following the Reclassification.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IPO” refers to our initial public offering of Class A common stock, which was completed on December 18,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5250"/>
                <wp:effectExtent l="0" t="0" r="0" b="0"/>
                <wp:wrapNone/>
                <wp:docPr id="5" name="Frame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Prime Vendor” refers to a relationship for which there is a multi-year distribution agreement between Medline and a customer, whereby the customer agrees to use Medline for the vast majority of its medical-surgical (“med-surg”) product needs. Our Prime Vendor model began in the acute care channel and, as these hospitals expanded into other sites of care, we have extended this model into the non-acute space to include those affiliated sites of care (“acute affiliated”). For purposes of the Prime Vendor data within this Quarterly Report, we are only including those customers that are acute and acute affiliated. Over time, we have also entered into Prime Vendor agreements with facilities that are non-acute and not affiliated with a hospital system (i.e., not acute affiliated). Data in this Quarterly Report does not include Prime Vendor relationships outside of acute and acute affiliated.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Principal Stockholders” refers collectively to investment funds associated with Blackstone Inc., The Carlyle Group Inc. and Hellman &amp; Friedman LLC, and members of the Mills family.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Reclassification” refers to the reclassification of the partnership interests of Medline Holdings prior to the IPO.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Senior Notes” refers collectively to the 2029 Notes, the 2031 Notes, and the 2033 Notes.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Sponsors” refers collectively to Blackstone Inc., The Carlyle Group Inc., and Hellman &amp; Friedman LLC.</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Units” refers collectively to Common Units and Incentive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5250"/>
                <wp:effectExtent l="0" t="0" r="0" b="0"/>
                <wp:wrapNone/>
                <wp:docPr id="6" name="Frame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5</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5250"/>
                <wp:effectExtent l="0" t="0" r="0" b="0"/>
                <wp:wrapNone/>
                <wp:docPr id="7" name="Frame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3"/>
                        </w:rPr>
                      </w:pPr>
                      <w:r>
                        <w:rPr>
                          <w:rFonts w:ascii="Times New Roman;serif" w:hAnsi="Times New Roman;serif"/>
                          <w:b w:val="false"/>
                          <w:color w:val="000000"/>
                          <w:sz w:val="13"/>
                        </w:rPr>
                        <w:t>6</w:t>
                      </w:r>
                    </w:p>
                  </w:txbxContent>
                </v:textbox>
                <w10:wrap type="none"/>
              </v:rect>
            </w:pict>
          </mc:Fallback>
        </mc:AlternateContent>
      </w:r>
    </w:p>
    <w:p>
      <w:pPr>
        <w:pStyle w:val="TextBody"/>
        <w:bidi w:val="0"/>
        <w:spacing w:before="0" w:after="0"/>
        <w:jc w:val="center"/>
        <w:rPr/>
      </w:pPr>
      <w:r>
        <w:r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784"/>
        <w:gridCol w:w="1995"/>
        <w:gridCol w:w="2012"/>
        <w:gridCol w:w="337"/>
        <w:gridCol w:w="1111"/>
        <w:gridCol w:w="187"/>
        <w:gridCol w:w="109"/>
        <w:gridCol w:w="109"/>
        <w:gridCol w:w="109"/>
        <w:gridCol w:w="285"/>
        <w:gridCol w:w="940"/>
        <w:gridCol w:w="227"/>
      </w:tblGrid>
      <w:tr>
        <w:trPr/>
        <w:tc>
          <w:tcPr>
            <w:tcW w:w="2784"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27,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 for credit losses of $148 and $152 as of June 27, 2026 and December 31, 2025, respectively</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non-current assets</w:t>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39,350 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borrowings</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16,708 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liabilities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20,273 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 50,000 shares authorized; 877 and 812 shares issued and outstanding as of June 27, 2026 and December 31, 2025, respectively</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$0.0001 per share; 50,000 shares authorized; 437 and 502 shares issued and outstanding as of June 27, 2026 and December 31, 2025, respectively</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$0.0001; 5,000 shares authorized; no shares issued and outstanding</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18"/>
              </w:rPr>
            </w:pPr>
            <w:r>
              <w:rPr>
                <w:rFonts w:ascii="Times New Roman;serif" w:hAnsi="Times New Roman;serif"/>
                <w:b w:val="false"/>
                <w:color w:val="000000"/>
                <w:sz w:val="18"/>
              </w:rPr>
              <w:t>Total Medline Inc. stockholders’ equity</w:t>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19,077 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39,350 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16305"/>
                <wp:effectExtent l="0" t="0" r="0" b="0"/>
                <wp:wrapNone/>
                <wp:docPr id="8" name="Frame8"/>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1454" w:type="dxa"/>
        <w:jc w:val="center"/>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1741"/>
        <w:gridCol w:w="1440"/>
        <w:gridCol w:w="1453"/>
        <w:gridCol w:w="244"/>
        <w:gridCol w:w="695"/>
        <w:gridCol w:w="135"/>
        <w:gridCol w:w="109"/>
        <w:gridCol w:w="109"/>
        <w:gridCol w:w="109"/>
        <w:gridCol w:w="244"/>
        <w:gridCol w:w="695"/>
        <w:gridCol w:w="135"/>
        <w:gridCol w:w="109"/>
        <w:gridCol w:w="109"/>
        <w:gridCol w:w="109"/>
        <w:gridCol w:w="223"/>
        <w:gridCol w:w="739"/>
        <w:gridCol w:w="124"/>
        <w:gridCol w:w="109"/>
        <w:gridCol w:w="109"/>
        <w:gridCol w:w="109"/>
        <w:gridCol w:w="223"/>
        <w:gridCol w:w="739"/>
        <w:gridCol w:w="124"/>
        <w:gridCol w:w="109"/>
        <w:gridCol w:w="161"/>
      </w:tblGrid>
      <w:tr>
        <w:trPr/>
        <w:tc>
          <w:tcPr>
            <w:tcW w:w="174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270"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bookmarkStart w:id="0" w:name="i026c14f091f54114aaa369a5952baca6_23-5-1"/>
            <w:bookmarkEnd w:id="0"/>
            <w:r>
              <w:rPr>
                <w:rFonts w:ascii="Times New Roman;serif" w:hAnsi="Times New Roman;serif"/>
                <w:b w:val="false"/>
                <w:color w:val="000000"/>
                <w:sz w:val="18"/>
              </w:rPr>
              <w:t>378 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attributable to Medline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Earnings per share attributable to Medline Inc.</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Weighted-average number of Class A common stock outstanding</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 on derivative instruments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comprehensive (loss) income, net of tax </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comprehensive income</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Medline Inc.</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b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16305"/>
                <wp:effectExtent l="0" t="0" r="0" b="0"/>
                <wp:wrapNone/>
                <wp:docPr id="9" name="Frame9"/>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center"/>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7"/>
        <w:gridCol w:w="507"/>
        <w:gridCol w:w="716"/>
      </w:tblGrid>
      <w:tr>
        <w:trPr/>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center"/>
              <w:rPr/>
            </w:pPr>
            <w:r>
              <w:rPr/>
              <w:t>MEDLINE INC.</w:t>
            </w:r>
          </w:p>
        </w:tc>
      </w:tr>
      <w:tr>
        <w:trPr/>
        <w:tc>
          <w:tcPr>
            <w:tcW w:w="1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MEZZANINE EQUITY AND PARTNERS' CAPITAL (Unaudited)</w:t>
      </w:r>
    </w:p>
    <w:tbl>
      <w:tblPr>
        <w:tblW w:w="10205" w:type="dxa"/>
        <w:jc w:val="center"/>
        <w:tblInd w:w="0" w:type="dxa"/>
        <w:tblLayout w:type="fixed"/>
        <w:tblCellMar>
          <w:top w:w="28" w:type="dxa"/>
          <w:left w:w="28" w:type="dxa"/>
          <w:bottom w:w="28" w:type="dxa"/>
          <w:right w:w="28" w:type="dxa"/>
        </w:tblCellMar>
      </w:tblPr>
      <w:tblGrid>
        <w:gridCol w:w="889"/>
        <w:gridCol w:w="353"/>
        <w:gridCol w:w="290"/>
        <w:gridCol w:w="210"/>
        <w:gridCol w:w="211"/>
        <w:gridCol w:w="186"/>
        <w:gridCol w:w="205"/>
        <w:gridCol w:w="424"/>
        <w:gridCol w:w="114"/>
        <w:gridCol w:w="210"/>
        <w:gridCol w:w="211"/>
        <w:gridCol w:w="186"/>
        <w:gridCol w:w="204"/>
        <w:gridCol w:w="424"/>
        <w:gridCol w:w="113"/>
        <w:gridCol w:w="209"/>
        <w:gridCol w:w="691"/>
        <w:gridCol w:w="116"/>
        <w:gridCol w:w="325"/>
        <w:gridCol w:w="700"/>
        <w:gridCol w:w="183"/>
        <w:gridCol w:w="416"/>
        <w:gridCol w:w="704"/>
        <w:gridCol w:w="233"/>
        <w:gridCol w:w="275"/>
        <w:gridCol w:w="783"/>
        <w:gridCol w:w="154"/>
        <w:gridCol w:w="230"/>
        <w:gridCol w:w="760"/>
        <w:gridCol w:w="196"/>
      </w:tblGrid>
      <w:tr>
        <w:trPr/>
        <w:tc>
          <w:tcPr>
            <w:tcW w:w="8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27, 2026</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13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0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3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units for Class A common stock</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deferred tax assets from equity transactions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liability-classified units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28, 2026</w:t>
            </w:r>
          </w:p>
        </w:tc>
        <w:tc>
          <w:tcPr>
            <w:tcW w:w="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common units for Class A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receivable agreement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deferred tax assets from equity transactions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employee stock options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on issuance of stock-based awards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noncontrolling interests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27, 2026</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11,396 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16305"/>
                <wp:effectExtent l="0" t="0" r="0" b="0"/>
                <wp:wrapNone/>
                <wp:docPr id="10" name="Frame10"/>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800" w:type="dxa"/>
        <w:jc w:val="left"/>
        <w:tblInd w:w="0" w:type="dxa"/>
        <w:tblLayout w:type="fixed"/>
        <w:tblCellMar>
          <w:top w:w="28" w:type="dxa"/>
          <w:left w:w="28" w:type="dxa"/>
          <w:bottom w:w="28" w:type="dxa"/>
          <w:right w:w="28" w:type="dxa"/>
        </w:tblCellMar>
      </w:tblPr>
      <w:tblGrid>
        <w:gridCol w:w="577"/>
        <w:gridCol w:w="507"/>
        <w:gridCol w:w="716"/>
      </w:tblGrid>
      <w:tr>
        <w:trPr/>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center"/>
              <w:rPr/>
            </w:pPr>
            <w:r>
              <w:rPr/>
              <w:t>MEDLINE INC.</w:t>
            </w:r>
          </w:p>
        </w:tc>
      </w:tr>
      <w:tr>
        <w:trPr/>
        <w:tc>
          <w:tcPr>
            <w:tcW w:w="1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MEZZANINE EQUITY AND PARTNERS' CAPITAL (Unaudited) (Continued)</w:t>
      </w:r>
    </w:p>
    <w:tbl>
      <w:tblPr>
        <w:tblW w:w="10675" w:type="dxa"/>
        <w:jc w:val="center"/>
        <w:tblInd w:w="0" w:type="dxa"/>
        <w:tblLayout w:type="fixed"/>
        <w:tblCellMar>
          <w:top w:w="28" w:type="dxa"/>
          <w:left w:w="28" w:type="dxa"/>
          <w:bottom w:w="28" w:type="dxa"/>
          <w:right w:w="28" w:type="dxa"/>
        </w:tblCellMar>
      </w:tblPr>
      <w:tblGrid>
        <w:gridCol w:w="689"/>
        <w:gridCol w:w="435"/>
        <w:gridCol w:w="212"/>
        <w:gridCol w:w="155"/>
        <w:gridCol w:w="155"/>
        <w:gridCol w:w="156"/>
        <w:gridCol w:w="196"/>
        <w:gridCol w:w="421"/>
        <w:gridCol w:w="109"/>
        <w:gridCol w:w="204"/>
        <w:gridCol w:w="149"/>
        <w:gridCol w:w="113"/>
        <w:gridCol w:w="204"/>
        <w:gridCol w:w="438"/>
        <w:gridCol w:w="115"/>
        <w:gridCol w:w="231"/>
        <w:gridCol w:w="496"/>
        <w:gridCol w:w="129"/>
        <w:gridCol w:w="199"/>
        <w:gridCol w:w="199"/>
        <w:gridCol w:w="203"/>
        <w:gridCol w:w="196"/>
        <w:gridCol w:w="646"/>
        <w:gridCol w:w="109"/>
        <w:gridCol w:w="155"/>
        <w:gridCol w:w="155"/>
        <w:gridCol w:w="156"/>
        <w:gridCol w:w="196"/>
        <w:gridCol w:w="421"/>
        <w:gridCol w:w="109"/>
        <w:gridCol w:w="155"/>
        <w:gridCol w:w="155"/>
        <w:gridCol w:w="156"/>
        <w:gridCol w:w="208"/>
        <w:gridCol w:w="351"/>
        <w:gridCol w:w="117"/>
        <w:gridCol w:w="365"/>
        <w:gridCol w:w="617"/>
        <w:gridCol w:w="204"/>
        <w:gridCol w:w="196"/>
        <w:gridCol w:w="64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28,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Mezzanine Equity</w:t>
            </w:r>
          </w:p>
        </w:tc>
        <w:tc>
          <w:tcPr>
            <w:tcW w:w="6068" w:type="dxa"/>
            <w:gridSpan w:val="24"/>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Partners’ Capital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2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Mezzanine Equity</w:t>
            </w:r>
          </w:p>
        </w:tc>
        <w:tc>
          <w:tcPr>
            <w:tcW w:w="1552" w:type="dxa"/>
            <w:gridSpan w:val="6"/>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w:t>
            </w:r>
          </w:p>
        </w:tc>
        <w:tc>
          <w:tcPr>
            <w:tcW w:w="1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B CUPI</w:t>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Total Partners' Capital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Units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January 1, 2025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liability-classified units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29, 2025</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Units repurchased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partners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601"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28, 2025</w:t>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16"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16305"/>
                <wp:effectExtent l="0" t="0" r="0" b="0"/>
                <wp:wrapNone/>
                <wp:docPr id="11" name="Frame11"/>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20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 (Unaudited)</w:t>
      </w:r>
    </w:p>
    <w:p>
      <w:pPr>
        <w:pStyle w:val="TextBody"/>
        <w:bidi w:val="0"/>
        <w:spacing w:before="0" w:after="0"/>
        <w:jc w:val="center"/>
        <w:rPr/>
      </w:pPr>
      <w:r>
        <w:rPr/>
      </w:r>
    </w:p>
    <w:tbl>
      <w:tblPr>
        <w:tblW w:w="8597" w:type="dxa"/>
        <w:jc w:val="center"/>
        <w:tblInd w:w="0" w:type="dxa"/>
        <w:tblLayout w:type="fixed"/>
        <w:tblCellMar>
          <w:top w:w="28" w:type="dxa"/>
          <w:left w:w="28" w:type="dxa"/>
          <w:bottom w:w="28" w:type="dxa"/>
          <w:right w:w="28" w:type="dxa"/>
        </w:tblCellMar>
      </w:tblPr>
      <w:tblGrid>
        <w:gridCol w:w="2095"/>
        <w:gridCol w:w="1844"/>
        <w:gridCol w:w="1850"/>
        <w:gridCol w:w="252"/>
        <w:gridCol w:w="717"/>
        <w:gridCol w:w="140"/>
        <w:gridCol w:w="109"/>
        <w:gridCol w:w="109"/>
        <w:gridCol w:w="109"/>
        <w:gridCol w:w="299"/>
        <w:gridCol w:w="644"/>
        <w:gridCol w:w="166"/>
        <w:gridCol w:w="109"/>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 loss,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Fire at distribution center</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businesses, net of cash acquired</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asset acquisitions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borrowings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for long-term borrowings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under lines of credit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lines of credit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debt issuance cost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offering costs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towards Class B unit repurchases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employee stock options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taxes withheld on stock-based awards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 and restricted cash</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year</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16305"/>
                <wp:effectExtent l="0" t="0" r="0" b="0"/>
                <wp:wrapNone/>
                <wp:docPr id="12" name="Frame12"/>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 (Unaudited) (Continued)</w:t>
      </w:r>
    </w:p>
    <w:p>
      <w:pPr>
        <w:pStyle w:val="TextBody"/>
        <w:bidi w:val="0"/>
        <w:spacing w:before="0" w:after="0"/>
        <w:jc w:val="center"/>
        <w:rPr/>
      </w:pPr>
      <w:r>
        <w:rPr/>
      </w:r>
    </w:p>
    <w:tbl>
      <w:tblPr>
        <w:tblW w:w="7082" w:type="dxa"/>
        <w:jc w:val="center"/>
        <w:tblInd w:w="0" w:type="dxa"/>
        <w:tblLayout w:type="fixed"/>
        <w:tblCellMar>
          <w:top w:w="28" w:type="dxa"/>
          <w:left w:w="28" w:type="dxa"/>
          <w:bottom w:w="28" w:type="dxa"/>
          <w:right w:w="28" w:type="dxa"/>
        </w:tblCellMar>
      </w:tblPr>
      <w:tblGrid>
        <w:gridCol w:w="1547"/>
        <w:gridCol w:w="1358"/>
        <w:gridCol w:w="1369"/>
        <w:gridCol w:w="299"/>
        <w:gridCol w:w="644"/>
        <w:gridCol w:w="166"/>
        <w:gridCol w:w="109"/>
        <w:gridCol w:w="109"/>
        <w:gridCol w:w="109"/>
        <w:gridCol w:w="299"/>
        <w:gridCol w:w="644"/>
        <w:gridCol w:w="166"/>
        <w:gridCol w:w="109"/>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on borrowings</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interest rate hedging activities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plant and equipment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tax receivable agreement liability</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deferred tax assets from equity transactions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543"/>
        <w:gridCol w:w="543"/>
        <w:gridCol w:w="781"/>
        <w:gridCol w:w="2155"/>
        <w:gridCol w:w="422"/>
        <w:gridCol w:w="422"/>
        <w:gridCol w:w="422"/>
        <w:gridCol w:w="422"/>
        <w:gridCol w:w="759"/>
        <w:gridCol w:w="2155"/>
        <w:gridCol w:w="602"/>
      </w:tblGrid>
      <w:tr>
        <w:trPr/>
        <w:tc>
          <w:tcPr>
            <w:tcW w:w="97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reconciliation of cash, cash equivalents and restricted cash shown above to the amounts reported within the Condensed Consolidated Balance Sheets as of June 27, 2026 and December 31, 2025:</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3358" w:type="dxa"/>
            <w:gridSpan w:val="3"/>
            <w:tcBorders/>
            <w:vAlign w:val="center"/>
          </w:tcPr>
          <w:p>
            <w:pPr>
              <w:pStyle w:val="TableContents"/>
              <w:bidi w:val="0"/>
              <w:spacing w:before="0" w:after="283"/>
              <w:ind w:left="0" w:right="0" w:hanging="0"/>
              <w:jc w:val="left"/>
              <w:rPr>
                <w:sz w:val="4"/>
                <w:szCs w:val="4"/>
              </w:rPr>
            </w:pPr>
            <w:r>
              <w:rPr>
                <w:sz w:val="4"/>
                <w:szCs w:val="4"/>
              </w:rPr>
            </w:r>
          </w:p>
        </w:tc>
        <w:tc>
          <w:tcPr>
            <w:tcW w:w="4782" w:type="dxa"/>
            <w:gridSpan w:val="6"/>
            <w:tcBorders/>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 (Unaudited)</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current assets</w:t>
            </w:r>
          </w:p>
        </w:tc>
        <w:tc>
          <w:tcPr>
            <w:tcW w:w="2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16305"/>
                <wp:effectExtent l="0" t="0" r="0" b="0"/>
                <wp:wrapNone/>
                <wp:docPr id="13" name="Frame13"/>
                <a:graphic xmlns:a="http://schemas.openxmlformats.org/drawingml/2006/main">
                  <a:graphicData uri="http://schemas.microsoft.com/office/word/2010/wordprocessingShape">
                    <wps:wsp>
                      <wps:cNvSpPr txBox="1"/>
                      <wps:spPr>
                        <a:xfrm>
                          <a:off x="0" y="0"/>
                          <a:ext cx="6480175" cy="916305"/>
                        </a:xfrm>
                        <a:prstGeom prst="rect"/>
                        <a:solidFill>
                          <a:srgbClr val="FFFFFF"/>
                        </a:solidFill>
                      </wps:spPr>
                      <wps:txb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15pt;mso-wrap-distance-left:0pt;mso-wrap-distance-right:0pt;mso-wrap-distance-top:0pt;mso-wrap-distance-bottom:0pt;margin-top:0pt;mso-position-vertical:top;mso-position-vertical-relative:text;margin-left:0pt;mso-position-horizontal:left;mso-position-horizontal-relative:text">
                <v:textbox>
                  <w:txbxContent>
                    <w:tbl>
                      <w:tblPr>
                        <w:tblW w:w="4949" w:type="dxa"/>
                        <w:jc w:val="left"/>
                        <w:tblInd w:w="0" w:type="dxa"/>
                        <w:tblLayout w:type="fixed"/>
                        <w:tblCellMar>
                          <w:top w:w="28" w:type="dxa"/>
                          <w:left w:w="28" w:type="dxa"/>
                          <w:bottom w:w="28" w:type="dxa"/>
                          <w:right w:w="28" w:type="dxa"/>
                        </w:tblCellMar>
                      </w:tblPr>
                      <w:tblGrid>
                        <w:gridCol w:w="1582"/>
                        <w:gridCol w:w="1394"/>
                        <w:gridCol w:w="1973"/>
                      </w:tblGrid>
                      <w:tr>
                        <w:trPr/>
                        <w:tc>
                          <w:tcPr>
                            <w:tcW w:w="15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Inc., a Delaware corporation formed on November 6, 2024, is a holding company, and its material assets are its equity interests held directly or indirectly through wholly owned subsidiaries in Medline Holdings, LP (“Medline Holdings”), and its subsidiaries (together, the “Company” or “Medline”). The Company is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Tracy, California Distribution Center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11, 2026, a fire destroyed the Company's distribution center in Tracy, California. All employees were safely evacuated. The Company has estimated incurred losses of $336 million, which consist of $204 million related to inventory losses, $116 million related to fixed asset losses, and $16 million other expenses, for the three and six months ended June 27, 2026. These losses were recorded in Other operating expenses on the unaudited Condensed Consolidated Statements of Comprehensive Income. As of June 27, 2026, discussions with the Company’s insurers are ongoing, and, as such, no insurance recoveries have been recorded. Following the fire, the Company entered into lease agreements for two distribution centers in Northern California to help support service to healthcare providers and customers in Northern California following the fire. The Company may incur additional losses and costs in future periods associated with the fire and its related impacts. The Company expects to recognize insurance recoveries in future periods as the applicable recognition criteria are met. The timing and amount of any additional losses, costs, or insurance recoveries remain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Secondary Offerings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2026, the Company completed an underwritten public offering of an aggregate of 72,554,594 shares of Class A common stock sold by a wholly owned subsidiary of Abu Dhabi Investment Authority and certain affiliates of the Company’s Sponsors (collectively, the “May 2026 Selling Stockholders”) at a public offering price of $37.00 per share, for aggregate gross proceeds of approximately $2.7 billion to the May 2026 Selling Stockholders (the “May 2026 Resale Offering”). This transaction resulted in the issuance of 29,505,565 shares of Class A common stock in connection with the exchange of Common Units by the May 2026 Selling Stockholders for the six months ended June 27, 2026. The exchange reduced the ownership of noncontrolling interest in Medline Holdings by approximately 2% and will increase the net income attributable to the Company in a proportionate amount. The Company did not sell any shares in this May 2026 Resale Offering and did not receive any of the proceeds from the sale of the shares of Class A common stock in this May 2026 Resale Offering. The Company paid the offering expenses associated with the sale of the shares by the May 2026 Selling Stockholders, net of the underwriting discounts and commissions.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10, 2026, the Company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the Company’s Sponsors (collectively, the “March 2026 Selling Stockholders”) at a public offering price of $41.00 per share, for aggregate gross proceeds of approximately $3.5 billion to the Selling Stockholders (the “March 2026 Resale Offering”). This transaction resulted in the issuance of 33,963,901 shares of Class A common stock in connection with the exchange of Common Units by the March 2026 Selling Stockholders for the six months ended June 27, 2026. The exchange reduced the ownership of noncontrolling interest in Medline Holdings by approximately 3% and will increase the net income attributable to the Company in a proportionate amount. The Company did not sell any shares in this March 2026 Resale Offering and did not receive any of the proceeds from the sale of the shares of Class A common stock in this March 2026 Resale Offering. The Company paid the offering expenses associated with the sale of the shares by the March 2026 Selling Stockholders, net of the underwriting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5250"/>
                <wp:effectExtent l="0" t="0" r="0" b="0"/>
                <wp:wrapNone/>
                <wp:docPr id="14" name="Frame1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13</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16, 2025, the SEC declared effective the Company’s Registration Statement on Form S-1 filed in connection with IPO. The Company’s Class A common stock started trading on </w:t>
      </w:r>
      <w:r>
        <w:rPr>
          <w:rFonts w:ascii="Times New Roman;serif" w:hAnsi="Times New Roman;serif"/>
          <w:b w:val="false"/>
          <w:color w:val="181717"/>
          <w:sz w:val="20"/>
        </w:rPr>
        <w:t>The Nasdaq Global Select Market</w:t>
      </w:r>
      <w:r>
        <w:rPr>
          <w:color w:val="000000"/>
        </w:rPr>
        <w:t xml:space="preserve"> </w:t>
      </w:r>
      <w:r>
        <w:rPr>
          <w:rFonts w:ascii="Times New Roman;serif" w:hAnsi="Times New Roman;serif"/>
          <w:b w:val="false"/>
          <w:color w:val="000000"/>
          <w:sz w:val="20"/>
        </w:rPr>
        <w:t xml:space="preserve">on December 17, 2025. </w:t>
      </w:r>
      <w:r>
        <w:rPr>
          <w:rFonts w:ascii="Times New Roman;serif" w:hAnsi="Times New Roman;serif"/>
          <w:b w:val="false"/>
          <w:color w:val="000000"/>
          <w:sz w:val="20"/>
          <w:shd w:fill="FFFFFF" w:val="clear"/>
        </w:rPr>
        <w:t xml:space="preserve">On December 18, 2025, the Company completed the IPO of its Class A common stock in which the Company issued and sold </w:t>
      </w:r>
      <w:r>
        <w:rPr>
          <w:rFonts w:ascii="Times New Roman;serif" w:hAnsi="Times New Roman;serif"/>
          <w:b w:val="false"/>
          <w:color w:val="000000"/>
          <w:sz w:val="20"/>
        </w:rPr>
        <w:t>248,439,654</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(including shares issued pursuant to the exercise in full of the underwriters’ option to purchase additional shares) for cash consideration of </w:t>
      </w:r>
      <w:r>
        <w:rPr>
          <w:rFonts w:ascii="Times New Roman;serif" w:hAnsi="Times New Roman;serif"/>
          <w:b w:val="false"/>
          <w:color w:val="000000"/>
          <w:sz w:val="20"/>
        </w:rPr>
        <w:t>$29.00</w:t>
      </w:r>
      <w:r>
        <w:rPr>
          <w:color w:val="000000"/>
          <w:shd w:fill="FFFFFF" w:val="clear"/>
        </w:rPr>
        <w:t xml:space="preserve"> </w:t>
      </w:r>
      <w:r>
        <w:rPr>
          <w:rFonts w:ascii="Times New Roman;serif" w:hAnsi="Times New Roman;serif"/>
          <w:b w:val="false"/>
          <w:color w:val="000000"/>
          <w:sz w:val="20"/>
          <w:shd w:fill="FFFFFF" w:val="clear"/>
        </w:rPr>
        <w:t xml:space="preserve">per share. </w:t>
      </w:r>
      <w:r>
        <w:rPr>
          <w:rFonts w:ascii="Times New Roman;serif" w:hAnsi="Times New Roman;serif"/>
          <w:b w:val="false"/>
          <w:color w:val="000000"/>
          <w:sz w:val="20"/>
        </w:rPr>
        <w:t>The IPO generated net proceeds of approximately $7,048 million after deducting underwriting discounts and commissions of approximately $157 million, but before deducting offering expenses of approximately $40 million. The Company</w:t>
      </w:r>
      <w:r>
        <w:rPr>
          <w:color w:val="000000"/>
          <w:shd w:fill="FFFFFF" w:val="clear"/>
        </w:rPr>
        <w:t xml:space="preserve"> </w:t>
      </w:r>
      <w:r>
        <w:rPr>
          <w:rFonts w:ascii="Times New Roman;serif" w:hAnsi="Times New Roman;serif"/>
          <w:b w:val="false"/>
          <w:color w:val="000000"/>
          <w:sz w:val="20"/>
          <w:shd w:fill="FFFFFF" w:val="clear"/>
        </w:rPr>
        <w:t xml:space="preserve">used the proceeds (net of underwriting discounts and commissions) from the issuance of </w:t>
      </w:r>
      <w:r>
        <w:rPr>
          <w:rFonts w:ascii="Times New Roman;serif" w:hAnsi="Times New Roman;serif"/>
          <w:b w:val="false"/>
          <w:color w:val="000000"/>
          <w:sz w:val="20"/>
        </w:rPr>
        <w:t>179,000,000</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$5,078</w:t>
      </w:r>
      <w:r>
        <w:rPr>
          <w:color w:val="000000"/>
          <w:shd w:fill="FFFFFF" w:val="clear"/>
        </w:rPr>
        <w:t xml:space="preserve"> </w:t>
      </w:r>
      <w:r>
        <w:rPr>
          <w:rFonts w:ascii="Times New Roman;serif" w:hAnsi="Times New Roman;serif"/>
          <w:b w:val="false"/>
          <w:color w:val="000000"/>
          <w:sz w:val="20"/>
          <w:shd w:fill="FFFFFF" w:val="clear"/>
        </w:rPr>
        <w:t xml:space="preserve">million) in the IPO to purchase an equivalent number of newly issued Common Units from Medline Holdings, which Medline Holdings has in turn used </w:t>
      </w:r>
      <w:r>
        <w:rPr>
          <w:rFonts w:ascii="Times New Roman;serif" w:hAnsi="Times New Roman;serif"/>
          <w:b w:val="false"/>
          <w:color w:val="000000"/>
          <w:sz w:val="20"/>
        </w:rPr>
        <w:t>$731</w:t>
      </w:r>
      <w:r>
        <w:rPr>
          <w:color w:val="000000"/>
          <w:shd w:fill="FFFFFF" w:val="clear"/>
        </w:rPr>
        <w:t xml:space="preserve"> </w:t>
      </w:r>
      <w:r>
        <w:rPr>
          <w:rFonts w:ascii="Times New Roman;serif" w:hAnsi="Times New Roman;serif"/>
          <w:b w:val="false"/>
          <w:color w:val="000000"/>
          <w:sz w:val="20"/>
          <w:shd w:fill="FFFFFF" w:val="clear"/>
        </w:rPr>
        <w:t xml:space="preserve">million of which to repay in full all outstanding Euro Term Loans (as defined herein) and </w:t>
      </w:r>
      <w:r>
        <w:rPr>
          <w:rFonts w:ascii="Times New Roman;serif" w:hAnsi="Times New Roman;serif"/>
          <w:b w:val="false"/>
          <w:color w:val="000000"/>
          <w:sz w:val="20"/>
        </w:rPr>
        <w:t>$3,292</w:t>
      </w:r>
      <w:r>
        <w:rPr>
          <w:color w:val="000000"/>
          <w:shd w:fill="FFFFFF" w:val="clear"/>
        </w:rPr>
        <w:t xml:space="preserve"> </w:t>
      </w:r>
      <w:r>
        <w:rPr>
          <w:rFonts w:ascii="Times New Roman;serif" w:hAnsi="Times New Roman;serif"/>
          <w:b w:val="false"/>
          <w:color w:val="000000"/>
          <w:sz w:val="20"/>
          <w:shd w:fill="FFFFFF" w:val="clear"/>
        </w:rPr>
        <w:t xml:space="preserve">million of which to repay a portion of the outstanding Dollar Term Loans (as defined herein) which matures in 2028. The Company will use the remaining net proceeds for general corporate purposes and to bear all of the expenses of the IPO. The Company has used the proceeds (net of underwriting discounts and commissions) from the issuance of </w:t>
      </w:r>
      <w:r>
        <w:rPr>
          <w:rFonts w:ascii="Times New Roman;serif" w:hAnsi="Times New Roman;serif"/>
          <w:b w:val="false"/>
          <w:color w:val="000000"/>
          <w:sz w:val="20"/>
        </w:rPr>
        <w:t>37,034,482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$1,051</w:t>
      </w:r>
      <w:r>
        <w:rPr>
          <w:color w:val="000000"/>
          <w:shd w:fill="FFFFFF" w:val="clear"/>
        </w:rPr>
        <w:t xml:space="preserve"> </w:t>
      </w:r>
      <w:r>
        <w:rPr>
          <w:rFonts w:ascii="Times New Roman;serif" w:hAnsi="Times New Roman;serif"/>
          <w:b w:val="false"/>
          <w:color w:val="000000"/>
          <w:sz w:val="20"/>
          <w:shd w:fill="FFFFFF" w:val="clear"/>
        </w:rPr>
        <w:t xml:space="preserve">million) and the issuance of </w:t>
      </w:r>
      <w:r>
        <w:rPr>
          <w:rFonts w:ascii="Times New Roman;serif" w:hAnsi="Times New Roman;serif"/>
          <w:b w:val="false"/>
          <w:color w:val="000000"/>
          <w:sz w:val="20"/>
        </w:rPr>
        <w:t>32,405,172</w:t>
      </w:r>
      <w:r>
        <w:rPr>
          <w:color w:val="000000"/>
          <w:shd w:fill="FFFFFF" w:val="clear"/>
        </w:rPr>
        <w:t xml:space="preserve"> </w:t>
      </w:r>
      <w:r>
        <w:rPr>
          <w:rFonts w:ascii="Times New Roman;serif" w:hAnsi="Times New Roman;serif"/>
          <w:b w:val="false"/>
          <w:color w:val="000000"/>
          <w:sz w:val="20"/>
          <w:shd w:fill="FFFFFF" w:val="clear"/>
        </w:rPr>
        <w:t>shares (</w:t>
      </w:r>
      <w:r>
        <w:rPr>
          <w:rFonts w:ascii="Times New Roman;serif" w:hAnsi="Times New Roman;serif"/>
          <w:b w:val="false"/>
          <w:color w:val="000000"/>
          <w:sz w:val="20"/>
        </w:rPr>
        <w:t>$919</w:t>
      </w:r>
      <w:r>
        <w:rPr>
          <w:color w:val="000000"/>
          <w:shd w:fill="FFFFFF" w:val="clear"/>
        </w:rPr>
        <w:t xml:space="preserve"> </w:t>
      </w:r>
      <w:r>
        <w:rPr>
          <w:rFonts w:ascii="Times New Roman;serif" w:hAnsi="Times New Roman;serif"/>
          <w:b w:val="false"/>
          <w:color w:val="000000"/>
          <w:sz w:val="20"/>
          <w:shd w:fill="FFFFFF" w:val="clear"/>
        </w:rPr>
        <w:t>million) pursuant to the exercise in full by the underwriters of their option to purchase additional shares in the IPO to purchase or redeem an equivalent aggregate number of shares of Class A common stock and Common Units from certain pre-IPO owners.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Reorganization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16, 2025, prior to the completion of the IPO, the Company executed several reorganization transactions (the “Reorganization”) and amended and restated Limited Partnership Agreement of Medline Holdings (the “LP Agreement”), resulting in the following:</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Medline Inc. became the general partner of Medline Holdings with 100% of the voting power and control of Medline Holdings.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All outstanding Class A Units and Class B CUPI Units of Medline Holdings were either (1) reclassified into Common Units, a new class of partnership interest of Medline Holdings, or (2) directly or indirectly exchanged for vested shares of Class A common stock and restricted stock units (“RSUs”) of Medline Inc. The holders of Common Units were also allocated shares of Class B common stock of Medline Inc. on a one-for-one basis with the number of their Common Units.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All outstanding Class B units of Medline Holdings were either (1) reclassified into Incentive Units, a new class of partnership interest of Medline Holdings, or (2) directly or indirectly exchanged for vested shares of Class A common stock of Medline Inc., in the case of vested Class B units, and restricted stock awards (“RSAs”), RSUs, and options of Medline Inc., in the case of unvested Class B units.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Holders of Incentive Units (“Incentive Unitholders”) have the right to exchange their vested Incentive Units for Common Units at the exchange rate defined by the amended LP Agreement.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Recognition of noncontrolling interests due to the pre-IPO owners retaining an economic interest in Medline Holdings related to Common Units and Incentive Units.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the Reorganization, Medline Inc.’s sole material asset is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recognized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5250"/>
                <wp:effectExtent l="0" t="0" r="0" b="0"/>
                <wp:wrapNone/>
                <wp:docPr id="15" name="Frame1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14</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NATURE OF BUSINESS AND SIGNIFICANT ACCOUNTING POLICIES (Continued)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unaudited condensed consolidated financial statements and accompanying notes are prepared in accordance with United States generally accepted accounting principles (“GAAP”) for interim financial information. Accordingly, certain information and footnote disclosures normally included in annual financial statements prepared in accordance with GAAP have been omitted. These unaudited interim condensed consolidated financial statements should be read in conjunction with the Company's consolidated financial statements for the year ended December 31, 2025. The results of businesses acquired or disposed of are included in the unaudited condensed consolidated financial statements from the date of the acquisition or up to the date of disposal, respectively. All adjustments, in the opinion of management, necessary to a fair statement of the results for the interim and annual periods presented have been made.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financial statements of the Company, all entities that are wholly-owned by the Company and all entities in which the Company has a controlling financial interest. All intercompany transactions and balances have been eliminated. A noncontrolling interest in a consolidated subsidiary represents the portion of the equity (net assets) in a subsidiary not attributable, directly or indirectly, to the Company. Noncontrolling interests are presented as a separate component of equity in the unaudited Condensed Consolidated Balance Sheets and the presentation of net income (loss) is modified to present earnings and other comprehensive income (loss) attributed to controlling and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reclassified certain prior period amounts in the unaudited Condensed Consolidated Statements of Cash Flows to conform to the current year’s presentation. Specifically, one immaterial line item was combined with another line item, and a line item previously included within another caption is now presented separately. The reclassifications had no impact on the Company’s net cash provided by operating activities or net cash used in investing and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fiscal year begins on January 1 and ends on December 31. The fiscal quarters are based on a four-four-five-week calendar with periods ending on the Saturday of the last week in the quarter, with the exception of December 31, which is always the fiscal year end date. The current period end date is June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tax receivable agreement (“TRA”), deferred tax valuations, depreciation and amortization, actuarial assumptions, and fair value allocations related to business combinations. Actual results could differ from those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(ASC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adopted this standard on a prospective basis in the first quarter of 2026, and the adoption did not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5250"/>
                <wp:effectExtent l="0" t="0" r="0" b="0"/>
                <wp:wrapNone/>
                <wp:docPr id="16" name="Frame1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15</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w:t>
      </w:r>
    </w:p>
    <w:p>
      <w:pPr>
        <w:pStyle w:val="TextBody"/>
        <w:bidi w:val="0"/>
        <w:spacing w:before="0" w:after="0"/>
        <w:jc w:val="both"/>
        <w:rPr/>
      </w:pPr>
      <w:r>
        <w:rPr/>
      </w:r>
    </w:p>
    <w:tbl>
      <w:tblPr>
        <w:tblW w:w="5890" w:type="dxa"/>
        <w:jc w:val="left"/>
        <w:tblInd w:w="0" w:type="dxa"/>
        <w:tblLayout w:type="fixed"/>
        <w:tblCellMar>
          <w:top w:w="28" w:type="dxa"/>
          <w:left w:w="28" w:type="dxa"/>
          <w:bottom w:w="28" w:type="dxa"/>
          <w:right w:w="28" w:type="dxa"/>
        </w:tblCellMar>
      </w:tblPr>
      <w:tblGrid>
        <w:gridCol w:w="1053"/>
        <w:gridCol w:w="927"/>
        <w:gridCol w:w="930"/>
        <w:gridCol w:w="252"/>
        <w:gridCol w:w="717"/>
        <w:gridCol w:w="140"/>
        <w:gridCol w:w="109"/>
        <w:gridCol w:w="109"/>
        <w:gridCol w:w="109"/>
        <w:gridCol w:w="334"/>
        <w:gridCol w:w="948"/>
        <w:gridCol w:w="262"/>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work in process, net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Inventories, net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last-in, first-out inventories had been valued on a current cost or first-in, first-out basis, they would have been greater by $391 million and $359 million as of June 27, 2026 and December 31, 2025, respectively. The inventory reserve for obsolescence was $56 million and $44 million as of June 27, 2026 and December 31,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GOODWILL AND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were as follows:</w:t>
      </w:r>
    </w:p>
    <w:tbl>
      <w:tblPr>
        <w:tblW w:w="6842" w:type="dxa"/>
        <w:jc w:val="left"/>
        <w:tblInd w:w="0" w:type="dxa"/>
        <w:tblLayout w:type="fixed"/>
        <w:tblCellMar>
          <w:top w:w="28" w:type="dxa"/>
          <w:left w:w="28" w:type="dxa"/>
          <w:bottom w:w="28" w:type="dxa"/>
          <w:right w:w="28" w:type="dxa"/>
        </w:tblCellMar>
      </w:tblPr>
      <w:tblGrid>
        <w:gridCol w:w="885"/>
        <w:gridCol w:w="779"/>
        <w:gridCol w:w="781"/>
        <w:gridCol w:w="554"/>
        <w:gridCol w:w="306"/>
        <w:gridCol w:w="310"/>
        <w:gridCol w:w="109"/>
        <w:gridCol w:w="109"/>
        <w:gridCol w:w="109"/>
        <w:gridCol w:w="850"/>
        <w:gridCol w:w="472"/>
        <w:gridCol w:w="477"/>
        <w:gridCol w:w="109"/>
        <w:gridCol w:w="109"/>
        <w:gridCol w:w="109"/>
        <w:gridCol w:w="218"/>
        <w:gridCol w:w="229"/>
        <w:gridCol w:w="327"/>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8,079</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27, 2026</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8,072</w:t>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 of the following as of:</w:t>
      </w:r>
    </w:p>
    <w:tbl>
      <w:tblPr>
        <w:tblW w:w="11153" w:type="dxa"/>
        <w:jc w:val="left"/>
        <w:tblInd w:w="0" w:type="dxa"/>
        <w:tblLayout w:type="fixed"/>
        <w:tblCellMar>
          <w:top w:w="28" w:type="dxa"/>
          <w:left w:w="28" w:type="dxa"/>
          <w:bottom w:w="28" w:type="dxa"/>
          <w:right w:w="28" w:type="dxa"/>
        </w:tblCellMar>
      </w:tblPr>
      <w:tblGrid>
        <w:gridCol w:w="628"/>
        <w:gridCol w:w="315"/>
        <w:gridCol w:w="258"/>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09"/>
        <w:gridCol w:w="109"/>
        <w:gridCol w:w="109"/>
        <w:gridCol w:w="109"/>
        <w:gridCol w:w="290"/>
        <w:gridCol w:w="290"/>
        <w:gridCol w:w="291"/>
        <w:gridCol w:w="109"/>
        <w:gridCol w:w="109"/>
        <w:gridCol w:w="109"/>
        <w:gridCol w:w="196"/>
        <w:gridCol w:w="646"/>
        <w:gridCol w:w="109"/>
        <w:gridCol w:w="109"/>
        <w:gridCol w:w="109"/>
        <w:gridCol w:w="109"/>
        <w:gridCol w:w="231"/>
        <w:gridCol w:w="675"/>
        <w:gridCol w:w="130"/>
        <w:gridCol w:w="109"/>
        <w:gridCol w:w="109"/>
        <w:gridCol w:w="109"/>
        <w:gridCol w:w="196"/>
        <w:gridCol w:w="64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 Remaining 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intangible assets: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 assets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trade names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5250"/>
                <wp:effectExtent l="0" t="0" r="0" b="0"/>
                <wp:wrapNone/>
                <wp:docPr id="17" name="Frame1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16</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3 - GOODWILL AND INTANGIBLE ASSETS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the remainder of fiscal year 2026 and over the next four years and thereafter is as follows:</w:t>
      </w:r>
    </w:p>
    <w:tbl>
      <w:tblPr>
        <w:tblW w:w="1763" w:type="dxa"/>
        <w:jc w:val="left"/>
        <w:tblInd w:w="0" w:type="dxa"/>
        <w:tblLayout w:type="fixed"/>
        <w:tblCellMar>
          <w:top w:w="28" w:type="dxa"/>
          <w:left w:w="28" w:type="dxa"/>
          <w:bottom w:w="28" w:type="dxa"/>
          <w:right w:w="28" w:type="dxa"/>
        </w:tblCellMar>
      </w:tblPr>
      <w:tblGrid>
        <w:gridCol w:w="358"/>
        <w:gridCol w:w="315"/>
        <w:gridCol w:w="316"/>
        <w:gridCol w:w="218"/>
        <w:gridCol w:w="228"/>
        <w:gridCol w:w="32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6,545</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4 - ACCRUED EXPENSES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elements of Accrued expenses and other current liabilities are as follows as of:</w:t>
      </w:r>
    </w:p>
    <w:p>
      <w:pPr>
        <w:pStyle w:val="TextBody"/>
        <w:bidi w:val="0"/>
        <w:spacing w:before="0" w:after="0"/>
        <w:jc w:val="both"/>
        <w:rPr/>
      </w:pPr>
      <w:r>
        <w:rPr/>
      </w:r>
    </w:p>
    <w:tbl>
      <w:tblPr>
        <w:tblW w:w="7000" w:type="dxa"/>
        <w:jc w:val="left"/>
        <w:tblInd w:w="0" w:type="dxa"/>
        <w:tblLayout w:type="fixed"/>
        <w:tblCellMar>
          <w:top w:w="28" w:type="dxa"/>
          <w:left w:w="28" w:type="dxa"/>
          <w:bottom w:w="28" w:type="dxa"/>
          <w:right w:w="28" w:type="dxa"/>
        </w:tblCellMar>
      </w:tblPr>
      <w:tblGrid>
        <w:gridCol w:w="1452"/>
        <w:gridCol w:w="1278"/>
        <w:gridCol w:w="1290"/>
        <w:gridCol w:w="252"/>
        <w:gridCol w:w="717"/>
        <w:gridCol w:w="140"/>
        <w:gridCol w:w="109"/>
        <w:gridCol w:w="109"/>
        <w:gridCol w:w="109"/>
        <w:gridCol w:w="334"/>
        <w:gridCol w:w="948"/>
        <w:gridCol w:w="262"/>
      </w:tblGrid>
      <w:tr>
        <w:trPr/>
        <w:tc>
          <w:tcPr>
            <w:tcW w:w="145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rebates and distributor chargebacks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Indirect tax payable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accrued expenses and other current liabilities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 CREDIT AGREEMENTS AND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Current portion of long-term borrowings and other short-term borrowings consists of the following as of:</w:t>
      </w:r>
    </w:p>
    <w:tbl>
      <w:tblPr>
        <w:tblW w:w="5666" w:type="dxa"/>
        <w:jc w:val="left"/>
        <w:tblInd w:w="0" w:type="dxa"/>
        <w:tblLayout w:type="fixed"/>
        <w:tblCellMar>
          <w:top w:w="28" w:type="dxa"/>
          <w:left w:w="28" w:type="dxa"/>
          <w:bottom w:w="28" w:type="dxa"/>
          <w:right w:w="28" w:type="dxa"/>
        </w:tblCellMar>
      </w:tblPr>
      <w:tblGrid>
        <w:gridCol w:w="972"/>
        <w:gridCol w:w="855"/>
        <w:gridCol w:w="858"/>
        <w:gridCol w:w="342"/>
        <w:gridCol w:w="578"/>
        <w:gridCol w:w="190"/>
        <w:gridCol w:w="109"/>
        <w:gridCol w:w="109"/>
        <w:gridCol w:w="109"/>
        <w:gridCol w:w="443"/>
        <w:gridCol w:w="750"/>
        <w:gridCol w:w="35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Current portion of long-term debt </w:t>
            </w:r>
            <w:r>
              <w:rPr>
                <w:rFonts w:ascii="Times New Roman;serif" w:hAnsi="Times New Roman;serif"/>
                <w:b w:val="false"/>
                <w:color w:val="000000"/>
                <w:sz w:val="12"/>
              </w:rPr>
              <w:t>(1)</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short-term debt</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Consists of a portion of the secured Dollar Term Loans (as defined herein) bearing variable interest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5250"/>
                <wp:effectExtent l="0" t="0" r="0" b="0"/>
                <wp:wrapNone/>
                <wp:docPr id="18" name="Frame1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17</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long-term borrowings and the effective interest rates are summarized as follows as of:</w:t>
      </w:r>
    </w:p>
    <w:tbl>
      <w:tblPr>
        <w:tblW w:w="10205" w:type="dxa"/>
        <w:jc w:val="left"/>
        <w:tblInd w:w="0" w:type="dxa"/>
        <w:tblLayout w:type="fixed"/>
        <w:tblCellMar>
          <w:top w:w="28" w:type="dxa"/>
          <w:left w:w="28" w:type="dxa"/>
          <w:bottom w:w="28" w:type="dxa"/>
          <w:right w:w="28" w:type="dxa"/>
        </w:tblCellMar>
      </w:tblPr>
      <w:tblGrid>
        <w:gridCol w:w="783"/>
        <w:gridCol w:w="688"/>
        <w:gridCol w:w="693"/>
        <w:gridCol w:w="349"/>
        <w:gridCol w:w="349"/>
        <w:gridCol w:w="351"/>
        <w:gridCol w:w="109"/>
        <w:gridCol w:w="109"/>
        <w:gridCol w:w="109"/>
        <w:gridCol w:w="199"/>
        <w:gridCol w:w="657"/>
        <w:gridCol w:w="110"/>
        <w:gridCol w:w="109"/>
        <w:gridCol w:w="109"/>
        <w:gridCol w:w="109"/>
        <w:gridCol w:w="452"/>
        <w:gridCol w:w="415"/>
        <w:gridCol w:w="979"/>
        <w:gridCol w:w="109"/>
        <w:gridCol w:w="109"/>
        <w:gridCol w:w="109"/>
        <w:gridCol w:w="199"/>
        <w:gridCol w:w="657"/>
        <w:gridCol w:w="110"/>
        <w:gridCol w:w="109"/>
        <w:gridCol w:w="109"/>
        <w:gridCol w:w="109"/>
        <w:gridCol w:w="427"/>
        <w:gridCol w:w="387"/>
        <w:gridCol w:w="1092"/>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Maturity dates </w:t>
              <w:br/>
              <w:t>by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w:t>
            </w:r>
          </w:p>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effective interest rate</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Long-term borrowings</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unsecured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Secured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2029 - 2033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secured debt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due within one year</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Total other </w:t>
            </w:r>
            <w:r>
              <w:rPr>
                <w:rFonts w:ascii="Times New Roman;serif" w:hAnsi="Times New Roman;serif"/>
                <w:b w:val="false"/>
                <w:color w:val="000000"/>
                <w:sz w:val="12"/>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long-term borrowings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deferred financing costs and embedded derivative related to the Dollar Term Loans (as defined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Senior Secured and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Senior Notes comprise the 2029 Notes, the 2031 Notes, and the 2033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the Company issued senior secured notes with a principal amount of $4,500 million, at a fixed rate of 3.875% and maturity date of April 1, 2029 and senior unsecured notes with a principal amount of $2,500 million at a fixed rate of 5.250% with a maturity date of October 1, 2029.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Company issued senior secured notes with a principal amount of $1,500 million at a fixed rate of 6.250% and a maturity date of April 1, 2029. On May 28, 2026, the Company redeemed $500 million of the 6.250% senior secured notes due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2031 Notes and 2033 Notes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the Company issued senior secured notes with a principal amount of $1,250 million, at a fixed rate of 5.000% and a maturity date of June 15, 2031, and senior secured notes with a principal amount of $750 million, at a fixed rate of 5.250% and a maturity date of June 15, 2033.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Interest on the Senior Notes is payable in cash on a semi-annual basis. Interest on the 2029 Notes is payable in arrears on April 1 and October 1 of each calendar year. Interest on the 2031 Notes and the 2033 Notes is payable in arrears on June 15 and December 15 of each calendar year, commencing on December 15,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5250"/>
                <wp:effectExtent l="0" t="0" r="0" b="0"/>
                <wp:wrapNone/>
                <wp:docPr id="19" name="Frame1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18</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0" w:after="0"/>
        <w:jc w:val="both"/>
        <w:rPr/>
      </w:pPr>
      <w:r>
        <w:rPr>
          <w:rFonts w:ascii="Times New Roman;serif" w:hAnsi="Times New Roman;serif"/>
          <w:b/>
          <w:i/>
          <w:color w:val="000000"/>
          <w:sz w:val="20"/>
        </w:rPr>
        <w:t>Term Loan Facilities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2021, the Company borrowed $7,270 million under a senior secured term loan facility (the “Dollar Term Loans”), in addition to €435 million under a separate euro-denominated senior secured term loan facility (the “Euro Term Loans”), both established under a credit agreement (the “Credit Agreement”). The Credit Agreement permits the Company, at any time, subject to customary conditions, to request incremental term loans or incremental revolving credit commitments in an aggregate principal amount of up to (a) the greater of (1) $2,375 million and (2) an amount equal to 100% of the Company’s trailing consolidated EBITDA (as defined in the Credit Agreement)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the Credit Agreement underwent three separate amendments. These amendments resulted in an increase of $520 million in the principal amount of the Dollar Term Loans, as well as an increase of €185 million in the aggregate principal amount of the Euro Term Loans. In addition, pursuant to the amendments, the applicable interest rate margins were lowered, resulting in a variable interest rate of Secured Overnight Financing Rate (“SOFR”) plus a spread of 2.25% for the Dollar Term Loans, and a variable interest rate of EURO Interbank offer Rate plus an applicable spread ranging from 2.25% to 2.75% based on certain of the Company’s debt ratios for the Euro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2025, the Credit Agreement was amended to reduce the margin spread and to extend the maturity of certain obligations. Pursuant to the amendment, all of the Dollar Term Loans are subject to a margin spread of SOFR plus 2.00%. The principal amount of the Dollar Term Loans equal to $4,074 million will mature on October 21, 2028, which remained unchanged, while the principal amount of the Dollar Term Loans equal to $3,500 million will mature on October 23, 2030, extended from the original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used a portion of the proceeds from the IPO to prepay a portion of the Dollar Term Loans with a maturity date of October 21, 2028 in the amount of $3,281 million and all of the outstanding principal of the Euro Term Loans, equivalent to $730 million. Per the terms of the Credit Agreement, the completion of the IPO also triggered a reduction in variable interest rate of 0.25%, resulting in a variable interest rate of SOFR plus 1.75% for the remaining Dollar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Dollar Term Loans require quarterly amortization payments of 0.25% of the amended principal due at each calendar quarter-end. There were $19 million amortization payments for the six months ended June 27, 2026 and June 28, 2025, respectively. There were no mandatory amortization payments for the Euro Term Loans.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concurrently with the offering of the 2031 Notes and the 2033 Notes, the Company entered into Amendment No. 7 to the Credit Agreement to amend and extend its existing senior secured dollar-denominated term loan facility due 2030 (the “2030 Term Loan Facility”) with a new senior secured dollar-denominated term loan facility in an aggregate principal amount of $2,750 million (the “2033 Refinancing Term Loan Facility” and, together with the existing revolving credit facility, the “Senior Secured Credit Facilities”). The 2033 Refinancing Term Loan Facility bears a variable interest rate of SOFR plus a spread of 1.5%.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2033 Term Loan Facility amortizes quarterly at 0.25% of the outstanding principal balance, payable on the last business day of each calendar quarter beginning June 30, 2026. The remaining principal balance is due upon maturity.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net proceeds from the offering of the 2031 Notes and the 2033 Notes, together with the borrowings under the 2033 Refinancing Term Loan Facility and cash on hand, were used to (i) repay in full all outstanding indebtedness under the Company’s existing senior secured dollar-denominated term loan facility due 2028 of $762 million, (ii) repay $724 million of the 2030 Term Loan Facility, (iii) redeem $500 million of the Issuers’ 6.250% Senior Secured Notes due 2029 and (iv) pay the related fees and expenses with respect to (i) through (iii), the issuance of 2031 Notes and 2033 Notes and the amendment and extension of the 2030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5250"/>
                <wp:effectExtent l="0" t="0" r="0" b="0"/>
                <wp:wrapNone/>
                <wp:docPr id="20" name="Frame2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19</w:t>
                      </w:r>
                    </w:p>
                  </w:txbxContent>
                </v:textbox>
                <w10:wrap type="none"/>
              </v:rect>
            </w:pict>
          </mc:Fallback>
        </mc:AlternateContent>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refinancing transaction on May 28, 2026, the Company recognized debt extinguishment losses of $23 million for the six months ended June 27, 2026, related to the write-off of unamortized debt discounts and deferred financing costs associated with the debts repaid or refinanced. In addition, the Company incurred third party and lender fees of $22 million, which were expensed for the six months ended June 27, 2026. These costs were included in Other loss, net on the unaudited Condensed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borrowings as of June 27, 2026 and December 31, 2025 was based on recent trades as reported by a third-party bond pricing service and summarized as follows. Due to the infrequency of trades, these inputs are considered to be Level 2 inputs.</w:t>
      </w:r>
    </w:p>
    <w:p>
      <w:pPr>
        <w:pStyle w:val="TextBody"/>
        <w:bidi w:val="0"/>
        <w:spacing w:before="0" w:after="0"/>
        <w:jc w:val="both"/>
        <w:rPr/>
      </w:pPr>
      <w:r>
        <w:rPr/>
      </w:r>
    </w:p>
    <w:tbl>
      <w:tblPr>
        <w:tblW w:w="5031"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252"/>
        <w:gridCol w:w="717"/>
        <w:gridCol w:w="140"/>
        <w:gridCol w:w="109"/>
        <w:gridCol w:w="109"/>
        <w:gridCol w:w="109"/>
        <w:gridCol w:w="334"/>
        <w:gridCol w:w="948"/>
        <w:gridCol w:w="262"/>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3.875% fixed rate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5.000% fixed 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5.250% fixed rate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6.250% fixed rate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indentures contain certain affirmative and negative covenants, which require, among other provisions, delivery of the unaudited condensed consolidated financial statements to the relevant note holders. Compliance with the covenants does not significantly impact the Company’s operations. As of June 27, 2026, the Company was in compliance with all the covenants under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aggregate principal amounts for the remainder of fiscal year 2026 and over the next four years and thereafter are as follows:</w:t>
      </w:r>
    </w:p>
    <w:p>
      <w:pPr>
        <w:pStyle w:val="TextBody"/>
        <w:bidi w:val="0"/>
        <w:spacing w:before="0" w:after="0"/>
        <w:jc w:val="both"/>
        <w:rPr/>
      </w:pPr>
      <w:r>
        <w:rPr/>
      </w:r>
    </w:p>
    <w:tbl>
      <w:tblPr>
        <w:tblW w:w="2248" w:type="dxa"/>
        <w:jc w:val="left"/>
        <w:tblInd w:w="0" w:type="dxa"/>
        <w:tblLayout w:type="fixed"/>
        <w:tblCellMar>
          <w:top w:w="28" w:type="dxa"/>
          <w:left w:w="28" w:type="dxa"/>
          <w:bottom w:w="28" w:type="dxa"/>
          <w:right w:w="28" w:type="dxa"/>
        </w:tblCellMar>
      </w:tblPr>
      <w:tblGrid>
        <w:gridCol w:w="358"/>
        <w:gridCol w:w="315"/>
        <w:gridCol w:w="316"/>
        <w:gridCol w:w="248"/>
        <w:gridCol w:w="817"/>
        <w:gridCol w:w="19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Debt Maturities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Revolving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certain lenders provided the Company with commitments under a $1,000 million senior secured revolving credit facility under the Credit Agreement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amendment to the Credit Agreement in 2024 extended the maturity date of the Revolving Credit Facility from October 21, 2026 to July 8, 2029 (subject to a springing maturity 91 days inside of the maturity date of all secured and unsecured notes and term loan facilities) and did not change the maximum borrowing capacity of $1,000 million or any other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28, 2025, the Company amended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5250"/>
                <wp:effectExtent l="0" t="0" r="0" b="0"/>
                <wp:wrapNone/>
                <wp:docPr id="21" name="Frame2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20</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br/>
        <w:t>NOTE 5 – CREDIT AGREEMENTS AND BORROWINGS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2026 and December 31, 2025, the Revolving Credit Facility had several financial institutions as lenders for a maximum borrowing capacity of $1,000 million. The Revolving Credit Facility accrues commitment fees in respect of unfunded commitments thereunder. Letters of credit issued under the Revolving Credit Facility reduce availability under the Revolving Credit Facility dollar-for-dollar. As of June 27, 2026 and December 31, 2025, availability under the Revolving Credit Facility was $946 million and $947 million, respectively, after taking into account outstanding letters of credit of $54 million and $53 million, respectively. The Company had no borrowings under the Revolving Credit Facility during the six months ended June 27, 2026. During the year ended December 31, 2025, the Company borrowed and repaid $179 million under the Revolving Credit Facility. As a result, there were no amounts outstanding as of June 27, 2026 or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which require, among other provisions, delivery of the unaudited condensed consolidated financial statements to the relevant debt holders. As of June 27, 2026, the Company was in compliance with all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6 - INTEREST EXPENSE, NET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Interest expense, net:</w:t>
      </w:r>
    </w:p>
    <w:p>
      <w:pPr>
        <w:pStyle w:val="TextBody"/>
        <w:bidi w:val="0"/>
        <w:spacing w:before="0" w:after="0"/>
        <w:jc w:val="both"/>
        <w:rPr/>
      </w:pPr>
      <w:r>
        <w:rPr/>
      </w:r>
    </w:p>
    <w:tbl>
      <w:tblPr>
        <w:tblW w:w="7375" w:type="dxa"/>
        <w:jc w:val="left"/>
        <w:tblInd w:w="0" w:type="dxa"/>
        <w:tblLayout w:type="fixed"/>
        <w:tblCellMar>
          <w:top w:w="28" w:type="dxa"/>
          <w:left w:w="28" w:type="dxa"/>
          <w:bottom w:w="28" w:type="dxa"/>
          <w:right w:w="28" w:type="dxa"/>
        </w:tblCellMar>
      </w:tblPr>
      <w:tblGrid>
        <w:gridCol w:w="614"/>
        <w:gridCol w:w="540"/>
        <w:gridCol w:w="541"/>
        <w:gridCol w:w="271"/>
        <w:gridCol w:w="687"/>
        <w:gridCol w:w="151"/>
        <w:gridCol w:w="109"/>
        <w:gridCol w:w="109"/>
        <w:gridCol w:w="109"/>
        <w:gridCol w:w="271"/>
        <w:gridCol w:w="687"/>
        <w:gridCol w:w="151"/>
        <w:gridCol w:w="109"/>
        <w:gridCol w:w="109"/>
        <w:gridCol w:w="109"/>
        <w:gridCol w:w="271"/>
        <w:gridCol w:w="687"/>
        <w:gridCol w:w="151"/>
        <w:gridCol w:w="109"/>
        <w:gridCol w:w="109"/>
        <w:gridCol w:w="109"/>
        <w:gridCol w:w="271"/>
        <w:gridCol w:w="687"/>
        <w:gridCol w:w="151"/>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135" w:type="dxa"/>
            <w:gridSpan w:val="14"/>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 net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TAX RECEIVABLE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the Company entered into a TRA with certain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the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(iii) Medline Inc.’s utilization of certain tax attributes (including any existing tax basis) of certain entities that are taxable as corporations for U.S. federal income tax purposes through which the pre-IPO owners held their interest in Medline Holdings prior to the IPO, which Medline Inc. acquired in connection with the IPO, and (iv) certain other tax benefits related to entering into the TRA, including tax benefits attributable to payments under the TRA.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Sales or exchanges of Common Units by their holders to Medline are expected to result in increases in the tax basis of the assets of Medline Holdings. The existing tax basis, increases in existing tax basis, and the tax basis adjustments generated over time may increase (for tax purpose) depreciation and amortization deductions available to Medline Inc. and, therefore, may reduce the amount of tax that Medline Inc. would otherwise be required to pay in the future. Actual tax benefits realized by Medline Inc. may differ from tax benefits calculated under the TRA as a result of the use of certain assumptions in the TRA, including the use of an assumed weighted-average state and local income tax rate of 6% (as adjusted to take into account the U.S. federal tax benefit of such taxes) to calculate the tax benefits. This payment obligation is an obligation of Medline Inc. and not of Medline Holdings. Changes in the estimate of expected tax benefits Medline would realize and the amount payable under the TRA as a result of changes in tax rates will be reflected in the unaudited Condensed Consolidated Statements of Comprehensive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5250"/>
                <wp:effectExtent l="0" t="0" r="0" b="0"/>
                <wp:wrapNone/>
                <wp:docPr id="22" name="Frame2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 TAX RECEIVABLE AGREEMENT (Continued)</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The balance of the TRA liability was $4,404 million and $3,542 million as of June 27, 2026 and December 31, 2025, respectively. As of June 27, 2026, $12 million was included in Accrued expenses and other current liabilities with the remainder in Tax receivable agreement liability on the unaudited Condensed Consolidated Balance Sheets. The Company’s TRA liability increased by $862 million due to the effects of the May 2026 Resale Offering, the March 2026 Resale Offering, and other exchanges of Incentive Units and Common Units during the six months ended June 27, 2026. The Company did not make any payment pursuant to the TRA or record a remeasurement adjustment during the six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8 -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40.92% and 7.16% for the three months ended June 27, 2026 and June 28, 2025, respectively, and 28.08% and 6.02% for the six months ended June 27, 2026 and June 28, 2025, respectively. The Company’s effective income tax rate can differ from the 21% U.S. federal statutory rate due to a number of factors, including the operating partnership, tax incentives, foreign rate differences, state income taxes, non-deductible expenses, and non-taxable income. The increase in the effective income tax rate as compared to prior year is primarily driven by the Reorganization in connection with the IPO, which resulted in a greater portion of income being subject to U.S. federal and state income taxes. Prior to the completion of the IPO, the Company executed the Reorganization, resulting in Medline Inc. becoming the sole general partner of Medline Holdings, with its sole material asset being a controlling equity interest in Medline Holdings. Following the IPO, Medline Inc. is required to pay U.S. federal and state income taxes as a corporation on its share of Medline Holdings’ taxable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27, 2026, the Company’s effective tax rate differed from the 21% U.S. federal statutory rate primarily due to its organizational structure and ownership composition, including non-controlling interests of Medline Holdings. The effective tax rate is higher due to the impact of the losses incurred as a result of the fire at our distribution center in Tracy, California for which no tax benefit is recorded at this time. The ultimate tax impact may differ as additional losses, costs, insurance recoveries, and other related matters are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28, 2025, the Company’s effective tax rate differed from the </w:t>
      </w:r>
      <w:bookmarkStart w:id="1" w:name="if8c56f11c6814c45aef89fc860310195_1887"/>
      <w:bookmarkEnd w:id="1"/>
      <w:r>
        <w:rPr>
          <w:rFonts w:ascii="Times New Roman;serif" w:hAnsi="Times New Roman;serif"/>
          <w:b w:val="false"/>
          <w:color w:val="000000"/>
          <w:sz w:val="20"/>
        </w:rPr>
        <w:t>21% U.S. federal statutory rate primarily due to the operating partnership, tax incentives, foreign rate differences, state income taxes, non-deductible expenses, and non-taxable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Reorganization and the IPO, the Company also entered into a TRA with certain pre-IPO owners. See Note 7 —Tax Receivable Agreement for additional information. During the six months ended June 27, 2026, the Company recorded additional TRA liability of $862 million and a deferred tax asset of $391 million (net of a $209 million valuation allowance), principally due to the effects of the May 2026 Resale Offering, the March 2026 Resale Offering, and other exchanges of Incentive Units and Common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litigation matters, subject to policy limits, applicable deductibles and insurer solvency. The Company establishes reserves from time to time based upon periodic assessment of the potential outcomes of pending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Starting in January 2019, the Company was named as a defendant in mass tort litigation in Cook County, Illinois involving claims by approximately 380 plaintiffs who alleged personal injuries associated with the Company’s ethylene oxide activities in Lake County, Illinois. In October 2023, the Company agreed to settlement with all but five existing plaintiffs, which was finalized in March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5250"/>
                <wp:effectExtent l="0" t="0" r="0" b="0"/>
                <wp:wrapNone/>
                <wp:docPr id="23" name="Frame2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actively pursuing litigation with its excess insurance carriers related to their obligations to reimburse the Company for substantially all unreimbursed settlement payments and fees incurred in connection with the lawsuits described above. The Company has not recorded a receivable for expected recoveries of the remaining settlement payments and fees from excess insurance carriers as of June 27,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2023, the Company received a letter from the San Joaquin County District Attorney’s Office, in cooperation with certain other California District Attorneys, notifying the Company of an investigation into alleged violations with respect to the Company’s management and disposal of hazardous materials, hazardous waste, universal waste, and medical waste at its California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reached an agreed resolution in this matter, as set forth in a proposed stipulated judgment that was signed by the Company and the District Attorneys on May 29, 2026, and filed with the Superior Court of the State of California for the County of San Joaquin on June 2, 2026, along with a civil complaint setting forth the allegations addressed in the stipulated judgment. The Court approved the stipulated judgment on June 3, 2026. The resolution includes aggregate payments of $900,000, consisting of a civil penalty of $750,000 and reimbursement of certain investigation- and enforcement-related costs of $150,000. The settlement also includes certain injunctive relief, including requirements that the Company conduct waste audits at its California facilities and provide status updates for a specified number of years.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current knowledge and the advice of legal counsel, management believes that the reserve as of June 27, 2026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unaudited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Impacts of Tariff Refunds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Supreme Court ruled that the International Emergency Economic Powers Act (“IEEPA”) does not authorize the President to impose tariffs. Following that decision, U.S. Customs and Border Protection (“CBP”) established an expedited administrative process through its Consolidated Administration and Processing of Entries (“CAPE”) portal to refund IEEPA duties that had already been paid.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27, 2026, CBP had accepted approximately $332 million in total refunds the Company has submitted, and actions to recover the remaining expected amounts are ongoing. The Company evaluates recoveries of IEEPA tariffs in accordance with applicable gain contingency guidance and recognizes such recoveries when they are received or realizable. As of June 27, 2026, of the accepted claims, the Company had received approximately $53 million in refunds. Accordingly, the Company recorded a receivable of approximately $279 million within Other current assets related to the remaining accepted refund claims as of June 27, 2026. As of the date of this Quarterly Report, the Company received refunds for the majority of the receivable balance. Interest associated with refunded IEEPA tariffs is recognized in the period in which it is received or realizable. The Company expects to remit a portion of the tariff refunds to customers. As of June 27, 2026, the Company recorded approximately $89 million within Accrued expenses and other current liabilities for the total amount estimated to be remitted to customers in connection with total tariff refund claims expected.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the Company recognized approximately $332 million as a reduction of Cost of goods sold related to tariff refunds received or accepted, approximately $89 million as a reduction of Net sales related to accrued customer repayments associated with tariff refunds, and approximately $14 million of interest income in Interest expense, net. These amounts were recorded entirely within the Medline Brand segment.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ultimate amount and timing of the IEEPA tariff refunds not yet received are subject to eligibility requirements, regulatory review, administrative processing, and other limitations.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5250"/>
                <wp:effectExtent l="0" t="0" r="0" b="0"/>
                <wp:wrapNone/>
                <wp:docPr id="24" name="Frame2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9 - COMMITMENTS AND CONTINGENCIES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Tracy, California Distribution Center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11, 2026, a fire destroyed the Company's distribution center in Tracy, California. As of June 27, 2026, discussions with the Company’s insurers are ongoing, and as such, no insurance recoveries have been recorded. The Company may incur additional losses and costs in future period associated with the fire and its related impacts. The Company expects to recognize insurance recoveries in future periods as the applicable recognition criteria are met. The timing and amount of any additional losses, costs, or insurance recoveries remain uncertain. See Note 1—Nature of Business and Significant Accounting Policies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Unconditional purchase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Purchases made under the unconditional purchase obligations were $52 million, $44 million, $94 million and $93 million for the three and six months ended June 27, 2026, and June 28,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27, 2026, future obligations related to commitments for the remainder of fiscal year 2026 and over the next four years and thereafter are as follows:</w:t>
      </w:r>
    </w:p>
    <w:p>
      <w:pPr>
        <w:pStyle w:val="TextBody"/>
        <w:bidi w:val="0"/>
        <w:spacing w:before="0" w:after="0"/>
        <w:jc w:val="both"/>
        <w:rPr/>
      </w:pPr>
      <w:r>
        <w:rPr/>
      </w:r>
    </w:p>
    <w:tbl>
      <w:tblPr>
        <w:tblW w:w="1760" w:type="dxa"/>
        <w:jc w:val="left"/>
        <w:tblInd w:w="0" w:type="dxa"/>
        <w:tblLayout w:type="fixed"/>
        <w:tblCellMar>
          <w:top w:w="28" w:type="dxa"/>
          <w:left w:w="28" w:type="dxa"/>
          <w:bottom w:w="28" w:type="dxa"/>
          <w:right w:w="28" w:type="dxa"/>
        </w:tblCellMar>
      </w:tblPr>
      <w:tblGrid>
        <w:gridCol w:w="358"/>
        <w:gridCol w:w="315"/>
        <w:gridCol w:w="316"/>
        <w:gridCol w:w="196"/>
        <w:gridCol w:w="421"/>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descriptions of the valuation methods and assumptions used by the Company to estimate the fair values of investments apply to all investments held directly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95250"/>
                <wp:effectExtent l="0" t="0" r="0" b="0"/>
                <wp:wrapNone/>
                <wp:docPr id="25" name="Frame2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 FAIR VALUE MEASUREMENTS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incorporates credit valuation adjustments to appropriately reflect both the Company’s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June 27, 2026 and December 31, 2025 were classified as Level 2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11—Derivatives and Hedging Activities Risk Management for additional information regarding interest rate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Acquisition-Related Contingent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payments related to acquisition-related contingent consideration that required fair value measurement every reporting period. The fair value of the contingent payments was reported as the present value of the expected amount to settle the obligation using discounted cash flow techniques which included significant assumptions. The significant unobservable inputs used in the determination of the fair value of the contingent consideration are classified as Level 3, which is unchanged from the classification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Short-Term Investments in Time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invests a portion of its excess cash in time deposits. The deposits with original maturities of longer than 90 days are not considered a cash equivalent and are reported at fair value within Short-term investments in the unaudited Condensed Consolidated Balance Sheets. As of June 27, 2026 the aggregate fair value of these deposits was $350 million. As of December 31, 2025, the Company held time deposits, none of which had original maturities exceeding 90 days. The fair value of these deposits is determined by discounted cash flow techniques that reflect the contractual cash flows through maturity and observable market-based discount rate obtained from a third-party pricing service for matching credit quality and terms. As a result, these time deposits were classified as Level 2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summarized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7"/>
        <w:gridCol w:w="610"/>
        <w:gridCol w:w="594"/>
        <w:gridCol w:w="737"/>
        <w:gridCol w:w="1528"/>
        <w:gridCol w:w="410"/>
        <w:gridCol w:w="109"/>
        <w:gridCol w:w="109"/>
        <w:gridCol w:w="109"/>
        <w:gridCol w:w="376"/>
        <w:gridCol w:w="808"/>
        <w:gridCol w:w="209"/>
        <w:gridCol w:w="109"/>
        <w:gridCol w:w="109"/>
        <w:gridCol w:w="109"/>
        <w:gridCol w:w="581"/>
        <w:gridCol w:w="1207"/>
        <w:gridCol w:w="325"/>
        <w:gridCol w:w="109"/>
        <w:gridCol w:w="109"/>
        <w:gridCol w:w="109"/>
        <w:gridCol w:w="254"/>
        <w:gridCol w:w="549"/>
        <w:gridCol w:w="209"/>
      </w:tblGrid>
      <w:tr>
        <w:trPr/>
        <w:tc>
          <w:tcPr>
            <w:tcW w:w="82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rPr/>
        <w:tc>
          <w:tcPr>
            <w:tcW w:w="20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 (time deposits)</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6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2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5250"/>
                <wp:effectExtent l="0" t="0" r="0" b="0"/>
                <wp:wrapNone/>
                <wp:docPr id="26" name="Frame2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25</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 FAIR VALUE MEASUREMENTS (Continued)</w:t>
      </w:r>
    </w:p>
    <w:tbl>
      <w:tblPr>
        <w:tblW w:w="10205" w:type="dxa"/>
        <w:jc w:val="left"/>
        <w:tblInd w:w="0" w:type="dxa"/>
        <w:tblLayout w:type="fixed"/>
        <w:tblCellMar>
          <w:top w:w="28" w:type="dxa"/>
          <w:left w:w="28" w:type="dxa"/>
          <w:bottom w:w="28" w:type="dxa"/>
          <w:right w:w="28" w:type="dxa"/>
        </w:tblCellMar>
      </w:tblPr>
      <w:tblGrid>
        <w:gridCol w:w="763"/>
        <w:gridCol w:w="548"/>
        <w:gridCol w:w="539"/>
        <w:gridCol w:w="763"/>
        <w:gridCol w:w="1581"/>
        <w:gridCol w:w="424"/>
        <w:gridCol w:w="109"/>
        <w:gridCol w:w="109"/>
        <w:gridCol w:w="109"/>
        <w:gridCol w:w="390"/>
        <w:gridCol w:w="810"/>
        <w:gridCol w:w="218"/>
        <w:gridCol w:w="109"/>
        <w:gridCol w:w="109"/>
        <w:gridCol w:w="109"/>
        <w:gridCol w:w="595"/>
        <w:gridCol w:w="1236"/>
        <w:gridCol w:w="333"/>
        <w:gridCol w:w="109"/>
        <w:gridCol w:w="109"/>
        <w:gridCol w:w="109"/>
        <w:gridCol w:w="280"/>
        <w:gridCol w:w="513"/>
        <w:gridCol w:w="231"/>
      </w:tblGrid>
      <w:tr>
        <w:trPr/>
        <w:tc>
          <w:tcPr>
            <w:tcW w:w="7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Basis of fair value measurement</w:t>
            </w:r>
          </w:p>
        </w:tc>
      </w:tr>
      <w:tr>
        <w:trPr/>
        <w:tc>
          <w:tcPr>
            <w:tcW w:w="1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Other observable inputs </w:t>
              <w:br/>
              <w:t>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assets</w:t>
            </w:r>
          </w:p>
        </w:tc>
        <w:tc>
          <w:tcPr>
            <w:tcW w:w="2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 (hedge)</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at fair value</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Financial liabilities</w:t>
            </w:r>
          </w:p>
        </w:tc>
        <w:tc>
          <w:tcPr>
            <w:tcW w:w="27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at fair value</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unaudited Condensed Consolidated Balance Sheets and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Cash Flow Hedges of Interest Rate Risk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the six months ended June 27, 2026 and June 28, 2025, such derivatives were used to hedge the variable cash flows associated with existing variable-rate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reported in Accumulated other comprehensive (loss) income (“AOCI”) related to derivatives will be reclassified to Interest expense, net, as interest payments are made on the Company’s variable-rate debt. The Company estimates that $22 million will be reclassified as a decrease to interest expense within one year after June 27,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95250"/>
                <wp:effectExtent l="0" t="0" r="0" b="0"/>
                <wp:wrapNone/>
                <wp:docPr id="27" name="Frame2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outstanding interest rate derivatives are summarized as follows: </w:t>
      </w:r>
    </w:p>
    <w:p>
      <w:pPr>
        <w:pStyle w:val="TextBody"/>
        <w:bidi w:val="0"/>
        <w:spacing w:before="0" w:after="0"/>
        <w:jc w:val="both"/>
        <w:rPr/>
      </w:pPr>
      <w:r>
        <w:rPr/>
      </w:r>
    </w:p>
    <w:tbl>
      <w:tblPr>
        <w:tblW w:w="10017" w:type="dxa"/>
        <w:jc w:val="left"/>
        <w:tblInd w:w="0" w:type="dxa"/>
        <w:tblLayout w:type="fixed"/>
        <w:tblCellMar>
          <w:top w:w="28" w:type="dxa"/>
          <w:left w:w="28" w:type="dxa"/>
          <w:bottom w:w="28" w:type="dxa"/>
          <w:right w:w="28" w:type="dxa"/>
        </w:tblCellMar>
      </w:tblPr>
      <w:tblGrid>
        <w:gridCol w:w="1091"/>
        <w:gridCol w:w="961"/>
        <w:gridCol w:w="963"/>
        <w:gridCol w:w="255"/>
        <w:gridCol w:w="255"/>
        <w:gridCol w:w="256"/>
        <w:gridCol w:w="109"/>
        <w:gridCol w:w="109"/>
        <w:gridCol w:w="109"/>
        <w:gridCol w:w="429"/>
        <w:gridCol w:w="429"/>
        <w:gridCol w:w="431"/>
        <w:gridCol w:w="123"/>
        <w:gridCol w:w="123"/>
        <w:gridCol w:w="123"/>
        <w:gridCol w:w="349"/>
        <w:gridCol w:w="349"/>
        <w:gridCol w:w="351"/>
        <w:gridCol w:w="109"/>
        <w:gridCol w:w="109"/>
        <w:gridCol w:w="109"/>
        <w:gridCol w:w="429"/>
        <w:gridCol w:w="429"/>
        <w:gridCol w:w="431"/>
        <w:gridCol w:w="164"/>
        <w:gridCol w:w="164"/>
        <w:gridCol w:w="164"/>
        <w:gridCol w:w="320"/>
        <w:gridCol w:w="320"/>
        <w:gridCol w:w="454"/>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Notional amount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Designated cash flow hedges: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Undesignated derivative instruments: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Dec'2026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caps with notional value of $1,000 million in 2023, which took effect on December 31, 2025 and mature on December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contractual terms, the notional amounts of interest rate swaps and interest rate caps each decreased in increments of $500 million on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the financing activities in May 2026, the Company de-designated an interest rate cap contract with a notional value of $500 million and maturity date of December 31, 2026. See Note 5—Credit Agreements and Borrowings for additional information regarding financing activities in May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Gains and Losses on Hedging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cash flow hedge accounting on AOCI for each reporting period: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7"/>
        <w:gridCol w:w="580"/>
        <w:gridCol w:w="581"/>
        <w:gridCol w:w="547"/>
        <w:gridCol w:w="547"/>
        <w:gridCol w:w="548"/>
        <w:gridCol w:w="109"/>
        <w:gridCol w:w="109"/>
        <w:gridCol w:w="109"/>
        <w:gridCol w:w="312"/>
        <w:gridCol w:w="312"/>
        <w:gridCol w:w="313"/>
        <w:gridCol w:w="109"/>
        <w:gridCol w:w="109"/>
        <w:gridCol w:w="109"/>
        <w:gridCol w:w="255"/>
        <w:gridCol w:w="376"/>
        <w:gridCol w:w="142"/>
        <w:gridCol w:w="109"/>
        <w:gridCol w:w="109"/>
        <w:gridCol w:w="109"/>
        <w:gridCol w:w="238"/>
        <w:gridCol w:w="457"/>
        <w:gridCol w:w="132"/>
        <w:gridCol w:w="109"/>
        <w:gridCol w:w="109"/>
        <w:gridCol w:w="109"/>
        <w:gridCol w:w="109"/>
        <w:gridCol w:w="129"/>
        <w:gridCol w:w="129"/>
        <w:gridCol w:w="238"/>
        <w:gridCol w:w="457"/>
        <w:gridCol w:w="132"/>
        <w:gridCol w:w="109"/>
        <w:gridCol w:w="109"/>
        <w:gridCol w:w="109"/>
        <w:gridCol w:w="238"/>
        <w:gridCol w:w="494"/>
        <w:gridCol w:w="132"/>
        <w:gridCol w:w="109"/>
        <w:gridCol w:w="109"/>
        <w:gridCol w:w="109"/>
        <w:gridCol w:w="168"/>
      </w:tblGrid>
      <w:tr>
        <w:trPr/>
        <w:tc>
          <w:tcPr>
            <w:tcW w:w="6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1686" w:type="dxa"/>
            <w:gridSpan w:val="10"/>
            <w:tcBorders/>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(loss) recognized in AOCI </w:t>
            </w:r>
          </w:p>
        </w:tc>
        <w:tc>
          <w:tcPr>
            <w:tcW w:w="1642"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4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reclassified from AOCI into earnings</w:t>
            </w:r>
          </w:p>
        </w:tc>
        <w:tc>
          <w:tcPr>
            <w:tcW w:w="1642"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4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from effectiveness testing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44"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gain (loss) reclassed from AOCI into earnings on designated derivatives is recorded to Interest expense, net in unaudited Condensed Consolidated Statements of Comprehensive Income. The gains and losses on the undesignated derivatives were immaterial for the three and six months ended June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derivatives designated as hedges are classified in the same line item as the cash flows of the hedged transaction within operating activities. Cash flows from undesignated derivatives are classified within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5250"/>
                <wp:effectExtent l="0" t="0" r="0" b="0"/>
                <wp:wrapNone/>
                <wp:docPr id="28" name="Frame2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DERIVATIVES AND HEDGING ACTIVITIES RISK MANAGEMENT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both the designated and undesignated interest rate derivatives at fair value in the unaudited Condensed Consolidated Balance Sheets. The respective assets and liabilities are generally classified as short-term or long-term based on the maturity dates of the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classification and fair value of the designated derivatives for each reporting period:</w:t>
      </w:r>
    </w:p>
    <w:p>
      <w:pPr>
        <w:pStyle w:val="TextBody"/>
        <w:bidi w:val="0"/>
        <w:spacing w:before="0" w:after="0"/>
        <w:jc w:val="both"/>
        <w:rPr/>
      </w:pPr>
      <w:r>
        <w:rPr/>
      </w:r>
    </w:p>
    <w:tbl>
      <w:tblPr>
        <w:tblW w:w="7878"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504"/>
        <w:gridCol w:w="504"/>
        <w:gridCol w:w="506"/>
        <w:gridCol w:w="109"/>
        <w:gridCol w:w="109"/>
        <w:gridCol w:w="109"/>
        <w:gridCol w:w="342"/>
        <w:gridCol w:w="578"/>
        <w:gridCol w:w="190"/>
        <w:gridCol w:w="109"/>
        <w:gridCol w:w="109"/>
        <w:gridCol w:w="109"/>
        <w:gridCol w:w="443"/>
        <w:gridCol w:w="750"/>
        <w:gridCol w:w="35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designated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undesignated derivatives was immaterial and was recorded in other current assets as of June 27, 2026. There were no undesignated derivatives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completed its IPO and executed the Reorganization that impacted its capital structure. See Note 1—Nature of Business and Significant Accounting Policies for additional information regarding the IPO and Reorganization.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Structure Prior to IPO and Reorganization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Partners’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Reorganization and the IPO, Medline Holdings had three classes of authorized units: Class A Units, Class B CUPI Units, and Class B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Voting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all three classes of units were limited partners and did not have voting rights (although certain limited partners had certain consent rights as set forth in the Medline Holdings GP, LLC’s Limited Liability Agreement (the “GP LLC Agreement”)). Medline Holdings GP, LLC was the general partner of Medline Holdings. Medline Holdings GP, LLC did not hold any units, and it was authorized to take any action and cause Medline Holdings to take any action, subject to the terms of LP Agreement and the GP LLC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Distributions and liquidations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both distributions (other than tax distributions) and liquidations, the Class A unit holders would receive 100% of the distributions until the Class A unit holders had received cumulative distributions equal to $1.00 per Class A unit.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except for Operating Distributions (as defined in the LP Agreement), 100% of the remainder of the distributions following the distributions to the Class A Unit holders would be distributed to the holders of Class B CUPI Units until the holders of Class B CUPI Units received cumulative distributions equal to the catch-up amount for such units ($1.00 per Class B CUPI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Third, the remainder of the distributions would be distributed on a pro rata basis (based on the number of units held and subject to vesting and, with respect to Class B units, deemed unit prices) to the Class A Unit holders, the holders of Class B CUPI units, and the Class B Unit holders, subject to the LP Agreement. Net income and net loss of Medline Holdings was allocated in a manner similar to the foregoing distributions pursuant to the GP LLC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95250"/>
                <wp:effectExtent l="0" t="0" r="0" b="0"/>
                <wp:wrapNone/>
                <wp:docPr id="29" name="Frame2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28</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rights and privileges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remaining rights and privileges of the holders of all three classes of units were identical.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 Mezzanine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units held by members of management (the “Class A Mezzanine Units”) included a put right that permitted the holders to redeem 50% of their Class A units under conditions outside of the control of the Company. For the periods that management determined it was probable that the Class A Mezzanine Units would become redeemable, the Company had elected to carry the shares at the maximum redemption value, or fair value, in Mezzanine equity on the unaudited Condensed Consolidated Balance Sheets. During the fourth quarter of 2024, management determined that the redemption was no longer probable, and, therefore, no changes in redemption value were recorded, prospectively. The redemption rights terminated upon the IPO, and Class A Mezzanine Units were reclassed to permanent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 Mezzanine Equity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CUPI Units and Class B Units also included a put right that permitted holders to redeem 20% of matured Class B Units and 50% of Class B CUPI Units under conditions outside of the control of the Company. During the periods when redemption was probable, redeemable units were carried at redemption value, or current intrinsic value, in Mezzanine equity on the unaudited Condensed Consolidated Balance Sheets. During the fourth quarter of 2024, management determined that the redemption was no longer probable and, therefore, no changes in redemption value were recorded, prospectively. The redemption rights terminated upon the IPO, and the redeemable units were reclassed to permanent equity.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Equity Structure After 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three classes of ownership interests: 50,000,000,000 shares of Class A common stock, par value $0.0001 per share, 50,000,000,000 shares of Class B common stock, par value $0.0001 per share, and 5,000,000,000 shares of Preferred stock, par value $0.0001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A common stock have both voting and economic rights. Holders of Class A common stock are entitled to one vote for each share of Class A common stock held. Shares of Class A common stock are entitled to dividends and pro rata distribution of remaining available assets upon liquidation. Shares of Class A common stock do not have preemptive, subscription, redemption or conversion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have voting but no economic rights. Holders of Class B common stock are entitled to one vote for each share of Class B common stock held. Shares of Class B common stock do not have any right to receive dividends or distribution upon liquidation.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of Class B common stock, together with the transfer of an identical number of Common Units, are convertible at the option of the holder into shares of Class A common stock on a one-for-one basis, subject to customary conversion rate adjustments for stock splits, stock dividends and reclassifications. Upon conversion, the shares of Class B common stock will be automatically canceled and no longer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without the approval of its stockholders, one or more series of preferred stock. The Board may determine, with respect to any series of preferred stock, the powers, including voting powers, preferences and relative, participating, optional or other special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5250"/>
                <wp:effectExtent l="0" t="0" r="0" b="0"/>
                <wp:wrapNone/>
                <wp:docPr id="30" name="Frame3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29</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represent Common Units and vested Incentive Units held by pre-IPO owners. These Common Units are not attributable to the controlling Class A common stock ownership of Medline Inc. The noncontrolling interests were accounted for as permanent equity on the unaudited Condensed Consolidated Balance Sheets. Net income is reduced by the portion of net income attributable to noncontrolling interests. The conversions into Class A common stock of Class B common stock and Common Units are considered equity transactions and will result in a change in ownership and reduce the amount recorded as Noncontrolling interests and increase Additional paid-in capital in the Company’s unaudited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AOCI, net of tax: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6"/>
        <w:gridCol w:w="790"/>
        <w:gridCol w:w="717"/>
        <w:gridCol w:w="585"/>
        <w:gridCol w:w="989"/>
        <w:gridCol w:w="327"/>
        <w:gridCol w:w="109"/>
        <w:gridCol w:w="109"/>
        <w:gridCol w:w="109"/>
        <w:gridCol w:w="465"/>
        <w:gridCol w:w="822"/>
        <w:gridCol w:w="261"/>
        <w:gridCol w:w="109"/>
        <w:gridCol w:w="109"/>
        <w:gridCol w:w="109"/>
        <w:gridCol w:w="357"/>
        <w:gridCol w:w="466"/>
        <w:gridCol w:w="199"/>
        <w:gridCol w:w="109"/>
        <w:gridCol w:w="109"/>
        <w:gridCol w:w="109"/>
        <w:gridCol w:w="615"/>
        <w:gridCol w:w="1040"/>
        <w:gridCol w:w="495"/>
      </w:tblGrid>
      <w:tr>
        <w:trPr/>
        <w:tc>
          <w:tcPr>
            <w:tcW w:w="10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27, 2026</w:t>
            </w:r>
          </w:p>
        </w:tc>
      </w:tr>
      <w:tr>
        <w:trPr/>
        <w:tc>
          <w:tcPr>
            <w:tcW w:w="26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2026</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w:t>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comprehensive loss attributable to noncontrolling interests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28, 2026</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loss</w:t>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comprehensive loss attributable to noncontrolling interests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27, 2026</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5250"/>
                <wp:effectExtent l="0" t="0" r="0" b="0"/>
                <wp:wrapNone/>
                <wp:docPr id="31" name="Frame3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30</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12 - STOCKHOLDERS’ EQUITY, MEZZANINE EQUITY AND PARTNERS’ CAPITAL (Continued)</w:t>
      </w:r>
    </w:p>
    <w:tbl>
      <w:tblPr>
        <w:tblW w:w="10205" w:type="dxa"/>
        <w:jc w:val="left"/>
        <w:tblInd w:w="0" w:type="dxa"/>
        <w:tblLayout w:type="fixed"/>
        <w:tblCellMar>
          <w:top w:w="28" w:type="dxa"/>
          <w:left w:w="28" w:type="dxa"/>
          <w:bottom w:w="28" w:type="dxa"/>
          <w:right w:w="28" w:type="dxa"/>
        </w:tblCellMar>
      </w:tblPr>
      <w:tblGrid>
        <w:gridCol w:w="1019"/>
        <w:gridCol w:w="729"/>
        <w:gridCol w:w="659"/>
        <w:gridCol w:w="532"/>
        <w:gridCol w:w="1145"/>
        <w:gridCol w:w="298"/>
        <w:gridCol w:w="109"/>
        <w:gridCol w:w="109"/>
        <w:gridCol w:w="109"/>
        <w:gridCol w:w="420"/>
        <w:gridCol w:w="935"/>
        <w:gridCol w:w="235"/>
        <w:gridCol w:w="109"/>
        <w:gridCol w:w="109"/>
        <w:gridCol w:w="109"/>
        <w:gridCol w:w="370"/>
        <w:gridCol w:w="456"/>
        <w:gridCol w:w="208"/>
        <w:gridCol w:w="109"/>
        <w:gridCol w:w="109"/>
        <w:gridCol w:w="109"/>
        <w:gridCol w:w="635"/>
        <w:gridCol w:w="1073"/>
        <w:gridCol w:w="510"/>
      </w:tblGrid>
      <w:tr>
        <w:trPr/>
        <w:tc>
          <w:tcPr>
            <w:tcW w:w="10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28, 2025</w:t>
            </w:r>
          </w:p>
        </w:tc>
      </w:tr>
      <w:tr>
        <w:trPr/>
        <w:tc>
          <w:tcPr>
            <w:tcW w:w="2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Retirement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2025</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 (loss)</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29, 2025</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to earnings</w:t>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 (loss)</w:t>
            </w:r>
          </w:p>
        </w:tc>
        <w:tc>
          <w:tcPr>
            <w:tcW w:w="1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28, 2025</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11—Derivatives and Hedging Activities Risk Management for additional information regarding hedging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 a component of Selling, general and administrative expenses and Cost of goods sold in the unaudited Condensed Consolidated Statements of Comprehensive Income. The following table presents the stock-based compensation expense for the three and six months ended June 27, 2026 and June 28, 2025:</w:t>
      </w:r>
    </w:p>
    <w:tbl>
      <w:tblPr>
        <w:tblW w:w="7444" w:type="dxa"/>
        <w:jc w:val="center"/>
        <w:tblInd w:w="0" w:type="dxa"/>
        <w:tblLayout w:type="fixed"/>
        <w:tblCellMar>
          <w:top w:w="28" w:type="dxa"/>
          <w:left w:w="28" w:type="dxa"/>
          <w:bottom w:w="28" w:type="dxa"/>
          <w:right w:w="28" w:type="dxa"/>
        </w:tblCellMar>
      </w:tblPr>
      <w:tblGrid>
        <w:gridCol w:w="715"/>
        <w:gridCol w:w="629"/>
        <w:gridCol w:w="635"/>
        <w:gridCol w:w="341"/>
        <w:gridCol w:w="579"/>
        <w:gridCol w:w="190"/>
        <w:gridCol w:w="109"/>
        <w:gridCol w:w="109"/>
        <w:gridCol w:w="109"/>
        <w:gridCol w:w="341"/>
        <w:gridCol w:w="579"/>
        <w:gridCol w:w="190"/>
        <w:gridCol w:w="109"/>
        <w:gridCol w:w="109"/>
        <w:gridCol w:w="109"/>
        <w:gridCol w:w="342"/>
        <w:gridCol w:w="578"/>
        <w:gridCol w:w="190"/>
        <w:gridCol w:w="109"/>
        <w:gridCol w:w="109"/>
        <w:gridCol w:w="109"/>
        <w:gridCol w:w="332"/>
        <w:gridCol w:w="561"/>
        <w:gridCol w:w="26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5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Classification</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awards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Liability-classified awards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1" w:type="dxa"/>
            <w:gridSpan w:val="9"/>
            <w:tcBorders/>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1"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Equity-classified awards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Prior to 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Holdings had two classes of incentive units, Class B units and Class B CUPIs (“Holdings Incentive Units”) that were granted to certain employees and vested upon satisfaction of one or multiple market, performance, and/or service conditions of each award. In accordance with ASC 718, “Compensation - Stock Compensation” (“ASC 718”), all incentive units officially granted represent ownership interests and are classified as equity.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All of the Holdings Incentive Units included a put right that permitted the holders to redeem certain units under conditions outside of the control of the Company. The redemption rights terminated upon the IPO, and the redeemable units were reclassed to permanent equity. See Note 12—Stockholders’ Equity, Mezzanine Equity and Partners’ Capital</w:t>
      </w:r>
      <w:r>
        <w:rPr>
          <w:color w:val="000000"/>
        </w:rPr>
        <w:t xml:space="preserve"> </w:t>
      </w:r>
      <w:r>
        <w:rPr>
          <w:rFonts w:ascii="Times New Roman;serif" w:hAnsi="Times New Roman;serif"/>
          <w:b w:val="false"/>
          <w:color w:val="000000"/>
          <w:sz w:val="20"/>
        </w:rPr>
        <w:t>for additional information regarding mezzanine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B CUPIs vested prior to 2025. The Class B units were subject to a five-year vesting period, with 20% of units vesting on each of the five anniversaries of the grant date. Total fair value of Class B units vested was $6 million and $13 million during the three and six months ended June 28,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5250"/>
                <wp:effectExtent l="0" t="0" r="0" b="0"/>
                <wp:wrapNone/>
                <wp:docPr id="32" name="Frame3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31</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Post-IPO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 of Holdings Incentive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and Reorganization, the Holdings Incentive Unit awards issued prior to the IPO were reclassified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Continuing Unitholders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time-vesting and performance-vesting Class B units held by certain pre-IPO holders of Class B units (the “Continuing Unitholders”) were reclassified into vested Incentive Units, in the case of vested Class B units, and unvested Incentive Units, in the case of unvested Class B units, in Medline Holdings. These Incentive Units retain the vesting attributes of the Class B units reclassified, including original service period vesting start date. The Class B CUPIs were reclassified to vested Common Units in Medline Holdings. The fair value of Incentive Units was the same immediately prior to and after the 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Incentive Units vested was $7 million and $11 million for the three and six months ended June 27, 2026, respectively. As of June 27, 2026, there was $30 million of unrecognized compensation cost related to unvested Incentive Units, which is expected to be recognized on a graded or straight-line basis over a weighted-average period of 1.0 year. The following table summarizes the Incentive Units activity and related information for the six months ended June 27, 2026:</w:t>
      </w:r>
    </w:p>
    <w:p>
      <w:pPr>
        <w:pStyle w:val="TextBody"/>
        <w:bidi w:val="0"/>
        <w:spacing w:before="0" w:after="0"/>
        <w:jc w:val="both"/>
        <w:rPr/>
      </w:pPr>
      <w:r>
        <w:rPr/>
      </w:r>
    </w:p>
    <w:tbl>
      <w:tblPr>
        <w:tblW w:w="6827" w:type="dxa"/>
        <w:jc w:val="left"/>
        <w:tblInd w:w="0" w:type="dxa"/>
        <w:tblLayout w:type="fixed"/>
        <w:tblCellMar>
          <w:top w:w="28" w:type="dxa"/>
          <w:left w:w="28" w:type="dxa"/>
          <w:bottom w:w="28" w:type="dxa"/>
          <w:right w:w="28" w:type="dxa"/>
        </w:tblCellMar>
      </w:tblPr>
      <w:tblGrid>
        <w:gridCol w:w="949"/>
        <w:gridCol w:w="836"/>
        <w:gridCol w:w="839"/>
        <w:gridCol w:w="480"/>
        <w:gridCol w:w="481"/>
        <w:gridCol w:w="396"/>
        <w:gridCol w:w="109"/>
        <w:gridCol w:w="109"/>
        <w:gridCol w:w="109"/>
        <w:gridCol w:w="605"/>
        <w:gridCol w:w="1439"/>
        <w:gridCol w:w="475"/>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Incentive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14,538,818 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(1,765,408)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June 27,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12,773,410 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Exchanges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there were two exchanges by Continuing Unitholders: (i) 1,163,309 Incentive Units in Medline Holdings for 673,281 shares of Class B common stock and an equal number of Common Units in Medline Holdings; (ii) 1,893,419 shares of Class B common stock and an equal number of Common Units in Medline Holdings for 1,893,419 shares of Class A common stock. No proceeds were received from these exchanges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Exchanging Unitholders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Holdings Incentive Units and Class A units held by participants other than Continuing Unitholders (the “Exchanging Unitholders”) were exchanged for vested Class A common stock and RSUs, in the case of Class A units and Class B CUPIs, and vested Class A common stock, RSUs, RSAs, and options, in the case of Class B units, in the Company. The RSAs, RSUs, and options will vest according to the same vesting schedule as the corresponding Class B units, in respect of which they are being granted, except that no awards will vest until the later of the date that is 180 days following the IPO and the existing vesting date of the underlying Class B units. This modification resulted in the re-measurement of the awards in accordance with ASC 718. Total compensation cost for the modified awards equaled the grant date fair value of the pre-IPO awards, plus any incremental compensation cost measured at the modification date (i.e. the IPO date). The change in fair value of these awards prior to and after the reclassification was not material. The modification impacted 68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5250"/>
                <wp:effectExtent l="0" t="0" r="0" b="0"/>
                <wp:wrapNone/>
                <wp:docPr id="33" name="Frame3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RSAs vested was $11 million and $12 million for the three and six months ended June 27, 2026, respectively. As of June 27, 2026, there was $8 million of unrecognized compensation cost related to unvested RSAs, which is expected to be recognized on a graded or straight-line basis over a weighted-average period of 1.3 years. The following table summarizes the RSAs activity and related information for the six months ended June 27, 2026:</w:t>
      </w:r>
    </w:p>
    <w:p>
      <w:pPr>
        <w:pStyle w:val="TextBody"/>
        <w:bidi w:val="0"/>
        <w:spacing w:before="0" w:after="0"/>
        <w:jc w:val="both"/>
        <w:rPr/>
      </w:pPr>
      <w:r>
        <w:rPr/>
      </w:r>
    </w:p>
    <w:tbl>
      <w:tblPr>
        <w:tblW w:w="6523" w:type="dxa"/>
        <w:jc w:val="left"/>
        <w:tblInd w:w="0" w:type="dxa"/>
        <w:tblLayout w:type="fixed"/>
        <w:tblCellMar>
          <w:top w:w="28" w:type="dxa"/>
          <w:left w:w="28" w:type="dxa"/>
          <w:bottom w:w="28" w:type="dxa"/>
          <w:right w:w="28" w:type="dxa"/>
        </w:tblCellMar>
      </w:tblPr>
      <w:tblGrid>
        <w:gridCol w:w="949"/>
        <w:gridCol w:w="836"/>
        <w:gridCol w:w="839"/>
        <w:gridCol w:w="435"/>
        <w:gridCol w:w="436"/>
        <w:gridCol w:w="181"/>
        <w:gridCol w:w="109"/>
        <w:gridCol w:w="109"/>
        <w:gridCol w:w="109"/>
        <w:gridCol w:w="545"/>
        <w:gridCol w:w="1547"/>
        <w:gridCol w:w="428"/>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1,958,657 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(412,133)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June 27,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1,517,198 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RSUs and Performance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RSUs and Performance Stock Units (“PSUs”) were granted to certain employees and board of directors. The grant date fair value of RSUs and PSUs is based on the fair market value of the Company’s underlying common stock at the grant date. The RSUs vest over one to five years contingent upon employment on the vesting date. The PSUs generally vest over four years contingent upon achievement of certain performance conditions and employment on the vesting date. The RSU expense is recognized using a graded vesting method or straight-line method. The PSU expense is recognized using a graded vesting method. The probability of achieving the PSU performance conditions is assessed each reporting period for expense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fair value of RSUs vested was $15 million for both the three and six months ended June 27, 2026. As of June 27, 2026, there was $55 million of unrecognized compensation cost related to unvested RSUs, which is expected to be recognized over a weighted-average period of 1.8 years, and there was $44 million of unrecognized compensation cost related to unvested PSUs, which is expected to be recognized over a weighted-average period of 1.3 years. The following table summarizes the RSUs and PSUs activity and related information for the six months ended June 27,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85"/>
        <w:gridCol w:w="780"/>
        <w:gridCol w:w="782"/>
        <w:gridCol w:w="435"/>
        <w:gridCol w:w="436"/>
        <w:gridCol w:w="181"/>
        <w:gridCol w:w="109"/>
        <w:gridCol w:w="109"/>
        <w:gridCol w:w="109"/>
        <w:gridCol w:w="526"/>
        <w:gridCol w:w="1495"/>
        <w:gridCol w:w="292"/>
        <w:gridCol w:w="109"/>
        <w:gridCol w:w="109"/>
        <w:gridCol w:w="109"/>
        <w:gridCol w:w="435"/>
        <w:gridCol w:w="436"/>
        <w:gridCol w:w="176"/>
        <w:gridCol w:w="109"/>
        <w:gridCol w:w="109"/>
        <w:gridCol w:w="109"/>
        <w:gridCol w:w="510"/>
        <w:gridCol w:w="1449"/>
        <w:gridCol w:w="406"/>
      </w:tblGrid>
      <w:tr>
        <w:trPr/>
        <w:tc>
          <w:tcPr>
            <w:tcW w:w="88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523,795 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1,651,688 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(439,903)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as of June 27, 2026</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1,699,327 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5250"/>
                <wp:effectExtent l="0" t="0" r="0" b="0"/>
                <wp:wrapNone/>
                <wp:docPr id="34" name="Frame3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33</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 STOCK-BASED COMPENSATION (Continued)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 issued entitle the holder to future purchases of Class A common stock and are exercisable up to the tenth anniversary of the grant date. The total intrinsic value of options exercised was not material for both the three and six months ended June 27, 2026. As of June 27, 2026, there was $14 million of unrecognized compensation cost related to options, which is expected to be recognized on a graded or straight-line basis over a weighted-average period of 1.4 years. The following table summarizes option activity and related information for the six months ended June 27,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0"/>
        <w:gridCol w:w="571"/>
        <w:gridCol w:w="574"/>
        <w:gridCol w:w="435"/>
        <w:gridCol w:w="436"/>
        <w:gridCol w:w="226"/>
        <w:gridCol w:w="109"/>
        <w:gridCol w:w="109"/>
        <w:gridCol w:w="109"/>
        <w:gridCol w:w="357"/>
        <w:gridCol w:w="1015"/>
        <w:gridCol w:w="198"/>
        <w:gridCol w:w="109"/>
        <w:gridCol w:w="109"/>
        <w:gridCol w:w="109"/>
        <w:gridCol w:w="300"/>
        <w:gridCol w:w="853"/>
        <w:gridCol w:w="167"/>
        <w:gridCol w:w="109"/>
        <w:gridCol w:w="109"/>
        <w:gridCol w:w="109"/>
        <w:gridCol w:w="580"/>
        <w:gridCol w:w="580"/>
        <w:gridCol w:w="581"/>
        <w:gridCol w:w="109"/>
        <w:gridCol w:w="109"/>
        <w:gridCol w:w="109"/>
        <w:gridCol w:w="393"/>
        <w:gridCol w:w="664"/>
        <w:gridCol w:w="317"/>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Wtd. Avg.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Aggregate Intrinsic Value</w:t>
              <w:br/>
              <w:t>(in millions)</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6,770,442 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(27,586)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June 27,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6,586,404 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as of June 27, 2026</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3,032,916 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June 27, 2026</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3,553,488 </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cumulative difference between the closing price of Class A common stock on June 27, 2026 and the option exercise prices.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Liability-classified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Liability-classified awards are presented in Other long-term liabilities on the unaudited Condensed Consolidated Balance Sheets. The Company reevaluates the fair value of liability-classified awards periodically until they are reclassified as equity when granted, with the fair value change recorded ratably in the current-period compensation expense. For the six months ended June 27, 2026 and June 28, 2025, the Company reclassified liabilities of $11 million and $10 million, respectively, to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Prior to Reorganization and IPO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2025 and March 2024, Medline Holdings authorized Class B units to be granted to certain employees upon fulfillment of certain performance conditions. With each grant, the number of Class B units to be issued and the grant date fair value of the award are dependent on the performance targets achieved and Medline Holdings’ equity value, and will be determined on the official grant date. The Class B units were subject to a five-year service vesting period, with 20% of units vesting on each of the five anniversaries from the official grant date. The award was classified as a liability in accordance with ASC 718 until the official grant date, when it was reclassified as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2025, 50,659,004 of Class B Units were legally granted with a grant date fair value of $29 million.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IPO and Reorganization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time of IPO, the liability-classified awards authorized in the six months ended June 28, 2025 were not yet granted and classified as a liability (“2025 Awards”). Both the underlying equity instrument and the vesting condition were modified upon the IPO. In March 2026, the 2025 Awards were settled into 521,371 RSUs with grant date fair value of $23 million, and the respective liabilities was reclassified as equity. 25% of the 2025 Awards have vested 180 days post-IPO while the remaining 75% of the 2025 Awards will vest on each of the three anniversaries from the official grant date. As of June 27, 2026, the Company has no liability-classified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5250"/>
                <wp:effectExtent l="0" t="0" r="0" b="0"/>
                <wp:wrapNone/>
                <wp:docPr id="35" name="Frame3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34</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EARNINGS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net income prior to the IPO was entirely allocable to partners of Medline Holdings. As a result of the Reorganization and IPO, the Company’s capital structure before and after IPO are not comparable, and the presentation of earnings per share for the periods prior to the IPO is not meaningful and not presented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computes earnings per share of Class A common stock using the two-class method required for participating securities. Shares of Class B common stock are not considered participating securities because they have no right to receive dividends, no right to receive distribution on liquidation or winding up of Medline Inc. and no earnings or losses are allocable to such class. Therefore, basic and diluted earnings per share of Class B common stock has not been presented.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the Company’s stockholders is computed by dividing net income attributable to the Company by the weighted-average number of Class A common stock outstanding during the period. Diluted earnings per share attributable to the Company gives effect to all potential shares of Class A common stock, including conversion of Class B common stock, conversion of Medline Holdings Incentive Units, options, RSAs, RSUs, PSUs, and ESPP to the extent these are 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of Class A common stock:</w:t>
      </w:r>
    </w:p>
    <w:p>
      <w:pPr>
        <w:pStyle w:val="TextBody"/>
        <w:bidi w:val="0"/>
        <w:spacing w:before="0" w:after="0"/>
        <w:jc w:val="both"/>
        <w:rPr/>
      </w:pPr>
      <w:r>
        <w:rPr/>
      </w:r>
    </w:p>
    <w:tbl>
      <w:tblPr>
        <w:tblW w:w="8846" w:type="dxa"/>
        <w:jc w:val="center"/>
        <w:tblInd w:w="0" w:type="dxa"/>
        <w:tblLayout w:type="fixed"/>
        <w:tblCellMar>
          <w:top w:w="28" w:type="dxa"/>
          <w:left w:w="28" w:type="dxa"/>
          <w:bottom w:w="28" w:type="dxa"/>
          <w:right w:w="28" w:type="dxa"/>
        </w:tblCellMar>
      </w:tblPr>
      <w:tblGrid>
        <w:gridCol w:w="1963"/>
        <w:gridCol w:w="1727"/>
        <w:gridCol w:w="1740"/>
        <w:gridCol w:w="408"/>
        <w:gridCol w:w="970"/>
        <w:gridCol w:w="227"/>
        <w:gridCol w:w="109"/>
        <w:gridCol w:w="109"/>
        <w:gridCol w:w="109"/>
        <w:gridCol w:w="356"/>
        <w:gridCol w:w="848"/>
        <w:gridCol w:w="280"/>
      </w:tblGrid>
      <w:tr>
        <w:trPr/>
        <w:tc>
          <w:tcPr>
            <w:tcW w:w="196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number of shares and per share amounts)</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Medline Inc.</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 attributed to vested incentive units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856,671,262 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838,299,245 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 (Basic)</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compensation awards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earnings per share (Diluted)</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 (Basic)</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856,671,262 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838,299,245 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compensation awards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4,219,457 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4,580,411 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Class A common stock outstanding (Diluted)</w:t>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860,890,719 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842,879,656 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5250"/>
                <wp:effectExtent l="0" t="0" r="0" b="0"/>
                <wp:wrapNone/>
                <wp:docPr id="36" name="Frame3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35</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 EARNINGS PER SHARE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outstanding shares of potentially dilutive securities excluded from the calculation of diluted earnings per share because including them would have had an anti-dilutive effect, or issuance of such shares is contingent upon the satisfaction of certain conditions which were not satisfied at the end of the respective period:</w:t>
      </w:r>
    </w:p>
    <w:p>
      <w:pPr>
        <w:pStyle w:val="TextBody"/>
        <w:bidi w:val="0"/>
        <w:spacing w:before="0" w:after="0"/>
        <w:jc w:val="both"/>
        <w:rPr/>
      </w:pPr>
      <w:r>
        <w:rPr/>
      </w:r>
    </w:p>
    <w:tbl>
      <w:tblPr>
        <w:tblW w:w="5670" w:type="dxa"/>
        <w:jc w:val="left"/>
        <w:tblInd w:w="0" w:type="dxa"/>
        <w:tblLayout w:type="fixed"/>
        <w:tblCellMar>
          <w:top w:w="28" w:type="dxa"/>
          <w:left w:w="28" w:type="dxa"/>
          <w:bottom w:w="28" w:type="dxa"/>
          <w:right w:w="28" w:type="dxa"/>
        </w:tblCellMar>
      </w:tblPr>
      <w:tblGrid>
        <w:gridCol w:w="748"/>
        <w:gridCol w:w="658"/>
        <w:gridCol w:w="664"/>
        <w:gridCol w:w="534"/>
        <w:gridCol w:w="534"/>
        <w:gridCol w:w="536"/>
        <w:gridCol w:w="109"/>
        <w:gridCol w:w="109"/>
        <w:gridCol w:w="109"/>
        <w:gridCol w:w="525"/>
        <w:gridCol w:w="526"/>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437,356,274 </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437,356,274 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units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39,347,705 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39,347,705 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PSUs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1,206,267 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1,083,429 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anti-dilutive securities</w:t>
            </w:r>
          </w:p>
        </w:tc>
        <w:tc>
          <w:tcPr>
            <w:tcW w:w="10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478,993,675 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477,910,246 </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15 - RELATED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Agreements and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long-term debts held by certain affiliates of the Company’s private equity sponsors. The terms of these debts are identical to all other debts issued. See Note 5—Credit Agreements and Borrowings for additional information on the long-term debt. </w:t>
      </w:r>
    </w:p>
    <w:p>
      <w:pPr>
        <w:pStyle w:val="TextBody"/>
        <w:bidi w:val="0"/>
        <w:spacing w:before="0" w:after="0"/>
        <w:jc w:val="both"/>
        <w:rPr/>
      </w:pPr>
      <w:r>
        <w:rPr/>
      </w:r>
    </w:p>
    <w:tbl>
      <w:tblPr>
        <w:tblW w:w="8277" w:type="dxa"/>
        <w:jc w:val="center"/>
        <w:tblInd w:w="0" w:type="dxa"/>
        <w:tblLayout w:type="fixed"/>
        <w:tblCellMar>
          <w:top w:w="28" w:type="dxa"/>
          <w:left w:w="28" w:type="dxa"/>
          <w:bottom w:w="28" w:type="dxa"/>
          <w:right w:w="28" w:type="dxa"/>
        </w:tblCellMar>
      </w:tblPr>
      <w:tblGrid>
        <w:gridCol w:w="1917"/>
        <w:gridCol w:w="1686"/>
        <w:gridCol w:w="1692"/>
        <w:gridCol w:w="306"/>
        <w:gridCol w:w="634"/>
        <w:gridCol w:w="170"/>
        <w:gridCol w:w="109"/>
        <w:gridCol w:w="109"/>
        <w:gridCol w:w="109"/>
        <w:gridCol w:w="511"/>
        <w:gridCol w:w="630"/>
        <w:gridCol w:w="404"/>
      </w:tblGrid>
      <w:tr>
        <w:trPr/>
        <w:tc>
          <w:tcPr>
            <w:tcW w:w="191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 and other short-term borrowing</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Reorganization and the IPO, the Company has entered into a TRA with certain of its pre-IPO owners. Among these pre-IPO owners are individuals and entities classified as related parties of the Company; consequently, transactions pertaining to the TRA are regarded as related party transactions in relation to these individuals and entities. From time to time, the pre-IPO owners party to the TRA have, and may in the future, transfer and assign their rights under the TRA in accordance with its terms. Such transfers and assignments do not affect the Company’s underlying rights and obligations under the TRA. For the six months ended June 27, 2026, certain of the pre-IPO owners entered into an assignment and assumption agreement, pursuant to which such parties transferred and assigned their rights under the TRA to certain other pre-IPO owners for approximately $1.4 billion. See Note 7—Tax Receivable Agreement for additional information.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other significant transactions with related parties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5250"/>
                <wp:effectExtent l="0" t="0" r="0" b="0"/>
                <wp:wrapNone/>
                <wp:docPr id="37" name="Frame3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36</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379" w:type="dxa"/>
        <w:jc w:val="left"/>
        <w:tblInd w:w="0" w:type="dxa"/>
        <w:tblLayout w:type="fixed"/>
        <w:tblCellMar>
          <w:top w:w="28" w:type="dxa"/>
          <w:left w:w="28" w:type="dxa"/>
          <w:bottom w:w="28" w:type="dxa"/>
          <w:right w:w="28" w:type="dxa"/>
        </w:tblCellMar>
      </w:tblPr>
      <w:tblGrid>
        <w:gridCol w:w="441"/>
        <w:gridCol w:w="387"/>
        <w:gridCol w:w="551"/>
      </w:tblGrid>
      <w:tr>
        <w:trPr/>
        <w:tc>
          <w:tcPr>
            <w:tcW w:w="44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MEDLINE INC.</w:t>
            </w:r>
          </w:p>
        </w:tc>
      </w:tr>
      <w:tr>
        <w:trPr/>
        <w:tc>
          <w:tcPr>
            <w:tcW w:w="1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described further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Medline Brand segment procures and manufactures products from three product categories - Surgical Solutions, Front Line Care, and Laboratory &amp; Diagnostics. This segment provides its products to domestic and international consumers.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w:t>
      </w:r>
      <w:r>
        <w:rPr>
          <w:color w:val="000000"/>
          <w:shd w:fill="FFFFFF" w:val="clear"/>
        </w:rPr>
        <w:t xml:space="preserve"> </w:t>
      </w:r>
      <w:r>
        <w:rPr>
          <w:rFonts w:ascii="Times New Roman;serif" w:hAnsi="Times New Roman;serif"/>
          <w:b w:val="false"/>
          <w:color w:val="000000"/>
          <w:sz w:val="20"/>
        </w:rPr>
        <w:t>over 1,300</w:t>
      </w:r>
      <w:r>
        <w:rPr>
          <w:color w:val="000000"/>
          <w:shd w:fill="FFFFFF" w:val="clear"/>
        </w:rPr>
        <w:t xml:space="preserve"> </w:t>
      </w:r>
      <w:r>
        <w:rPr>
          <w:rFonts w:ascii="Times New Roman;serif" w:hAnsi="Times New Roman;serif"/>
          <w:b w:val="false"/>
          <w:color w:val="000000"/>
          <w:sz w:val="20"/>
          <w:shd w:fill="FFFFFF" w:val="clear"/>
        </w:rPr>
        <w:t>third</w:t>
      </w:r>
      <w:r>
        <w:rPr>
          <w:rFonts w:ascii="Times New Roman;serif" w:hAnsi="Times New Roman;serif"/>
          <w:b w:val="false"/>
          <w:color w:val="000000"/>
          <w:sz w:val="20"/>
        </w:rPr>
        <w:t xml:space="preserve">-party suppliers, the Company sells products across a large number of product groups to the entire continuum of care and, as a result, it is impracticable to provide segment information at the product group level for Supply Chain Solutions.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organizational structure also includes Corporate &amp; Other which consists of expenses related to centralized corporate functions, such as finance, information technology, legal, human resources, and internal audit.The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the Company’s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All the segment data disclosed reflects the way the CODM internally receives information and monitors the segment performance and is consistently presented across all public communications.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5250"/>
                <wp:effectExtent l="0" t="0" r="0" b="0"/>
                <wp:wrapNone/>
                <wp:docPr id="38" name="Frame3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37</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by segment:</w:t>
      </w:r>
    </w:p>
    <w:p>
      <w:pPr>
        <w:pStyle w:val="TextBody"/>
        <w:bidi w:val="0"/>
        <w:spacing w:before="0" w:after="0"/>
        <w:jc w:val="both"/>
        <w:rPr/>
      </w:pPr>
      <w:r>
        <w:rPr/>
      </w:r>
    </w:p>
    <w:tbl>
      <w:tblPr>
        <w:tblW w:w="9408" w:type="dxa"/>
        <w:jc w:val="left"/>
        <w:tblInd w:w="0" w:type="dxa"/>
        <w:tblLayout w:type="fixed"/>
        <w:tblCellMar>
          <w:top w:w="28" w:type="dxa"/>
          <w:left w:w="28" w:type="dxa"/>
          <w:bottom w:w="28" w:type="dxa"/>
          <w:right w:w="28" w:type="dxa"/>
        </w:tblCellMar>
      </w:tblPr>
      <w:tblGrid>
        <w:gridCol w:w="1270"/>
        <w:gridCol w:w="1118"/>
        <w:gridCol w:w="1122"/>
        <w:gridCol w:w="252"/>
        <w:gridCol w:w="717"/>
        <w:gridCol w:w="140"/>
        <w:gridCol w:w="109"/>
        <w:gridCol w:w="109"/>
        <w:gridCol w:w="109"/>
        <w:gridCol w:w="252"/>
        <w:gridCol w:w="717"/>
        <w:gridCol w:w="140"/>
        <w:gridCol w:w="109"/>
        <w:gridCol w:w="109"/>
        <w:gridCol w:w="109"/>
        <w:gridCol w:w="228"/>
        <w:gridCol w:w="754"/>
        <w:gridCol w:w="127"/>
        <w:gridCol w:w="109"/>
        <w:gridCol w:w="109"/>
        <w:gridCol w:w="109"/>
        <w:gridCol w:w="228"/>
        <w:gridCol w:w="754"/>
        <w:gridCol w:w="127"/>
        <w:gridCol w:w="109"/>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53" w:type="dxa"/>
            <w:gridSpan w:val="1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Front Line Care</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Solutions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Laboratory and Diagnostics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Segment Adjusted EBITDA:</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segment adjusted EBITDA</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&amp; Other</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Inventory-related adjustments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gains,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(1)</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non-core charges, net </w:t>
            </w:r>
            <w:r>
              <w:rPr>
                <w:rFonts w:ascii="Times New Roman;serif" w:hAnsi="Times New Roman;serif"/>
                <w:b w:val="false"/>
                <w:color w:val="000000"/>
                <w:sz w:val="12"/>
              </w:rPr>
              <w:t>(2)</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acquisition and integration-related costs and IPO and subsequent offerings related costs.</w:t>
      </w:r>
    </w:p>
    <w:p>
      <w:pPr>
        <w:pStyle w:val="TextBody"/>
        <w:bidi w:val="0"/>
        <w:spacing w:lineRule="auto" w:line="28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Represents loss on debt extinguishment and other refinancing costs and fees, realized and unrealized foreign currency and investment losses and costs, recoveries (credit) loss expense related to certain customer receivable, gains (losses) on disposal of assets and exits, and other items. The impact of the losses related to the fire at a distribution center in Tracy are also included in the 2026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by sales office and geographic area: </w:t>
      </w:r>
    </w:p>
    <w:p>
      <w:pPr>
        <w:pStyle w:val="TextBody"/>
        <w:bidi w:val="0"/>
        <w:spacing w:before="0" w:after="0"/>
        <w:jc w:val="both"/>
        <w:rPr/>
      </w:pPr>
      <w:r>
        <w:rPr/>
      </w:r>
    </w:p>
    <w:tbl>
      <w:tblPr>
        <w:tblW w:w="9408" w:type="dxa"/>
        <w:jc w:val="left"/>
        <w:tblInd w:w="0" w:type="dxa"/>
        <w:tblLayout w:type="fixed"/>
        <w:tblCellMar>
          <w:top w:w="28" w:type="dxa"/>
          <w:left w:w="28" w:type="dxa"/>
          <w:bottom w:w="28" w:type="dxa"/>
          <w:right w:w="28" w:type="dxa"/>
        </w:tblCellMar>
      </w:tblPr>
      <w:tblGrid>
        <w:gridCol w:w="1270"/>
        <w:gridCol w:w="1118"/>
        <w:gridCol w:w="1122"/>
        <w:gridCol w:w="252"/>
        <w:gridCol w:w="717"/>
        <w:gridCol w:w="140"/>
        <w:gridCol w:w="109"/>
        <w:gridCol w:w="109"/>
        <w:gridCol w:w="109"/>
        <w:gridCol w:w="252"/>
        <w:gridCol w:w="717"/>
        <w:gridCol w:w="140"/>
        <w:gridCol w:w="109"/>
        <w:gridCol w:w="109"/>
        <w:gridCol w:w="109"/>
        <w:gridCol w:w="228"/>
        <w:gridCol w:w="754"/>
        <w:gridCol w:w="127"/>
        <w:gridCol w:w="109"/>
        <w:gridCol w:w="109"/>
        <w:gridCol w:w="109"/>
        <w:gridCol w:w="228"/>
        <w:gridCol w:w="754"/>
        <w:gridCol w:w="127"/>
        <w:gridCol w:w="109"/>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53" w:type="dxa"/>
            <w:gridSpan w:val="1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Net sales to external customers: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Acute care </w:t>
            </w:r>
            <w:r>
              <w:rPr>
                <w:rFonts w:ascii="Times New Roman;serif" w:hAnsi="Times New Roman;serif"/>
                <w:b w:val="false"/>
                <w:color w:val="000000"/>
                <w:sz w:val="12"/>
              </w:rPr>
              <w:t>(1)</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Non-Acute care </w:t>
            </w:r>
            <w:r>
              <w:rPr>
                <w:rFonts w:ascii="Times New Roman;serif" w:hAnsi="Times New Roman;serif"/>
                <w:b w:val="false"/>
                <w:color w:val="000000"/>
                <w:sz w:val="12"/>
              </w:rPr>
              <w:t>(2)</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net sales to external customers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Acute care represents hospital health systems. </w:t>
      </w:r>
    </w:p>
    <w:p>
      <w:pPr>
        <w:pStyle w:val="TextBody"/>
        <w:bidi w:val="0"/>
        <w:spacing w:lineRule="auto" w:line="288" w:before="0" w:after="0"/>
        <w:ind w:left="0" w:right="0" w:hanging="1"/>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Non-Acute care represents other sites of care including outpatient, post acute, physician’s office, surgery centers, and all other.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5250"/>
                <wp:effectExtent l="0" t="0" r="0" b="0"/>
                <wp:wrapNone/>
                <wp:docPr id="39" name="Frame3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38</w:t>
                      </w:r>
                    </w:p>
                  </w:txbxContent>
                </v:textbox>
                <w10:wrap type="none"/>
              </v:rect>
            </w:pict>
          </mc:Fallback>
        </mc:AlternateConten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5"/>
        <w:gridCol w:w="408"/>
        <w:gridCol w:w="581"/>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MEDLINE INC.</w:t>
            </w:r>
          </w:p>
        </w:tc>
      </w:tr>
      <w:tr>
        <w:trPr/>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16 - SEGMENT INFORMATION (Continued)</w:t>
      </w:r>
    </w:p>
    <w:tbl>
      <w:tblPr>
        <w:tblW w:w="6309" w:type="dxa"/>
        <w:jc w:val="left"/>
        <w:tblInd w:w="0" w:type="dxa"/>
        <w:tblLayout w:type="fixed"/>
        <w:tblCellMar>
          <w:top w:w="28" w:type="dxa"/>
          <w:left w:w="28" w:type="dxa"/>
          <w:bottom w:w="28" w:type="dxa"/>
          <w:right w:w="28" w:type="dxa"/>
        </w:tblCellMar>
      </w:tblPr>
      <w:tblGrid>
        <w:gridCol w:w="1203"/>
        <w:gridCol w:w="1057"/>
        <w:gridCol w:w="1069"/>
        <w:gridCol w:w="252"/>
        <w:gridCol w:w="717"/>
        <w:gridCol w:w="140"/>
        <w:gridCol w:w="109"/>
        <w:gridCol w:w="109"/>
        <w:gridCol w:w="109"/>
        <w:gridCol w:w="334"/>
        <w:gridCol w:w="948"/>
        <w:gridCol w:w="262"/>
      </w:tblGrid>
      <w:tr>
        <w:trPr/>
        <w:tc>
          <w:tcPr>
            <w:tcW w:w="120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u w:val="single"/>
              </w:rPr>
              <w:t xml:space="preserve">Long-lived assets by geographical area </w:t>
            </w:r>
            <w:r>
              <w:rPr>
                <w:rFonts w:ascii="Times New Roman;serif" w:hAnsi="Times New Roman;serif"/>
                <w:b/>
                <w:color w:val="000000"/>
                <w:sz w:val="12"/>
              </w:rPr>
              <w:t>(1)</w:t>
            </w:r>
            <w:r>
              <w:rPr>
                <w:rFonts w:ascii="Times New Roman;serif" w:hAnsi="Times New Roman;serif"/>
                <w:b/>
                <w:color w:val="000000"/>
                <w:sz w:val="18"/>
              </w:rPr>
              <w:t>:</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long-lived assets, net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property, plant, and equipment, net, and operating lease right-of-use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the Company submitted and CBP accepted additional IEEPA refund claims of approximately $70 million, of which approximately $11 million has been received. Accordingly, the Company recorded a receivable of approximately $59 million related to the remaining accepted refund claims in July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the Company entered into lease agreements for a warehouse facility in Tracy, California to support distribution operations following the June 2026 fire at the Company’s prior Tracy distribution center. The lease agreements commenced in July 2026 and expire in March 2036 and April 2036, with an annual base rent of approximately $9 million in aggregate. As a result of these lease agreements, the Company recorded right-of-use assets and lease liabilities of approximately $68 million in July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evaluated its unaudited condensed consolidated financial statements for subsequent events through August 5, 2026, the date the unaudited condensed consolidated financial statements were available to be issued. Based upon this evaluation, the Company did not identify any other subsequent events that would require adjustment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5250"/>
                <wp:effectExtent l="0" t="0" r="0" b="0"/>
                <wp:wrapNone/>
                <wp:docPr id="40" name="Frame4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("MD&amp;A") is intended to help you understand the financial condition, results of operations, and present business of Medline and Medline Holdings (f/k/a, Mozart Holdings, LP, the predecessor of Medline). This MD&amp;A should be read in conjunction with our consolidated financial statements and the accompanying notes in Part I, “Item 1—Financial Statements” of this Quarterly Report and in Part II, “Item 8—Financial Statements and Supplemental Data” of our 2025 Form 10-K, as well as the corresponding MD&amp;A contained in our 2025 Form 10-K. Some of the information included in this MD&amp;A or set forth elsewhere in this Quarterly Report, including information with respect to our plans and strategy for our business, include forward-looking statements that involve risks and uncertainties. Our future results and financial condition may differ materially from those we currently anticipate. You should review the “Cautionary Note Regarding Forward-Looking Statements” section in this Quarterly Report and Part I, “Item 1A—Risk Factors” of our 2025 Form 10-K for a discussion of important factors that could cause actual results to differ materially from the results described in or implied by the forward-looking statements contained in the following discussion and analysis. For purposes of the MD&amp;A, references to the “Company,” “Medline,” “we,” “us,” and “our” mean Medline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pPr>
      <w:r>
        <w:rPr>
          <w:rFonts w:ascii="Times New Roman;serif" w:hAnsi="Times New Roman;serif"/>
          <w:b w:val="false"/>
          <w:color w:val="000000"/>
          <w:sz w:val="20"/>
        </w:rPr>
        <w:t>Medline is the largest provider of med-surg products and supply chain solutions serving all points of care, based on total net sales of med-surg products. We deliver mission-critical products used daily across the full range of care settings, from hospitals and surgery centers to physician</w:t>
      </w:r>
      <w:r>
        <w:rPr>
          <w:color w:val="000000"/>
          <w:shd w:fill="FFFFFF" w:val="clear"/>
        </w:rPr>
        <w:t xml:space="preserve"> </w:t>
      </w:r>
      <w:r>
        <w:rPr>
          <w:rFonts w:ascii="Times New Roman;serif" w:hAnsi="Times New Roman;serif"/>
          <w:b w:val="false"/>
          <w:color w:val="000000"/>
          <w:sz w:val="20"/>
          <w:shd w:fill="FFFFFF" w:val="clear"/>
        </w:rPr>
        <w:t xml:space="preserve">offices and post-acute facilities. </w:t>
      </w:r>
      <w:r>
        <w:rPr>
          <w:rFonts w:ascii="Times New Roman;serif" w:hAnsi="Times New Roman;serif"/>
          <w:b w:val="false"/>
          <w:color w:val="000000"/>
          <w:sz w:val="20"/>
        </w:rPr>
        <w:t>We operate under two reportable segments, Medline Brand and Supply Chain Solutions. Both segments are supported by our Prime Vendor model, differentiated distribution network, and robust commercial platform. See Part I, “Item 1—Business” of our 2025 Form 10-K for a more detailed description of each of our segments, our Prime Vendor model, distribution network, and commercial platform.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27, 2026, our financial results were as follows: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generated net sales of $7.7 billion, net income of $0.1 billion, and Adjusted EBITDA of $1.1 billion, representing a net income margin of 1.8% and an Adjusted EBITDA Margin of 13.8%.</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During that period, Medline Brand segment net sales and Segment Adjusted EBITDA were $3.5 billion and $1.1 billion, respectively, which represented 46.1% of total net sales and 83.9% of Segment Adjusted EBITDA, respectively. Supply Chain Solutions segment net sales and Segment Adjusted EBITDA were $4.1 billion and $0.2 billion, respectively, which represented 53.9% of total net sales and 16.1% of Segment Adjusted EBITDA,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27, 2026, our financial results were as follows: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generated net sales of $15.0 billion, net income of $0.4 billion, and Adjusted EBITDA of $1.8 billion, representing a net income margin of 2.5% and an Adjusted EBITDA Margin of 12.2%.</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During that period, Medline Brand segment net sales and Segment Adjusted EBITDA were $7.0 billion and $1.8 billion, respectively, which represented 46.6% of total net sales and 82.4% of Segment Adjusted EBITDA, respectively. Supply Chain Solutions segment net sales and Segment Adjusted EBITDA were $8.0 billion and $0.4 billion, respectively, which represented 53.4% of total net sales and 17.6% of Segment Adjusted EBITDA,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see “—Non-GAAP Financial Information”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Key Factors and Trends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our results and operations were impacted by various factors and trends, including those discussed below. For additional information regarding factors and trends that may impact our results and operations, see Part II, “Item 7—Management’s Discussion and Analysis of Financial Condition and Results of Operations” of our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5250"/>
                <wp:effectExtent l="0" t="0" r="0" b="0"/>
                <wp:wrapNone/>
                <wp:docPr id="41" name="Frame4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Trade Relations, Impacts of Tariffs on our Business, and Geopolitical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U.S. and international political environment, including existing and potential changes to U.S. policies related to global trade and tariffs, has resulted in uncertainty surrounding the future state of the global economy. We continue to actively monitor developments in the global tariff environment and evaluate their potential impact on our business, financial condition, customers, and suppliers, as well as actions available to reduce our related financial exposure. While the global tariff environment remains unpredictable, as a global company with strategically located and owned manufacturing and a broadly diversified sourcing footprint, we believe we are well-positioned to address potential supply chain challenges. We have multiple levers at our disposal, including strategically reallocating production to other parts of the world, leveraging our new and existing supplier base, optimizing procurement and sourcing of key inputs and raw materials, optimizing our manufacturing footprint, engaging with relevant industry and policy partners, and, where needed, enacting price increases in a thoughtful and strategic way. Nevertheless, we may not be able to establish alternative sources of supply or fully mitigate the financial impact of tariffs across all products we source or manufacture. For the three and six months ended June 27, 2026, the net impact to income before taxes from tariffs and tariff developments was approximately $110 million and $230 million, respectively, before giving effect to the tariff refund recoveries and related customer repayments discussed below. The actual full year impact may vary based on the tariff rate changes, duration, scope, and effectiveness of our mitigation efforts.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pursued, and may continue to pursue, tariff mitigation measures, including exclusions, refunds, preferential trade agreements, and other duty recovery mechanisms. In February 2026, the U.S. Supreme Court ruled that the International Emergency Economic Powers Act (“IEEPA”) does not authorize the President to impose tariffs. Following that decision, U.S. Customs and Border Protection (“CBP”) established an expedited administrative process through its Consolidated Administration and Processing of Entries (“CAPE”) portal to refund IEEPA duties that had already been paid.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total IEEPA refund claims, across all eligible mechanisms, to be approximately $507 million, including amounts already submitted via CAPE. As of June 27, 2026, CBP had accepted approximately $332 million in total refunds we have submitted, and actions to recover the remaining expected amounts are ongoing. We evaluate recoveries of IEEPA tariffs in accordance with applicable gain contingency guidance and recognize such recoveries when they are received or realizable. As of June 27, 2026, of the accepted claims, we had received approximately $53 million in refunds. Accordingly, we recorded a receivable of approximately $279 million within Other current assets related to the remaining accepted refund claims as of June 27, 2026. As of the date of this Quarterly Report, we received refunds for the majority of the receivable balance. Interest associated with refunded IEEPA tariffs is recognized in the period in which it is received or realizable. We expect to remit a portion of the tariff refunds to customers. As of June 27, 2026, we recorded approximately $89 million within Accrued expenses and other current liabilities for the total amount estimated to be remitted to customers in connection with total tariff refund claims expected.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we recognized approximately $332 million as a reduction of Cost of goods sold related to tariff refunds received or accepted, approximately $89 million as a reduction of Net sales related to accrued customer repayments associated with tariff refunds, and approximately $14 million of interest income in Interest expense, net. These amounts were recorded entirely within the Medline Brand segment.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ultimate amount and timing of the IEEPA tariff refunds not yet received are subject to eligibility requirements, regulatory review, administrative processing, and other limitations.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ongoing geopolitical conflicts, including in the Middle East, have resulted in, and could continue to result in, significant disruption of energy supplies and increases in global energy prices, which have heightened and could continue to heighten inflationary pressures, disrupt global supply chains, and adversely impact consumer spending patterns. We will continue to evaluate the evolving macroeconomic environment and seek to take actions to mitigate the impact, if any, on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5250"/>
                <wp:effectExtent l="0" t="0" r="0" b="0"/>
                <wp:wrapNone/>
                <wp:docPr id="42" name="Frame4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Tracy, California Distribution Center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June 11, 2026, a fire destroyed our distribution center in Tracy, California. All employees were safely evacuated. We have estimated incurred losses of $336 million, which consist of $204 million related to inventory losses, $116 million related to fixed asset losses, and $16 million other expenses, for the three and six months ended June 27, 2026. These losses were recorded in Other operating expenses. As of June 27, 2026, discussions with our insurers are ongoing, and, as such, no insurance recoveries have been recorded. Following the fire, we entered into lease agreements for two distribution centers in Northern California totaling more than 1.6 million square feet, including a facility in Tracy, California for near-term occupancy and a facility in Stockton, California expected to be available for use in January 2027. These facilities are expected to help support service to healthcare providers and customers in Northern California following the fire. We may incur additional losses and costs in future periods associated with the fire and its related impacts. We expect to recognize insurance recoveries in future periods as the applicable recognition criteria are met. The timing and amount of any additional losses, costs, or insurance recoveries remain uncertain. See Note 1—Nature of Business and Significant Accounting Policies to our unaudited condensed consolidated financial statements included under Part I, “Item 1—Financial Statements” of this Quarterly Report for additional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FDA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27, 2026, we have received three warning letters from the FDA, which have not been resolved. These warning letters relate to compliance with the Quality Management System Regulation and the current Good Manufacturing Practice (cGMP) regulations and were sent following inspections of Medline’s Northfield, Illinois facility and our manufacturing facilities in Glens Falls, New York and Waukegan, Illinois. We are working with the FDA to resolve the observations in the warning letters and FDA Forms 483 the Company has received. We have committed to taking additional remediation actions and made investments in Medline’s Quality organization, which we expect to result in increased costs in the second half of fiscal year 2026. While we believe our remediation efforts appropriately address the FDA’s observations and strengthen our Quality practices, no assurances can be given regarding further action by the FDA or that the corrective actions we have proposed and taken will be adequate. Any failure to adequately address the observations made by the FDA may result in regulatory actions initiated by the FDA with limited or no further notice, which may include the adverse consequences described in Part I, “Item 1A—Risk Factors—Risks Related to Regulation and Legal Proceedings—We are subject to extensive and complex laws and governmental regulations and any adverse regulatory action may materially adversely affect our business, results of operations, and financial condition both inside and outside the United States.” of our 2025 Form 10-K. While we currently believe these warning letters are not reasonably likely to materially adversely affect our business, results of operations, or financial condition, the outcomes of such matters are inherently unpredictable and subject to significant uncertainties, and if any of our assumptions change or prove to have been incorrect or there are any further adverse developments, our business, results of operations, and/or financial condition could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Secondary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28, 2026, we completed an underwritten public offering of an aggregate of 72,554,594 shares of Class A common stock sold by a wholly owned subsidiary of Abu Dhabi Investment Authority and certain affiliates of our Sponsors (collectively, the “May 2026 Selling Stockholders”) at a public offering price of $37.00 per share, for aggregate gross proceeds of approximately $2.7 billion to the May 2026 Selling Stockholders (the “May 2026 Resale Offering”). This transaction resulted in the issuance of 29,505,565 shares of Class A common stock in connection with the exchange of Common Units by the May 2026 Selling Stockholders for the six months ended June 27, 2026. The exchange reduced the ownership of noncontrolling interest in Medline Holdings by approximately 2% and will increase the net income attributable to the Company in a proportionate amount. We did not sell any shares in this May 2026 Resale Offering and did not receive any of the proceeds from the sale of the shares of Class A common stock in this May 2026 Resale Offering. We paid the offering expenses associated with the sale of the shares by the May 2026 Selling Stockholders, net of the underwriting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5250"/>
                <wp:effectExtent l="0" t="0" r="0" b="0"/>
                <wp:wrapNone/>
                <wp:docPr id="43" name="Frame4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10, 2026, we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our Sponsors (collectively, the “March 2026 Selling Stockholders”) at a public offering price of $41.00 per share, for aggregate gross proceeds of approximately $3.5 billion to the Selling Stockholders (the “March 2026 Resale Offering”). This transaction resulted in the issuance of 33,963,901 shares of Class A common stock in connection with the exchange of Common Units by the March 2026 Selling Stockholders for the six months ended June 27, 2026. The exchange reduced the ownership of noncontrolling interest in Medline Holdings by approximately 3% and will increase the net income attributable to the Company in a proportionate amount. We did not sell any shares in this March 2026 Resale Offering and did not receive any of the proceeds from the sale of the shares of Class A common stock in this March 2026 Resale Offering. We paid the offering expenses associated with the sale of the shares by the March 2026 Selling Stockholders, net of the underwriting discounts and commissions.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Company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incurred costs associated with public company reporting requirements during fiscal years 2026 and 2025, and we expect to continue to incur additional costs associated with operating as a public company. These costs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were previously inapplicable to us as a private company. These additional rules and regulations increase our legal, regulatory, financial, and insurance compliance costs and make some activities more time-consuming and costly.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IPO and Reorganization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our IPO, which generated net proceeds of approximately $7,048 million after deducting underwriting discounts and commissions of approximately $157 million, but before deducting offering expenses of approximately $40 million. Prior to the completion of the IPO, we executed the Reorganization, resulting in Medline Inc. becoming the sole general partner of Medline Holdings, with its sole material asset being a controlling equity interest in Medline Holdings. As the general partner of Medline Holdings, Medline Inc. now operates and controls all of the business and affairs of Medline Holdings, and has the obligation to absorb losses and receive benefits from Medline Holdings and, through Medline Holdings and its subsidiaries, operate the business. The Reorganization has been accounted for as a reorganization of entities under common control. As a result, the consolidated financial statements of Medline Inc. recognize the assets and liabilities received in the Reorganization at their historical carrying amounts, as presented in the historical financial statements of Medline Holdings. Medline Inc. consolidates Medline Holdings on its consolidated financial statements and records a noncontrolling interest, which pertains to partnership interests in Medline Holdings held by pre-IPO owners. See “Note 1—Nature of Business and Significant Accounting Policies—Reorganization” to our unaudited condensed consolidated financial statements, included under Part I, “Item 1—Financial Statements” of this Quarterly Report for additional information on the reorganization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Inc. is a corporation for U.S. federal and state income tax purposes. Medline Holdings is treated as a flow-through entity for U.S. federal and state income tax purposes, and, as such, has generally not been subject to U.S. federal income tax at the entity level. Accordingly, unless otherwise specified, the historical results of operations and other financial information set forth in this Quarterly Report do not include any provision for U.S. federal income tax for Medline Holdings except with respect to subsidiary corporations that are subject to U.S. federal income tax. Following the IPO, Medline Inc. is required to pay U.S. federal and state income taxes as a corporation on its share of Medline Holdings’ taxable income. </w:t>
      </w:r>
    </w:p>
    <w:p>
      <w:pPr>
        <w:pStyle w:val="TextBody"/>
        <w:bidi w:val="0"/>
        <w:spacing w:before="0" w:after="0"/>
        <w:ind w:left="0" w:right="0" w:firstLine="490"/>
        <w:jc w:val="both"/>
        <w:rPr/>
      </w:pPr>
      <w:r>
        <w:rPr/>
      </w:r>
    </w:p>
    <w:p>
      <w:pPr>
        <w:pStyle w:val="TextBody"/>
        <w:bidi w:val="0"/>
        <w:spacing w:lineRule="auto" w:line="288" w:before="0" w:after="0"/>
        <w:jc w:val="both"/>
        <w:rPr/>
      </w:pPr>
      <w:r>
        <w:rPr>
          <w:rFonts w:ascii="Times New Roman;serif" w:hAnsi="Times New Roman;serif"/>
          <w:b w:val="false"/>
          <w:color w:val="000000"/>
          <w:sz w:val="20"/>
        </w:rPr>
        <w:t>In connection with the Reorganization and the IPO, we also entered int</w:t>
      </w:r>
      <w:r>
        <w:rPr>
          <w:rFonts w:ascii="Times New Roman;serif" w:hAnsi="Times New Roman;serif"/>
          <w:b w:val="false"/>
          <w:color w:val="000000"/>
          <w:sz w:val="20"/>
          <w:shd w:fill="FFFFFF" w:val="clear"/>
        </w:rPr>
        <w:t>o a tax receivable agreement (“TRA”) with ce</w:t>
      </w:r>
      <w:r>
        <w:rPr>
          <w:rFonts w:ascii="Times New Roman;serif" w:hAnsi="Times New Roman;serif"/>
          <w:b w:val="false"/>
          <w:color w:val="000000"/>
          <w:sz w:val="20"/>
        </w:rPr>
        <w:t>rtain pre-IPO owners. See “—Liquidity and Capital Resources—Tax Receivable Agreement” for additional information. Further, in connection with the Reorganization and the IPO, we also entered into an exchange agreement with the Continuing Unitholders so that they may (subject to the terms of the exchange agreement) exchange their Common Units (including Common Units issued upon conversion of vested Incentive Units) for shares of Class A common stock of Medline Inc.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5250"/>
                <wp:effectExtent l="0" t="0" r="0" b="0"/>
                <wp:wrapNone/>
                <wp:docPr id="44" name="Frame4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diagram below depicts our current organizational structure:</w:t>
      </w:r>
      <w:r>
        <w:rPr>
          <w:color w:val="000000"/>
        </w:rPr>
        <w:t xml:space="preserve"> </w:t>
      </w:r>
    </w:p>
    <w:p>
      <w:pPr>
        <w:pStyle w:val="TextBody"/>
        <w:bidi w:val="0"/>
        <w:spacing w:before="0" w:after="0"/>
        <w:jc w:val="both"/>
        <w:rPr/>
      </w:pPr>
      <w:r>
        <w:rPr/>
      </w:r>
    </w:p>
    <w:p>
      <w:pPr>
        <w:pStyle w:val="TextBody"/>
        <w:bidi w:val="0"/>
        <w:spacing w:before="0" w:after="0"/>
        <w:jc w:val="both"/>
        <w:rPr/>
      </w:pPr>
      <w:r>
        <w:rPr/>
        <w:drawing>
          <wp:inline distT="0" distB="0" distL="0" distR="0">
            <wp:extent cx="6286500" cy="3971925"/>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2"/>
                    <a:stretch>
                      <a:fillRect/>
                    </a:stretch>
                  </pic:blipFill>
                  <pic:spPr bwMode="auto">
                    <a:xfrm>
                      <a:off x="0" y="0"/>
                      <a:ext cx="6286500" cy="3971925"/>
                    </a:xfrm>
                    <a:prstGeom prst="rect">
                      <a:avLst/>
                    </a:prstGeom>
                  </pic:spPr>
                </pic:pic>
              </a:graphicData>
            </a:graphic>
          </wp:inline>
        </w:drawing>
      </w:r>
      <w:bookmarkStart w:id="2" w:name="i-1"/>
      <w:bookmarkEnd w:id="2"/>
    </w:p>
    <w:p>
      <w:pPr>
        <w:pStyle w:val="TextBody"/>
        <w:bidi w:val="0"/>
        <w:spacing w:lineRule="auto" w:line="268" w:before="0" w:after="0"/>
        <w:jc w:val="left"/>
        <w:rPr/>
      </w:pPr>
      <w:r>
        <w:rPr>
          <w:rFonts w:ascii="Times New Roman;serif" w:hAnsi="Times New Roman;serif"/>
          <w:b w:val="false"/>
          <w:i/>
          <w:color w:val="000000"/>
          <w:sz w:val="16"/>
        </w:rPr>
        <w:t>Note:</w:t>
      </w:r>
      <w:r>
        <w:rPr>
          <w:color w:val="000000"/>
        </w:rPr>
        <w:t xml:space="preserve"> </w:t>
      </w:r>
      <w:r>
        <w:rPr>
          <w:rFonts w:ascii="Times New Roman;serif" w:hAnsi="Times New Roman;serif"/>
          <w:b w:val="false"/>
          <w:i/>
          <w:color w:val="000000"/>
          <w:sz w:val="16"/>
        </w:rPr>
        <w:t>Certain intermediate holding companies have been omitted from the structure chart.</w:t>
      </w:r>
    </w:p>
    <w:p>
      <w:pPr>
        <w:pStyle w:val="TextBody"/>
        <w:bidi w:val="0"/>
        <w:spacing w:lineRule="auto" w:line="268" w:before="0" w:after="0"/>
        <w:jc w:val="left"/>
        <w:rPr/>
      </w:pPr>
      <w:r>
        <w:rPr>
          <w:rFonts w:ascii="Times New Roman;serif" w:hAnsi="Times New Roman;serif"/>
          <w:b w:val="false"/>
          <w:i/>
          <w:color w:val="000000"/>
          <w:sz w:val="16"/>
        </w:rPr>
        <w:t>(1) Each share of our Class A common stock and Class B common stock entitles its holder to one vote on all matters to be voted on by the stockholders generally</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5250"/>
                <wp:effectExtent l="0" t="0" r="0" b="0"/>
                <wp:wrapNone/>
                <wp:docPr id="46" name="Frame4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For the three and six months ended</w:t>
      </w:r>
      <w:r>
        <w:rPr>
          <w:color w:val="000000"/>
        </w:rPr>
        <w:t xml:space="preserve"> </w:t>
      </w:r>
      <w:r>
        <w:rPr>
          <w:rFonts w:ascii="Times New Roman;serif" w:hAnsi="Times New Roman;serif"/>
          <w:b/>
          <w:color w:val="000000"/>
          <w:sz w:val="20"/>
        </w:rPr>
        <w:t>June 27, 2026 compared to the three and six months ended June 28, 2025</w:t>
      </w:r>
    </w:p>
    <w:p>
      <w:pPr>
        <w:pStyle w:val="TextBody"/>
        <w:bidi w:val="0"/>
        <w:spacing w:before="0" w:after="0"/>
        <w:jc w:val="both"/>
        <w:rPr/>
      </w:pPr>
      <w:r>
        <w:rPr/>
      </w:r>
    </w:p>
    <w:tbl>
      <w:tblPr>
        <w:tblW w:w="12088" w:type="dxa"/>
        <w:jc w:val="left"/>
        <w:tblInd w:w="0" w:type="dxa"/>
        <w:tblLayout w:type="fixed"/>
        <w:tblCellMar>
          <w:top w:w="28" w:type="dxa"/>
          <w:left w:w="28" w:type="dxa"/>
          <w:bottom w:w="28" w:type="dxa"/>
          <w:right w:w="28" w:type="dxa"/>
        </w:tblCellMar>
      </w:tblPr>
      <w:tblGrid>
        <w:gridCol w:w="488"/>
        <w:gridCol w:w="311"/>
        <w:gridCol w:w="312"/>
        <w:gridCol w:w="109"/>
        <w:gridCol w:w="109"/>
        <w:gridCol w:w="109"/>
        <w:gridCol w:w="109"/>
        <w:gridCol w:w="109"/>
        <w:gridCol w:w="109"/>
        <w:gridCol w:w="109"/>
        <w:gridCol w:w="109"/>
        <w:gridCol w:w="109"/>
        <w:gridCol w:w="109"/>
        <w:gridCol w:w="109"/>
        <w:gridCol w:w="436"/>
        <w:gridCol w:w="210"/>
        <w:gridCol w:w="436"/>
        <w:gridCol w:w="109"/>
        <w:gridCol w:w="369"/>
        <w:gridCol w:w="254"/>
        <w:gridCol w:w="257"/>
        <w:gridCol w:w="109"/>
        <w:gridCol w:w="109"/>
        <w:gridCol w:w="109"/>
        <w:gridCol w:w="398"/>
        <w:gridCol w:w="254"/>
        <w:gridCol w:w="257"/>
        <w:gridCol w:w="109"/>
        <w:gridCol w:w="109"/>
        <w:gridCol w:w="109"/>
        <w:gridCol w:w="196"/>
        <w:gridCol w:w="436"/>
        <w:gridCol w:w="109"/>
        <w:gridCol w:w="109"/>
        <w:gridCol w:w="109"/>
        <w:gridCol w:w="109"/>
        <w:gridCol w:w="190"/>
        <w:gridCol w:w="145"/>
        <w:gridCol w:w="146"/>
        <w:gridCol w:w="109"/>
        <w:gridCol w:w="109"/>
        <w:gridCol w:w="109"/>
        <w:gridCol w:w="369"/>
        <w:gridCol w:w="299"/>
        <w:gridCol w:w="302"/>
        <w:gridCol w:w="109"/>
        <w:gridCol w:w="109"/>
        <w:gridCol w:w="109"/>
        <w:gridCol w:w="329"/>
        <w:gridCol w:w="298"/>
        <w:gridCol w:w="303"/>
        <w:gridCol w:w="109"/>
        <w:gridCol w:w="109"/>
        <w:gridCol w:w="109"/>
        <w:gridCol w:w="196"/>
        <w:gridCol w:w="556"/>
        <w:gridCol w:w="109"/>
        <w:gridCol w:w="109"/>
        <w:gridCol w:w="109"/>
        <w:gridCol w:w="109"/>
        <w:gridCol w:w="179"/>
        <w:gridCol w:w="153"/>
        <w:gridCol w:w="194"/>
      </w:tblGrid>
      <w:tr>
        <w:trPr/>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210"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c>
          <w:tcPr>
            <w:tcW w:w="2041"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2041"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12.0%</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17.7%</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28.7%</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exchange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(43.6)%</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(24.5)%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NM</w:t>
            </w:r>
            <w:r>
              <w:rPr>
                <w:rFonts w:ascii="Times New Roman;serif" w:hAnsi="Times New Roman;serif"/>
                <w:b w:val="false"/>
                <w:color w:val="000000"/>
                <w:sz w:val="12"/>
              </w:rPr>
              <w:t>(1)</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(42.3)%</w:t>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for the three months ended June 27, 2026 compared to the three months ended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sales for the three months ended June 27, 2026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rPr>
        <w:t>$799 million, or 11.6%, to $7,685 million, compared to $6,886 million for the respective period in 2025, primarily driven by organic growth with</w:t>
      </w:r>
      <w:r>
        <w:rPr>
          <w:color w:val="000000"/>
          <w:shd w:fill="FFFFFF" w:val="clear"/>
        </w:rPr>
        <w:t xml:space="preserve"> </w:t>
      </w:r>
      <w:r>
        <w:rPr>
          <w:rFonts w:ascii="Times New Roman;serif" w:hAnsi="Times New Roman;serif"/>
          <w:b w:val="false"/>
          <w:color w:val="000000"/>
          <w:sz w:val="20"/>
          <w:shd w:fill="FFFFFF" w:val="clear"/>
        </w:rPr>
        <w:t>foreign currency exchange rates having an immaterial impact on n</w:t>
      </w:r>
      <w:r>
        <w:rPr>
          <w:rFonts w:ascii="Times New Roman;serif" w:hAnsi="Times New Roman;serif"/>
          <w:b w:val="false"/>
          <w:color w:val="000000"/>
          <w:sz w:val="20"/>
        </w:rPr>
        <w:t>et sales. Organic net sales growth was substantially all related to increased volumes with pricing having an immaterial impact.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U.S. business for the three months ended June 27, 2026 increased $753 million, or 11.8%, to $7,152 million, compared to $6,399 million for the respective period in 2025, primarily due to volume growth in Prime Vendor net sales, which for the three months ended June 27, 2026 increased $808 million, or 18.3%, to $5,226 million, compared to $4,418 million for the respective period in 2025. The growth was partially offset by $89 million customer repayments associated with tariff refunds.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U.S. acute care business, which includes both Prime Vendor and non-Prime Vendor customers, increased $691 million, or 14.7%, to $5,407 million, compared to $4,716 million for the respective period in 2025, primarily driven by volume growth, partially offset by $48 million customer repayments associated with tariff refunds. Net sales for the U.S. non-acute care business increased $62 million, or 3.7%, to $1,745 million, compared to $1,683 million for the respective period in 2025, primarily driven by volume growth, partially offset by $41 million customer repayments associated with tariff refunds.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International business for the three months ended June 27, 2026 increased $46 million, or 9.4%, to $533 million, compared to $487 million for the respective period in 2025, primarily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5250"/>
                <wp:effectExtent l="0" t="0" r="0" b="0"/>
                <wp:wrapNone/>
                <wp:docPr id="47" name="Frame4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Cost of goods sold for the three months ended June 27, 2026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rPr>
        <w:t>$489 million, or 9.8%, to $5,470 million, compared to $4,981 million for the respective period in 2025, primarily driven</w:t>
      </w:r>
      <w:r>
        <w:rPr>
          <w:color w:val="000000"/>
          <w:shd w:fill="FFFFFF" w:val="clear"/>
        </w:rPr>
        <w:t xml:space="preserve"> </w:t>
      </w:r>
      <w:r>
        <w:rPr>
          <w:rFonts w:ascii="Times New Roman;serif" w:hAnsi="Times New Roman;serif"/>
          <w:b w:val="false"/>
          <w:color w:val="000000"/>
          <w:sz w:val="20"/>
          <w:shd w:fill="FFFFFF" w:val="clear"/>
        </w:rPr>
        <w:t xml:space="preserve">by the growth in net sales and higher import costs due to tariffs, partially offset by tariff refunds. </w:t>
      </w:r>
      <w:r>
        <w:rPr>
          <w:rFonts w:ascii="Times New Roman;serif" w:hAnsi="Times New Roman;serif"/>
          <w:b w:val="false"/>
          <w:color w:val="000000"/>
          <w:sz w:val="20"/>
        </w:rPr>
        <w:t>Gross profit as a percentage of sales</w:t>
      </w:r>
      <w:r>
        <w:rPr>
          <w:color w:val="000000"/>
          <w:shd w:fill="FFFFFF" w:val="clear"/>
        </w:rPr>
        <w:t xml:space="preserve"> </w:t>
      </w:r>
      <w:r>
        <w:rPr>
          <w:rFonts w:ascii="Times New Roman;serif" w:hAnsi="Times New Roman;serif"/>
          <w:b w:val="false"/>
          <w:color w:val="000000"/>
          <w:sz w:val="20"/>
        </w:rPr>
        <w:t xml:space="preserve">increased from 27.7% for the three months ended June 28, 2025 to 28.8% for the three months ended June 27, 2026, </w:t>
      </w:r>
      <w:r>
        <w:rPr>
          <w:rFonts w:ascii="Times New Roman;serif" w:hAnsi="Times New Roman;serif"/>
          <w:b w:val="false"/>
          <w:color w:val="000000"/>
          <w:sz w:val="20"/>
          <w:shd w:fill="FFFFFF" w:val="clear"/>
        </w:rPr>
        <w:t>primarily driven by net tariff refunds, partially offset by higher import costs due to tariffs.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both"/>
        <w:rPr/>
      </w:pPr>
      <w:r>
        <w:rPr>
          <w:rFonts w:ascii="Times New Roman;serif" w:hAnsi="Times New Roman;serif"/>
          <w:b w:val="false"/>
          <w:color w:val="000000"/>
          <w:sz w:val="20"/>
        </w:rPr>
        <w:t xml:space="preserve">Selling, General, and Administrative (“SG&amp;A”) expenses for the three months ended June 27, 2026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rPr>
        <w:t>$222 million, or 20.7%, to $1,295 million, compared to $1,073 million for the respective period in 2025, primarily due to</w:t>
      </w:r>
      <w:r>
        <w:rPr>
          <w:color w:val="000000"/>
          <w:shd w:fill="FFFFFF" w:val="clear"/>
        </w:rPr>
        <w:t xml:space="preserve"> </w:t>
      </w:r>
      <w:r>
        <w:rPr>
          <w:rFonts w:ascii="Times New Roman;serif" w:hAnsi="Times New Roman;serif"/>
          <w:b w:val="false"/>
          <w:color w:val="000000"/>
          <w:sz w:val="20"/>
        </w:rPr>
        <w:t>$156</w:t>
      </w:r>
      <w:r>
        <w:rPr>
          <w:color w:val="000000"/>
          <w:shd w:fill="FFFFFF" w:val="clear"/>
        </w:rPr>
        <w:t xml:space="preserve"> </w:t>
      </w:r>
      <w:r>
        <w:rPr>
          <w:rFonts w:ascii="Times New Roman;serif" w:hAnsi="Times New Roman;serif"/>
          <w:b w:val="false"/>
          <w:color w:val="000000"/>
          <w:sz w:val="20"/>
          <w:shd w:fill="FFFFFF" w:val="clear"/>
        </w:rPr>
        <w:t xml:space="preserve">million of higher compensation and benefit expenses related to investments in headcount, inclusive of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million of one-time employee bonuses related to the IPO, which are subject to an ongoing service requirement,</w:t>
      </w:r>
      <w:r>
        <w:rPr>
          <w:color w:val="000000"/>
        </w:rPr>
        <w:t xml:space="preserve"> </w:t>
      </w:r>
      <w:r>
        <w:rPr>
          <w:rFonts w:ascii="Times New Roman;serif" w:hAnsi="Times New Roman;serif"/>
          <w:b w:val="false"/>
          <w:color w:val="000000"/>
          <w:sz w:val="20"/>
        </w:rPr>
        <w:t>and $24</w:t>
      </w:r>
      <w:r>
        <w:rPr>
          <w:color w:val="000000"/>
          <w:shd w:fill="FFFFFF" w:val="clear"/>
        </w:rPr>
        <w:t xml:space="preserve"> </w:t>
      </w:r>
      <w:r>
        <w:rPr>
          <w:rFonts w:ascii="Times New Roman;serif" w:hAnsi="Times New Roman;serif"/>
          <w:b w:val="false"/>
          <w:color w:val="000000"/>
          <w:sz w:val="20"/>
        </w:rPr>
        <w:t xml:space="preserve">million related to higher distribution expense, including outbound freight. </w:t>
      </w:r>
      <w:r>
        <w:rPr>
          <w:rFonts w:ascii="Times New Roman;serif" w:hAnsi="Times New Roman;serif"/>
          <w:b w:val="false"/>
          <w:color w:val="000000"/>
          <w:sz w:val="20"/>
          <w:shd w:fill="FFFFFF" w:val="clear"/>
        </w:rPr>
        <w:t xml:space="preserve">The prior year also included </w:t>
      </w:r>
      <w:r>
        <w:rPr>
          <w:rFonts w:ascii="Times New Roman;serif" w:hAnsi="Times New Roman;serif"/>
          <w:b w:val="false"/>
          <w:color w:val="000000"/>
          <w:sz w:val="20"/>
        </w:rPr>
        <w:t>$13</w:t>
      </w:r>
      <w:r>
        <w:rPr>
          <w:color w:val="000000"/>
          <w:shd w:fill="FFFFFF" w:val="clear"/>
        </w:rPr>
        <w:t xml:space="preserve"> </w:t>
      </w:r>
      <w:r>
        <w:rPr>
          <w:rFonts w:ascii="Times New Roman;serif" w:hAnsi="Times New Roman;serif"/>
          <w:b w:val="false"/>
          <w:color w:val="000000"/>
          <w:sz w:val="20"/>
          <w:shd w:fill="FFFFFF" w:val="clear"/>
        </w:rPr>
        <w:t xml:space="preserve">million related to the favorable settlement of an intellectual property dispute, partially offset by </w:t>
      </w:r>
      <w:r>
        <w:rPr>
          <w:rFonts w:ascii="Times New Roman;serif" w:hAnsi="Times New Roman;serif"/>
          <w:b w:val="false"/>
          <w:color w:val="000000"/>
          <w:sz w:val="20"/>
        </w:rPr>
        <w:t>$8 million of credit loss expense related to certain customer receivables, neither of which recurred in 2026</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Operating Expenses for the three months ended June 27, 2026 increased $334 million to $348 million, compared to $14 million for the respective period in 2025, primarily driven by the impact due to fire at the distribution center in Tracy, California.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Interest Expense, net</w:t>
        <w:br/>
      </w:r>
      <w:r>
        <w:rPr>
          <w:rFonts w:ascii="Times New Roman;serif" w:hAnsi="Times New Roman;serif"/>
          <w:b w:val="false"/>
          <w:color w:val="000000"/>
          <w:sz w:val="20"/>
        </w:rPr>
        <w:br/>
        <w:t>Interest expense, net for the three months ended June 27, 2026 decreased $104 million, or 46.6%, to $119 million, compared to $223 million for the respective period in 2025, primarily driven by 2025 repayment of term loan facilities with IPO proceeds and lower interest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Loss,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loss, net for the three months ended June 27, 2026 increased to $42 million, whereas no material Other loss, net was recorded in the respective period in 2025. The increase was primarily due to expense associated with the debt refinancing in May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Exchange Gain (Loss),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Foreign exchange gain (loss), net for the three months ended June 27, 2026 </w:t>
      </w:r>
      <w:r>
        <w:rPr>
          <w:rFonts w:ascii="Times New Roman;serif" w:hAnsi="Times New Roman;serif"/>
          <w:b w:val="false"/>
          <w:color w:val="000000"/>
          <w:sz w:val="20"/>
          <w:shd w:fill="FFFFFF" w:val="clear"/>
        </w:rPr>
        <w:t>increased</w:t>
      </w:r>
      <w:r>
        <w:rPr>
          <w:color w:val="000000"/>
        </w:rPr>
        <w:t xml:space="preserve"> </w:t>
      </w:r>
      <w:r>
        <w:rPr>
          <w:rFonts w:ascii="Times New Roman;serif" w:hAnsi="Times New Roman;serif"/>
          <w:b w:val="false"/>
          <w:color w:val="000000"/>
          <w:sz w:val="20"/>
        </w:rPr>
        <w:t>$61 million to a gain of $1 million, compared to a loss of $60 million for the respective period in 2025, primarily due to unfavorable foreign exchange rate movement on certain settled borrowings denominated in the Euro in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for the three months ended June 27, 2026 increased $70 million to $96 million, compared to $26 million for the respective period in 2025, primarily due to the additional income related to tariff refunds and tax changes associated with the Reorganization, which subjected a greater portion of earnings to corporate</w:t>
        <w:noBreakHyphen/>
        <w:t>level U.S. federal and state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5250"/>
                <wp:effectExtent l="0" t="0" r="0" b="0"/>
                <wp:wrapNone/>
                <wp:docPr id="48" name="Frame4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for the six months ended June 27, 2026 compared to the six months ended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Net sales for the six months ended June 27, 2026 increased $1,507 million, or 11.1%, to $15,037 million, compared to $13,530 million for the respective period in 2025, primarily driven by organic growth with</w:t>
      </w:r>
      <w:r>
        <w:rPr>
          <w:color w:val="000000"/>
          <w:shd w:fill="FFFFFF" w:val="clear"/>
        </w:rPr>
        <w:t xml:space="preserve"> </w:t>
      </w:r>
      <w:r>
        <w:rPr>
          <w:rFonts w:ascii="Times New Roman;serif" w:hAnsi="Times New Roman;serif"/>
          <w:b w:val="false"/>
          <w:color w:val="000000"/>
          <w:sz w:val="20"/>
          <w:shd w:fill="FFFFFF" w:val="clear"/>
        </w:rPr>
        <w:t>foreign curren</w:t>
      </w:r>
      <w:r>
        <w:rPr>
          <w:rFonts w:ascii="Times New Roman;serif" w:hAnsi="Times New Roman;serif"/>
          <w:b w:val="false"/>
          <w:color w:val="000000"/>
          <w:sz w:val="20"/>
        </w:rPr>
        <w:t>cy exchange rates having an immaterial impact on net sales. Organic net sales growth was substantially all related to increased volumes with pricing having an immaterial impact.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Net sales for the U.S. business for the six months ended June 27, 2026 increased $1,416 million, or 11.2%, to $14,009 million, compared to $12,593 million for the respective period in 2025, primarily due to volume growth in Prime Vendor net sales, which for the six months ended June 27, 2026 increased $1,461 million, or 16.8%, to $10,139 million, </w:t>
      </w:r>
      <w:r>
        <w:rPr>
          <w:rFonts w:ascii="Times New Roman;serif" w:hAnsi="Times New Roman;serif"/>
          <w:b w:val="false"/>
          <w:color w:val="000000"/>
          <w:sz w:val="20"/>
          <w:shd w:fill="FFFFFF" w:val="clear"/>
        </w:rPr>
        <w:t xml:space="preserve">compared to $8,678 million for the respective period in 2025. </w:t>
      </w:r>
      <w:r>
        <w:rPr>
          <w:rFonts w:ascii="Times New Roman;serif" w:hAnsi="Times New Roman;serif"/>
          <w:b w:val="false"/>
          <w:color w:val="000000"/>
          <w:sz w:val="20"/>
        </w:rPr>
        <w:t>The growth was partially offset by $89 million customer repayments associated with tariff refunds.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U.S. acute care business, which includes both Prime Vendor and non-Prime Vendor customers, increased $1,244 million, or 13.4%, to $10,532 million, compared to $9,288 million for the respective period in 2025, primarily driven by volume growth, partially offset by $48 million customer repayments associated with tariff refunds. Net sales for the U.S. non-acute care business increased $172 million, or 5.2%, to $3,477 million, compared to $3,305 million for the respective period in 2025, primarily driven by volume growth, partially offset by $41 million customer repayments associated with tariff refunds.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sales for the International business for the six months ended June 27, 2026 increased $91 million, or 9.7%, to $1,028 million, compared to $937 million for the respective period in 2025, primarily driven by volume growth and favorable foreign currenc</w:t>
      </w:r>
      <w:r>
        <w:rPr>
          <w:rFonts w:ascii="Times New Roman;serif" w:hAnsi="Times New Roman;serif"/>
          <w:b w:val="false"/>
          <w:color w:val="000000"/>
          <w:sz w:val="20"/>
          <w:shd w:fill="FFFFFF" w:val="clear"/>
        </w:rPr>
        <w:t xml:space="preserve">y exchange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Cost of goods sold for the six months ended June 27, 2026 increased $1,180 million, or 12.0%, to $10,981 million, compared to $9,801 million for the respective period in 2025, primarily driven by the growth in net sales and higher import costs due to tariffs, partially offset by tariff refunds. Gross profit as a percentage of sales</w:t>
      </w:r>
      <w:r>
        <w:rPr>
          <w:color w:val="000000"/>
          <w:shd w:fill="FFFFFF" w:val="clear"/>
        </w:rPr>
        <w:t xml:space="preserve"> </w:t>
      </w:r>
      <w:r>
        <w:rPr>
          <w:rFonts w:ascii="Times New Roman;serif" w:hAnsi="Times New Roman;serif"/>
          <w:b w:val="false"/>
          <w:color w:val="000000"/>
          <w:sz w:val="20"/>
        </w:rPr>
        <w:t xml:space="preserve">decreased from 27.6% for the six months ended June 28, 2025 to 27.0% for the six months ended June 27, 2026, primarily driven by higher </w:t>
      </w:r>
      <w:r>
        <w:rPr>
          <w:rFonts w:ascii="Times New Roman;serif" w:hAnsi="Times New Roman;serif"/>
          <w:b w:val="false"/>
          <w:color w:val="000000"/>
          <w:sz w:val="20"/>
          <w:shd w:fill="FFFFFF" w:val="clear"/>
        </w:rPr>
        <w:t>import costs due to tariffs, partially</w:t>
      </w:r>
      <w:r>
        <w:rPr>
          <w:color w:val="000000"/>
        </w:rPr>
        <w:t xml:space="preserve"> </w:t>
      </w:r>
      <w:r>
        <w:rPr>
          <w:rFonts w:ascii="Times New Roman;serif" w:hAnsi="Times New Roman;serif"/>
          <w:b w:val="false"/>
          <w:color w:val="000000"/>
          <w:sz w:val="20"/>
        </w:rPr>
        <w:t>offset by net tariff refunds.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0"/>
        <w:jc w:val="both"/>
        <w:rPr/>
      </w:pPr>
      <w:r>
        <w:rPr>
          <w:rFonts w:ascii="Times New Roman;serif" w:hAnsi="Times New Roman;serif"/>
          <w:b w:val="false"/>
          <w:color w:val="000000"/>
          <w:sz w:val="20"/>
        </w:rPr>
        <w:t>SG&amp;A expenses for the six months ended June 27, 2026 increased $380 million, or 17.7%, to $2,523 million, compared to $2,143 million for the respective period in 2025, primarily due to $248 million of higher compensation and benefit expenses related to investments in headcount, inclusive of $33 million of one-time employee bonuses related to the IPO, which are subject to an ongoing service requirement, and $51 m</w:t>
      </w:r>
      <w:r>
        <w:rPr>
          <w:rFonts w:ascii="Times New Roman;serif" w:hAnsi="Times New Roman;serif"/>
          <w:b w:val="false"/>
          <w:color w:val="000000"/>
          <w:sz w:val="20"/>
          <w:shd w:fill="FFFFFF" w:val="clear"/>
        </w:rPr>
        <w:t>illion related to higher distribution expense, including outbound freight. T</w:t>
      </w:r>
      <w:r>
        <w:rPr>
          <w:rFonts w:ascii="Times New Roman;serif" w:hAnsi="Times New Roman;serif"/>
          <w:b w:val="false"/>
          <w:color w:val="000000"/>
          <w:sz w:val="20"/>
        </w:rPr>
        <w:t>he prior year also included $43 million related to the favorable settlement of an intellectual property dispute, partially offset by $32 million of credit loss expense related to certain customer receivables, neither of which recurred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Operating Expenses for the six months ended June 27, 2026 increased $341 million to $363 million, compared to $22 million for the respective period in 2025, primarily driven by the impact due to fire at the distribution center in Tracy, California.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Interest Expense, net</w:t>
        <w:br/>
      </w:r>
      <w:r>
        <w:rPr>
          <w:rFonts w:ascii="Times New Roman;serif" w:hAnsi="Times New Roman;serif"/>
          <w:b w:val="false"/>
          <w:color w:val="000000"/>
          <w:sz w:val="20"/>
        </w:rPr>
        <w:br/>
        <w:t>Interest expense, net for the six months ended June 27, 2026 decreased $178 million, or 41.1%, to $255 million, compared to $433 million for the respective period in 2025, primarily driven by 2025 repayment of term loan facilities with IPO proceeds and lower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5250"/>
                <wp:effectExtent l="0" t="0" r="0" b="0"/>
                <wp:wrapNone/>
                <wp:docPr id="49" name="Frame4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Loss,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loss, net for the six months ended June 27, 2026 increased to $41 million, whereas no material Other loss, net was recorded in the respective period in 2025. The increase was primarily due to expense associated with the debt refinancing in May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Exchange Gain (Loss),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exchange gain (loss), net for the six months ended June 27, 2026 increased $88 million to a gain of $5 million, compared to a loss of $83 million for the respective period in 2025, primarily due to unfavorable foreign exchange rate movement on certain settled borrowings denominated in the Euro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for the six months ended June 27, 2026 increased $106 million to $148 million, compared to $42 million for the respective period in 2025, primarily due to tax changes associated with the Reorganization, which subjected a greater portion of earnings to corporate</w:t>
        <w:noBreakHyphen/>
        <w:t>level U.S. federal and state income taxes, and the additional income related to tariff refunds.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compares business segment net sales, Segment Adjusted EBITDA, and Segment Adjusted EBITDA margin for the three and six months ended</w:t>
      </w:r>
      <w:r>
        <w:rPr>
          <w:color w:val="000000"/>
        </w:rPr>
        <w:t xml:space="preserve"> </w:t>
      </w:r>
      <w:r>
        <w:rPr>
          <w:rFonts w:ascii="Times New Roman;serif" w:hAnsi="Times New Roman;serif"/>
          <w:b w:val="false"/>
          <w:color w:val="000000"/>
          <w:sz w:val="20"/>
        </w:rPr>
        <w:t xml:space="preserve">June 27, 2026 and June 28, 2025: </w:t>
      </w:r>
    </w:p>
    <w:p>
      <w:pPr>
        <w:pStyle w:val="TextBody"/>
        <w:bidi w:val="0"/>
        <w:spacing w:before="0" w:after="0"/>
        <w:jc w:val="both"/>
        <w:rPr/>
      </w:pPr>
      <w:r>
        <w:rPr/>
      </w:r>
    </w:p>
    <w:tbl>
      <w:tblPr>
        <w:tblW w:w="10262" w:type="dxa"/>
        <w:jc w:val="center"/>
        <w:tblInd w:w="0" w:type="dxa"/>
        <w:tblLayout w:type="fixed"/>
        <w:tblCellMar>
          <w:top w:w="28" w:type="dxa"/>
          <w:left w:w="28" w:type="dxa"/>
          <w:bottom w:w="28" w:type="dxa"/>
          <w:right w:w="28" w:type="dxa"/>
        </w:tblCellMar>
      </w:tblPr>
      <w:tblGrid>
        <w:gridCol w:w="353"/>
        <w:gridCol w:w="311"/>
        <w:gridCol w:w="312"/>
        <w:gridCol w:w="196"/>
        <w:gridCol w:w="556"/>
        <w:gridCol w:w="256"/>
        <w:gridCol w:w="109"/>
        <w:gridCol w:w="109"/>
        <w:gridCol w:w="109"/>
        <w:gridCol w:w="196"/>
        <w:gridCol w:w="556"/>
        <w:gridCol w:w="256"/>
        <w:gridCol w:w="109"/>
        <w:gridCol w:w="109"/>
        <w:gridCol w:w="109"/>
        <w:gridCol w:w="198"/>
        <w:gridCol w:w="426"/>
        <w:gridCol w:w="112"/>
        <w:gridCol w:w="109"/>
        <w:gridCol w:w="109"/>
        <w:gridCol w:w="109"/>
        <w:gridCol w:w="265"/>
        <w:gridCol w:w="265"/>
        <w:gridCol w:w="266"/>
        <w:gridCol w:w="109"/>
        <w:gridCol w:w="109"/>
        <w:gridCol w:w="109"/>
        <w:gridCol w:w="196"/>
        <w:gridCol w:w="556"/>
        <w:gridCol w:w="256"/>
        <w:gridCol w:w="109"/>
        <w:gridCol w:w="109"/>
        <w:gridCol w:w="109"/>
        <w:gridCol w:w="196"/>
        <w:gridCol w:w="556"/>
        <w:gridCol w:w="256"/>
        <w:gridCol w:w="109"/>
        <w:gridCol w:w="109"/>
        <w:gridCol w:w="109"/>
        <w:gridCol w:w="198"/>
        <w:gridCol w:w="426"/>
        <w:gridCol w:w="112"/>
        <w:gridCol w:w="109"/>
        <w:gridCol w:w="109"/>
        <w:gridCol w:w="109"/>
        <w:gridCol w:w="204"/>
        <w:gridCol w:w="204"/>
        <w:gridCol w:w="289"/>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 vs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Medline Brand</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Supply Chain Solutions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15.7%</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Segment Adjusted EBITDA margin</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define Segment Adjusted EBITDA margin as the Segment Adjusted EBITDA divided by segment net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16—Segment Information to our unaudited condensed consolidated financial statements included under Part I, “Item 1—Financial Statements” of this Quarterly Report for additional information on our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 for the three months ended June 27, 2026 compared to the three months ended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Medline Brand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Brand segment net sales for the three months ended June 27, 2026 increased $218 million, or 6.6%, to $3,540 million, compared to $3,322 million for the respective period in 2025. The increase was primarily driven by volume growth in Prime Vendor sales of Medline Brand products for the three months ended June 27, 2026, which increased $231 million, or 15.7%, to $1,707 million, compared to $1,476 million for the respective period in 2025, partially offset by $89 million customer repayments associated with tariff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5250"/>
                <wp:effectExtent l="0" t="0" r="0" b="0"/>
                <wp:wrapNone/>
                <wp:docPr id="50" name="Frame4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Surgical Solutions net sales for the three months ended June 27, 2026 increased $131 million, or 8.7%, to $1,640 million, compared to $1,509 million for the respective period in 2025, primarily driven by volume growth in kitting and operating room products, partially offset by customer repayments associated with tariff refunds. Front Line Care net sales for the three months ended June 27, 2026 increased $60 million, or 3.8%, to $1,652 million, compared to $1,592 million for the respective period in 2025, primarily driven by volume growth, including exam gloves and personal care products, partially offset by customer repayments associated with tariff refunds. Laboratory and Diagnostics net sales for the three months ended June 27, 2026 increased $27 million, or 12.2%, to $248 million, compared to $221 million for the respective period in 2025, primarily driven by volume growth in laboratory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Brand Segment Adjusted EBITDA for the three months ended June 27, 2026 increased $177 million, or 19.9%, to $1,067 million, compared to $890 million for the respective period in 2025, primarily driven by tariff refunds and growth in net sales, partially offset by higher import costs due to tariffs and higher compensation and benefit expense related to investments in headcount. Medline Brand Segment Adjusted EBITDA margin increased to 30.1% from 26.8%, primarily driven by tariff refunds, partially offset by higher import costs due to tariffs and higher compensation and benefit expense related to investments in headcount.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Supply Chain Solutions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Supply Chain Solutions segment net sales for the three months ended June 27, 2026 increased $581 million, or 16.3%, to $4,145 million, compared to $3,564 million for the respective period in 2025. The increase was primarily driven by volume growth in Prime Vendor sales for the three months ended June 27, 2026, which increased $577 million, or 19.6%, to $3,519 million,</w:t>
      </w:r>
      <w:r>
        <w:rPr>
          <w:color w:val="000000"/>
          <w:shd w:fill="FFFFFF" w:val="clear"/>
        </w:rPr>
        <w:t xml:space="preserve"> </w:t>
      </w:r>
      <w:r>
        <w:rPr>
          <w:rFonts w:ascii="Times New Roman;serif" w:hAnsi="Times New Roman;serif"/>
          <w:b w:val="false"/>
          <w:color w:val="000000"/>
          <w:sz w:val="20"/>
          <w:shd w:fill="FFFFFF" w:val="clear"/>
        </w:rPr>
        <w:t>compared to $2,942 million for the respective period in 2025,</w:t>
      </w:r>
      <w:r>
        <w:rPr>
          <w:color w:val="000000"/>
        </w:rPr>
        <w:t xml:space="preserve"> </w:t>
      </w:r>
      <w:r>
        <w:rPr>
          <w:rFonts w:ascii="Times New Roman;serif" w:hAnsi="Times New Roman;serif"/>
          <w:b w:val="false"/>
          <w:color w:val="000000"/>
          <w:sz w:val="20"/>
        </w:rPr>
        <w:t>including implementation of new relationships and growth with existing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Adjusted EBITDA for the three months ended June 27, 2026 increased $3 million, or 1.5%, to $204 million, compared to $201 million for the respective period in 2025. Supply Chain Solutions Segment Adjusted EBITDA margin decreased to 4.9% from 5.6%, primarily due to customer mix from new Prime Vendor signings at lower margins and higher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Segment Results of Operations for the six months ended June 27, 2026 compared to the six months ended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Medline Brand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Medline Brand segment net sales for the six months ended June 27, 2026 increased $419 million, or 6.4%, to $7,005 million, compared to $6,586 million for the respective period in 2025. The increase was primarily driven by volume growth in Prime Vendor sales of Medline Brand products for the six months ended June 27, 2026, which increased $383 million, or 13.1%, to $3,312 million, compared to $2,929 million for the respective period in 2025, partially offset by customer repayments associated with tariff refunds.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Surgical Solutions net sales for the six months ended June 27, 2026 increased $238 million, or 8.1%, to $3,194 million, compared to $2,956 million for the respective period in 2025, primarily driven by volume growth in kitting and operating room products, partially offset by customer repayments associated with tariff refunds. Front Line Care net sales for the six months ended June 27, 2026 increased $152 million, or 4.9%, to $3,270 million, compared to $3,118 million for the respective period in 2025, primarily driven by volume growth, including exam gloves and personal care products, partially offset by customer repayments associated with tariff refunds. Laboratory and Diagnostics net sales for the six months ended June 27, 2026 increased $29 million, or 5.7%, to $541 million, compared to $512 million for the respective period in 2025, primarily driven by volume growth in</w:t>
      </w:r>
      <w:r>
        <w:rPr>
          <w:color w:val="000000"/>
          <w:shd w:fill="FFFFFF" w:val="clear"/>
        </w:rPr>
        <w:t xml:space="preserve"> </w:t>
      </w:r>
      <w:r>
        <w:rPr>
          <w:rFonts w:ascii="Times New Roman;serif" w:hAnsi="Times New Roman;serif"/>
          <w:b w:val="false"/>
          <w:color w:val="000000"/>
          <w:sz w:val="20"/>
          <w:shd w:fill="FFFFFF" w:val="clear"/>
        </w:rPr>
        <w:t>laboratory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Medline Brand Segment Adjusted EBITDA for the six months ended June 27, 2026 increased $112 million, or 6.5%, to $1,832 million, compared to $1,720 million for the respective period in 2025, primarily driven by growth in net sales and tariff refunds, partially offset by higher import costs due to tariffs and higher compensation and benefit expense related to investments in headcount. Medline Brand Segment Adjusted EBITDA margin increased to 26.2% from 26.1%, primarily driven by tariff refunds, partially offset by higher import costs due to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5250"/>
                <wp:effectExtent l="0" t="0" r="0" b="0"/>
                <wp:wrapNone/>
                <wp:docPr id="51" name="Frame50"/>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Supply Chain Solutions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Supply Chain Solutions segment net sales for the six months ended June 27, 2026 increased $1,088 million, or 15.7%, to $8,032 million, compared to $6,944 million for the respective period in 2025. The increase was primarily driven by volume growth in Prime Vendor sales for the six months ended June 27, 2026, which increased $1,078 million, or 18.8%, to $6,827 million, comp</w:t>
      </w:r>
      <w:r>
        <w:rPr>
          <w:rFonts w:ascii="Times New Roman;serif" w:hAnsi="Times New Roman;serif"/>
          <w:b w:val="false"/>
          <w:color w:val="000000"/>
          <w:sz w:val="20"/>
          <w:shd w:fill="FFFFFF" w:val="clear"/>
        </w:rPr>
        <w:t>ared to $5,749 million for the respective period in 2025,</w:t>
      </w:r>
      <w:r>
        <w:rPr>
          <w:color w:val="000000"/>
        </w:rPr>
        <w:t xml:space="preserve"> </w:t>
      </w:r>
      <w:r>
        <w:rPr>
          <w:rFonts w:ascii="Times New Roman;serif" w:hAnsi="Times New Roman;serif"/>
          <w:b w:val="false"/>
          <w:color w:val="000000"/>
          <w:sz w:val="20"/>
        </w:rPr>
        <w:t>including implementation of new relationships and growth with existing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Supply Chain Solutions Segment Adjusted EBITDA for the six months ended June 27, 2026 increased $8 million, or 2.1%, to $391 million, compared to $383 million for the respective period in 2025. Supply Chain Solutions Segment Adjusted EBITDA margin decreased to 4.9% from 5.5%, primarily due to customer mix from new Prime Vendor signings at lower margins and higher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Non-GAAP Financial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5250"/>
                <wp:effectExtent l="0" t="0" r="0" b="0"/>
                <wp:wrapNone/>
                <wp:docPr id="52" name="Frame51"/>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income, the most comparable GAAP measure, to Adjusted EBITDA and Adjusted EBITDA Margin:</w:t>
      </w:r>
    </w:p>
    <w:tbl>
      <w:tblPr>
        <w:tblW w:w="8148" w:type="dxa"/>
        <w:jc w:val="center"/>
        <w:tblInd w:w="0" w:type="dxa"/>
        <w:tblLayout w:type="fixed"/>
        <w:tblCellMar>
          <w:top w:w="28" w:type="dxa"/>
          <w:left w:w="28" w:type="dxa"/>
          <w:bottom w:w="28" w:type="dxa"/>
          <w:right w:w="28" w:type="dxa"/>
        </w:tblCellMar>
      </w:tblPr>
      <w:tblGrid>
        <w:gridCol w:w="971"/>
        <w:gridCol w:w="855"/>
        <w:gridCol w:w="858"/>
        <w:gridCol w:w="216"/>
        <w:gridCol w:w="612"/>
        <w:gridCol w:w="282"/>
        <w:gridCol w:w="109"/>
        <w:gridCol w:w="109"/>
        <w:gridCol w:w="109"/>
        <w:gridCol w:w="249"/>
        <w:gridCol w:w="535"/>
        <w:gridCol w:w="325"/>
        <w:gridCol w:w="109"/>
        <w:gridCol w:w="109"/>
        <w:gridCol w:w="109"/>
        <w:gridCol w:w="216"/>
        <w:gridCol w:w="612"/>
        <w:gridCol w:w="282"/>
        <w:gridCol w:w="109"/>
        <w:gridCol w:w="109"/>
        <w:gridCol w:w="109"/>
        <w:gridCol w:w="373"/>
        <w:gridCol w:w="207"/>
        <w:gridCol w:w="57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percentages)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rPr>
            </w:pPr>
            <w:r>
              <w:rPr>
                <w:rFonts w:ascii="Times New Roman;serif" w:hAnsi="Times New Roman;serif"/>
                <w:b/>
                <w:color w:val="000000"/>
                <w:sz w:val="18"/>
              </w:rPr>
              <w:t>Net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Inventory-related adjustments </w:t>
            </w:r>
            <w:r>
              <w:rPr>
                <w:rFonts w:ascii="Times New Roman;serif" w:hAnsi="Times New Roman;serif"/>
                <w:b w:val="false"/>
                <w:color w:val="000000"/>
                <w:sz w:val="12"/>
              </w:rPr>
              <w:t>(1)</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color w:val="000000"/>
              </w:rPr>
              <w:t xml:space="preserve"> </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Litigation gains, net </w:t>
            </w:r>
            <w:r>
              <w:rPr>
                <w:rFonts w:ascii="Times New Roman;serif" w:hAnsi="Times New Roman;serif"/>
                <w:b w:val="false"/>
                <w:color w:val="000000"/>
                <w:sz w:val="12"/>
              </w:rPr>
              <w:t xml:space="preserve">(2)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Transaction-related costs </w:t>
            </w:r>
            <w:r>
              <w:rPr>
                <w:rFonts w:ascii="Times New Roman;serif" w:hAnsi="Times New Roman;serif"/>
                <w:b w:val="false"/>
                <w:color w:val="000000"/>
                <w:sz w:val="12"/>
              </w:rPr>
              <w:t>(3)</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non-core charges </w:t>
            </w:r>
            <w:r>
              <w:rPr>
                <w:rFonts w:ascii="Times New Roman;serif" w:hAnsi="Times New Roman;serif"/>
                <w:b w:val="false"/>
                <w:color w:val="000000"/>
                <w:sz w:val="12"/>
              </w:rPr>
              <w:t xml:space="preserve">(4) </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Net income margin </w:t>
            </w:r>
            <w:r>
              <w:rPr>
                <w:rFonts w:ascii="Times New Roman;serif" w:hAnsi="Times New Roman;serif"/>
                <w:b/>
                <w:color w:val="000000"/>
                <w:sz w:val="12"/>
              </w:rPr>
              <w:t>(5)</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Adjusted EBITDA Margin </w:t>
            </w:r>
            <w:r>
              <w:rPr>
                <w:rFonts w:ascii="Times New Roman;serif" w:hAnsi="Times New Roman;serif"/>
                <w:b/>
                <w:color w:val="000000"/>
                <w:sz w:val="12"/>
              </w:rPr>
              <w:t>(5)</w:t>
            </w:r>
          </w:p>
        </w:tc>
        <w:tc>
          <w:tcPr>
            <w:tcW w:w="8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5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inventory adjustment associated with non-cash last-in, first-out reserves.</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For the three months ended June 28, 2025, represents $(13) million related to settlement of an intellectual property dispute. For the six months ended June 28, 2025, represents a settlement adjustment of $(8) million related to the ethylene oxide litigation, $(43) million related to settlement of an intellectual property dispute, and $4 million related to other legal settlements.</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For the three and six months ended June 27, 2026 and June 28, 2025, respectively, includes $30 million, $4 million, $57 million and $8 million of expenses related to our IPO and subsequent offerings, consisting of legal, accounting, and advisory fees, as well as one-time employee bonuses, which are subject to an ongoing service requirement, and $(1) million, $7 million, $7 million and $15 million of acquisition and integration-related costs and adjustments.</w:t>
      </w:r>
    </w:p>
    <w:p>
      <w:pPr>
        <w:pStyle w:val="TextBody"/>
        <w:bidi w:val="0"/>
        <w:spacing w:lineRule="auto" w:line="26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For the three and six months ended June 27, 2026 and June 28, 2025, respectively, includes $14 million, $7 million, $23 million and $12 million of other project costs; $(1) million, $60 million, $(5) million and $82 million of realized and unrealized foreign exchange and investment (gains) losses; and $(2) million, $8 million, $(6) million and $32 million credit (recoveries) loss expense related to certain customer receivables. The three and six months ended June 27, 2026, respectively, includes $(2) million and $6 million of (gains) losses on disposal of assets and exits. The three and six months ended June 27, 2026 also includes loss of $336 million attributable to fire at distribution center in Tracy, California, and $45 million of loss on debt extinguishment and other debt refinancing costs and fees.</w:t>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Net income margin represents net income divided by net sales and Adjusted EBITDA Margin represents Adjusted EBITDA divided by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our cash and cash equivalents, our cash flows from operations, and our revolving credit facility. As of June 27, 2026, we had cash and cash equivalents of $2,327 million and available liquidity under our Revolving Credit Facility of $946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primary uses of cash include product purchases, operating costs, personnel-related costs, capital expenditures related to property and equipment, acquisitions, payments of interest under our indebtedness, distributions to noncontrolling interest holders, and payments on tax receivable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net capital expenditures were $207</w:t>
      </w:r>
      <w:r>
        <w:rPr>
          <w:color w:val="000000"/>
          <w:shd w:fill="FFFFFF" w:val="clear"/>
        </w:rPr>
        <w:t xml:space="preserve"> </w:t>
      </w:r>
      <w:r>
        <w:rPr>
          <w:rFonts w:ascii="Times New Roman;serif" w:hAnsi="Times New Roman;serif"/>
          <w:b w:val="false"/>
          <w:color w:val="000000"/>
          <w:sz w:val="20"/>
          <w:shd w:fill="FFFFFF" w:val="clear"/>
        </w:rPr>
        <w:t>million and</w:t>
      </w:r>
      <w:r>
        <w:rPr>
          <w:color w:val="000000"/>
        </w:rPr>
        <w:t xml:space="preserve"> </w:t>
      </w:r>
      <w:r>
        <w:rPr>
          <w:rFonts w:ascii="Times New Roman;serif" w:hAnsi="Times New Roman;serif"/>
          <w:b w:val="false"/>
          <w:color w:val="000000"/>
          <w:sz w:val="20"/>
        </w:rPr>
        <w:t>$208 million for the six months ended June 27, 2026 and June 28, 2025, respectively. These include the continued enhancements and automation in our distribution centers and investments in our manufacturing facilities in Mexico and other regions. We anticipate the net capital expenditures for the fiscal year 2026 to total up to $600 milli</w:t>
      </w:r>
      <w:r>
        <w:rPr>
          <w:rFonts w:ascii="Times New Roman;serif" w:hAnsi="Times New Roman;serif"/>
          <w:b w:val="false"/>
          <w:color w:val="000000"/>
          <w:sz w:val="20"/>
          <w:shd w:fill="FFFFFF" w:val="clear"/>
        </w:rPr>
        <w:t>on, primarily related to the expansion of manufacturing facilities and distribution centers, further investment in automation, and investments in capital equipment lost in the Tracy fire.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5250"/>
                <wp:effectExtent l="0" t="0" r="0" b="0"/>
                <wp:wrapNone/>
                <wp:docPr id="53" name="Frame52"/>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we completed certain refinancing transactions. On May 28, 2026, Medline Borrower, LP and Medline Co-Issuer, Inc., our indirect subsidiaries, issued the 2031 Notes and the 2033 Notes. Concurrently with the notes offering, Medline Borrower, LP entered into Amendment No. 7 to the Credit Agreement, pursuant to which it refinanced the existing dollar-denominated term loan facility due 2030 with a new senior secured dollar-denominated term loan facility in an aggregate principal amount of approximately $2,750 million due 2033 (the “2033 Refinancing Term Loan Facility”). The net proceeds from the offering of the 2031 Notes and 2033 Notes, together with borrowings under the 2033 Refinancing Term Loan Facility and cash on hand, were used to repay in full all outstanding indebtedness under our existing dollar-denominated term loan facility due 2028, refinance approximately $724 million of our existing dollar-denominated term loan facility due 2030, redeem approximately $500 million of our 6.250% senior secured notes due 2029, and pay related fees and expenses. See Note 5—Credit Agreements and Borrowings to our unaudited condensed consolidated financial statements included under Part I, “Item 1—Financial Statements” of this Quarterly Report for additional information on our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After completion of the IPO, Medline Inc. became our holding company and has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certain indentures governing the Senior Notes, contain covenants that may restrict Medline Holdings and its subsidiaries from paying such distributions, subject to certain exceptions. Further, Medline Holdings is generally prohibited under Delaware law fr</w:t>
      </w:r>
      <w:r>
        <w:rPr>
          <w:rFonts w:ascii="Times New Roman;serif" w:hAnsi="Times New Roman;serif"/>
          <w:b w:val="false"/>
          <w:color w:val="000000"/>
          <w:sz w:val="20"/>
        </w:rPr>
        <w:t>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Part I, “Item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 of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5250"/>
                <wp:effectExtent l="0" t="0" r="0" b="0"/>
                <wp:wrapNone/>
                <wp:docPr id="54" name="Frame53"/>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table sets forth the major components of our </w:t>
      </w:r>
      <w:r>
        <w:rPr>
          <w:rFonts w:ascii="Times New Roman;serif" w:hAnsi="Times New Roman;serif"/>
          <w:b w:val="false"/>
          <w:color w:val="000000"/>
          <w:sz w:val="20"/>
        </w:rPr>
        <w:t>unaudited Condensed Consolidated</w:t>
      </w:r>
      <w:r>
        <w:rPr>
          <w:color w:val="000000"/>
          <w:shd w:fill="FFFFFF" w:val="clear"/>
        </w:rPr>
        <w:t xml:space="preserve"> </w:t>
      </w:r>
      <w:r>
        <w:rPr>
          <w:rFonts w:ascii="Times New Roman;serif" w:hAnsi="Times New Roman;serif"/>
          <w:b w:val="false"/>
          <w:color w:val="000000"/>
          <w:sz w:val="20"/>
          <w:shd w:fill="FFFFFF" w:val="clear"/>
        </w:rPr>
        <w:t>Statements of Cash Flows for the periods presented:</w:t>
      </w:r>
    </w:p>
    <w:tbl>
      <w:tblPr>
        <w:tblW w:w="7933" w:type="dxa"/>
        <w:jc w:val="center"/>
        <w:tblInd w:w="0" w:type="dxa"/>
        <w:tblLayout w:type="fixed"/>
        <w:tblCellMar>
          <w:top w:w="28" w:type="dxa"/>
          <w:left w:w="28" w:type="dxa"/>
          <w:bottom w:w="28" w:type="dxa"/>
          <w:right w:w="28" w:type="dxa"/>
        </w:tblCellMar>
      </w:tblPr>
      <w:tblGrid>
        <w:gridCol w:w="1884"/>
        <w:gridCol w:w="1658"/>
        <w:gridCol w:w="1663"/>
        <w:gridCol w:w="252"/>
        <w:gridCol w:w="718"/>
        <w:gridCol w:w="140"/>
        <w:gridCol w:w="116"/>
        <w:gridCol w:w="116"/>
        <w:gridCol w:w="116"/>
        <w:gridCol w:w="116"/>
        <w:gridCol w:w="293"/>
        <w:gridCol w:w="631"/>
        <w:gridCol w:w="230"/>
      </w:tblGrid>
      <w:tr>
        <w:trPr/>
        <w:tc>
          <w:tcPr>
            <w:tcW w:w="188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7"/>
            <w:tcBorders/>
            <w:tcMar>
              <w:top w:w="0" w:type="dxa"/>
              <w:left w:w="0" w:type="dxa"/>
              <w:bottom w:w="0" w:type="dxa"/>
              <w:right w:w="0" w:type="dxa"/>
            </w:tcMar>
            <w:vAlign w:val="center"/>
          </w:tcPr>
          <w:p>
            <w:pPr>
              <w:pStyle w:val="TableContents"/>
              <w:bidi w:val="0"/>
              <w:spacing w:lineRule="auto" w:line="288" w:before="0" w:after="283"/>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1154" w:type="dxa"/>
            <w:gridSpan w:val="3"/>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2026</w:t>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28, 2025</w:t>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and cash equivalents and restricted cash provided by (used in):</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$1,127 million and $879 million for the six months ended June 27, 2026 and June 28, 2025,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cash provided by operating activities for the six months ended June 27, 2026 wa</w:t>
      </w:r>
      <w:r>
        <w:rPr>
          <w:rFonts w:ascii="Times New Roman;serif" w:hAnsi="Times New Roman;serif"/>
          <w:b w:val="false"/>
          <w:color w:val="000000"/>
          <w:sz w:val="20"/>
          <w:shd w:fill="FFFFFF" w:val="clear"/>
        </w:rPr>
        <w:t>s prima</w:t>
      </w:r>
      <w:r>
        <w:rPr>
          <w:rFonts w:ascii="Times New Roman;serif" w:hAnsi="Times New Roman;serif"/>
          <w:b w:val="false"/>
          <w:color w:val="000000"/>
          <w:sz w:val="20"/>
        </w:rPr>
        <w:t xml:space="preserve">rily driven by </w:t>
      </w:r>
      <w:r>
        <w:rPr>
          <w:rFonts w:ascii="Times New Roman;serif" w:hAnsi="Times New Roman;serif"/>
          <w:b w:val="false"/>
          <w:color w:val="000000"/>
          <w:sz w:val="20"/>
          <w:shd w:fill="FFFFFF" w:val="clear"/>
        </w:rPr>
        <w:t xml:space="preserve">net income </w:t>
      </w:r>
      <w:r>
        <w:rPr>
          <w:rFonts w:ascii="Times New Roman;serif" w:hAnsi="Times New Roman;serif"/>
          <w:b w:val="false"/>
          <w:color w:val="000000"/>
          <w:sz w:val="20"/>
        </w:rPr>
        <w:t>excluding non-cash items, partially offset by changes in working capital. Changes in working capital resulted in net cash used of $324 million, which is primarily driven by an increase in other assets of $279 million related to the IEEPA tariff refund receivable, and an increase in trade accounts receivable of $148 million due to sales growth, partially offset by an increase in accrued expenses and other current liabilities of $89 million related to customer repayments associated with tariff refunds.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Net cash provided by operating activities for the six months ended June 28, 2025 was primarily driven by net income excluding non-cash item</w:t>
      </w:r>
      <w:r>
        <w:rPr>
          <w:rFonts w:ascii="Times New Roman;serif" w:hAnsi="Times New Roman;serif"/>
          <w:b w:val="false"/>
          <w:color w:val="000000"/>
          <w:sz w:val="20"/>
        </w:rPr>
        <w:t>s, partially offset by changes in working capital</w:t>
      </w:r>
      <w:r>
        <w:rPr>
          <w:rFonts w:ascii="Times New Roman;serif" w:hAnsi="Times New Roman;serif"/>
          <w:b w:val="false"/>
          <w:color w:val="000000"/>
          <w:sz w:val="20"/>
          <w:shd w:fill="FFFFFF" w:val="clear"/>
        </w:rPr>
        <w:t xml:space="preserve">. Changes in working capital resulted in net cash used of $502 million, which is primarily driven by an increase in inventories of $160 million including tariff impacts, an increase in trade accounts receivable of $149 million, and payment of a litigation accrual of </w:t>
      </w:r>
      <w:r>
        <w:rPr>
          <w:rFonts w:ascii="Times New Roman;serif" w:hAnsi="Times New Roman;serif"/>
          <w:b w:val="false"/>
          <w:color w:val="000000"/>
          <w:sz w:val="20"/>
        </w:rPr>
        <w:t>$166</w:t>
      </w:r>
      <w:r>
        <w:rPr>
          <w:color w:val="000000"/>
          <w:shd w:fill="FFFFFF" w:val="clear"/>
        </w:rPr>
        <w:t xml:space="preserve"> </w:t>
      </w:r>
      <w:r>
        <w:rPr>
          <w:rFonts w:ascii="Times New Roman;serif" w:hAnsi="Times New Roman;serif"/>
          <w:b w:val="false"/>
          <w:color w:val="000000"/>
          <w:sz w:val="20"/>
          <w:shd w:fill="FFFFFF" w:val="clear"/>
        </w:rPr>
        <w:t>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used in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For the six months ended June 27, 2026, net cash used in investing activities was driven by short-term investments in time deposits of $350 million and net capital expenditures of $207 million.</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For the six months ended June 28, 2025, net cash used in investing activities was primarily driven by net capital expenditures of $208 million and payments for asset acquisitions of $33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 used in 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27, 2026, net cash used in financing activities was primarily driven by distributions to noncontrolling interests of $123 million and $41 million net repayment of long-term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six months ended June 28, 2025, net cash used in financing activities was primarily driven by distribution to partners of $303 million, repayment for long-term borrowings of $19 million, and Class B Unit repurchases of $15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27, 2026, our total indebtedness was $12,750 million, including outstanding borrowings of senior unsecured notes with a principal amount of $2,500 million, senior secured notes with a principal amount of $7,500 million, and $2,750 million under a senior secured term loan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27, 2026, we issued 2031 Notes and 2033 Notes. We also entered into Amendment No. 7 to the Credit Agreement, which refinanced our existing dollar-denominated term loan facility due 2030 with the 2033 Refinancing Term Loan Facility. The 2033 Refinancing Term Loan Facility amortizes in equal quarterly installments in an aggregate annual amount equal to 1.00% of the original principal amount of the loans, with the balance payable at maturity of the 2033 Refinancing Term Loan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5250"/>
                <wp:effectExtent l="0" t="0" r="0" b="0"/>
                <wp:wrapNone/>
                <wp:docPr id="55" name="Frame54"/>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long-term debt contains affirmative and negative covenants, including under the Credit Agreement, as amended, and the indentures governing the Senior Notes. We were in compliance with all such covenants as of June 27, 2026. The springing financial covenant under the Credit Agreement, which is applicable solely to the Revolving Credit Facility, requires compliance with a maximum ratio of consolidated first lien net indebtedness to Consolidated EBITDA (as defined in the Credit Agreement) of 8.3x,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June 27, 2026 as we did not have any outstanding borrowings under the Revolving Credit Facility at such time, our ratio of consolidated first lien net indebtedness to Consolidated EBITDA as of the last day of any applicable fiscal quarter has not exceeded the maximum ratio permitted under the springing financial covenant. The failure to satisfy this ratio would impact our ability to borrow amounts committed under our Revolving Credit Facility which could have a material impact on our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5—Credit Agreements and Borrowings to our unaudited condensed consolidated financial statements included under Part I, “Item 1—Financial Statements” of this Quarterly Report for additional information on our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interest rate derivatives to add stability to interest expense and to manage our exposure to interest rate movements. See Note 11—Derivatives and Hedging Activities Risk Management to our unaudited condensed consolidated financial statements included under Part I, “Item 1—Financial Statements” of this Quarterly Report, and Part II, “Item 7—Management’s Discussion and Analysis of Financial Condition and Results of Operations —Cash Flow Hedges of Interest Rate Risk” of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27, 2026, we had recorded a tax receivable agreement liability of $4,404 million. Assuming: (i) a price of $38.87 per share of our Class A common stock, which was the closing sales price of our Class A common stock on June 27, 2026 as reported on Nasdaq; (ii) a constant corporate tax rate of 25.7%; (iii) we will have sufficient taxable income to fully utilize the tax benefits; and (iv) no material changes in tax law, if the Continuing Unitholders had exchanged all of the Common Units that they held on June 27, 2026, and assuming all Incentive Units had been converted to Common Units and subsequently exchanged for shares of Class A common stock at a price of $38.87 per share of Class A common stock as of such date, we would, as a result of such hypothetical exchange, have incremental tax benefits related to attributes covered by the tax receivable agreement of approximately $6,510 million and increase the aggregate noncurrent tax receivable agreement liability recorded, based on our estimate of the aggregate amount that Medline Inc. would pay under the tax receivable agreement, to approximately $10,251 million, generally payable over a 15-year period. These amounts are estimates and have been prepared for informational purposes only. The actual amount of tax benefits related to attributes covered by the tax receivable agreement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7—Tax Receivable Agreement and Note 15—Related Party to our unaudited condensed consolidated financial statements included under Part I, “Item 1—Financial Statements” of this Quarterly Report, and Part II, “Item 7—Management’s Discussion and Analysis of Financial Condition and Results of Operations —Tax Receivable Agreement”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27, 2026, other than the refinancing transactions described above and in Note 5—Credit Agreements and Borrowings to our unaudited condensed consolidated financial statements included under Part I, “Item 1—Financial Statements” of this Quarterly Report, there were no material changes to the contractual obligations from those disclosed in our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debt and non-cancellable contractual service and purchases obligations, see Note 5—Credit Agreements and Borrowings and Note 9—Commitment and Contingencies to our unaudited condensed consolidated financial statements included under Part I, “Item 1—Financial Statements”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5250"/>
                <wp:effectExtent l="0" t="0" r="0" b="0"/>
                <wp:wrapNone/>
                <wp:docPr id="56" name="Frame55"/>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from those disclosed in Part II, “Item 7—Management’s Discussion and Analysis of Financial Condition and Results of Operations—Critical Accounting Estimates” of our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Adopted Accounting Standards and Recently Issued Accounting Standards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adopted accounting standards and recently issued accounting standards not yet adopted, please see Note 1—Nature of Business and Significant Accounting Policies to our unaudited condensed consolidated financial statements included under Part I, “Item 1—Financial Statements” of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our exposure to market risks as disclosed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with the participation of the Company’s principal executive officer and principal financial officer, has evaluated the effectiveness of our disclosure controls and procedures, as defined in Rules 13a-15(e) and 15d-15(e) under the Exchange Act, as of the end of the period covered by this Quarterly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Company’s principal executive officer and principal financial officer concluded that, as of the end of the period covered by this Quarterly Report, the Company’s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identified in connection with the evaluation required by Rules 13a-15(d) and 15d-15(d) of the Exchange Act during the quarter ended June 27,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on Effectiveness of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95250"/>
                <wp:effectExtent l="0" t="0" r="0" b="0"/>
                <wp:wrapNone/>
                <wp:docPr id="57" name="Frame56"/>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litigation, including those described herein,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9—Commitments and Contingencies to our unaudited condensed consolidated financial statements included under Part I, “Item 1—Financial Statements” of this Quarterly Report, which is incorporated by reference into this Item 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for the period covered by this Quarterly Report to the risk factors disclosed in Part I, “Item 1A—Risk Factors” of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18, 2025, we completed the IPO of our Class A common stock in which we issued and sold 248,439,654 shares of Class A common stock (including shares issued pursuant to the exercise in full of the underwriters’ option to purchase additional shares) for cash consideration of $29.00 per share. The shares sold in the offering were registered under the Securities Act pursuant to our Registration Statement on Form S-1 (File No. 333-291112) which was declared effective by the SEC on December 16, 2025. There has been no change in the use of proceeds from our IPO as described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Trading Plan Arrangements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terms of trading arrangements adopted or terminated by our officers or directors during the three months ended June 27, 2026. The trading arrangement listed below is intended to satisfy the affirmative defense conditions of Rule 10b5-1(c).</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4"/>
        <w:gridCol w:w="354"/>
        <w:gridCol w:w="361"/>
        <w:gridCol w:w="754"/>
        <w:gridCol w:w="754"/>
        <w:gridCol w:w="764"/>
        <w:gridCol w:w="598"/>
        <w:gridCol w:w="598"/>
        <w:gridCol w:w="600"/>
        <w:gridCol w:w="665"/>
        <w:gridCol w:w="665"/>
        <w:gridCol w:w="666"/>
        <w:gridCol w:w="881"/>
        <w:gridCol w:w="881"/>
        <w:gridCol w:w="1260"/>
      </w:tblGrid>
      <w:tr>
        <w:trPr/>
        <w:tc>
          <w:tcPr>
            <w:tcW w:w="4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2272"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179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Adoption or Termination</w:t>
            </w:r>
          </w:p>
        </w:tc>
        <w:tc>
          <w:tcPr>
            <w:tcW w:w="199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of Trading Arrangement</w:t>
            </w:r>
          </w:p>
        </w:tc>
        <w:tc>
          <w:tcPr>
            <w:tcW w:w="3022"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to be Sold Pursuant to the Trading Arrangement*</w:t>
            </w:r>
          </w:p>
        </w:tc>
      </w:tr>
      <w:tr>
        <w:trPr/>
        <w:tc>
          <w:tcPr>
            <w:tcW w:w="11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Abrams</w:t>
            </w:r>
          </w:p>
        </w:tc>
        <w:tc>
          <w:tcPr>
            <w:tcW w:w="227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Supply Chain Solutions</w:t>
            </w:r>
          </w:p>
        </w:tc>
        <w:tc>
          <w:tcPr>
            <w:tcW w:w="1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on May 26, 2026</w:t>
            </w:r>
          </w:p>
        </w:tc>
        <w:tc>
          <w:tcPr>
            <w:tcW w:w="19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12, 2026 – March 31, 2027</w:t>
            </w:r>
          </w:p>
        </w:tc>
        <w:tc>
          <w:tcPr>
            <w:tcW w:w="30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1,139,433 shares of Class A common stock</w:t>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022"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022"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022"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022"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5018" w:type="dxa"/>
            <w:gridSpan w:val="6"/>
            <w:tcBorders/>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022"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0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Represents the maximum number of shares that may be sold pursuant to the trading arrangement. The actual number of shares sold will depend upon the satisfaction of certain conditions as set forth in the written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5250"/>
                <wp:effectExtent l="0" t="0" r="0" b="0"/>
                <wp:wrapNone/>
                <wp:docPr id="58" name="Frame57"/>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56</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2831"/>
        <w:gridCol w:w="2589"/>
        <w:gridCol w:w="368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9105"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pPr>
            <w:r>
              <w:rPr>
                <w:rFonts w:ascii="Times New Roman;serif" w:hAnsi="Times New Roman;serif"/>
                <w:b/>
                <w:color w:val="000000"/>
                <w:sz w:val="20"/>
              </w:rPr>
              <w:t>Exhibit</w:t>
            </w:r>
            <w:r>
              <w:rPr>
                <w:rFonts w:ascii="Times New Roman;serif" w:hAnsi="Times New Roman;serif"/>
                <w:b w:val="false"/>
                <w:color w:val="000000"/>
                <w:sz w:val="20"/>
              </w:rPr>
              <w:br/>
            </w: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0"/>
              <w:jc w:val="both"/>
              <w:rPr/>
            </w:pPr>
            <w:hyperlink r:id="rId3">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filed on December 22, 2025)</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4">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filed on December 22, 2025)</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5">
              <w:r>
                <w:rPr>
                  <w:rStyle w:val="InternetLink"/>
                  <w:rFonts w:ascii="Times New Roman;serif" w:hAnsi="Times New Roman;serif"/>
                  <w:b w:val="false"/>
                  <w:color w:val="0000FF"/>
                  <w:sz w:val="20"/>
                  <w:u w:val="single"/>
                </w:rPr>
                <w:t>Indenture, dated as of May 28, 2026, among Medline Borrower, LP, as the Issuer, Medline Co-Issuer, Inc., as the Co-Issuer, Medline Intermediate, LP, as Holdings, the Subsidiary Guarantors named therein, and Wilmington Trust, National Association, as Trustee, Paying Agent, Transfer Agent, Registrar and Notes Collateral Agent. (incorporated by reference to Exhibit 4.1 to the Registrant’s Current Report on Form 8-K filed on June 2, 2026)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6">
              <w:r>
                <w:rPr>
                  <w:rStyle w:val="InternetLink"/>
                  <w:rFonts w:ascii="Times New Roman;serif" w:hAnsi="Times New Roman;serif"/>
                  <w:b w:val="false"/>
                  <w:color w:val="0000FF"/>
                  <w:sz w:val="20"/>
                  <w:u w:val="single"/>
                </w:rPr>
                <w:t>Form of the 5.000% Senior Secured Note due 2031 (included in Exhibit 4.1 hereto). (incorporated by reference to Exhibit 4.2 to the Registrant’s Current Report on Form 8-K filed on June 2, 2026)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7">
              <w:r>
                <w:rPr>
                  <w:rStyle w:val="InternetLink"/>
                  <w:rFonts w:ascii="Times New Roman;serif" w:hAnsi="Times New Roman;serif"/>
                  <w:b w:val="false"/>
                  <w:color w:val="0000FF"/>
                  <w:sz w:val="20"/>
                  <w:u w:val="single"/>
                </w:rPr>
                <w:t>Form of the 5.250% Senior Secured Note due 2033 (included in Exhibit 4.1 hereto). (incorporated by reference to Exhibit 4.3 to the Registrant’s Current Report on Form 8-K filed on June 2, 2026)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101medlineincexecutivean.htm">
              <w:r>
                <w:rPr>
                  <w:rStyle w:val="InternetLink"/>
                  <w:rFonts w:ascii="Times New Roman;serif" w:hAnsi="Times New Roman;serif"/>
                  <w:b w:val="false"/>
                  <w:color w:val="0000FF"/>
                  <w:sz w:val="20"/>
                  <w:u w:val="single"/>
                </w:rPr>
                <w:t>Medline Inc. Executive Annual Incentive Plan *†</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r:id="rId8">
              <w:r>
                <w:rPr>
                  <w:rStyle w:val="InternetLink"/>
                  <w:rFonts w:ascii="Times New Roman;serif" w:hAnsi="Times New Roman;serif"/>
                  <w:b w:val="false"/>
                  <w:color w:val="0000FF"/>
                  <w:sz w:val="20"/>
                  <w:u w:val="single"/>
                </w:rPr>
                <w:t>Amendment No. 7 to the Credit Agreement, dated as of May 28, 2026, among Medline Intermediate, LP, Medline Borrower, LP, as successor in interest to Mozart Debt Merger Sub Inc., the guarantors from time to time party thereto, the lending institutions and L/C issuers from time to time party thereto, and Bank of America, N.A., as administrative agent, collateral agent, lender and L/C issuer. (incorporated by reference to Exhibit 10.1 to the Registrant’s Current Report on Form 8-K filed on June 2, 2026)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11ceoq22026section302ce.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12cfoq22026section302ce.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21ceoq22026section906ce.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pPr>
            <w:hyperlink w:anchor="ex322cfoq22026section906ce.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9105"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 The certifications attached as Exhibits 32.1 and 32.2 to this Quarterly Report are deemed furnished and not filed with the SEC and are not to be incorporated by reference into any filing of the Company under the Securities Act or the Exchange Act, whether made before or after the date of this Quarterly Report, irrespective of any general incorporation language contained in such filing.</w:t>
      </w:r>
    </w:p>
    <w:p>
      <w:pPr>
        <w:pStyle w:val="TextBody"/>
        <w:bidi w:val="0"/>
        <w:spacing w:lineRule="auto" w:line="333" w:before="0" w:after="0"/>
        <w:jc w:val="both"/>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5250"/>
                <wp:effectExtent l="0" t="0" r="0" b="0"/>
                <wp:wrapNone/>
                <wp:docPr id="59" name="Frame58"/>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3236" w:type="dxa"/>
        <w:jc w:val="left"/>
        <w:tblInd w:w="0" w:type="dxa"/>
        <w:tblLayout w:type="fixed"/>
        <w:tblCellMar>
          <w:top w:w="28" w:type="dxa"/>
          <w:left w:w="28" w:type="dxa"/>
          <w:bottom w:w="28" w:type="dxa"/>
          <w:right w:w="28" w:type="dxa"/>
        </w:tblCellMar>
      </w:tblPr>
      <w:tblGrid>
        <w:gridCol w:w="265"/>
        <w:gridCol w:w="233"/>
        <w:gridCol w:w="233"/>
        <w:gridCol w:w="731"/>
        <w:gridCol w:w="731"/>
        <w:gridCol w:w="1043"/>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8"/>
              </w:rPr>
              <w:t xml:space="preserve">/s/ </w:t>
            </w:r>
            <w:r>
              <w:rPr>
                <w:rFonts w:ascii="Times New Roman;serif" w:hAnsi="Times New Roman;serif"/>
                <w:b w:val="false"/>
                <w:i/>
                <w:color w:val="000000"/>
                <w:sz w:val="20"/>
              </w:rPr>
              <w:t>Michael B. Drazin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Michael B. Drazin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tbl>
      <w:tblPr>
        <w:tblW w:w="3431" w:type="dxa"/>
        <w:jc w:val="left"/>
        <w:tblInd w:w="0" w:type="dxa"/>
        <w:tblLayout w:type="fixed"/>
        <w:tblCellMar>
          <w:top w:w="28" w:type="dxa"/>
          <w:left w:w="28" w:type="dxa"/>
          <w:bottom w:w="28" w:type="dxa"/>
          <w:right w:w="28" w:type="dxa"/>
        </w:tblCellMar>
      </w:tblPr>
      <w:tblGrid>
        <w:gridCol w:w="265"/>
        <w:gridCol w:w="233"/>
        <w:gridCol w:w="233"/>
        <w:gridCol w:w="788"/>
        <w:gridCol w:w="788"/>
        <w:gridCol w:w="112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MEDLINE INC.</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8"/>
              </w:rPr>
              <w:t xml:space="preserve">/s/ </w:t>
            </w:r>
            <w:r>
              <w:rPr>
                <w:rFonts w:ascii="Times New Roman;serif" w:hAnsi="Times New Roman;serif"/>
                <w:b w:val="false"/>
                <w:i/>
                <w:color w:val="000000"/>
                <w:sz w:val="20"/>
              </w:rPr>
              <w:t>Jessi L. Corcoran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Jessi L. Corcoran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5250"/>
                <wp:effectExtent l="0" t="0" r="0" b="0"/>
                <wp:wrapNone/>
                <wp:docPr id="60" name="Frame59"/>
                <a:graphic xmlns:a="http://schemas.openxmlformats.org/drawingml/2006/main">
                  <a:graphicData uri="http://schemas.microsoft.com/office/word/2010/wordprocessingShape">
                    <wps:wsp>
                      <wps:cNvSpPr txBox="1"/>
                      <wps:spPr>
                        <a:xfrm>
                          <a:off x="0" y="0"/>
                          <a:ext cx="6480175" cy="95250"/>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3"/>
                        </w:rPr>
                      </w:pPr>
                      <w:r>
                        <w:rPr>
                          <w:rFonts w:ascii="Times New Roman;serif" w:hAnsi="Times New Roman;serif"/>
                          <w:b w:val="false"/>
                          <w:color w:val="000000"/>
                          <w:sz w:val="13"/>
                        </w:rPr>
                        <w:t>58</w:t>
                      </w:r>
                    </w:p>
                  </w:txbxContent>
                </v:textbox>
                <w10:wrap type="none"/>
              </v:rect>
            </w:pict>
          </mc:Fallback>
        </mc:AlternateContent>
      </w:r>
    </w:p>
    <w:tbl>
      <w:tblPr>
        <w:tblW w:w="9475" w:type="dxa"/>
        <w:jc w:val="left"/>
        <w:tblInd w:w="0" w:type="dxa"/>
        <w:tblLayout w:type="fixed"/>
        <w:tblCellMar>
          <w:top w:w="28" w:type="dxa"/>
          <w:left w:w="28" w:type="dxa"/>
          <w:bottom w:w="28" w:type="dxa"/>
          <w:right w:w="28" w:type="dxa"/>
        </w:tblCellMar>
      </w:tblPr>
      <w:tblGrid>
        <w:gridCol w:w="515"/>
        <w:gridCol w:w="452"/>
        <w:gridCol w:w="454"/>
        <w:gridCol w:w="1255"/>
        <w:gridCol w:w="1255"/>
        <w:gridCol w:w="1255"/>
        <w:gridCol w:w="1255"/>
        <w:gridCol w:w="1255"/>
        <w:gridCol w:w="1779"/>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142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38200" cy="819150"/>
                  <wp:effectExtent l="0" t="0" r="0" b="0"/>
                  <wp:docPr id="6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descr=""/>
                          <pic:cNvPicPr>
                            <a:picLocks noChangeAspect="1" noChangeArrowheads="1"/>
                          </pic:cNvPicPr>
                        </pic:nvPicPr>
                        <pic:blipFill>
                          <a:blip r:embed="rId9"/>
                          <a:stretch>
                            <a:fillRect/>
                          </a:stretch>
                        </pic:blipFill>
                        <pic:spPr bwMode="auto">
                          <a:xfrm>
                            <a:off x="0" y="0"/>
                            <a:ext cx="838200" cy="819150"/>
                          </a:xfrm>
                          <a:prstGeom prst="rect">
                            <a:avLst/>
                          </a:prstGeom>
                        </pic:spPr>
                      </pic:pic>
                    </a:graphicData>
                  </a:graphic>
                </wp:inline>
              </w:drawing>
            </w:r>
          </w:p>
        </w:tc>
        <w:tc>
          <w:tcPr>
            <w:tcW w:w="8054"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color w:val="000000"/>
                <w:sz w:val="32"/>
              </w:rPr>
            </w:pPr>
            <w:r>
              <w:rPr>
                <w:rFonts w:ascii="sans-serif" w:hAnsi="sans-serif"/>
                <w:b/>
                <w:color w:val="000000"/>
                <w:sz w:val="32"/>
              </w:rPr>
              <w:t>Medline Inc. Executive Annual Incentive Plan</w:t>
            </w:r>
          </w:p>
        </w:tc>
      </w:tr>
      <w:tr>
        <w:trPr/>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7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Category</w:t>
            </w:r>
          </w:p>
        </w:tc>
        <w:tc>
          <w:tcPr>
            <w:tcW w:w="42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Human Resources</w:t>
            </w:r>
          </w:p>
        </w:tc>
      </w:tr>
      <w:tr>
        <w:trPr/>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76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Subcategory</w:t>
            </w:r>
          </w:p>
        </w:tc>
        <w:tc>
          <w:tcPr>
            <w:tcW w:w="42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Compensation</w:t>
            </w:r>
          </w:p>
        </w:tc>
      </w:tr>
      <w:tr>
        <w:trPr/>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76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Effective Date</w:t>
            </w:r>
          </w:p>
        </w:tc>
        <w:tc>
          <w:tcPr>
            <w:tcW w:w="428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January 1, 2026</w:t>
            </w:r>
          </w:p>
        </w:tc>
      </w:tr>
    </w:tbl>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I.Purpose and Administration</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The Plan is sponsored by Medline Inc. (the “Company”) to attract, retain, and reward Eligible Employees (as defined below) of the Company and its Subsidiaries who contribute to the Company’s growth, profitability, and value.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Annual Incentives (as defined below) constitute “Other Cash-Based Awards” under the Medline Inc. 2025 Omnibus Incentive Plan (the “2025 OIP”) and are subject to the terms and conditions of the 2025 OIP. This Plan document, the 2025 OIP, the AIP Letter, and the Acknowledgement constitute the Plan. Capitalized terms not otherwise defined herein shall have the meaning set forth in the 2025 OIP.</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The Plan shall be administered by the Committee (as defined in the 2025 OIP) in its sole discretion.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II.Definitions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following definitions apply to the Plan:</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Acknowledgement” means the Eligible Employee’s acceptance of the Plan and AIP Letter in the Company’s Workday system or other similar attestation process.</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 xml:space="preserve">AIP Letter” means the document describing a Participant’s Performance Goals for a Plan Year.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Good Standing” means the Participant is not in violation of any Company policy and is not subject to a performance improvement plan.</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Performance Goals” means each Company or individual Performance Condition (as defined in the 2025 OIP) applicable to a Participant’s Annual Incentive for the applicable Plan Year and as described in an AIP Letter.</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Plan” means the Medline Inc. Executive Annual Incentive Plan.</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 xml:space="preserve">Plan Year” means the calendar year applicable to the Performance Goals. </w:t>
      </w:r>
    </w:p>
    <w:p>
      <w:pPr>
        <w:pStyle w:val="TextBody"/>
        <w:bidi w:val="0"/>
        <w:spacing w:lineRule="auto" w:line="288" w:before="120" w:after="120"/>
        <w:ind w:left="0" w:right="0" w:hanging="360"/>
        <w:jc w:val="both"/>
        <w:rPr/>
      </w:pPr>
      <w:r>
        <w:rPr>
          <w:color w:val="000000"/>
        </w:rPr>
        <w:t>•“</w:t>
      </w:r>
      <w:r>
        <w:rPr>
          <w:rFonts w:ascii="sans-serif" w:hAnsi="sans-serif"/>
          <w:b w:val="false"/>
          <w:color w:val="000000"/>
          <w:sz w:val="22"/>
        </w:rPr>
        <w:t xml:space="preserve">Severance Plan” means the Amended &amp; Restated Medline Inc. Executive Severance Plan. </w:t>
      </w:r>
    </w:p>
    <w:p>
      <w:pPr>
        <w:pStyle w:val="TextBody"/>
        <w:bidi w:val="0"/>
        <w:spacing w:lineRule="auto" w:line="288" w:before="120" w:after="120"/>
        <w:ind w:left="0" w:right="0" w:hanging="360"/>
        <w:jc w:val="both"/>
        <w:rPr>
          <w:rFonts w:ascii="sans-serif" w:hAnsi="sans-serif"/>
          <w:b/>
          <w:color w:val="000000"/>
          <w:sz w:val="22"/>
        </w:rPr>
      </w:pPr>
      <w:r>
        <w:rPr>
          <w:rFonts w:ascii="sans-serif" w:hAnsi="sans-serif"/>
          <w:b/>
          <w:color w:val="000000"/>
          <w:sz w:val="22"/>
        </w:rPr>
        <w:t>III.Eligible Employees &amp; Participants</w:t>
      </w:r>
    </w:p>
    <w:p>
      <w:pPr>
        <w:pStyle w:val="TextBody"/>
        <w:bidi w:val="0"/>
        <w:spacing w:lineRule="auto" w:line="288" w:before="120" w:after="120"/>
        <w:jc w:val="left"/>
        <w:rPr>
          <w:rFonts w:ascii="sans-serif" w:hAnsi="sans-serif"/>
          <w:b w:val="false"/>
          <w:color w:val="000000"/>
          <w:sz w:val="22"/>
        </w:rPr>
      </w:pPr>
      <w:r>
        <w:rPr>
          <w:rFonts w:ascii="sans-serif" w:hAnsi="sans-serif"/>
          <w:b w:val="false"/>
          <w:color w:val="000000"/>
          <w:sz w:val="22"/>
        </w:rPr>
        <w:t>From time to time, the Committee may, in its sole discretion, determine the executive officers of the Company and its Subsidiaries who are eligible to participate in the Plan (collectively, the “Eligible Employees”).</w:t>
      </w:r>
    </w:p>
    <w:p>
      <w:pPr>
        <w:pStyle w:val="TextBody"/>
        <w:bidi w:val="0"/>
        <w:spacing w:lineRule="auto" w:line="288" w:before="120" w:after="120"/>
        <w:jc w:val="left"/>
        <w:rPr>
          <w:rFonts w:ascii="sans-serif" w:hAnsi="sans-serif"/>
          <w:b w:val="false"/>
          <w:color w:val="000000"/>
          <w:sz w:val="22"/>
        </w:rPr>
      </w:pPr>
      <w:r>
        <w:rPr>
          <w:rFonts w:ascii="sans-serif" w:hAnsi="sans-serif"/>
          <w:b w:val="false"/>
          <w:color w:val="000000"/>
          <w:sz w:val="22"/>
        </w:rPr>
        <w:t xml:space="preserve">An Eligible Employee shall become a “Participant” in the Plan for a particular Plan Year upon: (a) receipt of an AIP Letter; and (b) completion of the Acknowledgement for such Plan Year.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IV.Plan Year &amp; Performance Goals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Participants are eligible to receive a cash payment based on achievement of Performance Goals during the Plan Year (the “Annual Incentive”).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At the beginning of the Plan Year, the Committee will determine the Participant’s Performance Goals, which may include both individual- and Company-specific measures. Performance Goals may be weighted for a total of 100%, and achievement of each goal will be determined based on the scale provided in the AIP Letter.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At the end of the Plan Year, the Committee will determine what level of achievement applies for purposes of Annual Incentive payments under the Plan.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V.Annual Incentive Opportunity</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The Annual Incentive opportunity is calculated as a percentage of annual base salary.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VI.Annual Incentive Payments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Annual Incentive payments are based on Plan Year achievement, which means, except as otherwise set forth herein, the Annual Incentive is not earned until: (i) completion of the Plan Year; and (ii) certification of Performance Goals by the Committee. A Participant must remain employed and in Good Standing as of the payment date in order to receive any earned Annual Incentive, and the Annual Incentive will be paid no later than March 15 following the end of the Plan Year.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VII.Mid-Plan Year Changes &amp; Events</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(a)New Hire</w:t>
      </w:r>
    </w:p>
    <w:p>
      <w:pPr>
        <w:pStyle w:val="TextBody"/>
        <w:bidi w:val="0"/>
        <w:spacing w:lineRule="auto" w:line="288" w:before="120" w:after="120"/>
        <w:jc w:val="left"/>
        <w:rPr>
          <w:rFonts w:ascii="sans-serif" w:hAnsi="sans-serif"/>
          <w:b w:val="false"/>
          <w:color w:val="000000"/>
          <w:sz w:val="22"/>
        </w:rPr>
      </w:pPr>
      <w:r>
        <w:rPr>
          <w:rFonts w:ascii="sans-serif" w:hAnsi="sans-serif"/>
          <w:b w:val="false"/>
          <w:color w:val="000000"/>
          <w:sz w:val="22"/>
        </w:rPr>
        <w:t xml:space="preserve">New hires who are designated as Eligible Employees will be eligible to participate in the Plan on the first day of the month following their date of hire. If the date of hire is the first of the month, then eligibility begins on that date. The Annual Incentive opportunity will be prorated based on an Eligible Employee’s eligibility date.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(b)Change (Promotion/Demotion)</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If a Participant’s pay or Annual Incentive opportunity changes during the Plan Year, the Participant’s Annual Incentive will be calculated using the weighted average of the Participant’s initial and subsequent pay and Annual Incentive opportunity. In the event of a promotion or demotion, the Committee may change such Participant’s Performance Goals for the Plan Year.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(c)Effect of a Leave of Absence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Participants will continue to be eligible for payments under this Plan during a leave of absence. If a Participant’s leave of absence extends across two Plan Years and the Participant is expected to return to work within the later Plan Year, the Committee will determine in its sole discretion whether to provide an AIP Letter and Acknowledgment for the later Plan Year. The Participant will remain eligible to receive the full Annual Incentive opportunity, regardless of when the Participant returns to work.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(d)Termination</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Except as provided in the Severance Plan, in the event of a termination of employment prior to the end of the Plan Year, Participant will forfeit the Participant’s full Annual Incentive opportunity. </w:t>
      </w:r>
    </w:p>
    <w:p>
      <w:pPr>
        <w:pStyle w:val="TextBody"/>
        <w:bidi w:val="0"/>
        <w:spacing w:lineRule="auto" w:line="240" w:before="0" w:after="0"/>
        <w:ind w:left="0" w:right="0" w:hanging="360"/>
        <w:jc w:val="left"/>
        <w:rPr>
          <w:rFonts w:ascii="sans-serif" w:hAnsi="sans-serif"/>
          <w:b/>
          <w:color w:val="000000"/>
          <w:sz w:val="22"/>
        </w:rPr>
      </w:pPr>
      <w:r>
        <w:rPr>
          <w:rFonts w:ascii="sans-serif" w:hAnsi="sans-serif"/>
          <w:b/>
          <w:color w:val="000000"/>
          <w:sz w:val="22"/>
        </w:rPr>
        <w:t>VIII.No Guarantees of Payment or Continued Employment</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Status as an Eligible Employee of or a Participant in the Plan is not a guarantee of employment for a Plan Year and does not alter an Eligible Employee or Participant’s status as an “at-will” employee. It also does not guarantee that a Participant receives an Annual Incentive for any Plan Year. </w:t>
      </w:r>
    </w:p>
    <w:p>
      <w:pPr>
        <w:pStyle w:val="TextBody"/>
        <w:bidi w:val="0"/>
        <w:spacing w:lineRule="auto" w:line="288" w:before="120" w:after="120"/>
        <w:ind w:left="0" w:right="0" w:hanging="360"/>
        <w:jc w:val="left"/>
        <w:rPr>
          <w:rFonts w:ascii="sans-serif" w:hAnsi="sans-serif"/>
          <w:b/>
          <w:color w:val="000000"/>
          <w:sz w:val="22"/>
        </w:rPr>
      </w:pPr>
      <w:r>
        <w:rPr>
          <w:rFonts w:ascii="sans-serif" w:hAnsi="sans-serif"/>
          <w:b/>
          <w:color w:val="000000"/>
          <w:sz w:val="22"/>
        </w:rPr>
        <w:t>IX.Complete Terms, Severability, and Interpretation</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 xml:space="preserve">This Plan, the 2025 OIP, the AIP Letter, the Acknowledgement, and the Participant’s Performance Goals are the final and complete expression of the parties’ agreements on these subjects. There are no further or contrary oral or written promises or representations on these subjects. This Plan may be amended only by the Committee and only in writing. It may not be amended orally or by course of dealing. This Plan supersedes and replaces all prior discussions, representations, or agreements on these subjects, unless otherwise specifically determined in writing by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3"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If any part of this Plan is held to be unenforceable, it shall not affect any other part. If any part of this Plan is held to be unenforceable as written, it shall be enforceable to the maximum extent allowed by applicable law. The provisions of this Plan shall not be interpreted for or against any party based on that party having drafted the provisions. No waiver of any provision of this Plan shall be enforceable unless in writing and signed by the party who is claimed to have made the waiver. No waiver of any provision of this Plan in any one or more instances shall constitute a waiver in any other instance.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James M. Boyle, certify that: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007" w:type="dxa"/>
        <w:jc w:val="left"/>
        <w:tblInd w:w="0" w:type="dxa"/>
        <w:tblLayout w:type="fixed"/>
        <w:tblCellMar>
          <w:top w:w="28" w:type="dxa"/>
          <w:left w:w="28" w:type="dxa"/>
          <w:bottom w:w="28" w:type="dxa"/>
          <w:right w:w="28" w:type="dxa"/>
        </w:tblCellMar>
      </w:tblPr>
      <w:tblGrid>
        <w:gridCol w:w="837"/>
        <w:gridCol w:w="734"/>
        <w:gridCol w:w="739"/>
        <w:gridCol w:w="109"/>
        <w:gridCol w:w="109"/>
        <w:gridCol w:w="109"/>
        <w:gridCol w:w="694"/>
        <w:gridCol w:w="694"/>
        <w:gridCol w:w="982"/>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Michael B. Drazin, certify that: </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Medline Inc.;</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b.[Reserved];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931" w:type="dxa"/>
        <w:jc w:val="left"/>
        <w:tblInd w:w="0" w:type="dxa"/>
        <w:tblLayout w:type="fixed"/>
        <w:tblCellMar>
          <w:top w:w="28" w:type="dxa"/>
          <w:left w:w="28" w:type="dxa"/>
          <w:bottom w:w="28" w:type="dxa"/>
          <w:right w:w="28" w:type="dxa"/>
        </w:tblCellMar>
      </w:tblPr>
      <w:tblGrid>
        <w:gridCol w:w="837"/>
        <w:gridCol w:w="734"/>
        <w:gridCol w:w="739"/>
        <w:gridCol w:w="109"/>
        <w:gridCol w:w="109"/>
        <w:gridCol w:w="109"/>
        <w:gridCol w:w="671"/>
        <w:gridCol w:w="671"/>
        <w:gridCol w:w="952"/>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James M. Boyle, Chief Executive Officer of Medline Inc. (the “Company”), certify, pursuant to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fiscal quarter ended June 27, 2026 containing the financial statements of the Company (the “Quarterly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Quarterly Report fairly presents, in all material respects, the financial condition and results of operations of the Company.</w:t>
      </w:r>
    </w:p>
    <w:p>
      <w:pPr>
        <w:pStyle w:val="TextBody"/>
        <w:bidi w:val="0"/>
        <w:spacing w:before="0" w:after="0"/>
        <w:jc w:val="center"/>
        <w:rPr/>
      </w:pPr>
      <w:r>
        <w:rPr/>
      </w:r>
    </w:p>
    <w:tbl>
      <w:tblPr>
        <w:tblW w:w="5007" w:type="dxa"/>
        <w:jc w:val="left"/>
        <w:tblInd w:w="0" w:type="dxa"/>
        <w:tblLayout w:type="fixed"/>
        <w:tblCellMar>
          <w:top w:w="28" w:type="dxa"/>
          <w:left w:w="28" w:type="dxa"/>
          <w:bottom w:w="28" w:type="dxa"/>
          <w:right w:w="28" w:type="dxa"/>
        </w:tblCellMar>
      </w:tblPr>
      <w:tblGrid>
        <w:gridCol w:w="837"/>
        <w:gridCol w:w="734"/>
        <w:gridCol w:w="739"/>
        <w:gridCol w:w="109"/>
        <w:gridCol w:w="109"/>
        <w:gridCol w:w="109"/>
        <w:gridCol w:w="694"/>
        <w:gridCol w:w="694"/>
        <w:gridCol w:w="982"/>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James M. Boyle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James M. Boyle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Michael B. Drazin, Chief Financial Officer of Medline Inc. (the “Company”), certify, pursuant to 18 U.S.C. Section 1350,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Quarterly Report on Form 10-Q for the fiscal quarter ended June 27, 2026 containing the financial statements of the Company (the “Quarterly Report”), which this statement accompanies, fully complies with the requirements of Section 13(a) or 15(d) of the Securities Exchange Act of 1934 (15 U.S.C. 78m or 78o(d)); and</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Quarterly Report fairly presents, in all material respects, the financial condition and results of operations of the Company.</w:t>
      </w:r>
    </w:p>
    <w:p>
      <w:pPr>
        <w:pStyle w:val="TextBody"/>
        <w:bidi w:val="0"/>
        <w:spacing w:before="0" w:after="0"/>
        <w:jc w:val="center"/>
        <w:rPr/>
      </w:pPr>
      <w:r>
        <w:rPr/>
      </w:r>
    </w:p>
    <w:tbl>
      <w:tblPr>
        <w:tblW w:w="4931" w:type="dxa"/>
        <w:jc w:val="left"/>
        <w:tblInd w:w="0" w:type="dxa"/>
        <w:tblLayout w:type="fixed"/>
        <w:tblCellMar>
          <w:top w:w="28" w:type="dxa"/>
          <w:left w:w="28" w:type="dxa"/>
          <w:bottom w:w="28" w:type="dxa"/>
          <w:right w:w="28" w:type="dxa"/>
        </w:tblCellMar>
      </w:tblPr>
      <w:tblGrid>
        <w:gridCol w:w="837"/>
        <w:gridCol w:w="734"/>
        <w:gridCol w:w="739"/>
        <w:gridCol w:w="109"/>
        <w:gridCol w:w="109"/>
        <w:gridCol w:w="109"/>
        <w:gridCol w:w="671"/>
        <w:gridCol w:w="671"/>
        <w:gridCol w:w="952"/>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Dated :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i/>
                <w:color w:val="000000"/>
                <w:sz w:val="22"/>
              </w:rPr>
            </w:pPr>
            <w:r>
              <w:rPr>
                <w:rFonts w:ascii="Times New Roman;serif" w:hAnsi="Times New Roman;serif"/>
                <w:b w:val="false"/>
                <w:i/>
                <w:color w:val="000000"/>
                <w:sz w:val="22"/>
              </w:rPr>
              <w:t>/s/ Michael B. Drazin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Michael B. Drazin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certification shall not, except to the extent required by the Sarbanes-Oxley Act of 2002, be deemed filed by the Company for purposes of Section 18 of the Securities Exchange Act of 1934, as amended, or otherwise subject to the liability of that section.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46386/000119312525328884/d933672dex31.htm" TargetMode="External"/><Relationship Id="rId4" Type="http://schemas.openxmlformats.org/officeDocument/2006/relationships/hyperlink" Target="https://www.sec.gov/Archives/edgar/data/2046386/000119312525328884/d933672dex32.htm" TargetMode="External"/><Relationship Id="rId5" Type="http://schemas.openxmlformats.org/officeDocument/2006/relationships/hyperlink" Target="https://www.sec.gov/Archives/edgar/data/2046386/000119312526252557/d50280dex41.htm" TargetMode="External"/><Relationship Id="rId6" Type="http://schemas.openxmlformats.org/officeDocument/2006/relationships/hyperlink" Target="https://www.sec.gov/Archives/edgar/data/2046386/000119312526252557/d50280dex41.htm" TargetMode="External"/><Relationship Id="rId7" Type="http://schemas.openxmlformats.org/officeDocument/2006/relationships/hyperlink" Target="https://www.sec.gov/Archives/edgar/data/2046386/000119312526252557/d50280dex41.htm" TargetMode="External"/><Relationship Id="rId8" Type="http://schemas.openxmlformats.org/officeDocument/2006/relationships/hyperlink" Target="https://www.sec.gov/Archives/edgar/data/2046386/000119312526252557/d50280dex101.htm" TargetMode="External"/><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30557</Words>
  <Characters>166856</Characters>
  <CharactersWithSpaces>195469</CharactersWithSpaces>
  <Paragraphs>3263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