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86"/>
        <w:gridCol w:w="1511"/>
        <w:gridCol w:w="3034"/>
        <w:gridCol w:w="2474"/>
      </w:tblGrid>
      <w:tr>
        <w:trPr/>
        <w:tc>
          <w:tcPr>
            <w:tcW w:w="3186"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066"/>
            </w:tblGrid>
            <w:tr>
              <w:trPr/>
              <w:tc>
                <w:tcPr>
                  <w:tcW w:w="3066" w:type="dxa"/>
                  <w:tcBorders/>
                  <w:vAlign w:val="center"/>
                </w:tcPr>
                <w:p>
                  <w:pPr>
                    <w:pStyle w:val="TableContents"/>
                    <w:bidi w:val="0"/>
                    <w:spacing w:before="0" w:after="283"/>
                    <w:jc w:val="left"/>
                    <w:rPr/>
                  </w:pPr>
                  <w:hyperlink r:id="rId2">
                    <w:r>
                      <w:rPr>
                        <w:rStyle w:val="InternetLink"/>
                      </w:rPr>
                      <w:t>Carlyle Mozart Coinvestment UNLV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22"/>
              <w:gridCol w:w="1022"/>
              <w:gridCol w:w="1022"/>
            </w:tblGrid>
            <w:tr>
              <w:trPr/>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066"/>
            </w:tblGrid>
            <w:tr>
              <w:trPr/>
              <w:tc>
                <w:tcPr>
                  <w:tcW w:w="306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06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022"/>
              <w:gridCol w:w="1022"/>
              <w:gridCol w:w="1022"/>
            </w:tblGrid>
            <w:tr>
              <w:trPr/>
              <w:tc>
                <w:tcPr>
                  <w:tcW w:w="102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02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02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22"/>
              <w:gridCol w:w="1022"/>
              <w:gridCol w:w="1022"/>
            </w:tblGrid>
            <w:tr>
              <w:trPr/>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1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02/11/2026</w:t>
            </w:r>
            <w:r>
              <w:rPr/>
              <w:t xml:space="preserve"> </w:t>
            </w:r>
          </w:p>
        </w:tc>
        <w:tc>
          <w:tcPr>
            <w:tcW w:w="5508"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Medline Inc.</w:t>
              </w:r>
            </w:hyperlink>
            <w:r>
              <w:rPr/>
              <w:t xml:space="preserve"> [ </w:t>
            </w:r>
            <w:r>
              <w:rPr>
                <w:rFonts w:ascii="Times;serif" w:hAnsi="Times;serif"/>
                <w:color w:val="0000FF"/>
                <w:sz w:val="24"/>
                <w:shd w:fill="FFFFFF" w:val="clear"/>
              </w:rPr>
              <w:t>MDLN</w:t>
            </w:r>
            <w:r>
              <w:rPr/>
              <w:t xml:space="preserve"> ] </w:t>
            </w:r>
          </w:p>
        </w:tc>
      </w:tr>
      <w:tr>
        <w:trPr/>
        <w:tc>
          <w:tcPr>
            <w:tcW w:w="31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34"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36"/>
              <w:gridCol w:w="1021"/>
              <w:gridCol w:w="436"/>
              <w:gridCol w:w="1021"/>
            </w:tblGrid>
            <w:tr>
              <w:trPr/>
              <w:tc>
                <w:tcPr>
                  <w:tcW w:w="43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6"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14"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474"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86"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1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3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474"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2"/>
              <w:gridCol w:w="2002"/>
            </w:tblGrid>
            <w:tr>
              <w:trPr/>
              <w:tc>
                <w:tcPr>
                  <w:tcW w:w="352"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15,417,129</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r>
              <w:rPr/>
              <w:t xml:space="preserve">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B Common Stock</w:t>
            </w:r>
            <w:r>
              <w:rPr>
                <w:rFonts w:ascii="Times;serif" w:hAnsi="Times;serif"/>
                <w:color w:val="008000"/>
                <w:position w:val="7"/>
                <w:sz w:val="16"/>
                <w:sz w:val="20"/>
                <w:shd w:fill="FFFFFF" w:val="clear"/>
              </w:rPr>
              <w:t>(3)</w:t>
            </w:r>
            <w:r>
              <w:rPr/>
              <w:t xml:space="preserve"> </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15,369,974</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550"/>
        <w:gridCol w:w="1221"/>
        <w:gridCol w:w="1121"/>
        <w:gridCol w:w="1272"/>
        <w:gridCol w:w="1250"/>
        <w:gridCol w:w="1251"/>
        <w:gridCol w:w="1209"/>
        <w:gridCol w:w="133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5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5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7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25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of Medline Holdings, LP</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15,369,974</w:t>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Carlyle Mozart Coinvestment UNLV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CP Circle UNLV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(i) 15,414,514 shares of Class A Common Stock held by Carlyle Mozart Coinvestment UNLV Holdco, L.P. and (ii) 2,615 shares of Class A Common Stock and 15,369,974 Common Units and shares of Class B Common Stock held by CP Circle UNLV Holdco,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Carlyle Group Inc., a publicly traded company listed on Nasdaq, is the sole shareholder of Carlyle Holdings I GP Inc., which is the sole member of Carlyle Holdings I GP Sub L.L.C., which is the general partner of Carlyle Holdings I L.P., which, with respect to the securities reported herein,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Carlyle Mozart Coinvestment Holdings, L.P., Carlyle Mozart Coinvestment UNLV Holdco, L.P. and CP Circle UNLV Holdco,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of the Issuer's Class B common stock ("Class B Common Stock") have no economic value and have one vote per share. One share of Class B Common Stock is issued for each common unit of Medline Holdings, LP ("Common Units") held. Upon an exchange of Common Units for shares of the Issuer's Class A common stock ("Class A Common Stock"), an equivalent number of shares of Class B Common Stock held by such holder will be automatically cancelled.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terms of an exchange agreement, dated as of December 16, 2025, holders have the right to exchange their Common Units for shares of Class A Common Stock on a one-for-one basis, subject to customary conversion rate adjustments for stock splits, stock dividends and reclassifications. These exchange rights do not expire.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In future Section 16 filings, the Reporting Persons will file jointly with The Carlyle Group Inc., Carlyle Holdings I GP Inc., Carlyle Holdings I GP Sub L.L.C., Carlyle Holdings I L.P., CG Subsidiary Holdings L.L.C., TC Group, L.L.C., TC Group Sub L.P., TC Group VII S1, L.L.C., TC Group VII S1, L.P., Carlyle Mozart Coinvestment Holdings, L.P., CPEP GP, LLC, CPEP Circle Holdings L.P., Carlyle Holdings II GP L.L.C., Carlyle Holdings II L.L.C., TC Group Cayman Investment Holdings, L.P., TC Group Cayman Investment Holdings Sub L.P., TC Group VII, L.L.C., TC Group VII, L.P., CP Circle ML Holdco GP, LLC, CP Circle ML-1 Holdco GP, LLC, CP Circle ML-1 Holdco, L.P., CP Circle ML-2 Holdco, L.P., CP Circle ML-3 Holdco, L.P., CP Circle ML-4 Holdco, L.P., CP Circle ML-5 Holdco, L.P., CP Circle ML-6 Holdco, L.P. and CP Circle ML-7 Holdco, L.P.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Carlyle Mozart Coinvestment UNLV Holdco, L.P., By: TC Group VII S1, L.P., its general partner, TC Group VII S1, L.L.C., its general partner, /s/ Jeremy Anderson,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CP Circle UNLV Holdco, L.P., By: TC Group VII S1, L.P., its general partner, TC Group VII S1, L.L.C., its general partner, /s/ Jeremy Anderson,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08739" TargetMode="External"/><Relationship Id="rId3" Type="http://schemas.openxmlformats.org/officeDocument/2006/relationships/hyperlink" Target="http://www.sec.gov/cgi-bin/browse-edgar?action=getcompany&amp;CIK=000204638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2108739" TargetMode="External"/><Relationship Id="rId7" Type="http://schemas.openxmlformats.org/officeDocument/2006/relationships/hyperlink" Target="http://www.sec.gov/cgi-bin/browse-edgar?action=getcompany&amp;CIK=0002108756"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992</Words>
  <Characters>5168</Characters>
  <CharactersWithSpaces>6079</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