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60"/>
        <w:spacing w:after="0" w:line="274"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-181610</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3" w:lineRule="exact"/>
        <w:rPr>
          <w:sz w:val="24"/>
          <w:szCs w:val="24"/>
          <w:color w:val="auto"/>
        </w:rPr>
      </w:pPr>
    </w:p>
    <w:p>
      <w:pPr>
        <w:ind w:left="320"/>
        <w:spacing w:after="0" w:line="23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-532765</wp:posOffset>
            </wp:positionV>
            <wp:extent cx="113030" cy="113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jc w:val="center"/>
              <w:ind w:right="40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0"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5124450</wp:posOffset>
            </wp:positionH>
            <wp:positionV relativeFrom="paragraph">
              <wp:posOffset>-577215</wp:posOffset>
            </wp:positionV>
            <wp:extent cx="55245"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90550"/>
                    </a:xfrm>
                    <a:prstGeom prst="rect">
                      <a:avLst/>
                    </a:prstGeom>
                    <a:noFill/>
                  </pic:spPr>
                </pic:pic>
              </a:graphicData>
            </a:graphic>
          </wp:anchor>
        </w:drawing>
        <w:drawing>
          <wp:anchor simplePos="0" relativeHeight="251657728" behindDoc="1" locked="0" layoutInCell="0" allowOverlap="1">
            <wp:simplePos x="0" y="0"/>
            <wp:positionH relativeFrom="column">
              <wp:posOffset>3836035</wp:posOffset>
            </wp:positionH>
            <wp:positionV relativeFrom="paragraph">
              <wp:posOffset>-577215</wp:posOffset>
            </wp:positionV>
            <wp:extent cx="55245" cy="59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 cy="5905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607060</wp:posOffset>
            </wp:positionV>
            <wp:extent cx="7004050" cy="889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4050" cy="889825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20" w:space="480"/>
            <w:col w:w="8280"/>
          </w:cols>
          <w:pgMar w:left="460" w:top="209"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TC Group Cayman Investment Holdings, L.P.</w:t>
        </w:r>
      </w:hyperlink>
    </w:p>
    <w:p>
      <w:pPr>
        <w:spacing w:after="0" w:line="28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00" w:right="840"/>
        <w:spacing w:after="0" w:line="367" w:lineRule="auto"/>
        <w:rPr>
          <w:sz w:val="20"/>
          <w:szCs w:val="20"/>
          <w:color w:val="auto"/>
        </w:rPr>
      </w:pPr>
      <w:r>
        <w:rPr>
          <w:rFonts w:ascii="Times New Roman" w:cs="Times New Roman" w:eastAsia="Times New Roman" w:hAnsi="Times New Roman"/>
          <w:sz w:val="15"/>
          <w:szCs w:val="15"/>
          <w:color w:val="0000FF"/>
        </w:rPr>
        <w:t>C/O WALKERS CORPORATE LIMITED 190 ELGIN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Medline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MDLN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03/04/2026</w:t>
      </w:r>
    </w:p>
    <w:p>
      <w:pPr>
        <w:spacing w:after="0" w:line="20" w:lineRule="exact"/>
        <w:rPr>
          <w:sz w:val="24"/>
          <w:szCs w:val="24"/>
          <w:color w:val="auto"/>
        </w:rPr>
      </w:pPr>
      <w:r>
        <w:rPr>
          <w:sz w:val="24"/>
          <w:szCs w:val="24"/>
          <w:color w:val="auto"/>
        </w:rPr>
        <w:br w:type="column"/>
      </w:r>
    </w:p>
    <w:p>
      <w:pPr>
        <w:ind w:left="7" w:right="840" w:hanging="7"/>
        <w:spacing w:after="0" w:line="257"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7"/>
        <w:spacing w:after="0"/>
        <w:tabs>
          <w:tab w:leader="none" w:pos="173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303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3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51"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3" w:lineRule="exact"/>
        <w:rPr>
          <w:sz w:val="24"/>
          <w:szCs w:val="24"/>
          <w:color w:val="auto"/>
        </w:rPr>
      </w:pPr>
    </w:p>
    <w:p>
      <w:pPr>
        <w:ind w:left="527"/>
        <w:spacing w:after="0"/>
        <w:tabs>
          <w:tab w:leader="none" w:pos="208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9" w:lineRule="exact"/>
        <w:rPr>
          <w:sz w:val="24"/>
          <w:szCs w:val="24"/>
          <w:color w:val="auto"/>
        </w:rPr>
      </w:pPr>
    </w:p>
    <w:p>
      <w:pPr>
        <w:sectPr>
          <w:pgSz w:w="11900" w:h="16838" w:orient="portrait"/>
          <w:cols w:equalWidth="0" w:num="3">
            <w:col w:w="3580" w:space="320"/>
            <w:col w:w="3113" w:space="720"/>
            <w:col w:w="3347"/>
          </w:cols>
          <w:pgMar w:left="460" w:top="209" w:right="359" w:bottom="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Borders>
              <w:right w:val="single" w:sz="8" w:color="9A9A9A"/>
            </w:tcBorders>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94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80" w:type="dxa"/>
            <w:vAlign w:val="bottom"/>
            <w:shd w:val="clear" w:color="auto" w:fill="9A9A9A"/>
          </w:tcPr>
          <w:p>
            <w:pPr>
              <w:spacing w:after="0"/>
              <w:rPr>
                <w:sz w:val="2"/>
                <w:szCs w:val="2"/>
                <w:color w:val="auto"/>
              </w:rPr>
            </w:pPr>
          </w:p>
        </w:tc>
        <w:tc>
          <w:tcPr>
            <w:tcW w:w="3280" w:type="dxa"/>
            <w:vAlign w:val="bottom"/>
            <w:gridSpan w:val="8"/>
            <w:vMerge w:val="restart"/>
          </w:tcPr>
          <w:p>
            <w:pPr>
              <w:jc w:val="right"/>
              <w:ind w:right="73"/>
              <w:spacing w:after="0"/>
              <w:rPr>
                <w:sz w:val="20"/>
                <w:szCs w:val="20"/>
                <w:color w:val="auto"/>
              </w:rPr>
            </w:pPr>
            <w:r>
              <w:rPr>
                <w:rFonts w:ascii="Arial" w:cs="Arial" w:eastAsia="Arial" w:hAnsi="Arial"/>
                <w:sz w:val="12"/>
                <w:szCs w:val="12"/>
                <w:color w:val="auto"/>
              </w:rPr>
              <w:t>4. If Amendment, Date of Original Filed (Month/Day/Year)</w:t>
            </w: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360" w:type="dxa"/>
            <w:vAlign w:val="bottom"/>
            <w:gridSpan w:val="8"/>
            <w:vMerge w:val="restart"/>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52"/>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80" w:type="dxa"/>
            <w:vAlign w:val="bottom"/>
            <w:gridSpan w:val="8"/>
            <w:vMerge w:val="continue"/>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GEORGE TOWN  E9</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KY1-9008</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3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20" w:type="dxa"/>
            <w:vAlign w:val="bottom"/>
            <w:gridSpan w:val="7"/>
            <w:vMerge w:val="restart"/>
          </w:tcPr>
          <w:p>
            <w:pPr>
              <w:ind w:left="5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14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320" w:type="dxa"/>
            <w:vAlign w:val="bottom"/>
            <w:tcBorders>
              <w:bottom w:val="single" w:sz="8" w:color="2C2C2C"/>
            </w:tcBorders>
            <w:gridSpan w:val="6"/>
          </w:tcPr>
          <w:p>
            <w:pPr>
              <w:spacing w:after="0"/>
              <w:rPr>
                <w:sz w:val="9"/>
                <w:szCs w:val="9"/>
                <w:color w:val="auto"/>
              </w:rPr>
            </w:pPr>
          </w:p>
        </w:tc>
        <w:tc>
          <w:tcPr>
            <w:tcW w:w="6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020" w:type="dxa"/>
            <w:vAlign w:val="bottom"/>
            <w:tcBorders>
              <w:top w:val="single" w:sz="8" w:color="2C2C2C"/>
            </w:tcBorders>
            <w:gridSpan w:val="15"/>
          </w:tcPr>
          <w:p>
            <w:pPr>
              <w:ind w:left="1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2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24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40" w:type="dxa"/>
            <w:vAlign w:val="bottom"/>
            <w:gridSpan w:val="4"/>
          </w:tcPr>
          <w:p>
            <w:pPr>
              <w:ind w:left="6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0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ind w:left="68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Form: 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40" w:type="dxa"/>
            <w:vAlign w:val="bottom"/>
            <w:gridSpan w:val="4"/>
          </w:tcPr>
          <w:p>
            <w:pPr>
              <w:ind w:left="680"/>
              <w:spacing w:after="0" w:line="119" w:lineRule="exact"/>
              <w:rPr>
                <w:sz w:val="20"/>
                <w:szCs w:val="20"/>
                <w:color w:val="auto"/>
              </w:rPr>
            </w:pPr>
            <w:r>
              <w:rPr>
                <w:rFonts w:ascii="Arial" w:cs="Arial" w:eastAsia="Arial" w:hAnsi="Arial"/>
                <w:sz w:val="11"/>
                <w:szCs w:val="11"/>
                <w:b w:val="1"/>
                <w:bCs w:val="1"/>
                <w:color w:val="auto"/>
              </w:rPr>
              <w:t>(Month/Day/Year)</w:t>
            </w:r>
          </w:p>
        </w:tc>
        <w:tc>
          <w:tcPr>
            <w:tcW w:w="9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Beneficially Owned</w:t>
            </w:r>
          </w:p>
        </w:tc>
        <w:tc>
          <w:tcPr>
            <w:tcW w:w="8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(D) or Indirect</w:t>
            </w:r>
          </w:p>
        </w:tc>
        <w:tc>
          <w:tcPr>
            <w:tcW w:w="138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Following Reported</w:t>
            </w:r>
          </w:p>
        </w:tc>
        <w:tc>
          <w:tcPr>
            <w:tcW w:w="8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 (Instr. 4)</w:t>
            </w: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restart"/>
          </w:tcPr>
          <w:p>
            <w:pPr>
              <w:ind w:left="40"/>
              <w:spacing w:after="0" w:line="119" w:lineRule="exact"/>
              <w:rPr>
                <w:sz w:val="20"/>
                <w:szCs w:val="20"/>
                <w:color w:val="auto"/>
              </w:rPr>
            </w:pPr>
            <w:r>
              <w:rPr>
                <w:rFonts w:ascii="Arial" w:cs="Arial" w:eastAsia="Arial" w:hAnsi="Arial"/>
                <w:sz w:val="11"/>
                <w:szCs w:val="11"/>
                <w:b w:val="1"/>
                <w:bCs w:val="1"/>
                <w:color w:val="auto"/>
              </w:rPr>
              <w:t>Transaction(s)</w:t>
            </w: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12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4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640" w:type="dxa"/>
            <w:vAlign w:val="bottom"/>
            <w:gridSpan w:val="4"/>
          </w:tcPr>
          <w:p>
            <w:pPr>
              <w:jc w:val="center"/>
              <w:ind w:left="515"/>
              <w:spacing w:after="0"/>
              <w:rPr>
                <w:sz w:val="20"/>
                <w:szCs w:val="20"/>
                <w:color w:val="auto"/>
              </w:rPr>
            </w:pPr>
            <w:r>
              <w:rPr>
                <w:rFonts w:ascii="Times New Roman" w:cs="Times New Roman" w:eastAsia="Times New Roman" w:hAnsi="Times New Roman"/>
                <w:sz w:val="15"/>
                <w:szCs w:val="15"/>
                <w:color w:val="0000FF"/>
              </w:rPr>
              <w:t>03/04/2026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(1)</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Pr>
          <w:p>
            <w:pPr>
              <w:jc w:val="center"/>
              <w:ind w:left="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1120" w:type="dxa"/>
            <w:vAlign w:val="bottom"/>
            <w:gridSpan w:val="3"/>
          </w:tcPr>
          <w:p>
            <w:pPr>
              <w:jc w:val="center"/>
              <w:ind w:right="6"/>
              <w:spacing w:after="0"/>
              <w:rPr>
                <w:sz w:val="20"/>
                <w:szCs w:val="20"/>
                <w:color w:val="auto"/>
              </w:rPr>
            </w:pPr>
            <w:r>
              <w:rPr>
                <w:rFonts w:ascii="Times New Roman" w:cs="Times New Roman" w:eastAsia="Times New Roman" w:hAnsi="Times New Roman"/>
                <w:sz w:val="15"/>
                <w:szCs w:val="15"/>
                <w:color w:val="0000FF"/>
              </w:rPr>
              <w:t>152,460,797</w:t>
            </w:r>
          </w:p>
        </w:tc>
        <w:tc>
          <w:tcPr>
            <w:tcW w:w="3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4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640" w:type="dxa"/>
            <w:vAlign w:val="bottom"/>
            <w:gridSpan w:val="4"/>
          </w:tcPr>
          <w:p>
            <w:pPr>
              <w:jc w:val="center"/>
              <w:ind w:left="515"/>
              <w:spacing w:after="0"/>
              <w:rPr>
                <w:sz w:val="20"/>
                <w:szCs w:val="20"/>
                <w:color w:val="auto"/>
              </w:rPr>
            </w:pPr>
            <w:r>
              <w:rPr>
                <w:rFonts w:ascii="Times New Roman" w:cs="Times New Roman" w:eastAsia="Times New Roman" w:hAnsi="Times New Roman"/>
                <w:sz w:val="15"/>
                <w:szCs w:val="15"/>
                <w:color w:val="0000FF"/>
              </w:rPr>
              <w:t>03/04/2026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8,085,116</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Pr>
          <w:p>
            <w:pPr>
              <w:jc w:val="center"/>
              <w:ind w:left="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1120" w:type="dxa"/>
            <w:vAlign w:val="bottom"/>
            <w:gridSpan w:val="3"/>
          </w:tcPr>
          <w:p>
            <w:pPr>
              <w:jc w:val="center"/>
              <w:ind w:right="6"/>
              <w:spacing w:after="0"/>
              <w:rPr>
                <w:sz w:val="20"/>
                <w:szCs w:val="20"/>
                <w:color w:val="auto"/>
              </w:rPr>
            </w:pPr>
            <w:r>
              <w:rPr>
                <w:rFonts w:ascii="Times New Roman" w:cs="Times New Roman" w:eastAsia="Times New Roman" w:hAnsi="Times New Roman"/>
                <w:sz w:val="15"/>
                <w:szCs w:val="15"/>
                <w:color w:val="0000FF"/>
              </w:rPr>
              <w:t>62,842,239</w:t>
            </w:r>
          </w:p>
        </w:tc>
        <w:tc>
          <w:tcPr>
            <w:tcW w:w="3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4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1640" w:type="dxa"/>
            <w:vAlign w:val="bottom"/>
            <w:gridSpan w:val="4"/>
          </w:tcPr>
          <w:p>
            <w:pPr>
              <w:jc w:val="center"/>
              <w:ind w:left="515"/>
              <w:spacing w:after="0"/>
              <w:rPr>
                <w:sz w:val="20"/>
                <w:szCs w:val="20"/>
                <w:color w:val="auto"/>
              </w:rPr>
            </w:pPr>
            <w:r>
              <w:rPr>
                <w:rFonts w:ascii="Times New Roman" w:cs="Times New Roman" w:eastAsia="Times New Roman" w:hAnsi="Times New Roman"/>
                <w:sz w:val="15"/>
                <w:szCs w:val="15"/>
                <w:color w:val="0000FF"/>
              </w:rPr>
              <w:t>03/05/2026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(9)</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A</w:t>
            </w:r>
          </w:p>
        </w:tc>
        <w:tc>
          <w:tcPr>
            <w:tcW w:w="660" w:type="dxa"/>
            <w:vAlign w:val="bottom"/>
          </w:tcPr>
          <w:p>
            <w:pPr>
              <w:jc w:val="center"/>
              <w:ind w:left="3"/>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21"/>
                <w:szCs w:val="21"/>
                <w:color w:val="auto"/>
              </w:rPr>
            </w:pPr>
          </w:p>
        </w:tc>
        <w:tc>
          <w:tcPr>
            <w:tcW w:w="1120" w:type="dxa"/>
            <w:vAlign w:val="bottom"/>
            <w:gridSpan w:val="3"/>
          </w:tcPr>
          <w:p>
            <w:pPr>
              <w:jc w:val="center"/>
              <w:ind w:right="6"/>
              <w:spacing w:after="0"/>
              <w:rPr>
                <w:sz w:val="20"/>
                <w:szCs w:val="20"/>
                <w:color w:val="auto"/>
              </w:rPr>
            </w:pPr>
            <w:r>
              <w:rPr>
                <w:rFonts w:ascii="Times New Roman" w:cs="Times New Roman" w:eastAsia="Times New Roman" w:hAnsi="Times New Roman"/>
                <w:sz w:val="15"/>
                <w:szCs w:val="15"/>
                <w:color w:val="0000FF"/>
              </w:rPr>
              <w:t>153,673,564</w:t>
            </w:r>
          </w:p>
        </w:tc>
        <w:tc>
          <w:tcPr>
            <w:tcW w:w="3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4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Class B Common Stock</w:t>
            </w:r>
            <w:r>
              <w:rPr>
                <w:rFonts w:ascii="Times New Roman" w:cs="Times New Roman" w:eastAsia="Times New Roman" w:hAnsi="Times New Roman"/>
                <w:sz w:val="19"/>
                <w:szCs w:val="19"/>
                <w:color w:val="008000"/>
                <w:vertAlign w:val="superscript"/>
              </w:rPr>
              <w:t>(7)</w:t>
            </w:r>
          </w:p>
        </w:tc>
        <w:tc>
          <w:tcPr>
            <w:tcW w:w="1640" w:type="dxa"/>
            <w:vAlign w:val="bottom"/>
            <w:gridSpan w:val="4"/>
          </w:tcPr>
          <w:p>
            <w:pPr>
              <w:jc w:val="center"/>
              <w:ind w:left="515"/>
              <w:spacing w:after="0"/>
              <w:rPr>
                <w:sz w:val="20"/>
                <w:szCs w:val="20"/>
                <w:color w:val="auto"/>
              </w:rPr>
            </w:pPr>
            <w:r>
              <w:rPr>
                <w:rFonts w:ascii="Times New Roman" w:cs="Times New Roman" w:eastAsia="Times New Roman" w:hAnsi="Times New Roman"/>
                <w:sz w:val="15"/>
                <w:szCs w:val="15"/>
                <w:color w:val="0000FF"/>
              </w:rPr>
              <w:t>03/05/2026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J</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w w:val="98"/>
              </w:rPr>
              <w:t>1,212,767</w:t>
            </w:r>
            <w:r>
              <w:rPr>
                <w:rFonts w:ascii="Times New Roman" w:cs="Times New Roman" w:eastAsia="Times New Roman" w:hAnsi="Times New Roman"/>
                <w:sz w:val="19"/>
                <w:szCs w:val="19"/>
                <w:color w:val="008000"/>
                <w:w w:val="98"/>
                <w:vertAlign w:val="superscript"/>
              </w:rPr>
              <w:t>(8)</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5"/>
                <w:szCs w:val="15"/>
                <w:color w:val="0000FF"/>
              </w:rPr>
              <w:t>D</w:t>
            </w:r>
          </w:p>
        </w:tc>
        <w:tc>
          <w:tcPr>
            <w:tcW w:w="660" w:type="dxa"/>
            <w:vAlign w:val="bottom"/>
          </w:tcPr>
          <w:p>
            <w:pPr>
              <w:jc w:val="center"/>
              <w:ind w:left="3"/>
              <w:spacing w:after="0"/>
              <w:rPr>
                <w:sz w:val="20"/>
                <w:szCs w:val="20"/>
                <w:color w:val="auto"/>
              </w:rPr>
            </w:pPr>
            <w:r>
              <w:rPr>
                <w:rFonts w:ascii="Times New Roman" w:cs="Times New Roman" w:eastAsia="Times New Roman" w:hAnsi="Times New Roman"/>
                <w:sz w:val="10"/>
                <w:szCs w:val="10"/>
                <w:color w:val="008000"/>
              </w:rPr>
              <w:t>(8)</w:t>
            </w:r>
          </w:p>
        </w:tc>
        <w:tc>
          <w:tcPr>
            <w:tcW w:w="20" w:type="dxa"/>
            <w:vAlign w:val="bottom"/>
          </w:tcPr>
          <w:p>
            <w:pPr>
              <w:spacing w:after="0"/>
              <w:rPr>
                <w:sz w:val="21"/>
                <w:szCs w:val="21"/>
                <w:color w:val="auto"/>
              </w:rPr>
            </w:pPr>
          </w:p>
        </w:tc>
        <w:tc>
          <w:tcPr>
            <w:tcW w:w="1120" w:type="dxa"/>
            <w:vAlign w:val="bottom"/>
            <w:gridSpan w:val="3"/>
          </w:tcPr>
          <w:p>
            <w:pPr>
              <w:jc w:val="center"/>
              <w:ind w:right="6"/>
              <w:spacing w:after="0"/>
              <w:rPr>
                <w:sz w:val="20"/>
                <w:szCs w:val="20"/>
                <w:color w:val="auto"/>
              </w:rPr>
            </w:pPr>
            <w:r>
              <w:rPr>
                <w:rFonts w:ascii="Times New Roman" w:cs="Times New Roman" w:eastAsia="Times New Roman" w:hAnsi="Times New Roman"/>
                <w:sz w:val="15"/>
                <w:szCs w:val="15"/>
                <w:color w:val="0000FF"/>
              </w:rPr>
              <w:t>61,629,472</w:t>
            </w:r>
          </w:p>
        </w:tc>
        <w:tc>
          <w:tcPr>
            <w:tcW w:w="38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I</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(10)(11)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20" w:type="dxa"/>
            <w:vAlign w:val="bottom"/>
            <w:gridSpan w:val="15"/>
          </w:tcPr>
          <w:p>
            <w:pPr>
              <w:ind w:left="3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360" w:type="dxa"/>
            <w:vAlign w:val="bottom"/>
            <w:gridSpan w:val="12"/>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380" w:type="dxa"/>
            <w:vAlign w:val="bottom"/>
            <w:tcBorders>
              <w:right w:val="single" w:sz="8" w:color="2C2C2C"/>
            </w:tcBorders>
            <w:gridSpan w:val="3"/>
          </w:tcPr>
          <w:p>
            <w:pPr>
              <w:ind w:left="3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1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spacing w:after="0" w:line="119"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9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Ownership  Indirect Beneficial</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spacing w:after="0" w:line="119"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w:t>
            </w:r>
          </w:p>
        </w:tc>
        <w:tc>
          <w:tcPr>
            <w:tcW w:w="1380" w:type="dxa"/>
            <w:vAlign w:val="bottom"/>
            <w:tcBorders>
              <w:right w:val="single" w:sz="8" w:color="2C2C2C"/>
            </w:tcBorders>
            <w:gridSpan w:val="3"/>
          </w:tcPr>
          <w:p>
            <w:pPr>
              <w:ind w:left="300"/>
              <w:spacing w:after="0" w:line="119"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940" w:type="dxa"/>
            <w:vAlign w:val="bottom"/>
          </w:tcPr>
          <w:p>
            <w:pPr>
              <w:spacing w:after="0" w:line="119"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Direct (D)</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8"/>
              </w:rPr>
              <w:t>Owned</w:t>
            </w:r>
          </w:p>
        </w:tc>
        <w:tc>
          <w:tcPr>
            <w:tcW w:w="380" w:type="dxa"/>
            <w:vAlign w:val="bottom"/>
          </w:tcPr>
          <w:p>
            <w:pPr>
              <w:spacing w:after="0"/>
              <w:rPr>
                <w:sz w:val="10"/>
                <w:szCs w:val="10"/>
                <w:color w:val="auto"/>
              </w:rPr>
            </w:pP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or 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gridSpan w:val="3"/>
          </w:tcPr>
          <w:p>
            <w:pPr>
              <w:ind w:left="100"/>
              <w:spacing w:after="0" w:line="119" w:lineRule="exact"/>
              <w:rPr>
                <w:sz w:val="20"/>
                <w:szCs w:val="20"/>
                <w:color w:val="auto"/>
              </w:rPr>
            </w:pPr>
            <w:r>
              <w:rPr>
                <w:rFonts w:ascii="Arial" w:cs="Arial" w:eastAsia="Arial" w:hAnsi="Arial"/>
                <w:sz w:val="11"/>
                <w:szCs w:val="11"/>
                <w:b w:val="1"/>
                <w:bCs w:val="1"/>
                <w:color w:val="auto"/>
                <w:w w:val="96"/>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Following</w:t>
            </w:r>
          </w:p>
        </w:tc>
        <w:tc>
          <w:tcPr>
            <w:tcW w:w="1860" w:type="dxa"/>
            <w:vAlign w:val="bottom"/>
            <w:tcBorders>
              <w:right w:val="single" w:sz="8" w:color="2C2C2C"/>
            </w:tcBorders>
            <w:gridSpan w:val="4"/>
          </w:tcPr>
          <w:p>
            <w:pPr>
              <w:ind w:left="100"/>
              <w:spacing w:after="0" w:line="119"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03/04/2026</w:t>
            </w:r>
          </w:p>
        </w:tc>
        <w:tc>
          <w:tcPr>
            <w:tcW w:w="940" w:type="dxa"/>
            <w:vAlign w:val="bottom"/>
          </w:tcPr>
          <w:p>
            <w:pPr>
              <w:spacing w:after="0"/>
              <w:rPr>
                <w:sz w:val="16"/>
                <w:szCs w:val="16"/>
                <w:color w:val="auto"/>
              </w:rPr>
            </w:pPr>
          </w:p>
        </w:tc>
        <w:tc>
          <w:tcPr>
            <w:tcW w:w="700" w:type="dxa"/>
            <w:vAlign w:val="bottom"/>
            <w:gridSpan w:val="3"/>
            <w:vMerge w:val="restart"/>
          </w:tcPr>
          <w:p>
            <w:pPr>
              <w:jc w:val="center"/>
              <w:ind w:right="261"/>
              <w:spacing w:after="0"/>
              <w:rPr>
                <w:sz w:val="20"/>
                <w:szCs w:val="20"/>
                <w:color w:val="auto"/>
              </w:rPr>
            </w:pPr>
            <w:r>
              <w:rPr>
                <w:rFonts w:ascii="Times New Roman" w:cs="Times New Roman" w:eastAsia="Times New Roman" w:hAnsi="Times New Roman"/>
                <w:sz w:val="12"/>
                <w:szCs w:val="12"/>
                <w:color w:val="0000FF"/>
                <w:w w:val="74"/>
              </w:rPr>
              <w:t>C</w:t>
            </w:r>
          </w:p>
        </w:tc>
        <w:tc>
          <w:tcPr>
            <w:tcW w:w="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8,085,116</w:t>
            </w:r>
            <w:r>
              <w:rPr>
                <w:rFonts w:ascii="Times New Roman" w:cs="Times New Roman" w:eastAsia="Times New Roman" w:hAnsi="Times New Roman"/>
                <w:sz w:val="19"/>
                <w:szCs w:val="19"/>
                <w:color w:val="008000"/>
                <w:w w:val="89"/>
                <w:vertAlign w:val="superscript"/>
              </w:rPr>
              <w:t>(1)</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8,085,116</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62,842,239</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w w:val="95"/>
              </w:rPr>
              <w:t>See footnotes</w:t>
            </w:r>
            <w:r>
              <w:rPr>
                <w:rFonts w:ascii="Times New Roman" w:cs="Times New Roman" w:eastAsia="Times New Roman" w:hAnsi="Times New Roman"/>
                <w:sz w:val="19"/>
                <w:szCs w:val="19"/>
                <w:color w:val="008000"/>
                <w:w w:val="95"/>
                <w:vertAlign w:val="superscript"/>
              </w:rPr>
              <w:t>(3)(4)(5)</w:t>
            </w:r>
          </w:p>
        </w:tc>
        <w:tc>
          <w:tcPr>
            <w:tcW w:w="0" w:type="dxa"/>
            <w:vAlign w:val="bottom"/>
          </w:tcPr>
          <w:p>
            <w:pPr>
              <w:spacing w:after="0"/>
              <w:rPr>
                <w:sz w:val="1"/>
                <w:szCs w:val="1"/>
                <w:color w:val="auto"/>
              </w:rPr>
            </w:pPr>
          </w:p>
        </w:tc>
      </w:tr>
      <w:tr>
        <w:trPr>
          <w:trHeight w:val="84"/>
        </w:trPr>
        <w:tc>
          <w:tcPr>
            <w:tcW w:w="640" w:type="dxa"/>
            <w:vAlign w:val="bottom"/>
            <w:gridSpan w:val="2"/>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gridSpan w:val="2"/>
          </w:tcPr>
          <w:p>
            <w:pPr>
              <w:ind w:left="6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(6)</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03/05/2026</w:t>
            </w:r>
          </w:p>
        </w:tc>
        <w:tc>
          <w:tcPr>
            <w:tcW w:w="940" w:type="dxa"/>
            <w:vAlign w:val="bottom"/>
          </w:tcPr>
          <w:p>
            <w:pPr>
              <w:spacing w:after="0"/>
              <w:rPr>
                <w:sz w:val="16"/>
                <w:szCs w:val="16"/>
                <w:color w:val="auto"/>
              </w:rPr>
            </w:pPr>
          </w:p>
        </w:tc>
        <w:tc>
          <w:tcPr>
            <w:tcW w:w="700" w:type="dxa"/>
            <w:vAlign w:val="bottom"/>
            <w:gridSpan w:val="3"/>
            <w:vMerge w:val="restart"/>
          </w:tcPr>
          <w:p>
            <w:pPr>
              <w:jc w:val="center"/>
              <w:ind w:right="261"/>
              <w:spacing w:after="0"/>
              <w:rPr>
                <w:sz w:val="20"/>
                <w:szCs w:val="20"/>
                <w:color w:val="auto"/>
              </w:rPr>
            </w:pPr>
            <w:r>
              <w:rPr>
                <w:rFonts w:ascii="Times New Roman" w:cs="Times New Roman" w:eastAsia="Times New Roman" w:hAnsi="Times New Roman"/>
                <w:sz w:val="12"/>
                <w:szCs w:val="12"/>
                <w:color w:val="0000FF"/>
                <w:w w:val="74"/>
              </w:rPr>
              <w:t>C</w:t>
            </w:r>
          </w:p>
        </w:tc>
        <w:tc>
          <w:tcPr>
            <w:tcW w:w="9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2"/>
                <w:szCs w:val="12"/>
                <w:color w:val="0000FF"/>
                <w:w w:val="89"/>
              </w:rPr>
              <w:t>1,212,767</w:t>
            </w:r>
            <w:r>
              <w:rPr>
                <w:rFonts w:ascii="Times New Roman" w:cs="Times New Roman" w:eastAsia="Times New Roman" w:hAnsi="Times New Roman"/>
                <w:sz w:val="19"/>
                <w:szCs w:val="19"/>
                <w:color w:val="008000"/>
                <w:w w:val="89"/>
                <w:vertAlign w:val="superscript"/>
              </w:rPr>
              <w:t>(9)</w:t>
            </w: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580" w:type="dxa"/>
            <w:vAlign w:val="bottom"/>
            <w:gridSpan w:val="2"/>
          </w:tcPr>
          <w:p>
            <w:pPr>
              <w:jc w:val="right"/>
              <w:ind w:right="33"/>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1,212,767</w:t>
            </w:r>
          </w:p>
        </w:tc>
        <w:tc>
          <w:tcPr>
            <w:tcW w:w="72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color w:val="0000FF"/>
              </w:rPr>
              <w:t>61,629,472</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380" w:type="dxa"/>
            <w:vAlign w:val="bottom"/>
            <w:tcBorders>
              <w:right w:val="single" w:sz="8" w:color="2C2C2C"/>
            </w:tcBorders>
            <w:gridSpan w:val="3"/>
          </w:tcPr>
          <w:p>
            <w:pPr>
              <w:ind w:left="300"/>
              <w:spacing w:after="0" w:line="189" w:lineRule="exact"/>
              <w:rPr>
                <w:sz w:val="20"/>
                <w:szCs w:val="20"/>
                <w:color w:val="auto"/>
              </w:rPr>
            </w:pPr>
            <w:r>
              <w:rPr>
                <w:rFonts w:ascii="Times New Roman" w:cs="Times New Roman" w:eastAsia="Times New Roman" w:hAnsi="Times New Roman"/>
                <w:sz w:val="12"/>
                <w:szCs w:val="12"/>
                <w:color w:val="0000FF"/>
              </w:rPr>
              <w:t>See footnotes</w:t>
            </w:r>
            <w:r>
              <w:rPr>
                <w:rFonts w:ascii="Times New Roman" w:cs="Times New Roman" w:eastAsia="Times New Roman" w:hAnsi="Times New Roman"/>
                <w:sz w:val="19"/>
                <w:szCs w:val="19"/>
                <w:color w:val="008000"/>
                <w:vertAlign w:val="superscript"/>
              </w:rPr>
              <w:t>(3)(4)</w:t>
            </w:r>
          </w:p>
        </w:tc>
        <w:tc>
          <w:tcPr>
            <w:tcW w:w="0" w:type="dxa"/>
            <w:vAlign w:val="bottom"/>
          </w:tcPr>
          <w:p>
            <w:pPr>
              <w:spacing w:after="0"/>
              <w:rPr>
                <w:sz w:val="1"/>
                <w:szCs w:val="1"/>
                <w:color w:val="auto"/>
              </w:rPr>
            </w:pPr>
          </w:p>
        </w:tc>
      </w:tr>
      <w:tr>
        <w:trPr>
          <w:trHeight w:val="84"/>
        </w:trPr>
        <w:tc>
          <w:tcPr>
            <w:tcW w:w="640" w:type="dxa"/>
            <w:vAlign w:val="bottom"/>
            <w:gridSpan w:val="2"/>
          </w:tcPr>
          <w:p>
            <w:pPr>
              <w:ind w:left="60"/>
              <w:spacing w:after="0" w:line="85" w:lineRule="exact"/>
              <w:rPr>
                <w:sz w:val="20"/>
                <w:szCs w:val="20"/>
                <w:color w:val="auto"/>
              </w:rPr>
            </w:pPr>
            <w:r>
              <w:rPr>
                <w:rFonts w:ascii="Times New Roman" w:cs="Times New Roman" w:eastAsia="Times New Roman" w:hAnsi="Times New Roman"/>
                <w:sz w:val="9"/>
                <w:szCs w:val="9"/>
                <w:color w:val="0000FF"/>
              </w:rPr>
              <w:t>Medline</w:t>
            </w:r>
          </w:p>
        </w:tc>
        <w:tc>
          <w:tcPr>
            <w:tcW w:w="6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gridSpan w:val="2"/>
          </w:tcPr>
          <w:p>
            <w:pPr>
              <w:ind w:left="60"/>
              <w:spacing w:after="0" w:line="85" w:lineRule="exact"/>
              <w:rPr>
                <w:sz w:val="20"/>
                <w:szCs w:val="20"/>
                <w:color w:val="auto"/>
              </w:rPr>
            </w:pPr>
            <w:r>
              <w:rPr>
                <w:rFonts w:ascii="Times New Roman" w:cs="Times New Roman" w:eastAsia="Times New Roman" w:hAnsi="Times New Roman"/>
                <w:sz w:val="9"/>
                <w:szCs w:val="9"/>
                <w:color w:val="0000FF"/>
              </w:rPr>
              <w:t>Common</w:t>
            </w:r>
          </w:p>
        </w:tc>
        <w:tc>
          <w:tcPr>
            <w:tcW w:w="6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80" w:type="dxa"/>
            <w:vAlign w:val="bottom"/>
          </w:tcPr>
          <w:p>
            <w:pPr>
              <w:ind w:left="300"/>
              <w:spacing w:after="0" w:line="85" w:lineRule="exact"/>
              <w:rPr>
                <w:sz w:val="20"/>
                <w:szCs w:val="20"/>
                <w:color w:val="auto"/>
              </w:rPr>
            </w:pPr>
            <w:r>
              <w:rPr>
                <w:rFonts w:ascii="Times New Roman" w:cs="Times New Roman" w:eastAsia="Times New Roman" w:hAnsi="Times New Roman"/>
                <w:sz w:val="9"/>
                <w:szCs w:val="9"/>
                <w:color w:val="008000"/>
              </w:rPr>
              <w:t>(10)(11)</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ind w:right="93"/>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420" w:type="dxa"/>
            <w:vAlign w:val="bottom"/>
            <w:gridSpan w:val="4"/>
          </w:tcPr>
          <w:p>
            <w:pPr>
              <w:ind w:left="60"/>
              <w:spacing w:after="0" w:line="20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60" w:type="dxa"/>
            <w:vAlign w:val="bottom"/>
            <w:gridSpan w:val="7"/>
          </w:tcPr>
          <w:p>
            <w:pPr>
              <w:spacing w:after="0" w:line="204"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TC Group Cayman Investment Holdings, L.P.</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94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3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C/O WALKERS CORPORATE LIMITED</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190 ELGIN AVENUE</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GEORGE TOWN</w:t>
            </w: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E9</w:t>
            </w:r>
          </w:p>
        </w:tc>
        <w:tc>
          <w:tcPr>
            <w:tcW w:w="1640" w:type="dxa"/>
            <w:vAlign w:val="bottom"/>
            <w:gridSpan w:val="4"/>
          </w:tcPr>
          <w:p>
            <w:pPr>
              <w:ind w:left="500"/>
              <w:spacing w:after="0"/>
              <w:rPr>
                <w:sz w:val="20"/>
                <w:szCs w:val="20"/>
                <w:color w:val="auto"/>
              </w:rPr>
            </w:pPr>
            <w:r>
              <w:rPr>
                <w:rFonts w:ascii="Times New Roman" w:cs="Times New Roman" w:eastAsia="Times New Roman" w:hAnsi="Times New Roman"/>
                <w:sz w:val="15"/>
                <w:szCs w:val="15"/>
                <w:color w:val="0000FF"/>
              </w:rPr>
              <w:t>KY1-9008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(State)</w:t>
            </w:r>
          </w:p>
        </w:tc>
        <w:tc>
          <w:tcPr>
            <w:tcW w:w="940" w:type="dxa"/>
            <w:vAlign w:val="bottom"/>
          </w:tcPr>
          <w:p>
            <w:pPr>
              <w:ind w:left="50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0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4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320" w:type="dxa"/>
            <w:vAlign w:val="bottom"/>
            <w:tcBorders>
              <w:bottom w:val="single" w:sz="8" w:color="0000EE"/>
            </w:tcBorders>
            <w:gridSpan w:val="3"/>
          </w:tcPr>
          <w:p>
            <w:pPr>
              <w:spacing w:after="0" w:line="204" w:lineRule="exact"/>
              <w:rPr>
                <w:rFonts w:ascii="Times New Roman" w:cs="Times New Roman" w:eastAsia="Times New Roman" w:hAnsi="Times New Roman"/>
                <w:sz w:val="19"/>
                <w:szCs w:val="19"/>
                <w:color w:val="0000EE"/>
                <w:w w:val="99"/>
              </w:rPr>
            </w:pPr>
            <w:hyperlink r:id="rId16">
              <w:r>
                <w:rPr>
                  <w:rFonts w:ascii="Times New Roman" w:cs="Times New Roman" w:eastAsia="Times New Roman" w:hAnsi="Times New Roman"/>
                  <w:sz w:val="19"/>
                  <w:szCs w:val="19"/>
                  <w:color w:val="0000EE"/>
                  <w:w w:val="99"/>
                </w:rPr>
                <w:t>Carlyle Holdings II GP L.L.C.</w:t>
              </w:r>
            </w:hyperlink>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26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120" w:type="dxa"/>
            <w:vAlign w:val="bottom"/>
          </w:tcPr>
          <w:p>
            <w:pPr>
              <w:ind w:left="200"/>
              <w:spacing w:after="0"/>
              <w:rPr>
                <w:sz w:val="20"/>
                <w:szCs w:val="20"/>
                <w:color w:val="auto"/>
              </w:rPr>
            </w:pPr>
            <w:r>
              <w:rPr>
                <w:rFonts w:ascii="Times New Roman" w:cs="Times New Roman" w:eastAsia="Times New Roman" w:hAnsi="Times New Roman"/>
                <w:sz w:val="15"/>
                <w:szCs w:val="15"/>
                <w:color w:val="0000FF"/>
              </w:rPr>
              <w:t>DC</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5"/>
                <w:szCs w:val="15"/>
                <w:color w:val="0000FF"/>
              </w:rPr>
              <w:t>20004-2505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-4993005</wp:posOffset>
            </wp:positionV>
            <wp:extent cx="27940" cy="213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2135505"/>
                    </a:xfrm>
                    <a:prstGeom prst="rect">
                      <a:avLst/>
                    </a:prstGeom>
                    <a:noFill/>
                  </pic:spPr>
                </pic:pic>
              </a:graphicData>
            </a:graphic>
          </wp:anchor>
        </w:drawing>
      </w:r>
    </w:p>
    <w:p>
      <w:pPr>
        <w:sectPr>
          <w:pgSz w:w="11900" w:h="16838" w:orient="portrait"/>
          <w:cols w:equalWidth="0" w:num="1">
            <w:col w:w="11080"/>
          </w:cols>
          <w:pgMar w:left="460" w:top="209" w:right="359" w:bottom="0" w:gutter="0" w:footer="0" w:header="0"/>
          <w:type w:val="continuous"/>
        </w:sectPr>
      </w:pPr>
    </w:p>
    <w:p>
      <w:pPr>
        <w:spacing w:after="0" w:line="276"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09" w:right="359" w:bottom="0" w:gutter="0" w:footer="0" w:header="0"/>
          <w:type w:val="continuous"/>
        </w:sectPr>
      </w:pPr>
    </w:p>
    <w:bookmarkStart w:id="1" w:name="page2"/>
    <w:bookmarkEnd w:id="1"/>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-125730</wp:posOffset>
            </wp:positionV>
            <wp:extent cx="2813685" cy="6343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3685" cy="6343015"/>
                    </a:xfrm>
                    <a:prstGeom prst="rect">
                      <a:avLst/>
                    </a:prstGeom>
                    <a:noFill/>
                  </pic:spPr>
                </pic:pic>
              </a:graphicData>
            </a:graphic>
          </wp:anchor>
        </w:drawing>
      </w:r>
    </w:p>
    <w:p>
      <w:pPr>
        <w:ind w:left="100"/>
        <w:spacing w:after="0"/>
        <w:rPr>
          <w:rFonts w:ascii="Times New Roman" w:cs="Times New Roman" w:eastAsia="Times New Roman" w:hAnsi="Times New Roman"/>
          <w:sz w:val="19"/>
          <w:szCs w:val="19"/>
          <w:u w:val="single" w:color="auto"/>
          <w:color w:val="0000EE"/>
        </w:rPr>
      </w:pPr>
      <w:hyperlink r:id="rId19">
        <w:r>
          <w:rPr>
            <w:rFonts w:ascii="Times New Roman" w:cs="Times New Roman" w:eastAsia="Times New Roman" w:hAnsi="Times New Roman"/>
            <w:sz w:val="19"/>
            <w:szCs w:val="19"/>
            <w:u w:val="single" w:color="auto"/>
            <w:color w:val="0000EE"/>
          </w:rPr>
          <w:t>Carlyle Holdings II L.L.C.</w:t>
        </w:r>
      </w:hyperlink>
    </w:p>
    <w:p>
      <w:pPr>
        <w:spacing w:after="0" w:line="272"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4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9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20004-2505</w:t>
            </w:r>
          </w:p>
        </w:tc>
      </w:tr>
      <w:tr>
        <w:trPr>
          <w:trHeight w:val="136"/>
        </w:trPr>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040" w:type="dxa"/>
            <w:vAlign w:val="bottom"/>
          </w:tcPr>
          <w:p>
            <w:pPr>
              <w:ind w:left="160"/>
              <w:spacing w:after="0"/>
              <w:rPr>
                <w:sz w:val="20"/>
                <w:szCs w:val="20"/>
                <w:color w:val="auto"/>
              </w:rPr>
            </w:pPr>
            <w:r>
              <w:rPr>
                <w:rFonts w:ascii="Arial" w:cs="Arial" w:eastAsia="Arial" w:hAnsi="Arial"/>
                <w:sz w:val="12"/>
                <w:szCs w:val="12"/>
                <w:color w:val="auto"/>
              </w:rPr>
              <w:t>(State)</w:t>
            </w:r>
          </w:p>
        </w:tc>
        <w:tc>
          <w:tcPr>
            <w:tcW w:w="1900" w:type="dxa"/>
            <w:vAlign w:val="bottom"/>
          </w:tcPr>
          <w:p>
            <w:pPr>
              <w:ind w:left="54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20">
        <w:r>
          <w:rPr>
            <w:rFonts w:ascii="Times New Roman" w:cs="Times New Roman" w:eastAsia="Times New Roman" w:hAnsi="Times New Roman"/>
            <w:sz w:val="19"/>
            <w:szCs w:val="19"/>
            <w:u w:val="single" w:color="auto"/>
            <w:color w:val="0000EE"/>
          </w:rPr>
          <w:t>TC Group Cayman Investment Holdings Sub L.P.</w:t>
        </w:r>
      </w:hyperlink>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44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C/O WALKERS CORPORATE LIMITED</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190 ELGIN AVENUE,</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GEORGE TOWN,</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0000FF"/>
              </w:rPr>
              <w:t>E9</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0000FF"/>
              </w:rPr>
              <w:t>KY1-9008</w:t>
            </w: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44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3"/>
        </w:trPr>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8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720" w:type="dxa"/>
            <w:vAlign w:val="bottom"/>
            <w:gridSpan w:val="4"/>
          </w:tcPr>
          <w:p>
            <w:pPr>
              <w:spacing w:after="0" w:line="204" w:lineRule="exact"/>
              <w:rPr>
                <w:rFonts w:ascii="Times New Roman" w:cs="Times New Roman" w:eastAsia="Times New Roman" w:hAnsi="Times New Roman"/>
                <w:sz w:val="19"/>
                <w:szCs w:val="19"/>
                <w:color w:val="0000EE"/>
              </w:rPr>
            </w:pPr>
            <w:hyperlink r:id="rId21">
              <w:r>
                <w:rPr>
                  <w:rFonts w:ascii="Times New Roman" w:cs="Times New Roman" w:eastAsia="Times New Roman" w:hAnsi="Times New Roman"/>
                  <w:sz w:val="19"/>
                  <w:szCs w:val="19"/>
                  <w:color w:val="0000EE"/>
                </w:rPr>
                <w:t>TC Group VII, L.L.C.</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44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45"/>
        </w:trPr>
        <w:tc>
          <w:tcPr>
            <w:tcW w:w="100" w:type="dxa"/>
            <w:vAlign w:val="bottom"/>
          </w:tcPr>
          <w:p>
            <w:pPr>
              <w:spacing w:after="0"/>
              <w:rPr>
                <w:sz w:val="21"/>
                <w:szCs w:val="21"/>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C/O THE CARLYLE GROUP INC.</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28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1001 PENNSYLVANIA AVE. NW SUITE 220 S</w:t>
            </w: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0"/>
        </w:trPr>
        <w:tc>
          <w:tcPr>
            <w:tcW w:w="13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0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0000FF"/>
              </w:rPr>
              <w:t>DC</w:t>
            </w:r>
          </w:p>
        </w:tc>
        <w:tc>
          <w:tcPr>
            <w:tcW w:w="14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20004-2505</w:t>
            </w:r>
          </w:p>
        </w:tc>
        <w:tc>
          <w:tcPr>
            <w:tcW w:w="100" w:type="dxa"/>
            <w:vAlign w:val="bottom"/>
          </w:tcPr>
          <w:p>
            <w:pPr>
              <w:spacing w:after="0"/>
              <w:rPr>
                <w:sz w:val="18"/>
                <w:szCs w:val="18"/>
                <w:color w:val="auto"/>
              </w:rPr>
            </w:pPr>
          </w:p>
        </w:tc>
      </w:tr>
      <w:tr>
        <w:trPr>
          <w:trHeight w:val="136"/>
        </w:trPr>
        <w:tc>
          <w:tcPr>
            <w:tcW w:w="100" w:type="dxa"/>
            <w:vAlign w:val="bottom"/>
          </w:tcPr>
          <w:p>
            <w:pPr>
              <w:spacing w:after="0"/>
              <w:rPr>
                <w:sz w:val="11"/>
                <w:szCs w:val="11"/>
                <w:color w:val="auto"/>
              </w:rPr>
            </w:pPr>
          </w:p>
        </w:tc>
        <w:tc>
          <w:tcPr>
            <w:tcW w:w="12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5"/>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(City)</w:t>
            </w:r>
          </w:p>
        </w:tc>
        <w:tc>
          <w:tcPr>
            <w:tcW w:w="1440" w:type="dxa"/>
            <w:vAlign w:val="bottom"/>
            <w:gridSpan w:val="3"/>
          </w:tcPr>
          <w:p>
            <w:pPr>
              <w:ind w:left="120"/>
              <w:spacing w:after="0"/>
              <w:rPr>
                <w:sz w:val="20"/>
                <w:szCs w:val="20"/>
                <w:color w:val="auto"/>
              </w:rPr>
            </w:pPr>
            <w:r>
              <w:rPr>
                <w:rFonts w:ascii="Arial" w:cs="Arial" w:eastAsia="Arial" w:hAnsi="Arial"/>
                <w:sz w:val="12"/>
                <w:szCs w:val="12"/>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3"/>
        </w:trPr>
        <w:tc>
          <w:tcPr>
            <w:tcW w:w="158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4"/>
        </w:trPr>
        <w:tc>
          <w:tcPr>
            <w:tcW w:w="28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2720" w:type="dxa"/>
            <w:vAlign w:val="bottom"/>
            <w:gridSpan w:val="4"/>
          </w:tcPr>
          <w:p>
            <w:pPr>
              <w:spacing w:after="0" w:line="204"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TC Group VII, L.P.</w:t>
              </w:r>
            </w:hyperlink>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0"/>
        </w:trPr>
        <w:tc>
          <w:tcPr>
            <w:tcW w:w="100" w:type="dxa"/>
            <w:vAlign w:val="bottom"/>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2"/>
                <w:szCs w:val="12"/>
                <w:color w:val="auto"/>
              </w:rPr>
              <w:t>(Last)</w:t>
            </w:r>
          </w:p>
        </w:tc>
        <w:tc>
          <w:tcPr>
            <w:tcW w:w="1440" w:type="dxa"/>
            <w:vAlign w:val="bottom"/>
            <w:gridSpan w:val="3"/>
          </w:tcPr>
          <w:p>
            <w:pPr>
              <w:ind w:left="120"/>
              <w:spacing w:after="0"/>
              <w:rPr>
                <w:sz w:val="20"/>
                <w:szCs w:val="20"/>
                <w:color w:val="auto"/>
              </w:rPr>
            </w:pPr>
            <w:r>
              <w:rPr>
                <w:rFonts w:ascii="Arial" w:cs="Arial" w:eastAsia="Arial" w:hAnsi="Arial"/>
                <w:sz w:val="12"/>
                <w:szCs w:val="12"/>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bl>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C/O THE CARLYLE GROUP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0000FF"/>
        </w:rPr>
        <w:t>1001 PENNSYLVANIA AVE. NW SUITE 220 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12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10"/>
        </w:trPr>
        <w:tc>
          <w:tcPr>
            <w:tcW w:w="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WASHINGTON,</w:t>
            </w:r>
          </w:p>
        </w:tc>
        <w:tc>
          <w:tcPr>
            <w:tcW w:w="104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DC</w:t>
            </w:r>
          </w:p>
        </w:tc>
        <w:tc>
          <w:tcPr>
            <w:tcW w:w="1900" w:type="dxa"/>
            <w:vAlign w:val="bottom"/>
          </w:tcPr>
          <w:p>
            <w:pPr>
              <w:ind w:left="540"/>
              <w:spacing w:after="0"/>
              <w:rPr>
                <w:sz w:val="20"/>
                <w:szCs w:val="20"/>
                <w:color w:val="auto"/>
              </w:rPr>
            </w:pPr>
            <w:r>
              <w:rPr>
                <w:rFonts w:ascii="Times New Roman" w:cs="Times New Roman" w:eastAsia="Times New Roman" w:hAnsi="Times New Roman"/>
                <w:sz w:val="15"/>
                <w:szCs w:val="15"/>
                <w:color w:val="0000FF"/>
              </w:rPr>
              <w:t>20004-2505</w:t>
            </w:r>
          </w:p>
        </w:tc>
      </w:tr>
      <w:tr>
        <w:trPr>
          <w:trHeight w:val="136"/>
        </w:trPr>
        <w:tc>
          <w:tcPr>
            <w:tcW w:w="40" w:type="dxa"/>
            <w:vAlign w:val="bottom"/>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2"/>
                <w:szCs w:val="12"/>
                <w:color w:val="auto"/>
              </w:rPr>
              <w:t>(City)</w:t>
            </w:r>
          </w:p>
        </w:tc>
        <w:tc>
          <w:tcPr>
            <w:tcW w:w="1040" w:type="dxa"/>
            <w:vAlign w:val="bottom"/>
          </w:tcPr>
          <w:p>
            <w:pPr>
              <w:ind w:left="160"/>
              <w:spacing w:after="0"/>
              <w:rPr>
                <w:sz w:val="20"/>
                <w:szCs w:val="20"/>
                <w:color w:val="auto"/>
              </w:rPr>
            </w:pPr>
            <w:r>
              <w:rPr>
                <w:rFonts w:ascii="Arial" w:cs="Arial" w:eastAsia="Arial" w:hAnsi="Arial"/>
                <w:sz w:val="12"/>
                <w:szCs w:val="12"/>
                <w:color w:val="auto"/>
              </w:rPr>
              <w:t>(State)</w:t>
            </w:r>
          </w:p>
        </w:tc>
        <w:tc>
          <w:tcPr>
            <w:tcW w:w="1900" w:type="dxa"/>
            <w:vAlign w:val="bottom"/>
          </w:tcPr>
          <w:p>
            <w:pPr>
              <w:ind w:left="540"/>
              <w:spacing w:after="0"/>
              <w:rPr>
                <w:sz w:val="20"/>
                <w:szCs w:val="20"/>
                <w:color w:val="auto"/>
              </w:rPr>
            </w:pPr>
            <w:r>
              <w:rPr>
                <w:rFonts w:ascii="Arial" w:cs="Arial" w:eastAsia="Arial" w:hAnsi="Arial"/>
                <w:sz w:val="12"/>
                <w:szCs w:val="12"/>
                <w:color w:val="auto"/>
              </w:rPr>
              <w:t>(Zip)</w:t>
            </w:r>
          </w:p>
        </w:tc>
      </w:tr>
    </w:tbl>
    <w:p>
      <w:pPr>
        <w:spacing w:after="0" w:line="11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40" w:right="420" w:hanging="9"/>
        <w:spacing w:after="0" w:line="254"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of Medline Holdings, LP ("Common Units") to an equivalent number of shares of the Issuer's Class A common stock ("Class A Common Stock") on March 4, 2026: (i) 1,752,046 Common Units to Class A Common Stock held by CP Circle UNLV Holdco, L.P. and (ii) 6,333,070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ind w:left="40" w:right="360" w:hanging="9"/>
        <w:spacing w:after="0" w:line="254"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p>
      <w:pPr>
        <w:spacing w:after="0" w:line="16" w:lineRule="exact"/>
        <w:rPr>
          <w:rFonts w:ascii="Times New Roman" w:cs="Times New Roman" w:eastAsia="Times New Roman" w:hAnsi="Times New Roman"/>
          <w:sz w:val="12"/>
          <w:szCs w:val="12"/>
          <w:color w:val="008000"/>
        </w:rPr>
      </w:pPr>
    </w:p>
    <w:p>
      <w:pPr>
        <w:ind w:left="40" w:right="60" w:hanging="9"/>
        <w:spacing w:after="0" w:line="23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p>
      <w:pPr>
        <w:spacing w:after="0" w:line="24" w:lineRule="exact"/>
        <w:rPr>
          <w:rFonts w:ascii="Times New Roman" w:cs="Times New Roman" w:eastAsia="Times New Roman" w:hAnsi="Times New Roman"/>
          <w:sz w:val="12"/>
          <w:szCs w:val="12"/>
          <w:color w:val="008000"/>
        </w:rPr>
      </w:pPr>
    </w:p>
    <w:p>
      <w:pPr>
        <w:ind w:left="40" w:right="80" w:hanging="9"/>
        <w:spacing w:after="0" w:line="23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p>
      <w:pPr>
        <w:spacing w:after="0" w:line="24" w:lineRule="exact"/>
        <w:rPr>
          <w:rFonts w:ascii="Times New Roman" w:cs="Times New Roman" w:eastAsia="Times New Roman" w:hAnsi="Times New Roman"/>
          <w:sz w:val="12"/>
          <w:szCs w:val="12"/>
          <w:color w:val="008000"/>
        </w:rPr>
      </w:pPr>
    </w:p>
    <w:p>
      <w:pPr>
        <w:ind w:left="40" w:hanging="9"/>
        <w:spacing w:after="0" w:line="235"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4,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6)</w:t>
      </w:r>
    </w:p>
    <w:p>
      <w:pPr>
        <w:spacing w:after="0" w:line="24" w:lineRule="exact"/>
        <w:rPr>
          <w:rFonts w:ascii="Times New Roman" w:cs="Times New Roman" w:eastAsia="Times New Roman" w:hAnsi="Times New Roman"/>
          <w:sz w:val="12"/>
          <w:szCs w:val="12"/>
          <w:color w:val="008000"/>
        </w:rPr>
      </w:pPr>
    </w:p>
    <w:p>
      <w:pPr>
        <w:ind w:left="40" w:right="220" w:hanging="9"/>
        <w:spacing w:after="0" w:line="254"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(x) 1,754,661 shares of Class A Common Stock and 13,617,928 Common Units and shares of Class B Common Stock held by CP Circle UNLV Holdco, L.P. and (xi) 6,342,524 shares of Class A Common Stock and 49,224,311 Common Units and shares of Class B Common Stock held by CP Circle ML-1 Holdco, L.P.</w:t>
      </w:r>
    </w:p>
    <w:p>
      <w:pPr>
        <w:spacing w:after="0" w:line="16" w:lineRule="exact"/>
        <w:rPr>
          <w:rFonts w:ascii="Times New Roman" w:cs="Times New Roman" w:eastAsia="Times New Roman" w:hAnsi="Times New Roman"/>
          <w:sz w:val="12"/>
          <w:szCs w:val="12"/>
          <w:color w:val="008000"/>
        </w:rPr>
      </w:pPr>
    </w:p>
    <w:p>
      <w:pPr>
        <w:ind w:left="40" w:right="100" w:hanging="9"/>
        <w:spacing w:after="0" w:line="254"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p>
      <w:pPr>
        <w:spacing w:after="0" w:line="16" w:lineRule="exact"/>
        <w:rPr>
          <w:rFonts w:ascii="Times New Roman" w:cs="Times New Roman" w:eastAsia="Times New Roman" w:hAnsi="Times New Roman"/>
          <w:sz w:val="12"/>
          <w:szCs w:val="12"/>
          <w:color w:val="008000"/>
        </w:rPr>
      </w:pPr>
    </w:p>
    <w:p>
      <w:pPr>
        <w:ind w:left="40" w:right="60" w:hanging="9"/>
        <w:spacing w:after="0" w:line="254"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cancellation of shares of Class B Common Stock held by CP Circle UNLV Holdco, L.P. and CP Circle ML-1 Holdco, L.P. as a result of an exchange of an equivalent number of Common Units to shares of Class A Common Stock.</w:t>
      </w:r>
    </w:p>
    <w:p>
      <w:pPr>
        <w:spacing w:after="0" w:line="16" w:lineRule="exact"/>
        <w:rPr>
          <w:rFonts w:ascii="Times New Roman" w:cs="Times New Roman" w:eastAsia="Times New Roman" w:hAnsi="Times New Roman"/>
          <w:sz w:val="12"/>
          <w:szCs w:val="12"/>
          <w:color w:val="008000"/>
        </w:rPr>
      </w:pPr>
    </w:p>
    <w:p>
      <w:pPr>
        <w:ind w:left="40" w:right="60" w:hanging="9"/>
        <w:spacing w:after="0" w:line="254" w:lineRule="auto"/>
        <w:tabs>
          <w:tab w:leader="none" w:pos="15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following exchange of Common Units to an equivalent number of shares of Class A Common Stock on March 5, 2026: (i) 262,807 Common Units to Class A Common Stock held by CP Circle UNLV Holdco, L.P. and (ii) 949,960 Common Units to Class A Common Stock held by CP Circle ML-1 Holdco, L.P.</w:t>
      </w:r>
    </w:p>
    <w:p>
      <w:pPr>
        <w:spacing w:after="0" w:line="16" w:lineRule="exact"/>
        <w:rPr>
          <w:rFonts w:ascii="Times New Roman" w:cs="Times New Roman" w:eastAsia="Times New Roman" w:hAnsi="Times New Roman"/>
          <w:sz w:val="12"/>
          <w:szCs w:val="12"/>
          <w:color w:val="008000"/>
        </w:rPr>
      </w:pPr>
    </w:p>
    <w:p>
      <w:pPr>
        <w:jc w:val="both"/>
        <w:ind w:left="40" w:hanging="9"/>
        <w:spacing w:after="0" w:line="235" w:lineRule="auto"/>
        <w:tabs>
          <w:tab w:leader="none" w:pos="21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reported on March 5, 2026, reflects (i) 16,125,094 shares of Class A Common Stock held by Carlyle Mozart Coinvestment Holdings, L.P., (ii) 15,414,514 shares of Class A Common Stock held by Carlyle Mozart Coinvestment UNLV Holdco, L.P., (iii) 838,505 shares of Class A Common Stock held by CPEP Circle Holdings L.P., (iv) 17,636,833 shares of Class A Common Stock held by CP Circle ML-7 Holdco, L.P., (v) 2,440,275 shares of Class A Common Stock held by CP Circle ML-6 Holdco, L.P., (vi) 6,615,133 shares of Class A Common Stock held by CP Circle ML-5 Holdco, L.P., (vii) 26,655,381 shares of Class A Common Stock held by CP Circle ML-4 Holdco, L.P., (viii) 58,369,466 shares of Class A Common Stock held by CP Circle ML-3 Holdco, L.P., (ix) 268,411 shares of Class A Common Stock held by CP Circle ML-2 Holdco, L.P., (continued in footnote 11)</w:t>
      </w:r>
    </w:p>
    <w:p>
      <w:pPr>
        <w:spacing w:after="0" w:line="24" w:lineRule="exact"/>
        <w:rPr>
          <w:rFonts w:ascii="Times New Roman" w:cs="Times New Roman" w:eastAsia="Times New Roman" w:hAnsi="Times New Roman"/>
          <w:sz w:val="12"/>
          <w:szCs w:val="12"/>
          <w:color w:val="008000"/>
        </w:rPr>
      </w:pPr>
    </w:p>
    <w:p>
      <w:pPr>
        <w:ind w:left="40" w:right="100" w:hanging="9"/>
        <w:spacing w:after="0" w:line="254" w:lineRule="auto"/>
        <w:tabs>
          <w:tab w:leader="none" w:pos="21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10) (x) 2,017,468 shares of Class A Common Stock and 13,355,121 Common Units and shares of Class B Common Stock held by CP Circle UNLV Holdco, L.P. and (xi) 7,292,484 shares of Class A Common Stock and 48,274,351 Common Units and shares of Class B Common Stock held by CP Circle ML-1 Holdco, L.P.</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pacing w:after="0" w:line="55"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12"/>
          <w:szCs w:val="12"/>
          <w:color w:val="008000"/>
        </w:rPr>
        <w:t>Due to the limitations of the electronic filing system, The Carlyle Group Inc., Carlyle Holdings I GP Inc., Carlyle Holdings I GP Sub L.L.C., Carlyle Holdings I L.P., TC Group, L.L.C., TC Group Sub L.P., TC Group VII S1, L.L.C., TC Group VII S1, L.P., Carlyle Mozart Coinvestment Holdings, L.P., Carlyle Mozart Coinvestment UNLV Holdco, L.P., CP Circle UNLV Holdco, L.P., CPEP GP, LLC, CPEP Circle Holdings L.P., CP Circle ML-1 Holdco GP, LLC, CP Circle ML-1 Holdco, L.P., CP Circle ML Holdco GP, LLC, CP Circle ML-2 Holdco, L.P., CP Circle ML-3 Holdco, L.P., CP Circle ML-4 Holdco, L.P., CP Circle ML-5 Holdco, L.P., CP Circle ML-6 Holdco, L.P. and CP Circle ML-7 Holdco, L.P. are filing a separate Form 4.</w:t>
      </w:r>
    </w:p>
    <w:p>
      <w:pPr>
        <w:sectPr>
          <w:pgSz w:w="11900" w:h="16854" w:orient="portrait"/>
          <w:cols w:equalWidth="0" w:num="1">
            <w:col w:w="10940"/>
          </w:cols>
          <w:pgMar w:left="460" w:top="120" w:right="499" w:bottom="0" w:gutter="0" w:footer="0" w:header="0"/>
        </w:sectPr>
      </w:pPr>
    </w:p>
    <w:p>
      <w:pPr>
        <w:spacing w:after="0" w:line="41"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rPr>
              <w:t>TC Group Cayman Investment</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0000FF"/>
                <w:w w:val="99"/>
              </w:rPr>
              <w:t>03/06/2026</w:t>
            </w:r>
          </w:p>
        </w:tc>
      </w:tr>
    </w:tbl>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Holdings, L.P., By: CG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-3810</wp:posOffset>
            </wp:positionV>
            <wp:extent cx="1355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Holdings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-10160</wp:posOffset>
            </wp:positionV>
            <wp:extent cx="10966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ectPr>
          <w:pgSz w:w="11900" w:h="16854" w:orient="portrait"/>
          <w:cols w:equalWidth="0" w:num="1">
            <w:col w:w="10940"/>
          </w:cols>
          <w:pgMar w:left="460" w:top="120" w:right="499" w:bottom="0" w:gutter="0" w:footer="0" w:header="0"/>
          <w:type w:val="continuous"/>
        </w:sectPr>
      </w:pPr>
    </w:p>
    <w:bookmarkStart w:id="2" w:name="page3"/>
    <w:bookmarkEnd w:id="2"/>
    <w:p>
      <w:pPr>
        <w:ind w:left="6569"/>
        <w:spacing w:after="0"/>
        <w:rPr>
          <w:sz w:val="20"/>
          <w:szCs w:val="20"/>
          <w:color w:val="auto"/>
        </w:rPr>
      </w:pPr>
      <w:r>
        <w:rPr>
          <w:rFonts w:ascii="Times New Roman" w:cs="Times New Roman" w:eastAsia="Times New Roman" w:hAnsi="Times New Roman"/>
          <w:sz w:val="15"/>
          <w:szCs w:val="15"/>
          <w:color w:val="0000FF"/>
        </w:rPr>
        <w:t>partner, By: /s/ Anne K.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620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207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480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4803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Carlyle Holdings 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192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1920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By: The Carlyle Group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217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2174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sole member, By: /s/ Anne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633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6332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Frederick,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10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1031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Carlyle Holdings 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3525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Anne K. Frederick,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79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326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2639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TC Group Cayman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21094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1094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Holdings Sub L.P., By: TC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2842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Cayman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9443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9443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L.P., its general partner, By: 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60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5603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Subsidiary Holdings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274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2745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general partner, By: /s/ Anne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031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5031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Frederick,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22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7221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TC Group VII,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175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75385"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Jeremy Anderson,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055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spacing w:after="0" w:line="35"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TC Group VII,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-3810</wp:posOffset>
            </wp:positionV>
            <wp:extent cx="11023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02360" cy="7620"/>
                    </a:xfrm>
                    <a:prstGeom prst="rect">
                      <a:avLst/>
                    </a:prstGeom>
                    <a:noFill/>
                  </pic:spPr>
                </pic:pic>
              </a:graphicData>
            </a:graphic>
          </wp:anchor>
        </w:drawing>
      </w:r>
    </w:p>
    <w:p>
      <w:pPr>
        <w:spacing w:after="0" w:line="7" w:lineRule="exact"/>
        <w:rPr>
          <w:sz w:val="20"/>
          <w:szCs w:val="20"/>
          <w:color w:val="auto"/>
        </w:rPr>
      </w:pPr>
    </w:p>
    <w:p>
      <w:pPr>
        <w:ind w:left="6569"/>
        <w:spacing w:after="0"/>
        <w:rPr>
          <w:sz w:val="20"/>
          <w:szCs w:val="20"/>
          <w:color w:val="auto"/>
        </w:rPr>
      </w:pPr>
      <w:r>
        <w:rPr>
          <w:rFonts w:ascii="Times New Roman" w:cs="Times New Roman" w:eastAsia="Times New Roman" w:hAnsi="Times New Roman"/>
          <w:sz w:val="15"/>
          <w:szCs w:val="15"/>
          <w:color w:val="0000FF"/>
        </w:rPr>
        <w:t>Group VII,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7284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72845"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partner, By: /s/ Jeremy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182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18260" cy="7620"/>
                    </a:xfrm>
                    <a:prstGeom prst="rect">
                      <a:avLst/>
                    </a:prstGeom>
                    <a:noFill/>
                  </pic:spPr>
                </pic:pic>
              </a:graphicData>
            </a:graphic>
          </wp:anchor>
        </w:drawing>
      </w:r>
    </w:p>
    <w:p>
      <w:pPr>
        <w:ind w:left="6569"/>
        <w:spacing w:after="0"/>
        <w:rPr>
          <w:sz w:val="20"/>
          <w:szCs w:val="20"/>
          <w:color w:val="auto"/>
        </w:rPr>
      </w:pPr>
      <w:r>
        <w:rPr>
          <w:rFonts w:ascii="Times New Roman" w:cs="Times New Roman" w:eastAsia="Times New Roman" w:hAnsi="Times New Roman"/>
          <w:sz w:val="15"/>
          <w:szCs w:val="15"/>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56832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683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464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8709" w:space="60"/>
            <w:col w:w="1199"/>
          </w:cols>
          <w:pgMar w:left="491" w:top="128" w:right="1440" w:bottom="1440" w:gutter="0" w:footer="0" w:header="0"/>
        </w:sectPr>
      </w:pPr>
    </w:p>
    <w:p>
      <w:pPr>
        <w:ind w:left="6569"/>
        <w:spacing w:after="0"/>
        <w:tabs>
          <w:tab w:leader="none" w:pos="8749"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3119" w:hanging="9"/>
        <w:spacing w:after="0" w:line="335"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9"/>
      </w:cols>
      <w:pgMar w:left="491" w:top="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13" Type="http://schemas.openxmlformats.org/officeDocument/2006/relationships/hyperlink" Target="http://www.sec.gov/cgi-bin/browse-edgar?action=getcompany&amp;CIK=0001475444" TargetMode="External"/><Relationship Id="rId14" Type="http://schemas.openxmlformats.org/officeDocument/2006/relationships/hyperlink" Target="http://www.sec.gov/cgi-bin/browse-edgar?action=getcompany&amp;CIK=0002046386" TargetMode="External"/><Relationship Id="rId16" Type="http://schemas.openxmlformats.org/officeDocument/2006/relationships/hyperlink" Target="http://www.sec.gov/cgi-bin/browse-edgar?action=getcompany&amp;CIK=0001548629" TargetMode="External"/><Relationship Id="rId19" Type="http://schemas.openxmlformats.org/officeDocument/2006/relationships/hyperlink" Target="http://www.sec.gov/cgi-bin/browse-edgar?action=getcompany&amp;CIK=0001548630" TargetMode="External"/><Relationship Id="rId20" Type="http://schemas.openxmlformats.org/officeDocument/2006/relationships/hyperlink" Target="http://www.sec.gov/cgi-bin/browse-edgar?action=getcompany&amp;CIK=0001548636" TargetMode="External"/><Relationship Id="rId21" Type="http://schemas.openxmlformats.org/officeDocument/2006/relationships/hyperlink" Target="http://www.sec.gov/cgi-bin/browse-edgar?action=getcompany&amp;CIK=0001791662" TargetMode="External"/><Relationship Id="rId22" Type="http://schemas.openxmlformats.org/officeDocument/2006/relationships/hyperlink" Target="http://www.sec.gov/cgi-bin/browse-edgar?action=getcompany&amp;CIK=0001791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2026-03-06T18:04:30Z</dcterms:created>
  <dcterms:modified xsi:type="dcterms:W3CDTF">2026-03-06T18:04:30Z</dcterms:modified>
</cp:coreProperties>
</file>