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40" w:right="14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-221615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1"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7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9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6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-602615</wp:posOffset>
            </wp:positionV>
            <wp:extent cx="57150"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5950"/>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-602615</wp:posOffset>
            </wp:positionV>
            <wp:extent cx="57150" cy="615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595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639445</wp:posOffset>
            </wp:positionV>
            <wp:extent cx="7049135" cy="762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135" cy="7628255"/>
                    </a:xfrm>
                    <a:prstGeom prst="rect">
                      <a:avLst/>
                    </a:prstGeom>
                    <a:noFill/>
                  </pic:spPr>
                </pic:pic>
              </a:graphicData>
            </a:graphic>
          </wp:anchor>
        </w:drawing>
      </w:r>
    </w:p>
    <w:p>
      <w:pPr>
        <w:spacing w:after="0" w:line="1020" w:lineRule="exact"/>
        <w:rPr>
          <w:sz w:val="24"/>
          <w:szCs w:val="24"/>
          <w:color w:val="auto"/>
        </w:rPr>
      </w:pPr>
    </w:p>
    <w:p>
      <w:pPr>
        <w:sectPr>
          <w:pgSz w:w="11900" w:h="16838" w:orient="portrait"/>
          <w:cols w:equalWidth="0" w:num="2">
            <w:col w:w="2300" w:space="400"/>
            <w:col w:w="8380"/>
          </w:cols>
          <w:pgMar w:left="460" w:top="213"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0" w:type="dxa"/>
            <w:vAlign w:val="bottom"/>
            <w:gridSpan w:val="7"/>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80" w:type="dxa"/>
            <w:vAlign w:val="bottom"/>
            <w:gridSpan w:val="7"/>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3"/>
            <w:vMerge w:val="restart"/>
          </w:tcPr>
          <w:p>
            <w:pPr>
              <w:spacing w:after="0" w:line="228" w:lineRule="exact"/>
              <w:rPr>
                <w:rFonts w:ascii="Times New Roman" w:cs="Times New Roman" w:eastAsia="Times New Roman" w:hAnsi="Times New Roman"/>
                <w:sz w:val="20"/>
                <w:szCs w:val="20"/>
                <w:color w:val="0000EE"/>
                <w:w w:val="96"/>
              </w:rPr>
            </w:pPr>
            <w:hyperlink r:id="rId13">
              <w:r>
                <w:rPr>
                  <w:rFonts w:ascii="Times New Roman" w:cs="Times New Roman" w:eastAsia="Times New Roman" w:hAnsi="Times New Roman"/>
                  <w:sz w:val="20"/>
                  <w:szCs w:val="20"/>
                  <w:color w:val="0000EE"/>
                  <w:w w:val="96"/>
                </w:rPr>
                <w:t>Abrams William J</w:t>
              </w:r>
            </w:hyperlink>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6"/>
          </w:tcPr>
          <w:p>
            <w:pPr>
              <w:ind w:left="60"/>
              <w:spacing w:after="0" w:line="161"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 xml:space="preserve">Medline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MDLN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Borders>
              <w:bottom w:val="single" w:sz="8" w:color="0000EE"/>
            </w:tcBorders>
            <w:gridSpan w:val="3"/>
            <w:vMerge w:val="continue"/>
          </w:tcPr>
          <w:p>
            <w:pPr>
              <w:spacing w:after="0"/>
              <w:rPr>
                <w:sz w:val="5"/>
                <w:szCs w:val="5"/>
                <w:color w:val="auto"/>
              </w:rPr>
            </w:pPr>
          </w:p>
        </w:tc>
        <w:tc>
          <w:tcPr>
            <w:tcW w:w="920" w:type="dxa"/>
            <w:vAlign w:val="bottom"/>
            <w:vMerge w:val="restart"/>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color w:val="auto"/>
                <w:w w:val="99"/>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2"/>
                <w:szCs w:val="12"/>
                <w:color w:val="auto"/>
              </w:rPr>
              <w:t>10% Owner</w:t>
            </w: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40" w:type="dxa"/>
            <w:vAlign w:val="bottom"/>
            <w:gridSpan w:val="3"/>
          </w:tcPr>
          <w:p>
            <w:pPr>
              <w:spacing w:after="0"/>
              <w:rPr>
                <w:sz w:val="4"/>
                <w:szCs w:val="4"/>
                <w:color w:val="auto"/>
              </w:rPr>
            </w:pPr>
          </w:p>
        </w:tc>
        <w:tc>
          <w:tcPr>
            <w:tcW w:w="92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180"/>
              <w:spacing w:after="0" w:line="116" w:lineRule="exact"/>
              <w:rPr>
                <w:sz w:val="20"/>
                <w:szCs w:val="20"/>
                <w:color w:val="auto"/>
              </w:rPr>
            </w:pPr>
            <w:r>
              <w:rPr>
                <w:rFonts w:ascii="Arial" w:cs="Arial" w:eastAsia="Arial" w:hAnsi="Arial"/>
                <w:sz w:val="12"/>
                <w:szCs w:val="12"/>
                <w:color w:val="auto"/>
              </w:rPr>
              <w:t>Officer (give title</w:t>
            </w:r>
          </w:p>
        </w:tc>
        <w:tc>
          <w:tcPr>
            <w:tcW w:w="280" w:type="dxa"/>
            <w:vAlign w:val="bottom"/>
          </w:tcPr>
          <w:p>
            <w:pPr>
              <w:spacing w:after="0"/>
              <w:rPr>
                <w:sz w:val="10"/>
                <w:szCs w:val="10"/>
                <w:color w:val="auto"/>
              </w:rPr>
            </w:pPr>
          </w:p>
        </w:tc>
        <w:tc>
          <w:tcPr>
            <w:tcW w:w="1200" w:type="dxa"/>
            <w:vAlign w:val="bottom"/>
            <w:gridSpan w:val="2"/>
          </w:tcPr>
          <w:p>
            <w:pPr>
              <w:ind w:left="260"/>
              <w:spacing w:after="0" w:line="116" w:lineRule="exact"/>
              <w:rPr>
                <w:sz w:val="20"/>
                <w:szCs w:val="20"/>
                <w:color w:val="auto"/>
              </w:rPr>
            </w:pPr>
            <w:r>
              <w:rPr>
                <w:rFonts w:ascii="Arial" w:cs="Arial" w:eastAsia="Arial" w:hAnsi="Arial"/>
                <w:sz w:val="12"/>
                <w:szCs w:val="12"/>
                <w:color w:val="auto"/>
              </w:rPr>
              <w:t>Other (specify</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EEEEEE"/>
            </w:tcBorders>
          </w:tcPr>
          <w:p>
            <w:pPr>
              <w:spacing w:after="0"/>
              <w:rPr>
                <w:sz w:val="12"/>
                <w:szCs w:val="12"/>
                <w:color w:val="auto"/>
              </w:rPr>
            </w:pPr>
          </w:p>
        </w:tc>
        <w:tc>
          <w:tcPr>
            <w:tcW w:w="56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2"/>
                <w:szCs w:val="12"/>
                <w:color w:val="auto"/>
              </w:rPr>
              <w:t>(Last)</w:t>
            </w:r>
          </w:p>
        </w:tc>
        <w:tc>
          <w:tcPr>
            <w:tcW w:w="1800" w:type="dxa"/>
            <w:vAlign w:val="bottom"/>
            <w:tcBorders>
              <w:top w:val="single" w:sz="8" w:color="EEEEEE"/>
              <w:bottom w:val="single" w:sz="8" w:color="EEEEEE"/>
            </w:tcBorders>
            <w:gridSpan w:val="3"/>
            <w:vMerge w:val="restart"/>
          </w:tcPr>
          <w:p>
            <w:pPr>
              <w:ind w:left="660"/>
              <w:spacing w:after="0"/>
              <w:rPr>
                <w:sz w:val="20"/>
                <w:szCs w:val="20"/>
                <w:color w:val="auto"/>
              </w:rPr>
            </w:pPr>
            <w:r>
              <w:rPr>
                <w:rFonts w:ascii="Arial" w:cs="Arial" w:eastAsia="Arial" w:hAnsi="Arial"/>
                <w:sz w:val="12"/>
                <w:szCs w:val="12"/>
                <w:color w:val="auto"/>
              </w:rPr>
              <w:t>(First)</w:t>
            </w:r>
          </w:p>
        </w:tc>
        <w:tc>
          <w:tcPr>
            <w:tcW w:w="960" w:type="dxa"/>
            <w:vAlign w:val="bottom"/>
            <w:tcBorders>
              <w:top w:val="single" w:sz="8" w:color="EEEEEE"/>
              <w:bottom w:val="single" w:sz="8" w:color="EEEEEE"/>
            </w:tcBorders>
            <w:vMerge w:val="restart"/>
          </w:tcPr>
          <w:p>
            <w:pPr>
              <w:ind w:left="80"/>
              <w:spacing w:after="0"/>
              <w:rPr>
                <w:sz w:val="20"/>
                <w:szCs w:val="20"/>
                <w:color w:val="auto"/>
              </w:rPr>
            </w:pPr>
            <w:r>
              <w:rPr>
                <w:rFonts w:ascii="Arial" w:cs="Arial" w:eastAsia="Arial" w:hAnsi="Arial"/>
                <w:sz w:val="12"/>
                <w:szCs w:val="12"/>
                <w:color w:val="auto"/>
              </w:rPr>
              <w:t>(Middle)</w:t>
            </w:r>
          </w:p>
        </w:tc>
        <w:tc>
          <w:tcPr>
            <w:tcW w:w="60" w:type="dxa"/>
            <w:vAlign w:val="bottom"/>
            <w:tcBorders>
              <w:top w:val="single" w:sz="8" w:color="EEEEEE"/>
            </w:tcBorders>
          </w:tcPr>
          <w:p>
            <w:pPr>
              <w:spacing w:after="0"/>
              <w:rPr>
                <w:sz w:val="12"/>
                <w:szCs w:val="12"/>
                <w:color w:val="auto"/>
              </w:rPr>
            </w:pPr>
          </w:p>
        </w:tc>
        <w:tc>
          <w:tcPr>
            <w:tcW w:w="260" w:type="dxa"/>
            <w:vAlign w:val="bottom"/>
            <w:tcBorders>
              <w:top w:val="single" w:sz="8" w:color="EEEEEE"/>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80"/>
              <w:spacing w:after="0" w:line="114" w:lineRule="exact"/>
              <w:rPr>
                <w:sz w:val="20"/>
                <w:szCs w:val="20"/>
                <w:color w:val="auto"/>
              </w:rPr>
            </w:pPr>
            <w:r>
              <w:rPr>
                <w:rFonts w:ascii="Arial" w:cs="Arial" w:eastAsia="Arial" w:hAnsi="Arial"/>
                <w:sz w:val="12"/>
                <w:szCs w:val="12"/>
                <w:color w:val="auto"/>
              </w:rPr>
              <w:t>below)</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ind w:left="260"/>
              <w:spacing w:after="0" w:line="114" w:lineRule="exact"/>
              <w:rPr>
                <w:sz w:val="20"/>
                <w:szCs w:val="20"/>
                <w:color w:val="auto"/>
              </w:rPr>
            </w:pPr>
            <w:r>
              <w:rPr>
                <w:rFonts w:ascii="Arial" w:cs="Arial" w:eastAsia="Arial" w:hAnsi="Arial"/>
                <w:sz w:val="12"/>
                <w:szCs w:val="12"/>
                <w:color w:val="auto"/>
              </w:rPr>
              <w:t>below)</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0" w:type="dxa"/>
            <w:vAlign w:val="bottom"/>
            <w:gridSpan w:val="7"/>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500" w:type="dxa"/>
            <w:vAlign w:val="bottom"/>
            <w:gridSpan w:val="3"/>
            <w:vMerge w:val="restart"/>
          </w:tcPr>
          <w:p>
            <w:pPr>
              <w:ind w:left="200"/>
              <w:spacing w:after="0" w:line="179" w:lineRule="exact"/>
              <w:rPr>
                <w:sz w:val="20"/>
                <w:szCs w:val="20"/>
                <w:color w:val="auto"/>
              </w:rPr>
            </w:pPr>
            <w:r>
              <w:rPr>
                <w:rFonts w:ascii="Times New Roman" w:cs="Times New Roman" w:eastAsia="Times New Roman" w:hAnsi="Times New Roman"/>
                <w:sz w:val="16"/>
                <w:szCs w:val="16"/>
                <w:color w:val="0000FF"/>
              </w:rPr>
              <w:t>See Remarks</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3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C/O MEDLINE INC.</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0" w:type="dxa"/>
            <w:vAlign w:val="bottom"/>
            <w:gridSpan w:val="7"/>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50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gridSpan w:val="4"/>
            <w:vMerge w:val="continue"/>
          </w:tcPr>
          <w:p>
            <w:pPr>
              <w:spacing w:after="0"/>
              <w:rPr>
                <w:sz w:val="18"/>
                <w:szCs w:val="18"/>
                <w:color w:val="auto"/>
              </w:rPr>
            </w:pPr>
          </w:p>
        </w:tc>
        <w:tc>
          <w:tcPr>
            <w:tcW w:w="960" w:type="dxa"/>
            <w:vAlign w:val="bottom"/>
          </w:tcPr>
          <w:p>
            <w:pPr>
              <w:spacing w:after="0"/>
              <w:rPr>
                <w:sz w:val="18"/>
                <w:szCs w:val="18"/>
                <w:color w:val="auto"/>
              </w:rPr>
            </w:pPr>
          </w:p>
        </w:tc>
        <w:tc>
          <w:tcPr>
            <w:tcW w:w="1480" w:type="dxa"/>
            <w:vAlign w:val="bottom"/>
            <w:gridSpan w:val="6"/>
          </w:tcPr>
          <w:p>
            <w:pPr>
              <w:ind w:left="460"/>
              <w:spacing w:after="0"/>
              <w:rPr>
                <w:sz w:val="20"/>
                <w:szCs w:val="20"/>
                <w:color w:val="auto"/>
              </w:rPr>
            </w:pPr>
            <w:r>
              <w:rPr>
                <w:rFonts w:ascii="Times New Roman" w:cs="Times New Roman" w:eastAsia="Times New Roman" w:hAnsi="Times New Roman"/>
                <w:sz w:val="16"/>
                <w:szCs w:val="16"/>
                <w:color w:val="0000FF"/>
              </w:rPr>
              <w:t>12/16/2025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3 LAKES DRIVE</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460" w:type="dxa"/>
            <w:vAlign w:val="bottom"/>
            <w:tcBorders>
              <w:bottom w:val="single" w:sz="8" w:color="808080"/>
            </w:tcBorders>
            <w:gridSpan w:val="4"/>
          </w:tcPr>
          <w:p>
            <w:pPr>
              <w:spacing w:after="0"/>
              <w:rPr>
                <w:sz w:val="17"/>
                <w:szCs w:val="17"/>
                <w:color w:val="auto"/>
              </w:rPr>
            </w:pPr>
          </w:p>
        </w:tc>
        <w:tc>
          <w:tcPr>
            <w:tcW w:w="1800" w:type="dxa"/>
            <w:vAlign w:val="bottom"/>
            <w:tcBorders>
              <w:bottom w:val="single" w:sz="8" w:color="808080"/>
            </w:tcBorders>
            <w:gridSpan w:val="3"/>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gridSpan w:val="2"/>
          </w:tcPr>
          <w:p>
            <w:pPr>
              <w:spacing w:after="0"/>
              <w:rPr>
                <w:sz w:val="17"/>
                <w:szCs w:val="17"/>
                <w:color w:val="auto"/>
              </w:rPr>
            </w:pPr>
          </w:p>
        </w:tc>
        <w:tc>
          <w:tcPr>
            <w:tcW w:w="2880" w:type="dxa"/>
            <w:vAlign w:val="bottom"/>
            <w:tcBorders>
              <w:bottom w:val="single" w:sz="8" w:color="808080"/>
            </w:tcBorders>
            <w:gridSpan w:val="6"/>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20" w:type="dxa"/>
            <w:vAlign w:val="bottom"/>
            <w:tcBorders>
              <w:top w:val="single" w:sz="8" w:color="2C2C2C"/>
            </w:tcBorders>
            <w:gridSpan w:val="8"/>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120" w:type="dxa"/>
            <w:vAlign w:val="bottom"/>
            <w:tcBorders>
              <w:top w:val="single" w:sz="8" w:color="2C2C2C"/>
            </w:tcBorders>
          </w:tcPr>
          <w:p>
            <w:pPr>
              <w:spacing w:after="0"/>
              <w:rPr>
                <w:sz w:val="17"/>
                <w:szCs w:val="17"/>
                <w:color w:val="auto"/>
              </w:rPr>
            </w:pPr>
          </w:p>
        </w:tc>
        <w:tc>
          <w:tcPr>
            <w:tcW w:w="6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3280" w:type="dxa"/>
            <w:vAlign w:val="bottom"/>
            <w:tcBorders>
              <w:top w:val="single" w:sz="8" w:color="2C2C2C"/>
            </w:tcBorders>
            <w:gridSpan w:val="8"/>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NORTHFIELD   IL</w:t>
            </w:r>
          </w:p>
        </w:tc>
        <w:tc>
          <w:tcPr>
            <w:tcW w:w="9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60093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80" w:type="dxa"/>
            <w:vAlign w:val="bottom"/>
            <w:gridSpan w:val="5"/>
          </w:tcPr>
          <w:p>
            <w:pPr>
              <w:ind w:left="180"/>
              <w:spacing w:after="0"/>
              <w:rPr>
                <w:sz w:val="20"/>
                <w:szCs w:val="20"/>
                <w:color w:val="auto"/>
              </w:rPr>
            </w:pPr>
            <w:r>
              <w:rPr>
                <w:rFonts w:ascii="Arial" w:cs="Arial" w:eastAsia="Arial" w:hAnsi="Arial"/>
                <w:sz w:val="12"/>
                <w:szCs w:val="12"/>
                <w:color w:val="auto"/>
              </w:rPr>
              <w:t>Form filed by One Reporting Person</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0" w:type="dxa"/>
            <w:vAlign w:val="bottom"/>
            <w:gridSpan w:val="8"/>
          </w:tcPr>
          <w:p>
            <w:pPr>
              <w:ind w:left="1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1800" w:type="dxa"/>
            <w:vAlign w:val="bottom"/>
            <w:gridSpan w:val="3"/>
          </w:tcPr>
          <w:p>
            <w:pPr>
              <w:ind w:left="660"/>
              <w:spacing w:after="0"/>
              <w:rPr>
                <w:sz w:val="20"/>
                <w:szCs w:val="20"/>
                <w:color w:val="auto"/>
              </w:rPr>
            </w:pPr>
            <w:r>
              <w:rPr>
                <w:rFonts w:ascii="Arial" w:cs="Arial" w:eastAsia="Arial" w:hAnsi="Arial"/>
                <w:sz w:val="12"/>
                <w:szCs w:val="12"/>
                <w:color w:val="auto"/>
              </w:rPr>
              <w:t>(State)</w:t>
            </w:r>
          </w:p>
        </w:tc>
        <w:tc>
          <w:tcPr>
            <w:tcW w:w="960" w:type="dxa"/>
            <w:vAlign w:val="bottom"/>
          </w:tcPr>
          <w:p>
            <w:pPr>
              <w:ind w:left="8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2320" w:type="dxa"/>
            <w:vAlign w:val="bottom"/>
            <w:tcBorders>
              <w:bottom w:val="single" w:sz="8" w:color="2C2C2C"/>
            </w:tcBorders>
            <w:gridSpan w:val="6"/>
          </w:tcPr>
          <w:p>
            <w:pPr>
              <w:spacing w:after="0"/>
              <w:rPr>
                <w:sz w:val="10"/>
                <w:szCs w:val="10"/>
                <w:color w:val="auto"/>
              </w:rPr>
            </w:pPr>
          </w:p>
        </w:tc>
        <w:tc>
          <w:tcPr>
            <w:tcW w:w="4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9"/>
          </w:tcPr>
          <w:p>
            <w:pPr>
              <w:ind w:left="8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gridSpan w:val="3"/>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6"/>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6"/>
          </w:tcPr>
          <w:p>
            <w:pPr>
              <w:jc w:val="center"/>
              <w:ind w:left="597"/>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6"/>
          </w:tcPr>
          <w:p>
            <w:pPr>
              <w:jc w:val="center"/>
              <w:ind w:right="58"/>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20" w:type="dxa"/>
            <w:vAlign w:val="bottom"/>
            <w:gridSpan w:val="6"/>
          </w:tcPr>
          <w:p>
            <w:pPr>
              <w:ind w:left="860"/>
              <w:spacing w:after="0" w:line="124" w:lineRule="exact"/>
              <w:rPr>
                <w:sz w:val="20"/>
                <w:szCs w:val="20"/>
                <w:color w:val="auto"/>
              </w:rPr>
            </w:pPr>
            <w:r>
              <w:rPr>
                <w:rFonts w:ascii="Arial" w:cs="Arial" w:eastAsia="Arial" w:hAnsi="Arial"/>
                <w:sz w:val="11"/>
                <w:szCs w:val="11"/>
                <w:b w:val="1"/>
                <w:bCs w:val="1"/>
                <w:color w:val="auto"/>
              </w:rPr>
              <w:t>Date</w:t>
            </w:r>
          </w:p>
        </w:tc>
        <w:tc>
          <w:tcPr>
            <w:tcW w:w="9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40" w:type="dxa"/>
            <w:vAlign w:val="bottom"/>
            <w:gridSpan w:val="7"/>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20" w:type="dxa"/>
            <w:vAlign w:val="bottom"/>
            <w:gridSpan w:val="6"/>
          </w:tcPr>
          <w:p>
            <w:pPr>
              <w:jc w:val="center"/>
              <w:ind w:left="757"/>
              <w:spacing w:after="0" w:line="124"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56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9"/>
              </w:rPr>
              <w:t>Beneficial</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restart"/>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3"/>
          </w:tcPr>
          <w:p>
            <w:pPr>
              <w:ind w:left="400"/>
              <w:spacing w:after="0" w:line="124" w:lineRule="exact"/>
              <w:rPr>
                <w:sz w:val="20"/>
                <w:szCs w:val="20"/>
                <w:color w:val="auto"/>
              </w:rPr>
            </w:pPr>
            <w:r>
              <w:rPr>
                <w:rFonts w:ascii="Arial" w:cs="Arial" w:eastAsia="Arial" w:hAnsi="Arial"/>
                <w:sz w:val="11"/>
                <w:szCs w:val="11"/>
                <w:b w:val="1"/>
                <w:bCs w:val="1"/>
                <w:color w:val="auto"/>
                <w:w w:val="95"/>
              </w:rPr>
              <w:t>(A) or</w:t>
            </w:r>
          </w:p>
        </w:tc>
        <w:tc>
          <w:tcPr>
            <w:tcW w:w="66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40" w:type="dxa"/>
            <w:vAlign w:val="bottom"/>
            <w:gridSpan w:val="2"/>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6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9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ind w:right="120"/>
              <w:spacing w:after="0"/>
              <w:rPr>
                <w:sz w:val="20"/>
                <w:szCs w:val="20"/>
                <w:color w:val="auto"/>
              </w:rPr>
            </w:pPr>
            <w:r>
              <w:rPr>
                <w:rFonts w:ascii="Times New Roman" w:cs="Times New Roman" w:eastAsia="Times New Roman" w:hAnsi="Times New Roman"/>
                <w:sz w:val="16"/>
                <w:szCs w:val="16"/>
                <w:color w:val="0000FF"/>
              </w:rPr>
              <w:t>12/16/2025</w:t>
            </w:r>
          </w:p>
        </w:tc>
        <w:tc>
          <w:tcPr>
            <w:tcW w:w="6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7"/>
              </w:rPr>
              <w:t>495,680</w:t>
            </w:r>
            <w:r>
              <w:rPr>
                <w:rFonts w:ascii="Times New Roman" w:cs="Times New Roman" w:eastAsia="Times New Roman" w:hAnsi="Times New Roman"/>
                <w:sz w:val="20"/>
                <w:szCs w:val="20"/>
                <w:color w:val="008000"/>
                <w:w w:val="97"/>
                <w:vertAlign w:val="superscript"/>
              </w:rPr>
              <w:t>(2)</w:t>
            </w:r>
          </w:p>
        </w:tc>
        <w:tc>
          <w:tcPr>
            <w:tcW w:w="1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w w:val="86"/>
              </w:rPr>
              <w:t>A</w:t>
            </w: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ind w:left="149"/>
              <w:spacing w:after="0"/>
              <w:rPr>
                <w:sz w:val="20"/>
                <w:szCs w:val="20"/>
                <w:color w:val="auto"/>
              </w:rPr>
            </w:pPr>
            <w:r>
              <w:rPr>
                <w:rFonts w:ascii="Times New Roman" w:cs="Times New Roman" w:eastAsia="Times New Roman" w:hAnsi="Times New Roman"/>
                <w:sz w:val="10"/>
                <w:szCs w:val="10"/>
                <w:color w:val="008000"/>
              </w:rPr>
              <w:t>(1)</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495,680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5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6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960" w:type="dxa"/>
            <w:vAlign w:val="bottom"/>
          </w:tcPr>
          <w:p>
            <w:pPr>
              <w:spacing w:after="0"/>
              <w:rPr>
                <w:sz w:val="20"/>
                <w:szCs w:val="20"/>
                <w:color w:val="auto"/>
              </w:rPr>
            </w:pPr>
          </w:p>
        </w:tc>
        <w:tc>
          <w:tcPr>
            <w:tcW w:w="86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6"/>
                <w:szCs w:val="16"/>
                <w:color w:val="0000FF"/>
              </w:rPr>
              <w:t>12/16/2025</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30,655</w:t>
            </w:r>
            <w:r>
              <w:rPr>
                <w:rFonts w:ascii="Times New Roman" w:cs="Times New Roman" w:eastAsia="Times New Roman" w:hAnsi="Times New Roman"/>
                <w:sz w:val="20"/>
                <w:szCs w:val="20"/>
                <w:color w:val="008000"/>
                <w:w w:val="97"/>
                <w:vertAlign w:val="superscript"/>
              </w:rPr>
              <w:t>(2)</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86"/>
              </w:rPr>
              <w:t>A</w:t>
            </w:r>
          </w:p>
        </w:tc>
        <w:tc>
          <w:tcPr>
            <w:tcW w:w="60" w:type="dxa"/>
            <w:vAlign w:val="bottom"/>
          </w:tcPr>
          <w:p>
            <w:pPr>
              <w:spacing w:after="0"/>
              <w:rPr>
                <w:sz w:val="20"/>
                <w:szCs w:val="20"/>
                <w:color w:val="auto"/>
              </w:rPr>
            </w:pPr>
          </w:p>
        </w:tc>
        <w:tc>
          <w:tcPr>
            <w:tcW w:w="660" w:type="dxa"/>
            <w:vAlign w:val="bottom"/>
            <w:gridSpan w:val="2"/>
            <w:vMerge w:val="restart"/>
          </w:tcPr>
          <w:p>
            <w:pPr>
              <w:jc w:val="center"/>
              <w:ind w:left="149"/>
              <w:spacing w:after="0"/>
              <w:rPr>
                <w:sz w:val="20"/>
                <w:szCs w:val="20"/>
                <w:color w:val="auto"/>
              </w:rPr>
            </w:pPr>
            <w:r>
              <w:rPr>
                <w:rFonts w:ascii="Times New Roman" w:cs="Times New Roman" w:eastAsia="Times New Roman" w:hAnsi="Times New Roman"/>
                <w:sz w:val="10"/>
                <w:szCs w:val="10"/>
                <w:color w:val="008000"/>
              </w:rPr>
              <w:t>(1)</w:t>
            </w: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30,655</w:t>
            </w:r>
          </w:p>
        </w:tc>
        <w:tc>
          <w:tcPr>
            <w:tcW w:w="280" w:type="dxa"/>
            <w:vAlign w:val="bottom"/>
          </w:tcPr>
          <w:p>
            <w:pPr>
              <w:spacing w:after="0"/>
              <w:rPr>
                <w:sz w:val="20"/>
                <w:szCs w:val="20"/>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I</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6"/>
            <w:vMerge w:val="continue"/>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gridSpan w:val="5"/>
            <w:vMerge w:val="continue"/>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2"/>
        </w:trPr>
        <w:tc>
          <w:tcPr>
            <w:tcW w:w="20" w:type="dxa"/>
            <w:vAlign w:val="bottom"/>
            <w:tcBorders>
              <w:bottom w:val="single" w:sz="8" w:color="2C2C2C"/>
            </w:tcBorders>
          </w:tcPr>
          <w:p>
            <w:pPr>
              <w:spacing w:after="0"/>
              <w:rPr>
                <w:sz w:val="24"/>
                <w:szCs w:val="24"/>
                <w:color w:val="auto"/>
              </w:rPr>
            </w:pPr>
          </w:p>
        </w:tc>
        <w:tc>
          <w:tcPr>
            <w:tcW w:w="2460" w:type="dxa"/>
            <w:vAlign w:val="bottom"/>
            <w:tcBorders>
              <w:top w:val="single" w:sz="8" w:color="2C2C2C"/>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6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gridSpan w:val="5"/>
          </w:tcPr>
          <w:p>
            <w:pPr>
              <w:jc w:val="center"/>
              <w:ind w:right="120"/>
              <w:spacing w:after="0"/>
              <w:rPr>
                <w:sz w:val="20"/>
                <w:szCs w:val="20"/>
                <w:color w:val="auto"/>
              </w:rPr>
            </w:pPr>
            <w:r>
              <w:rPr>
                <w:rFonts w:ascii="Times New Roman" w:cs="Times New Roman" w:eastAsia="Times New Roman" w:hAnsi="Times New Roman"/>
                <w:sz w:val="16"/>
                <w:szCs w:val="16"/>
                <w:color w:val="0000FF"/>
              </w:rPr>
              <w:t>03/05/2026</w:t>
            </w:r>
          </w:p>
        </w:tc>
        <w:tc>
          <w:tcPr>
            <w:tcW w:w="62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ind w:left="12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(4)</w:t>
            </w:r>
          </w:p>
        </w:tc>
        <w:tc>
          <w:tcPr>
            <w:tcW w:w="118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rPr>
              <w:t>17,854</w:t>
            </w:r>
          </w:p>
        </w:tc>
        <w:tc>
          <w:tcPr>
            <w:tcW w:w="120" w:type="dxa"/>
            <w:vAlign w:val="bottom"/>
            <w:tcBorders>
              <w:top w:val="single" w:sz="8" w:color="2C2C2C"/>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w w:val="86"/>
              </w:rPr>
              <w:t>A</w:t>
            </w:r>
          </w:p>
        </w:tc>
        <w:tc>
          <w:tcPr>
            <w:tcW w:w="6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gridSpan w:val="2"/>
          </w:tcPr>
          <w:p>
            <w:pPr>
              <w:jc w:val="center"/>
              <w:ind w:left="149"/>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1280" w:type="dxa"/>
            <w:vAlign w:val="bottom"/>
            <w:tcBorders>
              <w:top w:val="single" w:sz="8" w:color="2C2C2C"/>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17,854</w:t>
            </w:r>
          </w:p>
        </w:tc>
        <w:tc>
          <w:tcPr>
            <w:tcW w:w="28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56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8"/>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520" w:type="dxa"/>
            <w:vAlign w:val="bottom"/>
            <w:gridSpan w:val="16"/>
          </w:tcPr>
          <w:p>
            <w:pPr>
              <w:ind w:left="8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5"/>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2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80" w:type="dxa"/>
            <w:vAlign w:val="bottom"/>
            <w:gridSpan w:val="4"/>
          </w:tcPr>
          <w:p>
            <w:pPr>
              <w:ind w:left="12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Ownership</w:t>
            </w:r>
          </w:p>
        </w:tc>
        <w:tc>
          <w:tcPr>
            <w:tcW w:w="5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Indirect</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14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8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32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6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8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5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w w:val="96"/>
              </w:rPr>
              <w:t>(Instr. 4)</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(I) (Instr. 4)</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2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Units of</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vMerge w:val="restart"/>
          </w:tcPr>
          <w:p>
            <w:pPr>
              <w:jc w:val="center"/>
              <w:ind w:right="380"/>
              <w:spacing w:after="0" w:line="273" w:lineRule="exact"/>
              <w:rPr>
                <w:sz w:val="20"/>
                <w:szCs w:val="20"/>
                <w:color w:val="auto"/>
              </w:rPr>
            </w:pPr>
            <w:r>
              <w:rPr>
                <w:rFonts w:ascii="Times New Roman" w:cs="Times New Roman" w:eastAsia="Times New Roman" w:hAnsi="Times New Roman"/>
                <w:sz w:val="24"/>
                <w:szCs w:val="24"/>
                <w:color w:val="0000FF"/>
                <w:w w:val="94"/>
                <w:vertAlign w:val="subscript"/>
              </w:rPr>
              <w:t>A</w:t>
            </w:r>
            <w:r>
              <w:rPr>
                <w:rFonts w:ascii="Times New Roman" w:cs="Times New Roman" w:eastAsia="Times New Roman" w:hAnsi="Times New Roman"/>
                <w:sz w:val="10"/>
                <w:szCs w:val="10"/>
                <w:color w:val="008000"/>
                <w:w w:val="94"/>
              </w:rPr>
              <w:t>(1)</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2"/>
            <w:vMerge w:val="restart"/>
          </w:tcPr>
          <w:p>
            <w:pPr>
              <w:jc w:val="center"/>
              <w:ind w:right="6"/>
              <w:spacing w:after="0"/>
              <w:rPr>
                <w:sz w:val="20"/>
                <w:szCs w:val="20"/>
                <w:color w:val="auto"/>
              </w:rPr>
            </w:pPr>
            <w:r>
              <w:rPr>
                <w:rFonts w:ascii="Times New Roman" w:cs="Times New Roman" w:eastAsia="Times New Roman" w:hAnsi="Times New Roman"/>
                <w:sz w:val="10"/>
                <w:szCs w:val="10"/>
                <w:color w:val="008000"/>
              </w:rPr>
              <w:t>(5)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5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vMerge w:val="restart"/>
          </w:tcPr>
          <w:p>
            <w:pPr>
              <w:jc w:val="center"/>
              <w:ind w:right="58"/>
              <w:spacing w:after="0"/>
              <w:rPr>
                <w:sz w:val="20"/>
                <w:szCs w:val="20"/>
                <w:color w:val="auto"/>
              </w:rPr>
            </w:pPr>
            <w:r>
              <w:rPr>
                <w:rFonts w:ascii="Times New Roman" w:cs="Times New Roman" w:eastAsia="Times New Roman" w:hAnsi="Times New Roman"/>
                <w:sz w:val="16"/>
                <w:szCs w:val="16"/>
                <w:color w:val="0000FF"/>
              </w:rPr>
              <w:t>495,680</w:t>
            </w:r>
          </w:p>
        </w:tc>
        <w:tc>
          <w:tcPr>
            <w:tcW w:w="7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See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Medline</w:t>
            </w:r>
          </w:p>
        </w:tc>
        <w:tc>
          <w:tcPr>
            <w:tcW w:w="740" w:type="dxa"/>
            <w:vAlign w:val="bottom"/>
            <w:vMerge w:val="continue"/>
          </w:tcPr>
          <w:p>
            <w:pPr>
              <w:spacing w:after="0"/>
              <w:rPr>
                <w:sz w:val="6"/>
                <w:szCs w:val="6"/>
                <w:color w:val="auto"/>
              </w:rPr>
            </w:pPr>
          </w:p>
        </w:tc>
        <w:tc>
          <w:tcPr>
            <w:tcW w:w="106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12/16/2025</w:t>
            </w: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6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495,680</w:t>
            </w:r>
          </w:p>
        </w:tc>
        <w:tc>
          <w:tcPr>
            <w:tcW w:w="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495,680</w:t>
            </w:r>
          </w:p>
        </w:tc>
        <w:tc>
          <w:tcPr>
            <w:tcW w:w="64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560" w:type="dxa"/>
            <w:vAlign w:val="bottom"/>
            <w:vMerge w:val="continue"/>
          </w:tcPr>
          <w:p>
            <w:pPr>
              <w:spacing w:after="0"/>
              <w:rPr>
                <w:sz w:val="6"/>
                <w:szCs w:val="6"/>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0"/>
                <w:szCs w:val="10"/>
                <w:color w:val="008000"/>
              </w:rPr>
              <w:t>(5)</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w w:val="98"/>
              </w:rPr>
              <w:t>Footnote</w:t>
            </w:r>
          </w:p>
        </w:tc>
        <w:tc>
          <w:tcPr>
            <w:tcW w:w="2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60" w:type="dxa"/>
            <w:vAlign w:val="bottom"/>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Holdings,</w:t>
            </w: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Units of</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vMerge w:val="restart"/>
          </w:tcPr>
          <w:p>
            <w:pPr>
              <w:jc w:val="center"/>
              <w:ind w:right="380"/>
              <w:spacing w:after="0"/>
              <w:rPr>
                <w:sz w:val="20"/>
                <w:szCs w:val="20"/>
                <w:color w:val="auto"/>
              </w:rPr>
            </w:pPr>
            <w:r>
              <w:rPr>
                <w:rFonts w:ascii="Times New Roman" w:cs="Times New Roman" w:eastAsia="Times New Roman" w:hAnsi="Times New Roman"/>
                <w:sz w:val="24"/>
                <w:szCs w:val="24"/>
                <w:color w:val="0000FF"/>
                <w:w w:val="94"/>
                <w:vertAlign w:val="subscript"/>
              </w:rPr>
              <w:t>A</w:t>
            </w:r>
            <w:r>
              <w:rPr>
                <w:rFonts w:ascii="Times New Roman" w:cs="Times New Roman" w:eastAsia="Times New Roman" w:hAnsi="Times New Roman"/>
                <w:sz w:val="10"/>
                <w:szCs w:val="10"/>
                <w:color w:val="008000"/>
                <w:w w:val="94"/>
              </w:rPr>
              <w:t>(1)</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2"/>
            <w:vMerge w:val="restart"/>
          </w:tcPr>
          <w:p>
            <w:pPr>
              <w:jc w:val="center"/>
              <w:ind w:right="6"/>
              <w:spacing w:after="0"/>
              <w:rPr>
                <w:sz w:val="20"/>
                <w:szCs w:val="20"/>
                <w:color w:val="auto"/>
              </w:rPr>
            </w:pPr>
            <w:r>
              <w:rPr>
                <w:rFonts w:ascii="Times New Roman" w:cs="Times New Roman" w:eastAsia="Times New Roman" w:hAnsi="Times New Roman"/>
                <w:sz w:val="10"/>
                <w:szCs w:val="10"/>
                <w:color w:val="008000"/>
              </w:rPr>
              <w:t>(5)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5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vMerge w:val="restart"/>
          </w:tcPr>
          <w:p>
            <w:pPr>
              <w:jc w:val="center"/>
              <w:ind w:right="58"/>
              <w:spacing w:after="0"/>
              <w:rPr>
                <w:sz w:val="20"/>
                <w:szCs w:val="20"/>
                <w:color w:val="auto"/>
              </w:rPr>
            </w:pPr>
            <w:r>
              <w:rPr>
                <w:rFonts w:ascii="Times New Roman" w:cs="Times New Roman" w:eastAsia="Times New Roman" w:hAnsi="Times New Roman"/>
                <w:sz w:val="16"/>
                <w:szCs w:val="16"/>
                <w:color w:val="0000FF"/>
              </w:rPr>
              <w:t>30,655</w:t>
            </w:r>
          </w:p>
        </w:tc>
        <w:tc>
          <w:tcPr>
            <w:tcW w:w="7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See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Medline</w:t>
            </w:r>
          </w:p>
        </w:tc>
        <w:tc>
          <w:tcPr>
            <w:tcW w:w="740" w:type="dxa"/>
            <w:vAlign w:val="bottom"/>
            <w:vMerge w:val="continue"/>
          </w:tcPr>
          <w:p>
            <w:pPr>
              <w:spacing w:after="0"/>
              <w:rPr>
                <w:sz w:val="6"/>
                <w:szCs w:val="6"/>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12/16/2025</w:t>
            </w: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30,655</w:t>
            </w:r>
          </w:p>
        </w:tc>
        <w:tc>
          <w:tcPr>
            <w:tcW w:w="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restart"/>
          </w:tcPr>
          <w:p>
            <w:pPr>
              <w:jc w:val="center"/>
              <w:ind w:left="180"/>
              <w:spacing w:after="0"/>
              <w:rPr>
                <w:sz w:val="20"/>
                <w:szCs w:val="20"/>
                <w:color w:val="auto"/>
              </w:rPr>
            </w:pPr>
            <w:r>
              <w:rPr>
                <w:rFonts w:ascii="Times New Roman" w:cs="Times New Roman" w:eastAsia="Times New Roman" w:hAnsi="Times New Roman"/>
                <w:sz w:val="12"/>
                <w:szCs w:val="12"/>
                <w:color w:val="0000FF"/>
              </w:rPr>
              <w:t>30,655</w:t>
            </w:r>
          </w:p>
        </w:tc>
        <w:tc>
          <w:tcPr>
            <w:tcW w:w="280" w:type="dxa"/>
            <w:vAlign w:val="bottom"/>
          </w:tcPr>
          <w:p>
            <w:pPr>
              <w:spacing w:after="0"/>
              <w:rPr>
                <w:sz w:val="6"/>
                <w:szCs w:val="6"/>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560" w:type="dxa"/>
            <w:vAlign w:val="bottom"/>
            <w:vMerge w:val="continue"/>
          </w:tcPr>
          <w:p>
            <w:pPr>
              <w:spacing w:after="0"/>
              <w:rPr>
                <w:sz w:val="6"/>
                <w:szCs w:val="6"/>
                <w:color w:val="auto"/>
              </w:rPr>
            </w:pPr>
          </w:p>
        </w:tc>
        <w:tc>
          <w:tcPr>
            <w:tcW w:w="3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008000"/>
              </w:rPr>
              <w:t>(3)(5)</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w w:val="98"/>
              </w:rPr>
              <w:t>Footnote</w:t>
            </w:r>
          </w:p>
        </w:tc>
        <w:tc>
          <w:tcPr>
            <w:tcW w:w="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line="124" w:lineRule="exact"/>
              <w:rPr>
                <w:sz w:val="20"/>
                <w:szCs w:val="20"/>
                <w:color w:val="auto"/>
              </w:rPr>
            </w:pPr>
            <w:r>
              <w:rPr>
                <w:rFonts w:ascii="Times New Roman" w:cs="Times New Roman" w:eastAsia="Times New Roman" w:hAnsi="Times New Roman"/>
                <w:sz w:val="12"/>
                <w:szCs w:val="12"/>
                <w:color w:val="0000FF"/>
              </w:rPr>
              <w:t>Holdings,</w:t>
            </w: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Incentive</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Units of</w:t>
            </w:r>
          </w:p>
        </w:tc>
        <w:tc>
          <w:tcPr>
            <w:tcW w:w="740" w:type="dxa"/>
            <w:vAlign w:val="bottom"/>
            <w:vMerge w:val="restart"/>
          </w:tcPr>
          <w:p>
            <w:pPr>
              <w:jc w:val="center"/>
              <w:spacing w:after="0"/>
              <w:rPr>
                <w:sz w:val="20"/>
                <w:szCs w:val="20"/>
                <w:color w:val="auto"/>
              </w:rPr>
            </w:pPr>
            <w:r>
              <w:rPr>
                <w:rFonts w:ascii="Arial" w:cs="Arial" w:eastAsia="Arial" w:hAnsi="Arial"/>
                <w:sz w:val="22"/>
                <w:szCs w:val="22"/>
                <w:color w:val="000000"/>
                <w:w w:val="85"/>
                <w:vertAlign w:val="subscript"/>
              </w:rPr>
              <w:t>$</w:t>
            </w:r>
            <w:r>
              <w:rPr>
                <w:rFonts w:ascii="Times New Roman" w:cs="Times New Roman" w:eastAsia="Times New Roman" w:hAnsi="Times New Roman"/>
                <w:sz w:val="24"/>
                <w:szCs w:val="24"/>
                <w:color w:val="0000FF"/>
                <w:w w:val="85"/>
                <w:vertAlign w:val="subscript"/>
              </w:rPr>
              <w:t>15.42</w:t>
            </w:r>
            <w:r>
              <w:rPr>
                <w:rFonts w:ascii="Times New Roman" w:cs="Times New Roman" w:eastAsia="Times New Roman" w:hAnsi="Times New Roman"/>
                <w:sz w:val="10"/>
                <w:szCs w:val="10"/>
                <w:color w:val="008000"/>
                <w:w w:val="85"/>
              </w:rPr>
              <w:t>(6)(7)</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vMerge w:val="restart"/>
          </w:tcPr>
          <w:p>
            <w:pPr>
              <w:jc w:val="center"/>
              <w:ind w:right="380"/>
              <w:spacing w:after="0"/>
              <w:rPr>
                <w:sz w:val="20"/>
                <w:szCs w:val="20"/>
                <w:color w:val="auto"/>
              </w:rPr>
            </w:pPr>
            <w:r>
              <w:rPr>
                <w:rFonts w:ascii="Times New Roman" w:cs="Times New Roman" w:eastAsia="Times New Roman" w:hAnsi="Times New Roman"/>
                <w:sz w:val="24"/>
                <w:szCs w:val="24"/>
                <w:color w:val="0000FF"/>
                <w:w w:val="94"/>
                <w:vertAlign w:val="subscript"/>
              </w:rPr>
              <w:t>A</w:t>
            </w:r>
            <w:r>
              <w:rPr>
                <w:rFonts w:ascii="Times New Roman" w:cs="Times New Roman" w:eastAsia="Times New Roman" w:hAnsi="Times New Roman"/>
                <w:sz w:val="10"/>
                <w:szCs w:val="10"/>
                <w:color w:val="008000"/>
                <w:w w:val="94"/>
              </w:rPr>
              <w:t>(1)</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2"/>
            <w:vMerge w:val="restart"/>
          </w:tcPr>
          <w:p>
            <w:pPr>
              <w:jc w:val="center"/>
              <w:ind w:right="6"/>
              <w:spacing w:after="0"/>
              <w:rPr>
                <w:sz w:val="20"/>
                <w:szCs w:val="20"/>
                <w:color w:val="auto"/>
              </w:rPr>
            </w:pPr>
            <w:r>
              <w:rPr>
                <w:rFonts w:ascii="Times New Roman" w:cs="Times New Roman" w:eastAsia="Times New Roman" w:hAnsi="Times New Roman"/>
                <w:sz w:val="10"/>
                <w:szCs w:val="10"/>
                <w:color w:val="008000"/>
              </w:rPr>
              <w:t>(6)(7)(8)</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(6)(7)(8)</w:t>
            </w:r>
          </w:p>
        </w:tc>
        <w:tc>
          <w:tcPr>
            <w:tcW w:w="5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1,129,447</w:t>
            </w:r>
          </w:p>
        </w:tc>
        <w:tc>
          <w:tcPr>
            <w:tcW w:w="7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See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Medline</w:t>
            </w:r>
          </w:p>
        </w:tc>
        <w:tc>
          <w:tcPr>
            <w:tcW w:w="740" w:type="dxa"/>
            <w:vAlign w:val="bottom"/>
            <w:vMerge w:val="continue"/>
          </w:tcPr>
          <w:p>
            <w:pPr>
              <w:spacing w:after="0"/>
              <w:rPr>
                <w:sz w:val="6"/>
                <w:szCs w:val="6"/>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12/16/2025</w:t>
            </w: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1,129,447</w:t>
            </w:r>
          </w:p>
        </w:tc>
        <w:tc>
          <w:tcPr>
            <w:tcW w:w="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1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1,129,447</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560" w:type="dxa"/>
            <w:vAlign w:val="bottom"/>
            <w:vMerge w:val="continue"/>
          </w:tcPr>
          <w:p>
            <w:pPr>
              <w:spacing w:after="0"/>
              <w:rPr>
                <w:sz w:val="6"/>
                <w:szCs w:val="6"/>
                <w:color w:val="auto"/>
              </w:rPr>
            </w:pPr>
          </w:p>
        </w:tc>
        <w:tc>
          <w:tcPr>
            <w:tcW w:w="3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008000"/>
              </w:rPr>
              <w:t>(6)(7)</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w w:val="98"/>
              </w:rPr>
              <w:t>Footnote</w:t>
            </w:r>
          </w:p>
        </w:tc>
        <w:tc>
          <w:tcPr>
            <w:tcW w:w="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line="124" w:lineRule="exact"/>
              <w:rPr>
                <w:sz w:val="20"/>
                <w:szCs w:val="20"/>
                <w:color w:val="auto"/>
              </w:rPr>
            </w:pPr>
            <w:r>
              <w:rPr>
                <w:rFonts w:ascii="Times New Roman" w:cs="Times New Roman" w:eastAsia="Times New Roman" w:hAnsi="Times New Roman"/>
                <w:sz w:val="12"/>
                <w:szCs w:val="12"/>
                <w:color w:val="0000FF"/>
              </w:rPr>
              <w:t>Holdings,</w:t>
            </w: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Incentive</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Units of</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90"/>
              </w:rPr>
              <w:t>$</w:t>
            </w:r>
            <w:r>
              <w:rPr>
                <w:rFonts w:ascii="Times New Roman" w:cs="Times New Roman" w:eastAsia="Times New Roman" w:hAnsi="Times New Roman"/>
                <w:sz w:val="12"/>
                <w:szCs w:val="12"/>
                <w:color w:val="0000FF"/>
                <w:w w:val="90"/>
              </w:rPr>
              <w:t>15.23</w:t>
            </w:r>
            <w:r>
              <w:rPr>
                <w:rFonts w:ascii="Times New Roman" w:cs="Times New Roman" w:eastAsia="Times New Roman" w:hAnsi="Times New Roman"/>
                <w:sz w:val="20"/>
                <w:szCs w:val="20"/>
                <w:color w:val="008000"/>
                <w:w w:val="90"/>
                <w:vertAlign w:val="superscript"/>
              </w:rPr>
              <w:t>(6)(7)</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vMerge w:val="restart"/>
          </w:tcPr>
          <w:p>
            <w:pPr>
              <w:jc w:val="center"/>
              <w:ind w:right="380"/>
              <w:spacing w:after="0"/>
              <w:rPr>
                <w:sz w:val="20"/>
                <w:szCs w:val="20"/>
                <w:color w:val="auto"/>
              </w:rPr>
            </w:pPr>
            <w:r>
              <w:rPr>
                <w:rFonts w:ascii="Times New Roman" w:cs="Times New Roman" w:eastAsia="Times New Roman" w:hAnsi="Times New Roman"/>
                <w:sz w:val="24"/>
                <w:szCs w:val="24"/>
                <w:color w:val="0000FF"/>
                <w:w w:val="94"/>
                <w:vertAlign w:val="subscript"/>
              </w:rPr>
              <w:t>A</w:t>
            </w:r>
            <w:r>
              <w:rPr>
                <w:rFonts w:ascii="Times New Roman" w:cs="Times New Roman" w:eastAsia="Times New Roman" w:hAnsi="Times New Roman"/>
                <w:sz w:val="10"/>
                <w:szCs w:val="10"/>
                <w:color w:val="008000"/>
                <w:w w:val="94"/>
              </w:rPr>
              <w:t>(1)</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2"/>
            <w:vMerge w:val="restart"/>
          </w:tcPr>
          <w:p>
            <w:pPr>
              <w:jc w:val="center"/>
              <w:ind w:right="6"/>
              <w:spacing w:after="0"/>
              <w:rPr>
                <w:sz w:val="20"/>
                <w:szCs w:val="20"/>
                <w:color w:val="auto"/>
              </w:rPr>
            </w:pPr>
            <w:r>
              <w:rPr>
                <w:rFonts w:ascii="Times New Roman" w:cs="Times New Roman" w:eastAsia="Times New Roman" w:hAnsi="Times New Roman"/>
                <w:sz w:val="10"/>
                <w:szCs w:val="10"/>
                <w:color w:val="008000"/>
              </w:rPr>
              <w:t>(6)(7)(9)</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(6)(7)(9)</w:t>
            </w:r>
          </w:p>
        </w:tc>
        <w:tc>
          <w:tcPr>
            <w:tcW w:w="5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vMerge w:val="restart"/>
          </w:tcPr>
          <w:p>
            <w:pPr>
              <w:jc w:val="center"/>
              <w:ind w:right="58"/>
              <w:spacing w:after="0"/>
              <w:rPr>
                <w:sz w:val="20"/>
                <w:szCs w:val="20"/>
                <w:color w:val="auto"/>
              </w:rPr>
            </w:pPr>
            <w:r>
              <w:rPr>
                <w:rFonts w:ascii="Times New Roman" w:cs="Times New Roman" w:eastAsia="Times New Roman" w:hAnsi="Times New Roman"/>
                <w:sz w:val="16"/>
                <w:szCs w:val="16"/>
                <w:color w:val="0000FF"/>
              </w:rPr>
              <w:t>170,204</w:t>
            </w:r>
          </w:p>
        </w:tc>
        <w:tc>
          <w:tcPr>
            <w:tcW w:w="7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See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Medline</w:t>
            </w:r>
          </w:p>
        </w:tc>
        <w:tc>
          <w:tcPr>
            <w:tcW w:w="740" w:type="dxa"/>
            <w:vAlign w:val="bottom"/>
            <w:vMerge w:val="continue"/>
          </w:tcPr>
          <w:p>
            <w:pPr>
              <w:spacing w:after="0"/>
              <w:rPr>
                <w:sz w:val="6"/>
                <w:szCs w:val="6"/>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12/16/2025</w:t>
            </w: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170,204</w:t>
            </w:r>
          </w:p>
        </w:tc>
        <w:tc>
          <w:tcPr>
            <w:tcW w:w="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170,204</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560" w:type="dxa"/>
            <w:vAlign w:val="bottom"/>
            <w:vMerge w:val="continue"/>
          </w:tcPr>
          <w:p>
            <w:pPr>
              <w:spacing w:after="0"/>
              <w:rPr>
                <w:sz w:val="6"/>
                <w:szCs w:val="6"/>
                <w:color w:val="auto"/>
              </w:rPr>
            </w:pPr>
          </w:p>
        </w:tc>
        <w:tc>
          <w:tcPr>
            <w:tcW w:w="3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008000"/>
              </w:rPr>
              <w:t>(6)(7)</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w w:val="98"/>
              </w:rPr>
              <w:t>Footnote</w:t>
            </w:r>
          </w:p>
        </w:tc>
        <w:tc>
          <w:tcPr>
            <w:tcW w:w="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line="124" w:lineRule="exact"/>
              <w:rPr>
                <w:sz w:val="20"/>
                <w:szCs w:val="20"/>
                <w:color w:val="auto"/>
              </w:rPr>
            </w:pPr>
            <w:r>
              <w:rPr>
                <w:rFonts w:ascii="Times New Roman" w:cs="Times New Roman" w:eastAsia="Times New Roman" w:hAnsi="Times New Roman"/>
                <w:sz w:val="12"/>
                <w:szCs w:val="12"/>
                <w:color w:val="0000FF"/>
              </w:rPr>
              <w:t>Holdings,</w:t>
            </w: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Incentive</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Units of</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90"/>
              </w:rPr>
              <w:t>$</w:t>
            </w:r>
            <w:r>
              <w:rPr>
                <w:rFonts w:ascii="Times New Roman" w:cs="Times New Roman" w:eastAsia="Times New Roman" w:hAnsi="Times New Roman"/>
                <w:sz w:val="12"/>
                <w:szCs w:val="12"/>
                <w:color w:val="0000FF"/>
                <w:w w:val="90"/>
              </w:rPr>
              <w:t>19.01</w:t>
            </w:r>
            <w:r>
              <w:rPr>
                <w:rFonts w:ascii="Times New Roman" w:cs="Times New Roman" w:eastAsia="Times New Roman" w:hAnsi="Times New Roman"/>
                <w:sz w:val="20"/>
                <w:szCs w:val="20"/>
                <w:color w:val="008000"/>
                <w:w w:val="90"/>
                <w:vertAlign w:val="superscript"/>
              </w:rPr>
              <w:t>(6)(7)</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vMerge w:val="restart"/>
          </w:tcPr>
          <w:p>
            <w:pPr>
              <w:jc w:val="center"/>
              <w:ind w:right="380"/>
              <w:spacing w:after="0"/>
              <w:rPr>
                <w:sz w:val="20"/>
                <w:szCs w:val="20"/>
                <w:color w:val="auto"/>
              </w:rPr>
            </w:pPr>
            <w:r>
              <w:rPr>
                <w:rFonts w:ascii="Times New Roman" w:cs="Times New Roman" w:eastAsia="Times New Roman" w:hAnsi="Times New Roman"/>
                <w:sz w:val="24"/>
                <w:szCs w:val="24"/>
                <w:color w:val="0000FF"/>
                <w:w w:val="94"/>
                <w:vertAlign w:val="subscript"/>
              </w:rPr>
              <w:t>A</w:t>
            </w:r>
            <w:r>
              <w:rPr>
                <w:rFonts w:ascii="Times New Roman" w:cs="Times New Roman" w:eastAsia="Times New Roman" w:hAnsi="Times New Roman"/>
                <w:sz w:val="10"/>
                <w:szCs w:val="10"/>
                <w:color w:val="008000"/>
                <w:w w:val="94"/>
              </w:rPr>
              <w:t>(1)</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2"/>
            <w:vMerge w:val="restart"/>
          </w:tcPr>
          <w:p>
            <w:pPr>
              <w:jc w:val="center"/>
              <w:ind w:right="26"/>
              <w:spacing w:after="0"/>
              <w:rPr>
                <w:sz w:val="20"/>
                <w:szCs w:val="20"/>
                <w:color w:val="auto"/>
              </w:rPr>
            </w:pPr>
            <w:r>
              <w:rPr>
                <w:rFonts w:ascii="Times New Roman" w:cs="Times New Roman" w:eastAsia="Times New Roman" w:hAnsi="Times New Roman"/>
                <w:sz w:val="10"/>
                <w:szCs w:val="10"/>
                <w:color w:val="008000"/>
              </w:rPr>
              <w:t>(6)(7)(10)</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(6)(7)(10)</w:t>
            </w:r>
          </w:p>
        </w:tc>
        <w:tc>
          <w:tcPr>
            <w:tcW w:w="5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vMerge w:val="restart"/>
          </w:tcPr>
          <w:p>
            <w:pPr>
              <w:jc w:val="center"/>
              <w:ind w:right="58"/>
              <w:spacing w:after="0"/>
              <w:rPr>
                <w:sz w:val="20"/>
                <w:szCs w:val="20"/>
                <w:color w:val="auto"/>
              </w:rPr>
            </w:pPr>
            <w:r>
              <w:rPr>
                <w:rFonts w:ascii="Times New Roman" w:cs="Times New Roman" w:eastAsia="Times New Roman" w:hAnsi="Times New Roman"/>
                <w:sz w:val="16"/>
                <w:szCs w:val="16"/>
                <w:color w:val="0000FF"/>
              </w:rPr>
              <w:t>91,078</w:t>
            </w:r>
          </w:p>
        </w:tc>
        <w:tc>
          <w:tcPr>
            <w:tcW w:w="7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See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Medline</w:t>
            </w:r>
          </w:p>
        </w:tc>
        <w:tc>
          <w:tcPr>
            <w:tcW w:w="740" w:type="dxa"/>
            <w:vAlign w:val="bottom"/>
            <w:vMerge w:val="continue"/>
          </w:tcPr>
          <w:p>
            <w:pPr>
              <w:spacing w:after="0"/>
              <w:rPr>
                <w:sz w:val="6"/>
                <w:szCs w:val="6"/>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12/16/2025</w:t>
            </w: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91,078</w:t>
            </w:r>
          </w:p>
        </w:tc>
        <w:tc>
          <w:tcPr>
            <w:tcW w:w="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restart"/>
          </w:tcPr>
          <w:p>
            <w:pPr>
              <w:jc w:val="center"/>
              <w:ind w:left="180"/>
              <w:spacing w:after="0"/>
              <w:rPr>
                <w:sz w:val="20"/>
                <w:szCs w:val="20"/>
                <w:color w:val="auto"/>
              </w:rPr>
            </w:pPr>
            <w:r>
              <w:rPr>
                <w:rFonts w:ascii="Times New Roman" w:cs="Times New Roman" w:eastAsia="Times New Roman" w:hAnsi="Times New Roman"/>
                <w:sz w:val="12"/>
                <w:szCs w:val="12"/>
                <w:color w:val="0000FF"/>
              </w:rPr>
              <w:t>91,078</w:t>
            </w:r>
          </w:p>
        </w:tc>
        <w:tc>
          <w:tcPr>
            <w:tcW w:w="280" w:type="dxa"/>
            <w:vAlign w:val="bottom"/>
          </w:tcPr>
          <w:p>
            <w:pPr>
              <w:spacing w:after="0"/>
              <w:rPr>
                <w:sz w:val="6"/>
                <w:szCs w:val="6"/>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560" w:type="dxa"/>
            <w:vAlign w:val="bottom"/>
            <w:vMerge w:val="continue"/>
          </w:tcPr>
          <w:p>
            <w:pPr>
              <w:spacing w:after="0"/>
              <w:rPr>
                <w:sz w:val="6"/>
                <w:szCs w:val="6"/>
                <w:color w:val="auto"/>
              </w:rPr>
            </w:pPr>
          </w:p>
        </w:tc>
        <w:tc>
          <w:tcPr>
            <w:tcW w:w="3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008000"/>
              </w:rPr>
              <w:t>(6)(7)</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w w:val="98"/>
              </w:rPr>
              <w:t>Footnote</w:t>
            </w:r>
          </w:p>
        </w:tc>
        <w:tc>
          <w:tcPr>
            <w:tcW w:w="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line="124" w:lineRule="exact"/>
              <w:rPr>
                <w:sz w:val="20"/>
                <w:szCs w:val="20"/>
                <w:color w:val="auto"/>
              </w:rPr>
            </w:pPr>
            <w:r>
              <w:rPr>
                <w:rFonts w:ascii="Times New Roman" w:cs="Times New Roman" w:eastAsia="Times New Roman" w:hAnsi="Times New Roman"/>
                <w:sz w:val="12"/>
                <w:szCs w:val="12"/>
                <w:color w:val="0000FF"/>
              </w:rPr>
              <w:t>Holdings,</w:t>
            </w: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Incentive</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Units of</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90"/>
              </w:rPr>
              <w:t>$</w:t>
            </w:r>
            <w:r>
              <w:rPr>
                <w:rFonts w:ascii="Times New Roman" w:cs="Times New Roman" w:eastAsia="Times New Roman" w:hAnsi="Times New Roman"/>
                <w:sz w:val="12"/>
                <w:szCs w:val="12"/>
                <w:color w:val="0000FF"/>
                <w:w w:val="90"/>
              </w:rPr>
              <w:t>27.68</w:t>
            </w:r>
            <w:r>
              <w:rPr>
                <w:rFonts w:ascii="Times New Roman" w:cs="Times New Roman" w:eastAsia="Times New Roman" w:hAnsi="Times New Roman"/>
                <w:sz w:val="20"/>
                <w:szCs w:val="20"/>
                <w:color w:val="008000"/>
                <w:w w:val="90"/>
                <w:vertAlign w:val="superscript"/>
              </w:rPr>
              <w:t>(6)(7)</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vMerge w:val="restart"/>
          </w:tcPr>
          <w:p>
            <w:pPr>
              <w:jc w:val="center"/>
              <w:ind w:right="380"/>
              <w:spacing w:after="0"/>
              <w:rPr>
                <w:sz w:val="20"/>
                <w:szCs w:val="20"/>
                <w:color w:val="auto"/>
              </w:rPr>
            </w:pPr>
            <w:r>
              <w:rPr>
                <w:rFonts w:ascii="Times New Roman" w:cs="Times New Roman" w:eastAsia="Times New Roman" w:hAnsi="Times New Roman"/>
                <w:sz w:val="24"/>
                <w:szCs w:val="24"/>
                <w:color w:val="0000FF"/>
                <w:w w:val="94"/>
                <w:vertAlign w:val="subscript"/>
              </w:rPr>
              <w:t>A</w:t>
            </w:r>
            <w:r>
              <w:rPr>
                <w:rFonts w:ascii="Times New Roman" w:cs="Times New Roman" w:eastAsia="Times New Roman" w:hAnsi="Times New Roman"/>
                <w:sz w:val="10"/>
                <w:szCs w:val="10"/>
                <w:color w:val="008000"/>
                <w:w w:val="94"/>
              </w:rPr>
              <w:t>(1)</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2"/>
            <w:vMerge w:val="restart"/>
          </w:tcPr>
          <w:p>
            <w:pPr>
              <w:jc w:val="center"/>
              <w:ind w:right="26"/>
              <w:spacing w:after="0"/>
              <w:rPr>
                <w:sz w:val="20"/>
                <w:szCs w:val="20"/>
                <w:color w:val="auto"/>
              </w:rPr>
            </w:pPr>
            <w:r>
              <w:rPr>
                <w:rFonts w:ascii="Times New Roman" w:cs="Times New Roman" w:eastAsia="Times New Roman" w:hAnsi="Times New Roman"/>
                <w:sz w:val="10"/>
                <w:szCs w:val="10"/>
                <w:color w:val="008000"/>
              </w:rPr>
              <w:t>(6)(7)(11)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(6)(7)(11)</w:t>
            </w:r>
          </w:p>
        </w:tc>
        <w:tc>
          <w:tcPr>
            <w:tcW w:w="5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vMerge w:val="restart"/>
          </w:tcPr>
          <w:p>
            <w:pPr>
              <w:jc w:val="center"/>
              <w:ind w:right="58"/>
              <w:spacing w:after="0"/>
              <w:rPr>
                <w:sz w:val="20"/>
                <w:szCs w:val="20"/>
                <w:color w:val="auto"/>
              </w:rPr>
            </w:pPr>
            <w:r>
              <w:rPr>
                <w:rFonts w:ascii="Times New Roman" w:cs="Times New Roman" w:eastAsia="Times New Roman" w:hAnsi="Times New Roman"/>
                <w:sz w:val="16"/>
                <w:szCs w:val="16"/>
                <w:color w:val="0000FF"/>
              </w:rPr>
              <w:t>97,531</w:t>
            </w:r>
          </w:p>
        </w:tc>
        <w:tc>
          <w:tcPr>
            <w:tcW w:w="7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See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Medline</w:t>
            </w:r>
          </w:p>
        </w:tc>
        <w:tc>
          <w:tcPr>
            <w:tcW w:w="740" w:type="dxa"/>
            <w:vAlign w:val="bottom"/>
            <w:vMerge w:val="continue"/>
          </w:tcPr>
          <w:p>
            <w:pPr>
              <w:spacing w:after="0"/>
              <w:rPr>
                <w:sz w:val="6"/>
                <w:szCs w:val="6"/>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12/16/2025</w:t>
            </w: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97,531</w:t>
            </w:r>
          </w:p>
        </w:tc>
        <w:tc>
          <w:tcPr>
            <w:tcW w:w="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restart"/>
          </w:tcPr>
          <w:p>
            <w:pPr>
              <w:jc w:val="center"/>
              <w:ind w:left="180"/>
              <w:spacing w:after="0"/>
              <w:rPr>
                <w:sz w:val="20"/>
                <w:szCs w:val="20"/>
                <w:color w:val="auto"/>
              </w:rPr>
            </w:pPr>
            <w:r>
              <w:rPr>
                <w:rFonts w:ascii="Times New Roman" w:cs="Times New Roman" w:eastAsia="Times New Roman" w:hAnsi="Times New Roman"/>
                <w:sz w:val="12"/>
                <w:szCs w:val="12"/>
                <w:color w:val="0000FF"/>
              </w:rPr>
              <w:t>97,531</w:t>
            </w:r>
          </w:p>
        </w:tc>
        <w:tc>
          <w:tcPr>
            <w:tcW w:w="280" w:type="dxa"/>
            <w:vAlign w:val="bottom"/>
          </w:tcPr>
          <w:p>
            <w:pPr>
              <w:spacing w:after="0"/>
              <w:rPr>
                <w:sz w:val="6"/>
                <w:szCs w:val="6"/>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560" w:type="dxa"/>
            <w:vAlign w:val="bottom"/>
            <w:vMerge w:val="continue"/>
          </w:tcPr>
          <w:p>
            <w:pPr>
              <w:spacing w:after="0"/>
              <w:rPr>
                <w:sz w:val="6"/>
                <w:szCs w:val="6"/>
                <w:color w:val="auto"/>
              </w:rPr>
            </w:pPr>
          </w:p>
        </w:tc>
        <w:tc>
          <w:tcPr>
            <w:tcW w:w="3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008000"/>
              </w:rPr>
              <w:t>(6)(7)</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w w:val="98"/>
              </w:rPr>
              <w:t>Footnote</w:t>
            </w:r>
          </w:p>
        </w:tc>
        <w:tc>
          <w:tcPr>
            <w:tcW w:w="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Holdings,</w:t>
            </w: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LP</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ind w:left="40" w:right="220" w:hanging="4"/>
        <w:spacing w:after="0" w:line="276"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were acquired in connection with the reclassification of the interests of Medline Holdings, LP prior to the Issuer's initial public offering (as more fully described in the Registration Statement on Form S-1). These securities were previously reported on the Reporting Person's Form 3 filed on December 17, 2025.</w:t>
      </w:r>
    </w:p>
    <w:p>
      <w:pPr>
        <w:spacing w:after="0" w:line="4" w:lineRule="exact"/>
        <w:rPr>
          <w:rFonts w:ascii="Times New Roman" w:cs="Times New Roman" w:eastAsia="Times New Roman" w:hAnsi="Times New Roman"/>
          <w:sz w:val="12"/>
          <w:szCs w:val="12"/>
          <w:color w:val="008000"/>
        </w:rPr>
      </w:pPr>
    </w:p>
    <w:p>
      <w:pPr>
        <w:ind w:left="40" w:right="220" w:hanging="4"/>
        <w:spacing w:after="0" w:line="256"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of the Issuer's Class B common stock ("Class B Common Stock") have no economic value and have one vote per share. One share of Class B Common Stock is issued for each common unit of Medline Holdings, LP ("Common Units") held. Upon an exchange of Common Units for shares of the Issuer's Class A common stock ("Class A Common Stock"), an equivalent number of shares of Class B Common Stock held by such holder will be automatically cancelled.</w:t>
      </w:r>
    </w:p>
    <w:p>
      <w:pPr>
        <w:spacing w:after="0" w:line="1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held by a trust, of which the Reporting Person serves as a trustee.</w:t>
      </w:r>
    </w:p>
    <w:p>
      <w:pPr>
        <w:spacing w:after="0" w:line="4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 grant of restricted stock units ("RSUs"), of which 25% vest on June 15, 2026 and the remaining 75% vest in three equal annual installments beginning on March 1, 2027.</w:t>
      </w:r>
    </w:p>
    <w:p>
      <w:pPr>
        <w:spacing w:after="0" w:line="47" w:lineRule="exact"/>
        <w:rPr>
          <w:rFonts w:ascii="Times New Roman" w:cs="Times New Roman" w:eastAsia="Times New Roman" w:hAnsi="Times New Roman"/>
          <w:sz w:val="12"/>
          <w:szCs w:val="12"/>
          <w:color w:val="008000"/>
        </w:rPr>
      </w:pPr>
    </w:p>
    <w:p>
      <w:pPr>
        <w:ind w:left="40" w:right="300" w:hanging="4"/>
        <w:spacing w:after="0" w:line="256"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terms of an exchange agreement, dated as of December 16, 2025 (the "Exchange Agreement"), holders have the right to exchange their Common Units for shares of the Class A Common Stock on a one-for-one basis, subject to customary conversion rate adjustments for stock splits, stock dividends and reclassifications. These exchange rights do not expire. Such Common Units are held indirectly through Medline Management Aggregator LLC.</w:t>
      </w:r>
    </w:p>
    <w:p>
      <w:pPr>
        <w:sectPr>
          <w:pgSz w:w="11900" w:h="16838" w:orient="portrait"/>
          <w:cols w:equalWidth="0" w:num="1">
            <w:col w:w="11080"/>
          </w:cols>
          <w:pgMar w:left="460" w:top="213" w:right="359" w:bottom="0" w:gutter="0" w:footer="0" w:header="0"/>
          <w:type w:val="continuous"/>
        </w:sectPr>
      </w:pPr>
    </w:p>
    <w:bookmarkStart w:id="1" w:name="page2"/>
    <w:bookmarkEnd w:id="1"/>
    <w:p>
      <w:pPr>
        <w:jc w:val="both"/>
        <w:ind w:left="4" w:hanging="4"/>
        <w:spacing w:after="0" w:line="250"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 incentive units of Medline Holdings, LP ("Incentive Units"), which are "profit interests" having economic characteristics similar to stock appreciation rights. Vested Incentive Units are convertible, at the holder's election, into a number of Common Units generally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w:t>
      </w:r>
    </w:p>
    <w:p>
      <w:pPr>
        <w:spacing w:after="0" w:line="19" w:lineRule="exact"/>
        <w:rPr>
          <w:rFonts w:ascii="Times New Roman" w:cs="Times New Roman" w:eastAsia="Times New Roman" w:hAnsi="Times New Roman"/>
          <w:sz w:val="12"/>
          <w:szCs w:val="12"/>
          <w:color w:val="008000"/>
        </w:rPr>
      </w:pPr>
    </w:p>
    <w:p>
      <w:pPr>
        <w:ind w:left="4" w:right="160" w:hanging="4"/>
        <w:spacing w:after="0" w:line="276"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6 above) Common Units are exchangeable on a one-for-one basis for shares of Class A Common Stock pursuant to the terms of the Exchange Agreement. These Incentive Units have no expiration date. Such Incentive Units are held indirectly through Medline Management Aggregator LLC.</w:t>
      </w:r>
    </w:p>
    <w:p>
      <w:pPr>
        <w:spacing w:after="0" w:line="4" w:lineRule="exact"/>
        <w:rPr>
          <w:rFonts w:ascii="Times New Roman" w:cs="Times New Roman" w:eastAsia="Times New Roman" w:hAnsi="Times New Roman"/>
          <w:sz w:val="12"/>
          <w:szCs w:val="12"/>
          <w:color w:val="008000"/>
        </w:rPr>
      </w:pPr>
    </w:p>
    <w:p>
      <w:pPr>
        <w:ind w:left="124" w:hanging="124"/>
        <w:spacing w:after="0"/>
        <w:tabs>
          <w:tab w:leader="none" w:pos="12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80% of these Incentive Units have vested, and the remaining 20% vest on October 21, 2026.</w:t>
      </w:r>
    </w:p>
    <w:p>
      <w:pPr>
        <w:spacing w:after="0" w:line="47" w:lineRule="exact"/>
        <w:rPr>
          <w:rFonts w:ascii="Times New Roman" w:cs="Times New Roman" w:eastAsia="Times New Roman" w:hAnsi="Times New Roman"/>
          <w:sz w:val="12"/>
          <w:szCs w:val="12"/>
          <w:color w:val="008000"/>
        </w:rPr>
      </w:pPr>
    </w:p>
    <w:p>
      <w:pPr>
        <w:ind w:left="124" w:hanging="124"/>
        <w:spacing w:after="0"/>
        <w:tabs>
          <w:tab w:leader="none" w:pos="12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40% of these Incentive Units have vested, and the remaining 60% vest in three equal annual installments beginning on April 1, 2026.</w:t>
      </w:r>
    </w:p>
    <w:p>
      <w:pPr>
        <w:spacing w:after="0" w:line="47" w:lineRule="exact"/>
        <w:rPr>
          <w:rFonts w:ascii="Times New Roman" w:cs="Times New Roman" w:eastAsia="Times New Roman" w:hAnsi="Times New Roman"/>
          <w:sz w:val="12"/>
          <w:szCs w:val="12"/>
          <w:color w:val="008000"/>
        </w:rPr>
      </w:pPr>
    </w:p>
    <w:p>
      <w:pPr>
        <w:ind w:left="184" w:hanging="184"/>
        <w:spacing w:after="0"/>
        <w:tabs>
          <w:tab w:leader="none" w:pos="18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20% of these Incentive Units have vested, and the remaining 80% vest in four equal annual installments beginning on March 29, 2026.</w:t>
      </w:r>
    </w:p>
    <w:p>
      <w:pPr>
        <w:spacing w:after="0" w:line="47" w:lineRule="exact"/>
        <w:rPr>
          <w:rFonts w:ascii="Times New Roman" w:cs="Times New Roman" w:eastAsia="Times New Roman" w:hAnsi="Times New Roman"/>
          <w:sz w:val="12"/>
          <w:szCs w:val="12"/>
          <w:color w:val="008000"/>
        </w:rPr>
      </w:pPr>
    </w:p>
    <w:p>
      <w:pPr>
        <w:ind w:left="184" w:hanging="184"/>
        <w:spacing w:after="0"/>
        <w:tabs>
          <w:tab w:leader="none" w:pos="18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Incentive Units vest in five equal annual installments beginning on March 28, 2026.</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Remarks:</w:t>
      </w:r>
    </w:p>
    <w:p>
      <w:pPr>
        <w:spacing w:after="0" w:line="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2"/>
          <w:szCs w:val="12"/>
          <w:color w:val="008000"/>
        </w:rPr>
        <w:t>Title: Executive Vice President, Supply Chain Solutions</w:t>
      </w:r>
    </w:p>
    <w:p>
      <w:pPr>
        <w:spacing w:after="0" w:line="73"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/s/ Nicole Fritz, Attorney-in-Fact 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-5715</wp:posOffset>
            </wp:positionV>
            <wp:extent cx="18669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66900" cy="7620"/>
                    </a:xfrm>
                    <a:prstGeom prst="rect">
                      <a:avLst/>
                    </a:prstGeom>
                    <a:noFill/>
                  </pic:spPr>
                </pic:pic>
              </a:graphicData>
            </a:graphic>
          </wp:anchor>
        </w:drawing>
      </w:r>
    </w:p>
    <w:p>
      <w:pPr>
        <w:spacing w:after="0" w:line="44" w:lineRule="exact"/>
        <w:rPr>
          <w:sz w:val="20"/>
          <w:szCs w:val="20"/>
          <w:color w:val="auto"/>
        </w:rPr>
      </w:pPr>
    </w:p>
    <w:p>
      <w:pPr>
        <w:ind w:left="6564"/>
        <w:spacing w:after="0"/>
        <w:tabs>
          <w:tab w:leader="none" w:pos="8743"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 w:right="3660" w:hanging="4"/>
        <w:spacing w:after="0" w:line="323"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4"/>
      </w:cols>
      <w:pgMar w:left="496" w:top="12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1059" TargetMode="External"/><Relationship Id="rId14" Type="http://schemas.openxmlformats.org/officeDocument/2006/relationships/hyperlink" Target="http://www.sec.gov/cgi-bin/browse-edgar?action=getcompany&amp;CIK=00020463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2026-03-06T15:37:03Z</dcterms:created>
  <dcterms:modified xsi:type="dcterms:W3CDTF">2026-03-06T15:37:03Z</dcterms:modified>
</cp:coreProperties>
</file>