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u w:val="single" w:color="auto"/>
          <w:color w:val="0000EE"/>
        </w:rPr>
        <w:t>Table of Contents</w:t>
      </w:r>
    </w:p>
    <w:p>
      <w:pPr>
        <w:spacing w:after="0" w:line="271"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Filed Pursuant to 424(b)(4)</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333-291112</w:t>
      </w:r>
    </w:p>
    <w:p>
      <w:pPr>
        <w:spacing w:after="0" w:line="12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64"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6"/>
          <w:szCs w:val="26"/>
          <w:b w:val="1"/>
          <w:bCs w:val="1"/>
          <w:color w:val="auto"/>
        </w:rPr>
        <w:t>216,034,482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90170</wp:posOffset>
            </wp:positionV>
            <wp:extent cx="441325" cy="441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1325" cy="4413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38"/>
          <w:szCs w:val="38"/>
          <w:b w:val="1"/>
          <w:bCs w:val="1"/>
          <w:color w:val="auto"/>
        </w:rPr>
        <w:t>Medline Inc.</w:t>
      </w:r>
    </w:p>
    <w:p>
      <w:pPr>
        <w:spacing w:after="0" w:line="9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$29.00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110490</wp:posOffset>
            </wp:positionV>
            <wp:extent cx="1308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206" w:lineRule="exact"/>
        <w:rPr>
          <w:sz w:val="24"/>
          <w:szCs w:val="24"/>
          <w:color w:val="auto"/>
        </w:rPr>
      </w:pPr>
    </w:p>
    <w:p>
      <w:pPr>
        <w:jc w:val="both"/>
        <w:ind w:left="740" w:right="140" w:firstLine="391"/>
        <w:spacing w:after="0" w:line="277" w:lineRule="auto"/>
        <w:rPr>
          <w:sz w:val="20"/>
          <w:szCs w:val="20"/>
          <w:color w:val="auto"/>
        </w:rPr>
      </w:pPr>
      <w:r>
        <w:rPr>
          <w:rFonts w:ascii="Times New Roman" w:cs="Times New Roman" w:eastAsia="Times New Roman" w:hAnsi="Times New Roman"/>
          <w:sz w:val="12"/>
          <w:szCs w:val="12"/>
          <w:color w:val="auto"/>
        </w:rPr>
        <w:t>This is the initial public offering of shares of Class A common stock of Medline Inc. We are selling 216,034,482 shares of our Class A common stock. Prior to this offering, there has been no public market for our common stock. Our Class A common stock has been approved for listing on the Nasdaq Global Select Market (“Nasdaq”) under the trading symbol “MDLN.”</w:t>
      </w:r>
    </w:p>
    <w:p>
      <w:pPr>
        <w:spacing w:after="0" w:line="17" w:lineRule="exact"/>
        <w:rPr>
          <w:sz w:val="24"/>
          <w:szCs w:val="24"/>
          <w:color w:val="auto"/>
        </w:rPr>
      </w:pPr>
    </w:p>
    <w:p>
      <w:pPr>
        <w:ind w:left="740" w:right="60" w:firstLine="391"/>
        <w:spacing w:after="0" w:line="225" w:lineRule="auto"/>
        <w:rPr>
          <w:sz w:val="20"/>
          <w:szCs w:val="20"/>
          <w:color w:val="auto"/>
        </w:rPr>
      </w:pPr>
      <w:r>
        <w:rPr>
          <w:rFonts w:ascii="Times New Roman" w:cs="Times New Roman" w:eastAsia="Times New Roman" w:hAnsi="Times New Roman"/>
          <w:sz w:val="13"/>
          <w:szCs w:val="13"/>
          <w:color w:val="auto"/>
        </w:rPr>
        <w:t>Medline Inc. will have two classes of common stock outstanding after this offering: Class A common stock and Class B common stock. Each share of Class A common stock and Class B common stock entitles its holder to one vote on all matters on which stockholders are entitled to vote generally. The Continuing Common Unitholders (as defined herein) will hold all of the initially outstanding shares of Class B common stock, on a one-for-one basis with the number of Common Units (as defined herein) held by each such Continuing Common Unitholder. See “Description of Capital Stock.”</w:t>
      </w:r>
    </w:p>
    <w:p>
      <w:pPr>
        <w:spacing w:after="0" w:line="26" w:lineRule="exact"/>
        <w:rPr>
          <w:sz w:val="24"/>
          <w:szCs w:val="24"/>
          <w:color w:val="auto"/>
        </w:rPr>
      </w:pPr>
    </w:p>
    <w:p>
      <w:pPr>
        <w:ind w:left="740" w:right="60" w:firstLine="391"/>
        <w:spacing w:after="0" w:line="238" w:lineRule="auto"/>
        <w:rPr>
          <w:sz w:val="20"/>
          <w:szCs w:val="20"/>
          <w:color w:val="auto"/>
        </w:rPr>
      </w:pPr>
      <w:r>
        <w:rPr>
          <w:rFonts w:ascii="Times New Roman" w:cs="Times New Roman" w:eastAsia="Times New Roman" w:hAnsi="Times New Roman"/>
          <w:sz w:val="12"/>
          <w:szCs w:val="12"/>
          <w:color w:val="auto"/>
        </w:rPr>
        <w:t>Medline Inc. intends to use the proceeds (net of underwriting discounts and commissions) from the issuance of 179,000,000 shares in this offering to acquire an equivalent number of newly issued Common Units from Medline Holdings, LP (“Medline Holdings”), as described under “Organizational Structure—Offering Transactions,” which Medline Holdings will in turn use for the repayment of indebtedness, for general corporate purposes, and to bear all of the expenses of this offering. See “Use of Proceeds.” Medline Inc. intends to use the proceeds (net of underwriting discounts and commissions) from the issuance of 37,034,482 shares and from any issuance of shares pursuant to any exercise by the underwriters of their option to purchase additional shares of Class A common stock to purchase or redeem outstanding equity interests from certain of our pre-IPO owners (as defined herein) at a price per equity interest equal to the initial public offering price per share of our Class A common stock less the underwriting discounts and commissions, as described under “Organizational Structure—Offering Transactions.”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99695</wp:posOffset>
            </wp:positionV>
            <wp:extent cx="1308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187" w:lineRule="exact"/>
        <w:rPr>
          <w:sz w:val="24"/>
          <w:szCs w:val="24"/>
          <w:color w:val="auto"/>
        </w:rPr>
      </w:pPr>
    </w:p>
    <w:p>
      <w:pPr>
        <w:ind w:left="740" w:right="120" w:firstLine="391"/>
        <w:spacing w:after="0"/>
        <w:rPr>
          <w:sz w:val="20"/>
          <w:szCs w:val="20"/>
          <w:color w:val="auto"/>
        </w:rPr>
      </w:pPr>
      <w:r>
        <w:rPr>
          <w:rFonts w:ascii="Times New Roman" w:cs="Times New Roman" w:eastAsia="Times New Roman" w:hAnsi="Times New Roman"/>
          <w:sz w:val="13"/>
          <w:szCs w:val="13"/>
          <w:b w:val="1"/>
          <w:bCs w:val="1"/>
          <w:color w:val="auto"/>
        </w:rPr>
        <w:t>Investing in shares of our Class A common stock involves risks. See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31 to read about factors you should consider before buying shares of the Class A common stock.</w:t>
      </w:r>
    </w:p>
    <w:p>
      <w:pPr>
        <w:spacing w:after="0" w:line="36" w:lineRule="exact"/>
        <w:rPr>
          <w:sz w:val="24"/>
          <w:szCs w:val="24"/>
          <w:color w:val="auto"/>
        </w:rPr>
      </w:pPr>
    </w:p>
    <w:p>
      <w:pPr>
        <w:ind w:left="740" w:right="140" w:firstLine="391"/>
        <w:spacing w:after="0"/>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41" w:lineRule="exact"/>
        <w:rPr>
          <w:sz w:val="24"/>
          <w:szCs w:val="24"/>
          <w:color w:val="auto"/>
        </w:rPr>
      </w:pPr>
    </w:p>
    <w:tbl>
      <w:tblPr>
        <w:tblLayout w:type="fixed"/>
        <w:tblInd w:w="1920" w:type="dxa"/>
        <w:tblCellMar>
          <w:top w:w="0" w:type="dxa"/>
          <w:left w:w="0" w:type="dxa"/>
          <w:bottom w:w="0" w:type="dxa"/>
          <w:right w:w="0" w:type="dxa"/>
        </w:tblCellMar>
      </w:tblPr>
      <w:tr>
        <w:trPr>
          <w:trHeight w:val="137"/>
        </w:trPr>
        <w:tc>
          <w:tcPr>
            <w:tcW w:w="554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24"/>
        </w:trPr>
        <w:tc>
          <w:tcPr>
            <w:tcW w:w="55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Initial public offering price</w:t>
            </w:r>
          </w:p>
        </w:tc>
        <w:tc>
          <w:tcPr>
            <w:tcW w:w="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29.00</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6"/>
              </w:rPr>
              <w:t>6,264,999,978.00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2"/>
        </w:trPr>
        <w:tc>
          <w:tcPr>
            <w:tcW w:w="55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Underwriting discounts and commissions</w:t>
            </w:r>
            <w:r>
              <w:rPr>
                <w:rFonts w:ascii="Times New Roman" w:cs="Times New Roman" w:eastAsia="Times New Roman" w:hAnsi="Times New Roman"/>
                <w:sz w:val="9"/>
                <w:szCs w:val="9"/>
                <w:color w:val="auto"/>
              </w:rPr>
              <w:t>(1)</w:t>
            </w:r>
          </w:p>
        </w:tc>
        <w:tc>
          <w:tcPr>
            <w:tcW w:w="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0.63173</w:t>
            </w:r>
          </w:p>
        </w:tc>
        <w:tc>
          <w:tcPr>
            <w:tcW w:w="22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136,475,463.31</w:t>
            </w:r>
          </w:p>
        </w:tc>
      </w:tr>
      <w:tr>
        <w:trPr>
          <w:trHeight w:val="132"/>
        </w:trPr>
        <w:tc>
          <w:tcPr>
            <w:tcW w:w="55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Proceeds, before expenses, to Medline Inc.</w:t>
            </w:r>
          </w:p>
        </w:tc>
        <w:tc>
          <w:tcPr>
            <w:tcW w:w="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w w:val="98"/>
              </w:rPr>
              <w:t>28.36827</w:t>
            </w:r>
          </w:p>
        </w:tc>
        <w:tc>
          <w:tcPr>
            <w:tcW w:w="22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w w:val="96"/>
              </w:rPr>
              <w:t>6,128,524,514.69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468630</wp:posOffset>
            </wp:positionH>
            <wp:positionV relativeFrom="paragraph">
              <wp:posOffset>76200</wp:posOffset>
            </wp:positionV>
            <wp:extent cx="68453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28" w:lineRule="exact"/>
        <w:rPr>
          <w:sz w:val="24"/>
          <w:szCs w:val="24"/>
          <w:color w:val="auto"/>
        </w:rPr>
      </w:pPr>
    </w:p>
    <w:p>
      <w:pPr>
        <w:ind w:left="1120" w:hanging="382"/>
        <w:spacing w:after="0"/>
        <w:tabs>
          <w:tab w:leader="none" w:pos="11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Please see the section entitled “Underwriting (Conflicts of Interest)” for a description of compensation payable to the underwriters.</w:t>
      </w:r>
    </w:p>
    <w:p>
      <w:pPr>
        <w:spacing w:after="0" w:line="42" w:lineRule="exact"/>
        <w:rPr>
          <w:sz w:val="24"/>
          <w:szCs w:val="24"/>
          <w:color w:val="auto"/>
        </w:rPr>
      </w:pPr>
    </w:p>
    <w:p>
      <w:pPr>
        <w:jc w:val="both"/>
        <w:ind w:left="740" w:right="40" w:firstLine="391"/>
        <w:spacing w:after="0" w:line="229" w:lineRule="auto"/>
        <w:rPr>
          <w:sz w:val="20"/>
          <w:szCs w:val="20"/>
          <w:color w:val="auto"/>
        </w:rPr>
      </w:pPr>
      <w:r>
        <w:rPr>
          <w:rFonts w:ascii="Times New Roman" w:cs="Times New Roman" w:eastAsia="Times New Roman" w:hAnsi="Times New Roman"/>
          <w:sz w:val="13"/>
          <w:szCs w:val="13"/>
          <w:color w:val="auto"/>
        </w:rPr>
        <w:t>Members of the Mills Family (as defined herein)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39" w:lineRule="exact"/>
        <w:rPr>
          <w:sz w:val="24"/>
          <w:szCs w:val="24"/>
          <w:color w:val="auto"/>
        </w:rPr>
      </w:pPr>
    </w:p>
    <w:p>
      <w:pPr>
        <w:ind w:left="740" w:right="60" w:firstLine="391"/>
        <w:spacing w:after="0" w:line="241" w:lineRule="auto"/>
        <w:rPr>
          <w:sz w:val="20"/>
          <w:szCs w:val="20"/>
          <w:color w:val="auto"/>
        </w:rPr>
      </w:pPr>
      <w:r>
        <w:rPr>
          <w:rFonts w:ascii="Times New Roman" w:cs="Times New Roman" w:eastAsia="Times New Roman" w:hAnsi="Times New Roman"/>
          <w:sz w:val="12"/>
          <w:szCs w:val="12"/>
          <w:color w:val="auto"/>
        </w:rPr>
        <w:t>Baillie Gifford Overseas Limited, acting on behalf of a number of its and its affiliates’ clients, one or more funds and/or accounts managed by Capital Research Global Investors, Counterpoint Global (Morgan Stanley Investment Management), one or more funds managed by Durable Capital Partners LP, GIC Private Limited, Janus Henderson Investors, Viking Global Investors LP, on behalf of certain of its clients, and certain investment funds and accounts managed by WCM Investment Management, LLC (collectively, 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26" w:lineRule="exact"/>
        <w:rPr>
          <w:sz w:val="24"/>
          <w:szCs w:val="24"/>
          <w:color w:val="auto"/>
        </w:rPr>
      </w:pPr>
    </w:p>
    <w:p>
      <w:pPr>
        <w:ind w:left="740" w:right="300" w:firstLine="391"/>
        <w:spacing w:after="0" w:line="229" w:lineRule="auto"/>
        <w:rPr>
          <w:sz w:val="20"/>
          <w:szCs w:val="20"/>
          <w:color w:val="auto"/>
        </w:rPr>
      </w:pPr>
      <w:r>
        <w:rPr>
          <w:rFonts w:ascii="Times New Roman" w:cs="Times New Roman" w:eastAsia="Times New Roman" w:hAnsi="Times New Roman"/>
          <w:sz w:val="13"/>
          <w:szCs w:val="13"/>
          <w:color w:val="auto"/>
        </w:rPr>
        <w:t>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 shares to members of the Mills Family and their affiliates or the cornerstone investors.</w:t>
      </w:r>
    </w:p>
    <w:p>
      <w:pPr>
        <w:spacing w:after="0" w:line="27" w:lineRule="exact"/>
        <w:rPr>
          <w:sz w:val="24"/>
          <w:szCs w:val="24"/>
          <w:color w:val="auto"/>
        </w:rPr>
      </w:pPr>
    </w:p>
    <w:p>
      <w:pPr>
        <w:ind w:left="740" w:right="40" w:firstLine="391"/>
        <w:spacing w:after="0" w:line="277" w:lineRule="auto"/>
        <w:rPr>
          <w:sz w:val="20"/>
          <w:szCs w:val="20"/>
          <w:color w:val="auto"/>
        </w:rPr>
      </w:pPr>
      <w:r>
        <w:rPr>
          <w:rFonts w:ascii="Times New Roman" w:cs="Times New Roman" w:eastAsia="Times New Roman" w:hAnsi="Times New Roman"/>
          <w:sz w:val="12"/>
          <w:szCs w:val="12"/>
          <w:color w:val="auto"/>
        </w:rPr>
        <w:t>To the extent that the underwriters sell more than 216,034,482 shares of our Class A common stock, the underwriters have the option to purchase up to an additional 32,405,172 shares of our Class A common stock from Medline Inc. at the initial public offering price less the underwriting discounts and commissions, within 30 days from the date of this prospectus.</w:t>
      </w:r>
    </w:p>
    <w:p>
      <w:pPr>
        <w:spacing w:after="0" w:line="1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3"/>
          <w:szCs w:val="13"/>
          <w:color w:val="auto"/>
        </w:rPr>
        <w:t>The underwriters expect to deliver the shares of our Class A common stock against payment in New York, New York on or about December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2917190</wp:posOffset>
            </wp:positionH>
            <wp:positionV relativeFrom="paragraph">
              <wp:posOffset>107950</wp:posOffset>
            </wp:positionV>
            <wp:extent cx="13081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177" w:lineRule="exact"/>
        <w:rPr>
          <w:sz w:val="24"/>
          <w:szCs w:val="24"/>
          <w:color w:val="auto"/>
        </w:rPr>
      </w:pPr>
    </w:p>
    <w:tbl>
      <w:tblPr>
        <w:tblLayout w:type="fixed"/>
        <w:tblInd w:w="1520" w:type="dxa"/>
        <w:tblCellMar>
          <w:top w:w="0" w:type="dxa"/>
          <w:left w:w="0" w:type="dxa"/>
          <w:bottom w:w="0" w:type="dxa"/>
          <w:right w:w="0" w:type="dxa"/>
        </w:tblCellMar>
      </w:tblPr>
      <w:tr>
        <w:trPr>
          <w:trHeight w:val="212"/>
        </w:trPr>
        <w:tc>
          <w:tcPr>
            <w:tcW w:w="224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Global Coordinators and Joint Bookrunning Managers</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0" w:type="dxa"/>
            <w:vAlign w:val="bottom"/>
            <w:gridSpan w:val="2"/>
          </w:tcPr>
          <w:p>
            <w:pPr>
              <w:jc w:val="center"/>
              <w:ind w:right="2610"/>
              <w:spacing w:after="0"/>
              <w:rPr>
                <w:sz w:val="20"/>
                <w:szCs w:val="20"/>
                <w:color w:val="auto"/>
              </w:rPr>
            </w:pPr>
            <w:r>
              <w:rPr>
                <w:rFonts w:ascii="Times New Roman" w:cs="Times New Roman" w:eastAsia="Times New Roman" w:hAnsi="Times New Roman"/>
                <w:sz w:val="16"/>
                <w:szCs w:val="16"/>
                <w:b w:val="1"/>
                <w:bCs w:val="1"/>
                <w:color w:val="auto"/>
                <w:w w:val="99"/>
              </w:rPr>
              <w:t>Goldman Sachs &amp; Co. LLC</w:t>
            </w:r>
          </w:p>
        </w:tc>
        <w:tc>
          <w:tcPr>
            <w:tcW w:w="2200" w:type="dxa"/>
            <w:vAlign w:val="bottom"/>
          </w:tcPr>
          <w:p>
            <w:pPr>
              <w:jc w:val="center"/>
              <w:ind w:right="931"/>
              <w:spacing w:after="0"/>
              <w:rPr>
                <w:sz w:val="20"/>
                <w:szCs w:val="20"/>
                <w:color w:val="auto"/>
              </w:rPr>
            </w:pPr>
            <w:r>
              <w:rPr>
                <w:rFonts w:ascii="Times New Roman" w:cs="Times New Roman" w:eastAsia="Times New Roman" w:hAnsi="Times New Roman"/>
                <w:sz w:val="16"/>
                <w:szCs w:val="16"/>
                <w:b w:val="1"/>
                <w:bCs w:val="1"/>
                <w:color w:val="auto"/>
                <w:w w:val="98"/>
              </w:rPr>
              <w:t>Morgan Stanley</w:t>
            </w:r>
          </w:p>
        </w:tc>
        <w:tc>
          <w:tcPr>
            <w:tcW w:w="0" w:type="dxa"/>
            <w:vAlign w:val="bottom"/>
          </w:tcPr>
          <w:p>
            <w:pPr>
              <w:spacing w:after="0"/>
              <w:rPr>
                <w:sz w:val="1"/>
                <w:szCs w:val="1"/>
                <w:color w:val="auto"/>
              </w:rPr>
            </w:pPr>
          </w:p>
        </w:tc>
      </w:tr>
      <w:tr>
        <w:trPr>
          <w:trHeight w:val="239"/>
        </w:trPr>
        <w:tc>
          <w:tcPr>
            <w:tcW w:w="2240" w:type="dxa"/>
            <w:vAlign w:val="bottom"/>
          </w:tcPr>
          <w:p>
            <w:pPr>
              <w:jc w:val="center"/>
              <w:ind w:left="1031"/>
              <w:spacing w:after="0"/>
              <w:rPr>
                <w:sz w:val="20"/>
                <w:szCs w:val="20"/>
                <w:color w:val="auto"/>
              </w:rPr>
            </w:pPr>
            <w:r>
              <w:rPr>
                <w:rFonts w:ascii="Times New Roman" w:cs="Times New Roman" w:eastAsia="Times New Roman" w:hAnsi="Times New Roman"/>
                <w:sz w:val="16"/>
                <w:szCs w:val="16"/>
                <w:b w:val="1"/>
                <w:bCs w:val="1"/>
                <w:color w:val="auto"/>
                <w:w w:val="99"/>
              </w:rPr>
              <w:t>BofA Securities</w:t>
            </w:r>
          </w:p>
        </w:tc>
        <w:tc>
          <w:tcPr>
            <w:tcW w:w="3760" w:type="dxa"/>
            <w:vAlign w:val="bottom"/>
          </w:tcPr>
          <w:p>
            <w:pPr>
              <w:spacing w:after="0"/>
              <w:rPr>
                <w:sz w:val="20"/>
                <w:szCs w:val="20"/>
                <w:color w:val="auto"/>
              </w:rPr>
            </w:pPr>
          </w:p>
        </w:tc>
        <w:tc>
          <w:tcPr>
            <w:tcW w:w="2200" w:type="dxa"/>
            <w:vAlign w:val="bottom"/>
          </w:tcPr>
          <w:p>
            <w:pPr>
              <w:jc w:val="center"/>
              <w:ind w:right="931"/>
              <w:spacing w:after="0"/>
              <w:rPr>
                <w:sz w:val="20"/>
                <w:szCs w:val="20"/>
                <w:color w:val="auto"/>
              </w:rPr>
            </w:pPr>
            <w:r>
              <w:rPr>
                <w:rFonts w:ascii="Times New Roman" w:cs="Times New Roman" w:eastAsia="Times New Roman" w:hAnsi="Times New Roman"/>
                <w:sz w:val="16"/>
                <w:szCs w:val="16"/>
                <w:b w:val="1"/>
                <w:bCs w:val="1"/>
                <w:color w:val="auto"/>
                <w:w w:val="98"/>
              </w:rPr>
              <w:t>J.P. Morgan</w:t>
            </w: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1"/>
                <w:szCs w:val="21"/>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Joint Bookrunning Managers</w:t>
            </w: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Citigroup</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Deutsche Bank Securities</w:t>
            </w:r>
          </w:p>
        </w:tc>
        <w:tc>
          <w:tcPr>
            <w:tcW w:w="0" w:type="dxa"/>
            <w:vAlign w:val="bottom"/>
          </w:tcPr>
          <w:p>
            <w:pPr>
              <w:spacing w:after="0"/>
              <w:rPr>
                <w:sz w:val="1"/>
                <w:szCs w:val="1"/>
                <w:color w:val="auto"/>
              </w:rPr>
            </w:pPr>
          </w:p>
        </w:tc>
      </w:tr>
      <w:tr>
        <w:trPr>
          <w:trHeight w:val="204"/>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4"/>
                <w:szCs w:val="14"/>
                <w:b w:val="1"/>
                <w:bCs w:val="1"/>
                <w:color w:val="auto"/>
              </w:rPr>
              <w:t>Jefferies</w:t>
            </w:r>
          </w:p>
        </w:tc>
        <w:tc>
          <w:tcPr>
            <w:tcW w:w="3760" w:type="dxa"/>
            <w:vAlign w:val="bottom"/>
          </w:tcPr>
          <w:p>
            <w:pPr>
              <w:spacing w:after="0"/>
              <w:rPr>
                <w:sz w:val="17"/>
                <w:szCs w:val="17"/>
                <w:color w:val="auto"/>
              </w:rPr>
            </w:pP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UBS Investment Bank</w:t>
            </w:r>
          </w:p>
        </w:tc>
        <w:tc>
          <w:tcPr>
            <w:tcW w:w="0" w:type="dxa"/>
            <w:vAlign w:val="bottom"/>
          </w:tcPr>
          <w:p>
            <w:pPr>
              <w:spacing w:after="0"/>
              <w:rPr>
                <w:sz w:val="1"/>
                <w:szCs w:val="1"/>
                <w:color w:val="auto"/>
              </w:rPr>
            </w:pPr>
          </w:p>
        </w:tc>
      </w:tr>
      <w:tr>
        <w:trPr>
          <w:trHeight w:val="204"/>
        </w:trPr>
        <w:tc>
          <w:tcPr>
            <w:tcW w:w="2240" w:type="dxa"/>
            <w:vAlign w:val="bottom"/>
          </w:tcPr>
          <w:p>
            <w:pPr>
              <w:spacing w:after="0"/>
              <w:rPr>
                <w:sz w:val="17"/>
                <w:szCs w:val="17"/>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Evercore ISI</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BMO Capital Markets</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BNP PARIBAS</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MUFG</w:t>
            </w:r>
          </w:p>
        </w:tc>
        <w:tc>
          <w:tcPr>
            <w:tcW w:w="0" w:type="dxa"/>
            <w:vAlign w:val="bottom"/>
          </w:tcPr>
          <w:p>
            <w:pPr>
              <w:spacing w:after="0"/>
              <w:rPr>
                <w:sz w:val="1"/>
                <w:szCs w:val="1"/>
                <w:color w:val="auto"/>
              </w:rPr>
            </w:pPr>
          </w:p>
        </w:tc>
      </w:tr>
      <w:tr>
        <w:trPr>
          <w:trHeight w:val="204"/>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RBC Capital Markets</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Santander</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SOCIETE GENERALE</w:t>
            </w:r>
          </w:p>
        </w:tc>
        <w:tc>
          <w:tcPr>
            <w:tcW w:w="0" w:type="dxa"/>
            <w:vAlign w:val="bottom"/>
          </w:tcPr>
          <w:p>
            <w:pPr>
              <w:spacing w:after="0"/>
              <w:rPr>
                <w:sz w:val="1"/>
                <w:szCs w:val="1"/>
                <w:color w:val="auto"/>
              </w:rPr>
            </w:pPr>
          </w:p>
        </w:tc>
      </w:tr>
      <w:tr>
        <w:trPr>
          <w:trHeight w:val="204"/>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TD Cowen</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Wolfe | Nomura Alliance</w:t>
            </w:r>
          </w:p>
        </w:tc>
        <w:tc>
          <w:tcPr>
            <w:tcW w:w="0" w:type="dxa"/>
            <w:vAlign w:val="bottom"/>
          </w:tcPr>
          <w:p>
            <w:pPr>
              <w:spacing w:after="0"/>
              <w:rPr>
                <w:sz w:val="1"/>
                <w:szCs w:val="1"/>
                <w:color w:val="auto"/>
              </w:rPr>
            </w:pPr>
          </w:p>
        </w:tc>
      </w:tr>
      <w:tr>
        <w:trPr>
          <w:trHeight w:val="204"/>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Leerink Partners</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Macquarie Capital</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Mizuho</w:t>
            </w:r>
          </w:p>
        </w:tc>
        <w:tc>
          <w:tcPr>
            <w:tcW w:w="0" w:type="dxa"/>
            <w:vAlign w:val="bottom"/>
          </w:tcPr>
          <w:p>
            <w:pPr>
              <w:spacing w:after="0"/>
              <w:rPr>
                <w:sz w:val="1"/>
                <w:szCs w:val="1"/>
                <w:color w:val="auto"/>
              </w:rPr>
            </w:pPr>
          </w:p>
        </w:tc>
      </w:tr>
      <w:tr>
        <w:trPr>
          <w:trHeight w:val="204"/>
        </w:trPr>
        <w:tc>
          <w:tcPr>
            <w:tcW w:w="2240" w:type="dxa"/>
            <w:vAlign w:val="bottom"/>
          </w:tcPr>
          <w:p>
            <w:pPr>
              <w:jc w:val="center"/>
              <w:ind w:right="511"/>
              <w:spacing w:after="0"/>
              <w:rPr>
                <w:sz w:val="20"/>
                <w:szCs w:val="20"/>
                <w:color w:val="auto"/>
              </w:rPr>
            </w:pPr>
            <w:r>
              <w:rPr>
                <w:rFonts w:ascii="Times New Roman" w:cs="Times New Roman" w:eastAsia="Times New Roman" w:hAnsi="Times New Roman"/>
                <w:sz w:val="14"/>
                <w:szCs w:val="14"/>
                <w:b w:val="1"/>
                <w:bCs w:val="1"/>
                <w:color w:val="auto"/>
              </w:rPr>
              <w:t>Piper Sandler</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Truist Securities</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4"/>
                <w:szCs w:val="14"/>
                <w:b w:val="1"/>
                <w:bCs w:val="1"/>
                <w:color w:val="auto"/>
              </w:rPr>
              <w:t>William Blair</w:t>
            </w: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w w:val="99"/>
              </w:rPr>
              <w:t>Co-Managers</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7"/>
              </w:rPr>
              <w:t>Blackstone Capital Markets</w:t>
            </w:r>
          </w:p>
        </w:tc>
        <w:tc>
          <w:tcPr>
            <w:tcW w:w="3760" w:type="dxa"/>
            <w:vAlign w:val="bottom"/>
          </w:tcPr>
          <w:p>
            <w:pPr>
              <w:spacing w:after="0"/>
              <w:rPr>
                <w:sz w:val="14"/>
                <w:szCs w:val="14"/>
                <w:color w:val="auto"/>
              </w:rPr>
            </w:pP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3"/>
                <w:szCs w:val="13"/>
                <w:b w:val="1"/>
                <w:bCs w:val="1"/>
                <w:color w:val="auto"/>
                <w:w w:val="97"/>
              </w:rPr>
              <w:t>Carlyle</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rPr>
              <w:t>Baird</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8"/>
              </w:rPr>
              <w:t>Rothschild &amp; Co</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3"/>
                <w:szCs w:val="13"/>
                <w:b w:val="1"/>
                <w:bCs w:val="1"/>
                <w:color w:val="auto"/>
                <w:w w:val="96"/>
              </w:rPr>
              <w:t>Stifel</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8"/>
              </w:rPr>
              <w:t>BTIG</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ING</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3"/>
                <w:szCs w:val="13"/>
                <w:b w:val="1"/>
                <w:bCs w:val="1"/>
                <w:color w:val="auto"/>
                <w:w w:val="98"/>
              </w:rPr>
              <w:t>IMI – Intesa Sanpaolo</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7"/>
              </w:rPr>
              <w:t>NCMG</w:t>
            </w:r>
          </w:p>
        </w:tc>
        <w:tc>
          <w:tcPr>
            <w:tcW w:w="3760" w:type="dxa"/>
            <w:vAlign w:val="bottom"/>
          </w:tcPr>
          <w:p>
            <w:pPr>
              <w:spacing w:after="0"/>
              <w:rPr>
                <w:sz w:val="13"/>
                <w:szCs w:val="13"/>
                <w:color w:val="auto"/>
              </w:rPr>
            </w:pP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3"/>
                <w:szCs w:val="13"/>
                <w:b w:val="1"/>
                <w:bCs w:val="1"/>
                <w:color w:val="auto"/>
                <w:w w:val="96"/>
              </w:rPr>
              <w:t>Perella Weinberg</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8"/>
              </w:rPr>
              <w:t>Academy Securities</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6"/>
              </w:rPr>
              <w:t>AmeriVet Securities</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3"/>
                <w:szCs w:val="13"/>
                <w:b w:val="1"/>
                <w:bCs w:val="1"/>
                <w:color w:val="auto"/>
                <w:w w:val="98"/>
              </w:rPr>
              <w:t>Blaylock Van, LLC</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8"/>
              </w:rPr>
              <w:t>C.L. King &amp; Associates</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9"/>
              </w:rPr>
              <w:t>Drexel Hamilton</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3"/>
                <w:szCs w:val="13"/>
                <w:b w:val="1"/>
                <w:bCs w:val="1"/>
                <w:color w:val="auto"/>
                <w:w w:val="98"/>
              </w:rPr>
              <w:t>Loop Capital Markets</w:t>
            </w:r>
          </w:p>
        </w:tc>
        <w:tc>
          <w:tcPr>
            <w:tcW w:w="0" w:type="dxa"/>
            <w:vAlign w:val="bottom"/>
          </w:tcPr>
          <w:p>
            <w:pPr>
              <w:spacing w:after="0"/>
              <w:rPr>
                <w:sz w:val="1"/>
                <w:szCs w:val="1"/>
                <w:color w:val="auto"/>
              </w:rPr>
            </w:pPr>
          </w:p>
        </w:tc>
      </w:tr>
      <w:tr>
        <w:trPr>
          <w:trHeight w:val="15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7"/>
              </w:rPr>
              <w:t>Mischler Financial Group, Inc.</w:t>
            </w:r>
          </w:p>
        </w:tc>
        <w:tc>
          <w:tcPr>
            <w:tcW w:w="376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7"/>
              </w:rPr>
              <w:t>R. Seelaus &amp; Co., LLC</w:t>
            </w:r>
          </w:p>
        </w:tc>
        <w:tc>
          <w:tcPr>
            <w:tcW w:w="2200" w:type="dxa"/>
            <w:vAlign w:val="bottom"/>
          </w:tcPr>
          <w:p>
            <w:pPr>
              <w:jc w:val="center"/>
              <w:ind w:left="591"/>
              <w:spacing w:after="0"/>
              <w:rPr>
                <w:sz w:val="20"/>
                <w:szCs w:val="20"/>
                <w:color w:val="auto"/>
              </w:rPr>
            </w:pPr>
            <w:r>
              <w:rPr>
                <w:rFonts w:ascii="Times New Roman" w:cs="Times New Roman" w:eastAsia="Times New Roman" w:hAnsi="Times New Roman"/>
                <w:sz w:val="13"/>
                <w:szCs w:val="13"/>
                <w:b w:val="1"/>
                <w:bCs w:val="1"/>
                <w:color w:val="auto"/>
                <w:w w:val="98"/>
              </w:rPr>
              <w:t>Ramirez &amp; Co., Inc.</w:t>
            </w:r>
          </w:p>
        </w:tc>
        <w:tc>
          <w:tcPr>
            <w:tcW w:w="0" w:type="dxa"/>
            <w:vAlign w:val="bottom"/>
          </w:tcPr>
          <w:p>
            <w:pPr>
              <w:spacing w:after="0"/>
              <w:rPr>
                <w:sz w:val="1"/>
                <w:szCs w:val="1"/>
                <w:color w:val="auto"/>
              </w:rPr>
            </w:pPr>
          </w:p>
        </w:tc>
      </w:tr>
      <w:tr>
        <w:trPr>
          <w:trHeight w:val="168"/>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3"/>
                <w:szCs w:val="13"/>
                <w:b w:val="1"/>
                <w:bCs w:val="1"/>
                <w:color w:val="auto"/>
                <w:w w:val="97"/>
              </w:rPr>
              <w:t>Siebert Williams Shank</w:t>
            </w: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The date of this prospectus is December 16, 2025.</w:t>
            </w:r>
          </w:p>
        </w:tc>
        <w:tc>
          <w:tcPr>
            <w:tcW w:w="2200" w:type="dxa"/>
            <w:vAlign w:val="bottom"/>
          </w:tcPr>
          <w:p>
            <w:pPr>
              <w:jc w:val="center"/>
              <w:ind w:left="571"/>
              <w:spacing w:after="0"/>
              <w:rPr>
                <w:sz w:val="20"/>
                <w:szCs w:val="20"/>
                <w:color w:val="auto"/>
              </w:rPr>
            </w:pPr>
            <w:r>
              <w:rPr>
                <w:rFonts w:ascii="Times New Roman" w:cs="Times New Roman" w:eastAsia="Times New Roman" w:hAnsi="Times New Roman"/>
                <w:sz w:val="13"/>
                <w:szCs w:val="13"/>
                <w:b w:val="1"/>
                <w:bCs w:val="1"/>
                <w:color w:val="auto"/>
                <w:w w:val="97"/>
              </w:rPr>
              <w:t>Tigress Financial Partners</w:t>
            </w: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376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320" w:top="217" w:right="10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198755</wp:posOffset>
            </wp:positionV>
            <wp:extent cx="6387465" cy="8212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7465" cy="821245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198755</wp:posOffset>
            </wp:positionV>
            <wp:extent cx="6387465" cy="82124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7465" cy="821245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198755</wp:posOffset>
            </wp:positionV>
            <wp:extent cx="5474970" cy="72999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74970" cy="7299960"/>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8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2140" w:type="dxa"/>
            <w:vAlign w:val="bottom"/>
          </w:tcPr>
          <w:p>
            <w:pPr>
              <w:spacing w:after="0"/>
              <w:rPr>
                <w:sz w:val="18"/>
                <w:szCs w:val="18"/>
                <w:color w:val="auto"/>
              </w:rPr>
            </w:pPr>
          </w:p>
        </w:tc>
      </w:tr>
      <w:tr>
        <w:trPr>
          <w:trHeight w:val="331"/>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72"/>
        </w:trPr>
        <w:tc>
          <w:tcPr>
            <w:tcW w:w="620" w:type="dxa"/>
            <w:vAlign w:val="bottom"/>
            <w:tcBorders>
              <w:bottom w:val="single" w:sz="8" w:color="0000EE"/>
            </w:tcBorders>
            <w:gridSpan w:val="4"/>
          </w:tcPr>
          <w:p>
            <w:pPr>
              <w:spacing w:after="0" w:line="172" w:lineRule="exact"/>
              <w:rPr>
                <w:sz w:val="20"/>
                <w:szCs w:val="20"/>
                <w:color w:val="auto"/>
              </w:rPr>
            </w:pPr>
            <w:r>
              <w:rPr>
                <w:rFonts w:ascii="Times New Roman" w:cs="Times New Roman" w:eastAsia="Times New Roman" w:hAnsi="Times New Roman"/>
                <w:sz w:val="16"/>
                <w:szCs w:val="16"/>
                <w:color w:val="0000EE"/>
                <w:w w:val="96"/>
              </w:rPr>
              <w:t>Summary</w:t>
            </w:r>
          </w:p>
        </w:tc>
        <w:tc>
          <w:tcPr>
            <w:tcW w:w="6960" w:type="dxa"/>
            <w:vAlign w:val="bottom"/>
            <w:gridSpan w:val="19"/>
          </w:tcPr>
          <w:p>
            <w:pPr>
              <w:spacing w:after="0"/>
              <w:rPr>
                <w:sz w:val="14"/>
                <w:szCs w:val="14"/>
                <w:color w:val="auto"/>
              </w:rPr>
            </w:pPr>
          </w:p>
        </w:tc>
        <w:tc>
          <w:tcPr>
            <w:tcW w:w="214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1</w:t>
            </w: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Risk Factors</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31</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1880" w:type="dxa"/>
            <w:vAlign w:val="bottom"/>
            <w:tcBorders>
              <w:bottom w:val="single" w:sz="8" w:color="0000EE"/>
            </w:tcBorders>
            <w:gridSpan w:val="14"/>
          </w:tcPr>
          <w:p>
            <w:pPr>
              <w:spacing w:after="0" w:line="171" w:lineRule="exact"/>
              <w:rPr>
                <w:sz w:val="20"/>
                <w:szCs w:val="20"/>
                <w:color w:val="auto"/>
              </w:rPr>
            </w:pPr>
            <w:r>
              <w:rPr>
                <w:rFonts w:ascii="Times New Roman" w:cs="Times New Roman" w:eastAsia="Times New Roman" w:hAnsi="Times New Roman"/>
                <w:sz w:val="16"/>
                <w:szCs w:val="16"/>
                <w:color w:val="0000EE"/>
                <w:w w:val="98"/>
              </w:rPr>
              <w:t>Forward-Looking Statements</w:t>
            </w:r>
          </w:p>
        </w:tc>
        <w:tc>
          <w:tcPr>
            <w:tcW w:w="5700" w:type="dxa"/>
            <w:vAlign w:val="bottom"/>
            <w:gridSpan w:val="9"/>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69</w:t>
            </w: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Market and Industry Data</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71</w:t>
            </w:r>
          </w:p>
        </w:tc>
      </w:tr>
      <w:tr>
        <w:trPr>
          <w:trHeight w:val="20"/>
        </w:trPr>
        <w:tc>
          <w:tcPr>
            <w:tcW w:w="4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Trademarks, Trade Names, and Service Marks</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71</w:t>
            </w:r>
          </w:p>
        </w:tc>
      </w:tr>
      <w:tr>
        <w:trPr>
          <w:trHeight w:val="172"/>
        </w:trPr>
        <w:tc>
          <w:tcPr>
            <w:tcW w:w="2960" w:type="dxa"/>
            <w:vAlign w:val="bottom"/>
            <w:tcBorders>
              <w:top w:val="single" w:sz="8" w:color="0000EE"/>
            </w:tcBorders>
            <w:gridSpan w:val="19"/>
          </w:tcPr>
          <w:p>
            <w:pPr>
              <w:spacing w:after="0" w:line="171" w:lineRule="exact"/>
              <w:rPr>
                <w:sz w:val="20"/>
                <w:szCs w:val="20"/>
                <w:color w:val="auto"/>
              </w:rPr>
            </w:pPr>
            <w:r>
              <w:rPr>
                <w:rFonts w:ascii="Times New Roman" w:cs="Times New Roman" w:eastAsia="Times New Roman" w:hAnsi="Times New Roman"/>
                <w:sz w:val="16"/>
                <w:szCs w:val="16"/>
                <w:color w:val="0000EE"/>
              </w:rPr>
              <w:t>Organizational Structure</w:t>
            </w:r>
          </w:p>
        </w:tc>
        <w:tc>
          <w:tcPr>
            <w:tcW w:w="4620" w:type="dxa"/>
            <w:vAlign w:val="bottom"/>
            <w:gridSpan w:val="4"/>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73</w:t>
            </w:r>
          </w:p>
        </w:tc>
      </w:tr>
      <w:tr>
        <w:trPr>
          <w:trHeight w:val="172"/>
        </w:trPr>
        <w:tc>
          <w:tcPr>
            <w:tcW w:w="1040" w:type="dxa"/>
            <w:vAlign w:val="bottom"/>
            <w:tcBorders>
              <w:top w:val="single" w:sz="8" w:color="0000EE"/>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6"/>
                <w:szCs w:val="16"/>
                <w:color w:val="0000EE"/>
                <w:w w:val="98"/>
              </w:rPr>
              <w:t>Use of Proceeds</w:t>
            </w:r>
          </w:p>
        </w:tc>
        <w:tc>
          <w:tcPr>
            <w:tcW w:w="520" w:type="dxa"/>
            <w:vAlign w:val="bottom"/>
            <w:tcBorders>
              <w:top w:val="single" w:sz="8" w:color="0000EE"/>
            </w:tcBorders>
            <w:gridSpan w:val="2"/>
          </w:tcPr>
          <w:p>
            <w:pPr>
              <w:spacing w:after="0"/>
              <w:rPr>
                <w:sz w:val="14"/>
                <w:szCs w:val="14"/>
                <w:color w:val="auto"/>
              </w:rPr>
            </w:pPr>
          </w:p>
        </w:tc>
        <w:tc>
          <w:tcPr>
            <w:tcW w:w="6020" w:type="dxa"/>
            <w:vAlign w:val="bottom"/>
            <w:gridSpan w:val="12"/>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81</w:t>
            </w:r>
          </w:p>
        </w:tc>
      </w:tr>
      <w:tr>
        <w:trPr>
          <w:trHeight w:val="172"/>
        </w:trPr>
        <w:tc>
          <w:tcPr>
            <w:tcW w:w="1040" w:type="dxa"/>
            <w:vAlign w:val="bottom"/>
            <w:tcBorders>
              <w:bottom w:val="single" w:sz="8" w:color="0000EE"/>
            </w:tcBorders>
            <w:gridSpan w:val="9"/>
          </w:tcPr>
          <w:p>
            <w:pPr>
              <w:spacing w:after="0" w:line="171" w:lineRule="exact"/>
              <w:rPr>
                <w:sz w:val="20"/>
                <w:szCs w:val="20"/>
                <w:color w:val="auto"/>
              </w:rPr>
            </w:pPr>
            <w:r>
              <w:rPr>
                <w:rFonts w:ascii="Times New Roman" w:cs="Times New Roman" w:eastAsia="Times New Roman" w:hAnsi="Times New Roman"/>
                <w:sz w:val="16"/>
                <w:szCs w:val="16"/>
                <w:color w:val="0000EE"/>
                <w:w w:val="97"/>
              </w:rPr>
              <w:t>Dividend Policy</w:t>
            </w:r>
          </w:p>
        </w:tc>
        <w:tc>
          <w:tcPr>
            <w:tcW w:w="6540" w:type="dxa"/>
            <w:vAlign w:val="bottom"/>
            <w:gridSpan w:val="14"/>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82</w:t>
            </w:r>
          </w:p>
        </w:tc>
      </w:tr>
      <w:tr>
        <w:trPr>
          <w:trHeight w:val="172"/>
        </w:trPr>
        <w:tc>
          <w:tcPr>
            <w:tcW w:w="900" w:type="dxa"/>
            <w:vAlign w:val="bottom"/>
            <w:tcBorders>
              <w:bottom w:val="single" w:sz="8" w:color="0000EE"/>
            </w:tcBorders>
            <w:gridSpan w:val="8"/>
          </w:tcPr>
          <w:p>
            <w:pPr>
              <w:spacing w:after="0" w:line="171" w:lineRule="exact"/>
              <w:rPr>
                <w:sz w:val="20"/>
                <w:szCs w:val="20"/>
                <w:color w:val="auto"/>
              </w:rPr>
            </w:pPr>
            <w:r>
              <w:rPr>
                <w:rFonts w:ascii="Times New Roman" w:cs="Times New Roman" w:eastAsia="Times New Roman" w:hAnsi="Times New Roman"/>
                <w:sz w:val="16"/>
                <w:szCs w:val="16"/>
                <w:color w:val="0000EE"/>
                <w:w w:val="97"/>
              </w:rPr>
              <w:t>Capitalization</w:t>
            </w:r>
          </w:p>
        </w:tc>
        <w:tc>
          <w:tcPr>
            <w:tcW w:w="6680" w:type="dxa"/>
            <w:vAlign w:val="bottom"/>
            <w:gridSpan w:val="15"/>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84</w:t>
            </w:r>
          </w:p>
        </w:tc>
      </w:tr>
      <w:tr>
        <w:trPr>
          <w:trHeight w:val="172"/>
        </w:trPr>
        <w:tc>
          <w:tcPr>
            <w:tcW w:w="540" w:type="dxa"/>
            <w:vAlign w:val="bottom"/>
            <w:tcBorders>
              <w:bottom w:val="single" w:sz="8" w:color="0000EE"/>
            </w:tcBorders>
            <w:gridSpan w:val="2"/>
          </w:tcPr>
          <w:p>
            <w:pPr>
              <w:spacing w:after="0" w:line="171" w:lineRule="exact"/>
              <w:rPr>
                <w:sz w:val="20"/>
                <w:szCs w:val="20"/>
                <w:color w:val="auto"/>
              </w:rPr>
            </w:pPr>
            <w:r>
              <w:rPr>
                <w:rFonts w:ascii="Times New Roman" w:cs="Times New Roman" w:eastAsia="Times New Roman" w:hAnsi="Times New Roman"/>
                <w:sz w:val="16"/>
                <w:szCs w:val="16"/>
                <w:color w:val="0000EE"/>
                <w:w w:val="97"/>
              </w:rPr>
              <w:t>Dilution</w:t>
            </w:r>
          </w:p>
        </w:tc>
        <w:tc>
          <w:tcPr>
            <w:tcW w:w="7040" w:type="dxa"/>
            <w:vAlign w:val="bottom"/>
            <w:gridSpan w:val="21"/>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86</w:t>
            </w: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Unaudited Pro Forma Condensed Consolidated Financial Information</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88</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101</w:t>
            </w:r>
          </w:p>
        </w:tc>
      </w:tr>
      <w:tr>
        <w:trPr>
          <w:trHeight w:val="172"/>
        </w:trPr>
        <w:tc>
          <w:tcPr>
            <w:tcW w:w="5720" w:type="dxa"/>
            <w:vAlign w:val="bottom"/>
            <w:tcBorders>
              <w:top w:val="single" w:sz="8" w:color="0000EE"/>
            </w:tcBorders>
            <w:gridSpan w:val="22"/>
          </w:tcPr>
          <w:p>
            <w:pPr>
              <w:spacing w:after="0" w:line="171" w:lineRule="exact"/>
              <w:rPr>
                <w:sz w:val="20"/>
                <w:szCs w:val="20"/>
                <w:color w:val="auto"/>
              </w:rPr>
            </w:pPr>
            <w:r>
              <w:rPr>
                <w:rFonts w:ascii="Times New Roman" w:cs="Times New Roman" w:eastAsia="Times New Roman" w:hAnsi="Times New Roman"/>
                <w:sz w:val="16"/>
                <w:szCs w:val="16"/>
                <w:color w:val="0000EE"/>
              </w:rPr>
              <w:t>Business</w:t>
            </w:r>
          </w:p>
        </w:tc>
        <w:tc>
          <w:tcPr>
            <w:tcW w:w="1860" w:type="dxa"/>
            <w:vAlign w:val="bottom"/>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134</w:t>
            </w: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840" w:type="dxa"/>
            <w:vAlign w:val="bottom"/>
            <w:tcBorders>
              <w:bottom w:val="single" w:sz="8" w:color="0000EE"/>
            </w:tcBorders>
            <w:gridSpan w:val="6"/>
          </w:tcPr>
          <w:p>
            <w:pPr>
              <w:spacing w:after="0" w:line="171" w:lineRule="exact"/>
              <w:rPr>
                <w:sz w:val="20"/>
                <w:szCs w:val="20"/>
                <w:color w:val="auto"/>
              </w:rPr>
            </w:pPr>
            <w:r>
              <w:rPr>
                <w:rFonts w:ascii="Times New Roman" w:cs="Times New Roman" w:eastAsia="Times New Roman" w:hAnsi="Times New Roman"/>
                <w:sz w:val="16"/>
                <w:szCs w:val="16"/>
                <w:color w:val="0000EE"/>
                <w:w w:val="98"/>
              </w:rPr>
              <w:t>Management</w:t>
            </w:r>
          </w:p>
        </w:tc>
        <w:tc>
          <w:tcPr>
            <w:tcW w:w="6740" w:type="dxa"/>
            <w:vAlign w:val="bottom"/>
            <w:gridSpan w:val="17"/>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162</w:t>
            </w:r>
          </w:p>
        </w:tc>
      </w:tr>
      <w:tr>
        <w:trPr>
          <w:trHeight w:val="172"/>
        </w:trPr>
        <w:tc>
          <w:tcPr>
            <w:tcW w:w="3500" w:type="dxa"/>
            <w:vAlign w:val="bottom"/>
            <w:tcBorders>
              <w:bottom w:val="single" w:sz="8" w:color="0000EE"/>
            </w:tcBorders>
            <w:gridSpan w:val="20"/>
          </w:tcPr>
          <w:p>
            <w:pPr>
              <w:spacing w:after="0" w:line="171" w:lineRule="exact"/>
              <w:rPr>
                <w:sz w:val="20"/>
                <w:szCs w:val="20"/>
                <w:color w:val="auto"/>
              </w:rPr>
            </w:pPr>
            <w:r>
              <w:rPr>
                <w:rFonts w:ascii="Times New Roman" w:cs="Times New Roman" w:eastAsia="Times New Roman" w:hAnsi="Times New Roman"/>
                <w:sz w:val="16"/>
                <w:szCs w:val="16"/>
                <w:color w:val="0000EE"/>
                <w:w w:val="98"/>
              </w:rPr>
              <w:t>Certain Relationships and Related Person Transactions</w:t>
            </w:r>
          </w:p>
        </w:tc>
        <w:tc>
          <w:tcPr>
            <w:tcW w:w="4080" w:type="dxa"/>
            <w:vAlign w:val="bottom"/>
            <w:gridSpan w:val="3"/>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205</w:t>
            </w: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Principal Stockholders</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214</w:t>
            </w:r>
          </w:p>
        </w:tc>
      </w:tr>
      <w:tr>
        <w:trPr>
          <w:trHeight w:val="20"/>
        </w:trPr>
        <w:tc>
          <w:tcPr>
            <w:tcW w:w="48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2300" w:type="dxa"/>
            <w:vAlign w:val="bottom"/>
            <w:tcBorders>
              <w:bottom w:val="single" w:sz="8" w:color="0000EE"/>
            </w:tcBorders>
            <w:gridSpan w:val="17"/>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Certain Indebtedness</w:t>
            </w:r>
          </w:p>
        </w:tc>
        <w:tc>
          <w:tcPr>
            <w:tcW w:w="5280" w:type="dxa"/>
            <w:vAlign w:val="bottom"/>
            <w:gridSpan w:val="6"/>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219</w:t>
            </w:r>
          </w:p>
        </w:tc>
      </w:tr>
      <w:tr>
        <w:trPr>
          <w:trHeight w:val="172"/>
        </w:trPr>
        <w:tc>
          <w:tcPr>
            <w:tcW w:w="182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8"/>
              </w:rPr>
              <w:t>Description of Capital Stock</w:t>
            </w:r>
          </w:p>
        </w:tc>
        <w:tc>
          <w:tcPr>
            <w:tcW w:w="5760" w:type="dxa"/>
            <w:vAlign w:val="bottom"/>
            <w:gridSpan w:val="10"/>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227</w:t>
            </w:r>
          </w:p>
        </w:tc>
      </w:tr>
      <w:tr>
        <w:trPr>
          <w:trHeight w:val="172"/>
        </w:trPr>
        <w:tc>
          <w:tcPr>
            <w:tcW w:w="4440" w:type="dxa"/>
            <w:vAlign w:val="bottom"/>
            <w:tcBorders>
              <w:bottom w:val="single" w:sz="8" w:color="0000EE"/>
            </w:tcBorders>
            <w:gridSpan w:val="21"/>
          </w:tcPr>
          <w:p>
            <w:pPr>
              <w:spacing w:after="0" w:line="171" w:lineRule="exact"/>
              <w:rPr>
                <w:sz w:val="20"/>
                <w:szCs w:val="20"/>
                <w:color w:val="auto"/>
              </w:rPr>
            </w:pPr>
            <w:r>
              <w:rPr>
                <w:rFonts w:ascii="Times New Roman" w:cs="Times New Roman" w:eastAsia="Times New Roman" w:hAnsi="Times New Roman"/>
                <w:sz w:val="16"/>
                <w:szCs w:val="16"/>
                <w:color w:val="0000EE"/>
                <w:w w:val="99"/>
              </w:rPr>
              <w:t>Certain U.S. Federal Income Tax Consequences to Non-U.S. Holders</w:t>
            </w:r>
          </w:p>
        </w:tc>
        <w:tc>
          <w:tcPr>
            <w:tcW w:w="3140" w:type="dxa"/>
            <w:vAlign w:val="bottom"/>
            <w:gridSpan w:val="2"/>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236</w:t>
            </w: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Shares Eligible for Future Sale</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239</w:t>
            </w:r>
          </w:p>
        </w:tc>
      </w:tr>
      <w:tr>
        <w:trPr>
          <w:trHeight w:val="20"/>
        </w:trPr>
        <w:tc>
          <w:tcPr>
            <w:tcW w:w="480" w:type="dxa"/>
            <w:vAlign w:val="bottom"/>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1080" w:type="dxa"/>
            <w:vAlign w:val="bottom"/>
            <w:tcBorders>
              <w:right w:val="single" w:sz="8" w:color="0000EE"/>
            </w:tcBorders>
            <w:gridSpan w:val="8"/>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7580" w:type="dxa"/>
            <w:vAlign w:val="bottom"/>
            <w:gridSpan w:val="23"/>
          </w:tcPr>
          <w:p>
            <w:pPr>
              <w:spacing w:after="0" w:line="171" w:lineRule="exact"/>
              <w:rPr>
                <w:sz w:val="20"/>
                <w:szCs w:val="20"/>
                <w:color w:val="auto"/>
              </w:rPr>
            </w:pPr>
            <w:r>
              <w:rPr>
                <w:rFonts w:ascii="Times New Roman" w:cs="Times New Roman" w:eastAsia="Times New Roman" w:hAnsi="Times New Roman"/>
                <w:sz w:val="16"/>
                <w:szCs w:val="16"/>
                <w:color w:val="0000EE"/>
              </w:rPr>
              <w:t>Underwriting (Conflicts of Interest)</w:t>
            </w: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242</w:t>
            </w:r>
          </w:p>
        </w:tc>
      </w:tr>
      <w:tr>
        <w:trPr>
          <w:trHeight w:val="172"/>
        </w:trPr>
        <w:tc>
          <w:tcPr>
            <w:tcW w:w="2280" w:type="dxa"/>
            <w:vAlign w:val="bottom"/>
            <w:tcBorders>
              <w:top w:val="single" w:sz="8" w:color="0000EE"/>
            </w:tcBorders>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Legal Matters</w:t>
            </w:r>
          </w:p>
        </w:tc>
        <w:tc>
          <w:tcPr>
            <w:tcW w:w="5300" w:type="dxa"/>
            <w:vAlign w:val="bottom"/>
            <w:gridSpan w:val="7"/>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257</w:t>
            </w:r>
          </w:p>
        </w:tc>
      </w:tr>
      <w:tr>
        <w:trPr>
          <w:trHeight w:val="172"/>
        </w:trPr>
        <w:tc>
          <w:tcPr>
            <w:tcW w:w="880" w:type="dxa"/>
            <w:vAlign w:val="bottom"/>
            <w:tcBorders>
              <w:top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EE"/>
              </w:rPr>
              <w:t>Experts</w:t>
            </w:r>
          </w:p>
        </w:tc>
        <w:tc>
          <w:tcPr>
            <w:tcW w:w="6700" w:type="dxa"/>
            <w:vAlign w:val="bottom"/>
            <w:gridSpan w:val="16"/>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257</w:t>
            </w:r>
          </w:p>
        </w:tc>
      </w:tr>
      <w:tr>
        <w:trPr>
          <w:trHeight w:val="20"/>
        </w:trPr>
        <w:tc>
          <w:tcPr>
            <w:tcW w:w="480" w:type="dxa"/>
            <w:vAlign w:val="bottom"/>
            <w:shd w:val="clear" w:color="auto" w:fill="0000EE"/>
          </w:tcPr>
          <w:p>
            <w:pPr>
              <w:spacing w:after="0" w:line="20" w:lineRule="exact"/>
              <w:rPr>
                <w:sz w:val="1"/>
                <w:szCs w:val="1"/>
                <w:color w:val="auto"/>
              </w:rPr>
            </w:pPr>
          </w:p>
        </w:tc>
        <w:tc>
          <w:tcPr>
            <w:tcW w:w="1480" w:type="dxa"/>
            <w:vAlign w:val="bottom"/>
            <w:gridSpan w:val="1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172"/>
        </w:trPr>
        <w:tc>
          <w:tcPr>
            <w:tcW w:w="2540" w:type="dxa"/>
            <w:vAlign w:val="bottom"/>
            <w:tcBorders>
              <w:bottom w:val="single" w:sz="8" w:color="0000EE"/>
            </w:tcBorders>
            <w:gridSpan w:val="18"/>
          </w:tcPr>
          <w:p>
            <w:pPr>
              <w:spacing w:after="0" w:line="171" w:lineRule="exact"/>
              <w:rPr>
                <w:sz w:val="20"/>
                <w:szCs w:val="20"/>
                <w:color w:val="auto"/>
              </w:rPr>
            </w:pPr>
            <w:r>
              <w:rPr>
                <w:rFonts w:ascii="Times New Roman" w:cs="Times New Roman" w:eastAsia="Times New Roman" w:hAnsi="Times New Roman"/>
                <w:sz w:val="16"/>
                <w:szCs w:val="16"/>
                <w:color w:val="0000EE"/>
                <w:w w:val="98"/>
              </w:rPr>
              <w:t>Where You Can Find More Information</w:t>
            </w:r>
          </w:p>
        </w:tc>
        <w:tc>
          <w:tcPr>
            <w:tcW w:w="5040" w:type="dxa"/>
            <w:vAlign w:val="bottom"/>
            <w:gridSpan w:val="5"/>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257</w:t>
            </w:r>
          </w:p>
        </w:tc>
      </w:tr>
      <w:tr>
        <w:trPr>
          <w:trHeight w:val="172"/>
        </w:trPr>
        <w:tc>
          <w:tcPr>
            <w:tcW w:w="1960" w:type="dxa"/>
            <w:vAlign w:val="bottom"/>
            <w:tcBorders>
              <w:bottom w:val="single" w:sz="8" w:color="0000EE"/>
            </w:tcBorders>
            <w:gridSpan w:val="15"/>
          </w:tcPr>
          <w:p>
            <w:pPr>
              <w:spacing w:after="0" w:line="171" w:lineRule="exact"/>
              <w:rPr>
                <w:sz w:val="20"/>
                <w:szCs w:val="20"/>
                <w:color w:val="auto"/>
              </w:rPr>
            </w:pPr>
            <w:r>
              <w:rPr>
                <w:rFonts w:ascii="Times New Roman" w:cs="Times New Roman" w:eastAsia="Times New Roman" w:hAnsi="Times New Roman"/>
                <w:sz w:val="16"/>
                <w:szCs w:val="16"/>
                <w:color w:val="0000EE"/>
              </w:rPr>
              <w:t>Index to Financial Statements</w:t>
            </w:r>
          </w:p>
        </w:tc>
        <w:tc>
          <w:tcPr>
            <w:tcW w:w="5620" w:type="dxa"/>
            <w:vAlign w:val="bottom"/>
            <w:gridSpan w:val="8"/>
          </w:tcPr>
          <w:p>
            <w:pPr>
              <w:spacing w:after="0"/>
              <w:rPr>
                <w:sz w:val="14"/>
                <w:szCs w:val="14"/>
                <w:color w:val="auto"/>
              </w:rPr>
            </w:pPr>
          </w:p>
        </w:tc>
        <w:tc>
          <w:tcPr>
            <w:tcW w:w="214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F-1</w:t>
            </w:r>
          </w:p>
        </w:tc>
      </w:tr>
    </w:tbl>
    <w:p>
      <w:pPr>
        <w:spacing w:after="0" w:line="199"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64" w:lineRule="exact"/>
        <w:rPr>
          <w:sz w:val="20"/>
          <w:szCs w:val="20"/>
          <w:color w:val="auto"/>
        </w:rPr>
      </w:pPr>
    </w:p>
    <w:p>
      <w:pPr>
        <w:ind w:left="740" w:right="40" w:firstLine="391"/>
        <w:spacing w:after="0" w:line="257" w:lineRule="auto"/>
        <w:rPr>
          <w:sz w:val="20"/>
          <w:szCs w:val="20"/>
          <w:color w:val="auto"/>
        </w:rPr>
      </w:pPr>
      <w:r>
        <w:rPr>
          <w:rFonts w:ascii="Times New Roman" w:cs="Times New Roman" w:eastAsia="Times New Roman" w:hAnsi="Times New Roman"/>
          <w:sz w:val="16"/>
          <w:szCs w:val="16"/>
          <w:color w:val="auto"/>
        </w:rPr>
        <w:t>We and the underwriters are offering to sell, and seeking offers to buy, shares of our Class A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5" w:lineRule="exact"/>
        <w:rPr>
          <w:sz w:val="20"/>
          <w:szCs w:val="20"/>
          <w:color w:val="auto"/>
        </w:rPr>
      </w:pPr>
    </w:p>
    <w:p>
      <w:pPr>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Through and including January 10,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9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6"/>
          <w:szCs w:val="16"/>
          <w:color w:val="auto"/>
        </w:rPr>
        <w:t>i</w:t>
      </w:r>
    </w:p>
    <w:p>
      <w:pPr>
        <w:sectPr>
          <w:pgSz w:w="11900" w:h="16838" w:orient="portrait"/>
          <w:cols w:equalWidth="0" w:num="1">
            <w:col w:w="10460"/>
          </w:cols>
          <w:pgMar w:left="320" w:top="420" w:right="11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About This Prospectus</w:t>
      </w:r>
    </w:p>
    <w:p>
      <w:pPr>
        <w:spacing w:after="0" w:line="201"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Following this offering, Medline Holdings will be the predecessor of Medline Inc. for financial reporting purposes.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lack economic substance and therefore will be accounted for in a manner consistent with a reorganization of entities under common control. As a result, the consolidated financial statements of Medline Inc. will recognize the assets and liabilities received in the Reorganization Transactions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 and statement of comprehensive income. See “Organizational Structure.”</w:t>
      </w:r>
    </w:p>
    <w:p>
      <w:pPr>
        <w:spacing w:after="0" w:line="75" w:lineRule="exact"/>
        <w:rPr>
          <w:sz w:val="20"/>
          <w:szCs w:val="20"/>
          <w:color w:val="auto"/>
        </w:rPr>
      </w:pPr>
    </w:p>
    <w:p>
      <w:pPr>
        <w:ind w:left="740" w:right="180" w:firstLine="391"/>
        <w:spacing w:after="0" w:line="281" w:lineRule="auto"/>
        <w:rPr>
          <w:sz w:val="20"/>
          <w:szCs w:val="20"/>
          <w:color w:val="auto"/>
        </w:rPr>
      </w:pPr>
      <w:r>
        <w:rPr>
          <w:rFonts w:ascii="Times New Roman" w:cs="Times New Roman" w:eastAsia="Times New Roman" w:hAnsi="Times New Roman"/>
          <w:sz w:val="16"/>
          <w:szCs w:val="16"/>
          <w:color w:val="auto"/>
        </w:rPr>
        <w:t>The historical financial information of Medline Inc. has not been included in this prospectus as it is a newly incorporated entity, has no business transactions or activities to date, and had no assets or liabilities during the periods presented in this prospectus.</w:t>
      </w:r>
    </w:p>
    <w:p>
      <w:pPr>
        <w:spacing w:after="0" w:line="144"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65"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Offering Transactions (as defined herein), to Medline Holdings, LP and its consolidated subsidiaries and (2) after the Offering Transactions to Medline Inc. and its consolidated subsidiaries.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Certain Definitions</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As used in this prospectus, unless otherwise noted or the context requires otherwise:</w:t>
      </w:r>
    </w:p>
    <w:p>
      <w:pPr>
        <w:spacing w:after="0" w:line="115" w:lineRule="exact"/>
        <w:rPr>
          <w:sz w:val="20"/>
          <w:szCs w:val="20"/>
          <w:color w:val="auto"/>
        </w:rPr>
      </w:pPr>
    </w:p>
    <w:p>
      <w:pPr>
        <w:ind w:left="1600" w:hanging="383"/>
        <w:spacing w:after="0"/>
        <w:tabs>
          <w:tab w:leader="none" w:pos="16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“Blackstone” refers to investment funds associated with Blackstone Inc.</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“Carlyle” refers to investment funds associated with The Carlyle Group Inc.</w:t>
      </w:r>
    </w:p>
    <w:p>
      <w:pPr>
        <w:spacing w:after="0" w:line="115" w:lineRule="exact"/>
        <w:rPr>
          <w:rFonts w:ascii="Times New Roman" w:cs="Times New Roman" w:eastAsia="Times New Roman" w:hAnsi="Times New Roman"/>
          <w:sz w:val="16"/>
          <w:szCs w:val="16"/>
          <w:color w:val="auto"/>
        </w:rPr>
      </w:pPr>
    </w:p>
    <w:p>
      <w:pPr>
        <w:ind w:left="1600" w:hanging="383"/>
        <w:spacing w:after="0" w:line="257" w:lineRule="auto"/>
        <w:tabs>
          <w:tab w:leader="none" w:pos="16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refers to the interests in Medline Holdings called “Class A Units” that are outstanding prior to the Reclassification. In connection with the Reclassification, (i) Class A Units held by Continuing Common Unitholders will be converted into Common Units and (ii) Class A Units held by Exchanging Class A Unitholders will be directly or indirectly exchanged for shares of Class A common stock. For additional information, see “Management—Compensation Arrangements to be Adopted in Connection with this Offering—Treatment of Existing Equity Interests.”</w:t>
      </w:r>
    </w:p>
    <w:p>
      <w:pPr>
        <w:spacing w:after="0" w:line="80" w:lineRule="exact"/>
        <w:rPr>
          <w:rFonts w:ascii="Times New Roman" w:cs="Times New Roman" w:eastAsia="Times New Roman" w:hAnsi="Times New Roman"/>
          <w:sz w:val="16"/>
          <w:szCs w:val="16"/>
          <w:color w:val="auto"/>
        </w:rPr>
      </w:pPr>
    </w:p>
    <w:p>
      <w:pPr>
        <w:ind w:left="1600" w:right="120" w:hanging="383"/>
        <w:spacing w:after="0" w:line="256" w:lineRule="auto"/>
        <w:tabs>
          <w:tab w:leader="none" w:pos="160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refers to the interests in Medline Holdings called “Class B Units” that are outstanding prior to the Reclassification, and does not include CUPI Units. In connection with the Reclassification, (i) Class B Units held by Continuing Incentive Unitholders will be converted into Incentive Units and (ii) Class B Units held by Exchanging Class B Unitholders will be directly or indirectly exchanged for shares of Class A common stock (in the case of vested Class B Units) and/or restricted shares of Class A common stock (in the case of unvested Class B Units). For additional information, see “Management—Compensation Arrangements to be Adopted in Connection with this Offering—Treatment of Existing Equity Interests.”</w:t>
      </w:r>
    </w:p>
    <w:p>
      <w:pPr>
        <w:spacing w:after="0" w:line="10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6"/>
          <w:szCs w:val="16"/>
          <w:color w:val="auto"/>
        </w:rPr>
        <w:t>ii</w:t>
      </w:r>
    </w:p>
    <w:p>
      <w:pPr>
        <w:sectPr>
          <w:pgSz w:w="11900" w:h="16838" w:orient="portrait"/>
          <w:cols w:equalWidth="0" w:num="1">
            <w:col w:w="10500"/>
          </w:cols>
          <w:pgMar w:left="320" w:top="420" w:right="10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10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Units” refers to the new class of units of Medline Holdings created by the Reclassification as described under “Organizational Structure” and does not include Incentive Units.</w:t>
      </w:r>
    </w:p>
    <w:p>
      <w:pPr>
        <w:spacing w:after="0" w:line="60"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Common Unitholders” refers to certain pre-IPO holders of Class A Units and/or CUPI Units who will hold Common Units following the Reclassification, as described under “Organizational Structure.”</w:t>
      </w:r>
    </w:p>
    <w:p>
      <w:pPr>
        <w:spacing w:after="0" w:line="60" w:lineRule="exact"/>
        <w:rPr>
          <w:rFonts w:ascii="Times New Roman" w:cs="Times New Roman" w:eastAsia="Times New Roman" w:hAnsi="Times New Roman"/>
          <w:sz w:val="16"/>
          <w:szCs w:val="16"/>
          <w:color w:val="auto"/>
        </w:rPr>
      </w:pPr>
    </w:p>
    <w:p>
      <w:pPr>
        <w:ind w:left="1600" w:right="54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Incentive Unitholders” refers to certain pre-IPO holders of Class B Units who will hold Incentive Units following the Reclassification, as described under “Organizational Structure.”</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“Continuing Unitholders” refers collectively to Continuing Common Unitholders and Continuing Incentive Unitholders.</w:t>
      </w:r>
    </w:p>
    <w:p>
      <w:pPr>
        <w:spacing w:after="0" w:line="115" w:lineRule="exact"/>
        <w:rPr>
          <w:rFonts w:ascii="Times New Roman" w:cs="Times New Roman" w:eastAsia="Times New Roman" w:hAnsi="Times New Roman"/>
          <w:sz w:val="16"/>
          <w:szCs w:val="16"/>
          <w:color w:val="auto"/>
        </w:rPr>
      </w:pPr>
    </w:p>
    <w:p>
      <w:pPr>
        <w:ind w:left="1600" w:right="120" w:hanging="383"/>
        <w:spacing w:after="0" w:line="257"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refers to the interests in Medline Holdings that are designated as “Catch-Up Class B Units” and outstanding prior to the Reclassification. In connection with the Reclassification, (i) CUPI Units held by Continuing Common Unitholders will be converted into Common Units and (ii) CUPI Units held by Exchanging CUPI Unitholders will be directly or indirectly exchanged for shares of Class A common stock. For additional information, see “Management—Compensation Arrangements to be Adopted in Connection with this Offering—Treatment of Existing Equity Interests.”</w:t>
      </w:r>
    </w:p>
    <w:p>
      <w:pPr>
        <w:spacing w:after="0" w:line="80" w:lineRule="exact"/>
        <w:rPr>
          <w:rFonts w:ascii="Times New Roman" w:cs="Times New Roman" w:eastAsia="Times New Roman" w:hAnsi="Times New Roman"/>
          <w:sz w:val="16"/>
          <w:szCs w:val="16"/>
          <w:color w:val="auto"/>
        </w:rPr>
      </w:pPr>
    </w:p>
    <w:p>
      <w:pPr>
        <w:ind w:left="1600" w:right="22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“Designating Stockholder” refers to each of our Principal Stockholders with whom we intend to enter into separate director nomination agreements, as described in “Certain Relationships and Related Person Transactions—Director Nomination Agreements.”</w:t>
      </w:r>
    </w:p>
    <w:p>
      <w:pPr>
        <w:spacing w:after="0" w:line="60"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Class A Unitholder” refers to pre-IPO holders of Class A Units whose Class A Units will be directly or indirectly exchanged for shares of Class A common stock following the Reclassification, as described under “Organizational Structure.”</w:t>
      </w:r>
    </w:p>
    <w:p>
      <w:pPr>
        <w:spacing w:after="0" w:line="60" w:lineRule="exact"/>
        <w:rPr>
          <w:rFonts w:ascii="Times New Roman" w:cs="Times New Roman" w:eastAsia="Times New Roman" w:hAnsi="Times New Roman"/>
          <w:sz w:val="16"/>
          <w:szCs w:val="16"/>
          <w:color w:val="auto"/>
        </w:rPr>
      </w:pPr>
    </w:p>
    <w:p>
      <w:pPr>
        <w:jc w:val="both"/>
        <w:ind w:left="1600" w:right="40" w:hanging="383"/>
        <w:spacing w:after="0" w:line="265"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Class B Unitholder” refers to pre-IPO holders of Class B Units whose Class B Units will be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73" w:lineRule="exact"/>
        <w:rPr>
          <w:rFonts w:ascii="Times New Roman" w:cs="Times New Roman" w:eastAsia="Times New Roman" w:hAnsi="Times New Roman"/>
          <w:sz w:val="16"/>
          <w:szCs w:val="16"/>
          <w:color w:val="auto"/>
        </w:rPr>
      </w:pPr>
    </w:p>
    <w:p>
      <w:pPr>
        <w:ind w:left="1600" w:right="22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CUPI Unitholder” refers to pre-IPO holders of CUPI Units whose CUPI Units will be directly or indirectly exchanged for shares of Class A common stock following the Reclassification, as described under “Organizational Structure.”</w:t>
      </w:r>
    </w:p>
    <w:p>
      <w:pPr>
        <w:spacing w:after="0" w:line="60"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“Exchanging Unitholders” refers collectively to Exchanging Class A Unitholders, Exchanging CUPI Unitholders, and Exchanging Class B Unitholders.</w:t>
      </w:r>
    </w:p>
    <w:p>
      <w:pPr>
        <w:spacing w:after="0" w:line="60"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owners” or “pre-IPO owners” refer to our Principal Stockholders, our Other Pre-IPO Investors and management and other equity holders who are the owners of Medline Holdings immediately prior to the Reorganization Transactions.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“H&amp;F” refers to investment funds associated with Hellman &amp; Friedman LLC.</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“Hux” refers to Hux Investment Pte. Ltd.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“IDNs” refers to integrated delivery networks.</w:t>
      </w:r>
    </w:p>
    <w:p>
      <w:pPr>
        <w:spacing w:after="0" w:line="115" w:lineRule="exact"/>
        <w:rPr>
          <w:rFonts w:ascii="Times New Roman" w:cs="Times New Roman" w:eastAsia="Times New Roman" w:hAnsi="Times New Roman"/>
          <w:sz w:val="16"/>
          <w:szCs w:val="16"/>
          <w:color w:val="auto"/>
        </w:rPr>
      </w:pPr>
    </w:p>
    <w:p>
      <w:pPr>
        <w:ind w:left="1600" w:right="80" w:hanging="383"/>
        <w:spacing w:after="0" w:line="257"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80" w:lineRule="exact"/>
        <w:rPr>
          <w:rFonts w:ascii="Times New Roman" w:cs="Times New Roman" w:eastAsia="Times New Roman" w:hAnsi="Times New Roman"/>
          <w:sz w:val="16"/>
          <w:szCs w:val="16"/>
          <w:color w:val="auto"/>
        </w:rPr>
      </w:pPr>
    </w:p>
    <w:p>
      <w:pPr>
        <w:ind w:left="1600" w:right="440" w:hanging="383"/>
        <w:spacing w:after="0" w:line="281" w:lineRule="auto"/>
        <w:tabs>
          <w:tab w:leader="none" w:pos="16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the “Company,” “we,” “us,” and “our” refer (1) prior to the consummation of the Offering Transactions described under “Organizational Structure—Offering Transactions,” to Medline</w:t>
      </w:r>
    </w:p>
    <w:p>
      <w:pPr>
        <w:spacing w:after="0" w:line="8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0460"/>
          </w:cols>
          <w:pgMar w:left="320" w:top="420" w:right="11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spacing w:after="0" w:line="281" w:lineRule="auto"/>
        <w:rPr>
          <w:sz w:val="20"/>
          <w:szCs w:val="20"/>
          <w:color w:val="auto"/>
        </w:rPr>
      </w:pPr>
      <w:r>
        <w:rPr>
          <w:rFonts w:ascii="Times New Roman" w:cs="Times New Roman" w:eastAsia="Times New Roman" w:hAnsi="Times New Roman"/>
          <w:sz w:val="16"/>
          <w:szCs w:val="16"/>
          <w:color w:val="auto"/>
        </w:rPr>
        <w:t>Holdings, LP and its consolidated subsidiaries and (2) after the Offering Transactions described under “Organizational Structure—Offering Transactions,” to Medline Inc. and its consolidated subsidiaries.</w:t>
      </w:r>
    </w:p>
    <w:p>
      <w:pPr>
        <w:spacing w:after="0" w:line="60" w:lineRule="exact"/>
        <w:rPr>
          <w:sz w:val="20"/>
          <w:szCs w:val="20"/>
          <w:color w:val="auto"/>
        </w:rPr>
      </w:pPr>
    </w:p>
    <w:p>
      <w:pPr>
        <w:ind w:left="1600" w:right="440" w:hanging="383"/>
        <w:spacing w:after="0" w:line="265"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73" w:lineRule="exact"/>
        <w:rPr>
          <w:rFonts w:ascii="Times New Roman" w:cs="Times New Roman" w:eastAsia="Times New Roman" w:hAnsi="Times New Roman"/>
          <w:sz w:val="16"/>
          <w:szCs w:val="16"/>
          <w:color w:val="auto"/>
        </w:rPr>
      </w:pPr>
    </w:p>
    <w:p>
      <w:pPr>
        <w:ind w:left="1600" w:right="44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“Mills Family” refers to the holders of equity interests of Medline Holdings immediately prior to this offering that are affiliated with members of the Mills family.</w:t>
      </w:r>
    </w:p>
    <w:p>
      <w:pPr>
        <w:spacing w:after="0" w:line="60" w:lineRule="exact"/>
        <w:rPr>
          <w:rFonts w:ascii="Times New Roman" w:cs="Times New Roman" w:eastAsia="Times New Roman" w:hAnsi="Times New Roman"/>
          <w:sz w:val="16"/>
          <w:szCs w:val="16"/>
          <w:color w:val="auto"/>
        </w:rPr>
      </w:pPr>
    </w:p>
    <w:p>
      <w:pPr>
        <w:ind w:left="1600" w:right="94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“Offering Transactions” refers to the offering of Class A common stock hereby and certain related transactions, as defined in “Organizational Structure—Offering Transactions.”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Pre-IPO Investors” refers collectively to Hux and Platinum Falcon.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“Platinum Falcon” refers to Platinum Falcon B 2018 RSC Limited.</w:t>
      </w:r>
    </w:p>
    <w:p>
      <w:pPr>
        <w:spacing w:after="0" w:line="115" w:lineRule="exact"/>
        <w:rPr>
          <w:rFonts w:ascii="Times New Roman" w:cs="Times New Roman" w:eastAsia="Times New Roman" w:hAnsi="Times New Roman"/>
          <w:sz w:val="16"/>
          <w:szCs w:val="16"/>
          <w:color w:val="auto"/>
        </w:rPr>
      </w:pPr>
    </w:p>
    <w:p>
      <w:pPr>
        <w:ind w:left="1600" w:right="4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“Pre-IPO Stockholders” refers to certain of our pre-IPO owners that will receive shares of Class A common stock of Medline Inc. pursuant to the Blocker Transfers as defined and described in “Organizational Structure—Blocker Transfers.”</w:t>
      </w:r>
    </w:p>
    <w:p>
      <w:pPr>
        <w:spacing w:after="0" w:line="60"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“Prime Vendor” refers to a relationship for which there is a multi-year distribution agreement between Medline and a customer, whereby the customer agrees to use Medline for the vast majority of its med-surg product needs.</w:t>
      </w:r>
    </w:p>
    <w:p>
      <w:pPr>
        <w:spacing w:after="0" w:line="48" w:lineRule="exact"/>
        <w:rPr>
          <w:rFonts w:ascii="Times New Roman" w:cs="Times New Roman" w:eastAsia="Times New Roman" w:hAnsi="Times New Roman"/>
          <w:sz w:val="16"/>
          <w:szCs w:val="16"/>
          <w:color w:val="auto"/>
        </w:rPr>
      </w:pPr>
    </w:p>
    <w:p>
      <w:pPr>
        <w:jc w:val="both"/>
        <w:ind w:left="1620" w:right="180"/>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61" w:lineRule="exact"/>
        <w:rPr>
          <w:rFonts w:ascii="Times New Roman" w:cs="Times New Roman" w:eastAsia="Times New Roman" w:hAnsi="Times New Roman"/>
          <w:sz w:val="16"/>
          <w:szCs w:val="16"/>
          <w:color w:val="auto"/>
        </w:rPr>
      </w:pPr>
    </w:p>
    <w:p>
      <w:pPr>
        <w:ind w:left="1620" w:right="160"/>
        <w:spacing w:after="0" w:line="31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36" w:lineRule="exact"/>
        <w:rPr>
          <w:rFonts w:ascii="Times New Roman" w:cs="Times New Roman" w:eastAsia="Times New Roman" w:hAnsi="Times New Roman"/>
          <w:sz w:val="16"/>
          <w:szCs w:val="16"/>
          <w:color w:val="auto"/>
        </w:rPr>
      </w:pPr>
    </w:p>
    <w:p>
      <w:pPr>
        <w:ind w:left="1600" w:hanging="383"/>
        <w:spacing w:after="0" w:line="257"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8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Stockholders” refers collectively to Blackstone, Carlyle, H&amp;F, and the Mills Family.</w:t>
      </w:r>
    </w:p>
    <w:p>
      <w:pPr>
        <w:spacing w:after="0" w:line="115" w:lineRule="exact"/>
        <w:rPr>
          <w:rFonts w:ascii="Times New Roman" w:cs="Times New Roman" w:eastAsia="Times New Roman" w:hAnsi="Times New Roman"/>
          <w:sz w:val="16"/>
          <w:szCs w:val="16"/>
          <w:color w:val="auto"/>
        </w:rPr>
      </w:pPr>
    </w:p>
    <w:p>
      <w:pPr>
        <w:ind w:left="1600" w:right="280" w:hanging="383"/>
        <w:spacing w:after="0" w:line="265"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73" w:lineRule="exact"/>
        <w:rPr>
          <w:rFonts w:ascii="Times New Roman" w:cs="Times New Roman" w:eastAsia="Times New Roman" w:hAnsi="Times New Roman"/>
          <w:sz w:val="16"/>
          <w:szCs w:val="16"/>
          <w:color w:val="auto"/>
        </w:rPr>
      </w:pPr>
    </w:p>
    <w:p>
      <w:pPr>
        <w:ind w:left="1600" w:right="4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“Reorganization Transactions” refers to the transactions described under “Organizational Structure—Reclassification and Amendment and Restatement of the Limited Partnership Agreement of Medline Holdings.”</w:t>
      </w:r>
    </w:p>
    <w:p>
      <w:pPr>
        <w:spacing w:after="0" w:line="60"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Acquisition” refers to the acquisition on October 21, 2021 by our Sponsors of a majority interest in Medline Holdings and certain transactions related thereto.</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“Sponsors” refers collectively to Blackstone, Carlyle, and H&amp;F.</w:t>
      </w:r>
    </w:p>
    <w:p>
      <w:pPr>
        <w:spacing w:after="0" w:line="115" w:lineRule="exact"/>
        <w:rPr>
          <w:rFonts w:ascii="Times New Roman" w:cs="Times New Roman" w:eastAsia="Times New Roman" w:hAnsi="Times New Roman"/>
          <w:sz w:val="16"/>
          <w:szCs w:val="16"/>
          <w:color w:val="auto"/>
        </w:rPr>
      </w:pPr>
    </w:p>
    <w:p>
      <w:pPr>
        <w:ind w:left="1600" w:right="240" w:hanging="383"/>
        <w:spacing w:after="0" w:line="265" w:lineRule="auto"/>
        <w:tabs>
          <w:tab w:leader="none" w:pos="16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w:t>
      </w:r>
    </w:p>
    <w:p>
      <w:pPr>
        <w:spacing w:after="0" w:line="9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color w:val="auto"/>
        </w:rPr>
        <w:t>iv</w:t>
      </w:r>
    </w:p>
    <w:p>
      <w:pPr>
        <w:sectPr>
          <w:pgSz w:w="11900" w:h="16838" w:orient="portrait"/>
          <w:cols w:equalWidth="0" w:num="1">
            <w:col w:w="10500"/>
          </w:cols>
          <w:pgMar w:left="320" w:top="420" w:right="10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right="460"/>
        <w:spacing w:after="0" w:line="281" w:lineRule="auto"/>
        <w:rPr>
          <w:sz w:val="20"/>
          <w:szCs w:val="20"/>
          <w:color w:val="auto"/>
        </w:rPr>
      </w:pPr>
      <w:r>
        <w:rPr>
          <w:rFonts w:ascii="Times New Roman" w:cs="Times New Roman" w:eastAsia="Times New Roman" w:hAnsi="Times New Roman"/>
          <w:sz w:val="16"/>
          <w:szCs w:val="16"/>
          <w:color w:val="auto"/>
        </w:rPr>
        <w:t>packaging, third-party logistics, inventory rationalization and route planning. Supply Chain Solutions is one of our two reportable segments.</w:t>
      </w:r>
    </w:p>
    <w:p>
      <w:pPr>
        <w:spacing w:after="0" w:line="60" w:lineRule="exact"/>
        <w:rPr>
          <w:sz w:val="20"/>
          <w:szCs w:val="20"/>
          <w:color w:val="auto"/>
        </w:rPr>
      </w:pPr>
    </w:p>
    <w:p>
      <w:pPr>
        <w:ind w:left="1600" w:right="400" w:hanging="383"/>
        <w:spacing w:after="0" w:line="281" w:lineRule="auto"/>
        <w:tabs>
          <w:tab w:leader="none" w:pos="1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212725</wp:posOffset>
            </wp:positionV>
            <wp:extent cx="130810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Unless indicated otherwise, the information included in this prospectus assumes no exercise by the underwriters of their option to purchase up to an additional 32,405,172 shares of Class A common stock from Medline Inc.</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ectPr>
          <w:pgSz w:w="11900" w:h="16838" w:orient="portrait"/>
          <w:cols w:equalWidth="0" w:num="1">
            <w:col w:w="10360"/>
          </w:cols>
          <w:pgMar w:left="320" w:top="420" w:right="12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198755</wp:posOffset>
            </wp:positionV>
            <wp:extent cx="4623435" cy="580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23435" cy="580199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1259840</wp:posOffset>
            </wp:positionH>
            <wp:positionV relativeFrom="paragraph">
              <wp:posOffset>198755</wp:posOffset>
            </wp:positionV>
            <wp:extent cx="4623435" cy="5817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23435" cy="5817235"/>
                    </a:xfrm>
                    <a:prstGeom prst="rect">
                      <a:avLst/>
                    </a:prstGeom>
                    <a:noFill/>
                  </pic:spPr>
                </pic:pic>
              </a:graphicData>
            </a:graphic>
          </wp:anchor>
        </w:drawing>
      </w:r>
    </w:p>
    <w:p>
      <w:pPr>
        <w:sectPr>
          <w:pgSz w:w="11900" w:h="16838" w:orient="portrait"/>
          <w:cols w:equalWidth="0" w:num="1">
            <w:col w:w="10139"/>
          </w:cols>
          <w:pgMar w:left="320" w:top="42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39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10300" cy="56394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SUMMARY</w:t>
      </w:r>
    </w:p>
    <w:p>
      <w:pPr>
        <w:spacing w:after="0" w:line="199" w:lineRule="exact"/>
        <w:rPr>
          <w:sz w:val="20"/>
          <w:szCs w:val="20"/>
          <w:color w:val="auto"/>
        </w:rPr>
      </w:pPr>
    </w:p>
    <w:p>
      <w:pPr>
        <w:ind w:left="900" w:right="40" w:firstLine="378"/>
        <w:spacing w:after="0" w:line="284" w:lineRule="auto"/>
        <w:rPr>
          <w:sz w:val="20"/>
          <w:szCs w:val="20"/>
          <w:color w:val="auto"/>
        </w:rPr>
      </w:pPr>
      <w:r>
        <w:rPr>
          <w:rFonts w:ascii="Times New Roman" w:cs="Times New Roman" w:eastAsia="Times New Roman" w:hAnsi="Times New Roman"/>
          <w:sz w:val="15"/>
          <w:szCs w:val="15"/>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Our mission is to make healthcare run better by delivering improved clinical, financial, and operational outcomes.</w:t>
      </w:r>
    </w:p>
    <w:p>
      <w:pPr>
        <w:spacing w:after="0" w:line="293"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5" w:lineRule="exact"/>
        <w:rPr>
          <w:sz w:val="20"/>
          <w:szCs w:val="20"/>
          <w:color w:val="auto"/>
        </w:rPr>
      </w:pPr>
    </w:p>
    <w:p>
      <w:pPr>
        <w:ind w:left="900" w:firstLine="378"/>
        <w:spacing w:after="0" w:line="253" w:lineRule="auto"/>
        <w:rPr>
          <w:sz w:val="20"/>
          <w:szCs w:val="20"/>
          <w:color w:val="auto"/>
        </w:rPr>
      </w:pPr>
      <w:r>
        <w:rPr>
          <w:rFonts w:ascii="Times New Roman" w:cs="Times New Roman" w:eastAsia="Times New Roman" w:hAnsi="Times New Roman"/>
          <w:sz w:val="16"/>
          <w:szCs w:val="16"/>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2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300"/>
          </w:cols>
          <w:pgMar w:left="320" w:top="420" w:right="12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5943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0300" cy="55943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20" w:firstLine="378"/>
        <w:spacing w:after="0" w:line="253" w:lineRule="auto"/>
        <w:rPr>
          <w:sz w:val="20"/>
          <w:szCs w:val="20"/>
          <w:color w:val="auto"/>
        </w:rPr>
      </w:pPr>
      <w:r>
        <w:rPr>
          <w:rFonts w:ascii="Times New Roman" w:cs="Times New Roman" w:eastAsia="Times New Roman" w:hAnsi="Times New Roman"/>
          <w:sz w:val="16"/>
          <w:szCs w:val="16"/>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70" w:lineRule="exact"/>
        <w:rPr>
          <w:sz w:val="20"/>
          <w:szCs w:val="20"/>
          <w:color w:val="auto"/>
        </w:rPr>
      </w:pPr>
    </w:p>
    <w:p>
      <w:pPr>
        <w:ind w:left="900" w:right="20" w:firstLine="378"/>
        <w:spacing w:after="0" w:line="256" w:lineRule="auto"/>
        <w:rPr>
          <w:sz w:val="20"/>
          <w:szCs w:val="20"/>
          <w:color w:val="auto"/>
        </w:rPr>
      </w:pPr>
      <w:r>
        <w:rPr>
          <w:rFonts w:ascii="Times New Roman" w:cs="Times New Roman" w:eastAsia="Times New Roman" w:hAnsi="Times New Roman"/>
          <w:sz w:val="16"/>
          <w:szCs w:val="16"/>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164" w:lineRule="exact"/>
        <w:rPr>
          <w:sz w:val="20"/>
          <w:szCs w:val="20"/>
          <w:color w:val="auto"/>
        </w:rPr>
      </w:pPr>
    </w:p>
    <w:p>
      <w:pPr>
        <w:ind w:left="900" w:firstLine="378"/>
        <w:spacing w:after="0" w:line="273" w:lineRule="auto"/>
        <w:rPr>
          <w:sz w:val="20"/>
          <w:szCs w:val="20"/>
          <w:color w:val="auto"/>
        </w:rPr>
      </w:pPr>
      <w:r>
        <w:rPr>
          <w:rFonts w:ascii="Times New Roman" w:cs="Times New Roman" w:eastAsia="Times New Roman" w:hAnsi="Times New Roman"/>
          <w:sz w:val="15"/>
          <w:szCs w:val="15"/>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40"/>
          </w:cols>
          <w:pgMar w:left="320" w:top="420" w:right="1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711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10300" cy="47117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20" w:firstLine="378"/>
        <w:spacing w:after="0" w:line="256" w:lineRule="auto"/>
        <w:rPr>
          <w:sz w:val="20"/>
          <w:szCs w:val="20"/>
          <w:color w:val="auto"/>
        </w:rPr>
      </w:pPr>
      <w:r>
        <w:rPr>
          <w:rFonts w:ascii="Times New Roman" w:cs="Times New Roman" w:eastAsia="Times New Roman" w:hAnsi="Times New Roman"/>
          <w:sz w:val="16"/>
          <w:szCs w:val="16"/>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64" w:lineRule="exact"/>
        <w:rPr>
          <w:sz w:val="20"/>
          <w:szCs w:val="20"/>
          <w:color w:val="auto"/>
        </w:rPr>
      </w:pPr>
    </w:p>
    <w:p>
      <w:pPr>
        <w:ind w:left="900" w:right="20" w:firstLine="378"/>
        <w:spacing w:after="0" w:line="256" w:lineRule="auto"/>
        <w:rPr>
          <w:sz w:val="20"/>
          <w:szCs w:val="20"/>
          <w:color w:val="auto"/>
        </w:rPr>
      </w:pPr>
      <w:r>
        <w:rPr>
          <w:rFonts w:ascii="Times New Roman" w:cs="Times New Roman" w:eastAsia="Times New Roman" w:hAnsi="Times New Roman"/>
          <w:sz w:val="16"/>
          <w:szCs w:val="16"/>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64" w:lineRule="exact"/>
        <w:rPr>
          <w:sz w:val="20"/>
          <w:szCs w:val="20"/>
          <w:color w:val="auto"/>
        </w:rPr>
      </w:pPr>
    </w:p>
    <w:p>
      <w:pPr>
        <w:ind w:left="900" w:right="60" w:firstLine="378"/>
        <w:spacing w:after="0" w:line="257" w:lineRule="auto"/>
        <w:rPr>
          <w:sz w:val="20"/>
          <w:szCs w:val="20"/>
          <w:color w:val="auto"/>
        </w:rPr>
      </w:pPr>
      <w:r>
        <w:rPr>
          <w:rFonts w:ascii="Times New Roman" w:cs="Times New Roman" w:eastAsia="Times New Roman" w:hAnsi="Times New Roman"/>
          <w:sz w:val="16"/>
          <w:szCs w:val="16"/>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65" w:lineRule="exact"/>
        <w:rPr>
          <w:sz w:val="20"/>
          <w:szCs w:val="20"/>
          <w:color w:val="auto"/>
        </w:rPr>
      </w:pPr>
    </w:p>
    <w:p>
      <w:pPr>
        <w:ind w:left="900" w:firstLine="378"/>
        <w:spacing w:after="0" w:line="253" w:lineRule="auto"/>
        <w:rPr>
          <w:sz w:val="20"/>
          <w:szCs w:val="20"/>
          <w:color w:val="auto"/>
        </w:rPr>
      </w:pPr>
      <w:r>
        <w:rPr>
          <w:rFonts w:ascii="Times New Roman" w:cs="Times New Roman" w:eastAsia="Times New Roman" w:hAnsi="Times New Roman"/>
          <w:sz w:val="16"/>
          <w:szCs w:val="16"/>
          <w:color w:val="auto"/>
        </w:rPr>
        <w:t>For the nine months ended September 27, 2025, we generated net sales of $20.6 billion, net income of $1.0 billion, and Adjusted EBITDA of $2.7 billion, representing a net income margin of 4.7% and an Adjusted EBITDA Margin of 12.9%. During that period, 48.4% of total net sales and 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35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Who We Are</w:t>
      </w:r>
    </w:p>
    <w:p>
      <w:pPr>
        <w:spacing w:after="0" w:line="201" w:lineRule="exact"/>
        <w:rPr>
          <w:sz w:val="20"/>
          <w:szCs w:val="20"/>
          <w:color w:val="auto"/>
        </w:rPr>
      </w:pPr>
    </w:p>
    <w:p>
      <w:pPr>
        <w:ind w:left="900" w:right="20" w:firstLine="378"/>
        <w:spacing w:after="0" w:line="316" w:lineRule="auto"/>
        <w:rPr>
          <w:sz w:val="20"/>
          <w:szCs w:val="20"/>
          <w:color w:val="auto"/>
        </w:rPr>
      </w:pPr>
      <w:r>
        <w:rPr>
          <w:rFonts w:ascii="Times New Roman" w:cs="Times New Roman" w:eastAsia="Times New Roman" w:hAnsi="Times New Roman"/>
          <w:sz w:val="15"/>
          <w:szCs w:val="15"/>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2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40"/>
          </w:cols>
          <w:pgMar w:left="320" w:top="420" w:right="1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6019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10300" cy="601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900" w:right="60" w:firstLine="378"/>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Medline Brand</w:t>
      </w:r>
      <w:r>
        <w:rPr>
          <w:rFonts w:ascii="Times New Roman" w:cs="Times New Roman" w:eastAsia="Times New Roman" w:hAnsi="Times New Roman"/>
          <w:sz w:val="16"/>
          <w:szCs w:val="16"/>
          <w:color w:val="auto"/>
        </w:rPr>
        <w:t>. We offer our customers approximately 190,000 med-surg products through our Medline Brand segment. We have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00" w:firstLine="378"/>
        <w:spacing w:after="0" w:line="253" w:lineRule="auto"/>
        <w:rPr>
          <w:sz w:val="20"/>
          <w:szCs w:val="20"/>
          <w:color w:val="auto"/>
        </w:rPr>
      </w:pPr>
      <w:r>
        <w:rPr>
          <w:rFonts w:ascii="Times New Roman" w:cs="Times New Roman" w:eastAsia="Times New Roman" w:hAnsi="Times New Roman"/>
          <w:sz w:val="16"/>
          <w:szCs w:val="16"/>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26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40"/>
          </w:cols>
          <w:pgMar w:left="320" w:top="420" w:right="1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563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10300" cy="55638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120" w:firstLine="378"/>
        <w:spacing w:after="0" w:line="260" w:lineRule="auto"/>
        <w:rPr>
          <w:sz w:val="20"/>
          <w:szCs w:val="20"/>
          <w:color w:val="auto"/>
        </w:rPr>
      </w:pPr>
      <w:r>
        <w:rPr>
          <w:rFonts w:ascii="Times New Roman" w:cs="Times New Roman" w:eastAsia="Times New Roman" w:hAnsi="Times New Roman"/>
          <w:sz w:val="16"/>
          <w:szCs w:val="16"/>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to our customer base.</w:t>
      </w:r>
    </w:p>
    <w:p>
      <w:pPr>
        <w:spacing w:after="0" w:line="161" w:lineRule="exact"/>
        <w:rPr>
          <w:sz w:val="20"/>
          <w:szCs w:val="20"/>
          <w:color w:val="auto"/>
        </w:rPr>
      </w:pPr>
    </w:p>
    <w:p>
      <w:pPr>
        <w:ind w:left="900" w:right="20" w:firstLine="378"/>
        <w:spacing w:after="0" w:line="260" w:lineRule="auto"/>
        <w:rPr>
          <w:sz w:val="20"/>
          <w:szCs w:val="20"/>
          <w:color w:val="auto"/>
        </w:rPr>
      </w:pPr>
      <w:r>
        <w:rPr>
          <w:rFonts w:ascii="Times New Roman" w:cs="Times New Roman" w:eastAsia="Times New Roman" w:hAnsi="Times New Roman"/>
          <w:sz w:val="16"/>
          <w:szCs w:val="16"/>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61" w:lineRule="exact"/>
        <w:rPr>
          <w:sz w:val="20"/>
          <w:szCs w:val="20"/>
          <w:color w:val="auto"/>
        </w:rPr>
      </w:pPr>
    </w:p>
    <w:p>
      <w:pPr>
        <w:ind w:left="900" w:right="140" w:firstLine="378"/>
        <w:spacing w:after="0" w:line="257" w:lineRule="auto"/>
        <w:rPr>
          <w:sz w:val="20"/>
          <w:szCs w:val="20"/>
          <w:color w:val="auto"/>
        </w:rPr>
      </w:pPr>
      <w:r>
        <w:rPr>
          <w:rFonts w:ascii="Times New Roman" w:cs="Times New Roman" w:eastAsia="Times New Roman" w:hAnsi="Times New Roman"/>
          <w:sz w:val="16"/>
          <w:szCs w:val="16"/>
          <w:color w:val="auto"/>
        </w:rPr>
        <w:t>Our combination of value, quality, and service has allowed our Medline Brand products to hold the leading position across many of our key product families. Medline Brand products are used by the 100 largest health systems and hospitals across the country, as identified by Becker’s Hospital Review as of December 31, 2024, measured by number of hospitals and beds, respectively. Furthermore, we generated $1.2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61" w:lineRule="exact"/>
        <w:rPr>
          <w:sz w:val="20"/>
          <w:szCs w:val="20"/>
          <w:color w:val="auto"/>
        </w:rPr>
      </w:pPr>
    </w:p>
    <w:p>
      <w:pPr>
        <w:ind w:left="900" w:firstLine="378"/>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Supply Chain Solutions. </w:t>
      </w:r>
      <w:r>
        <w:rPr>
          <w:rFonts w:ascii="Times New Roman" w:cs="Times New Roman" w:eastAsia="Times New Roman" w:hAnsi="Times New Roman"/>
          <w:sz w:val="16"/>
          <w:szCs w:val="16"/>
          <w:color w:val="auto"/>
        </w:rPr>
        <w:t>We offer approximately 145,000 med-surg products from over 1,250 third-party suppliers, including nearly 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leading 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63" w:lineRule="exact"/>
        <w:rPr>
          <w:sz w:val="20"/>
          <w:szCs w:val="20"/>
          <w:color w:val="auto"/>
        </w:rPr>
      </w:pPr>
    </w:p>
    <w:p>
      <w:pPr>
        <w:ind w:left="900" w:right="100" w:firstLine="378"/>
        <w:spacing w:after="0" w:line="260" w:lineRule="auto"/>
        <w:rPr>
          <w:sz w:val="20"/>
          <w:szCs w:val="20"/>
          <w:color w:val="auto"/>
        </w:rPr>
      </w:pPr>
      <w:r>
        <w:rPr>
          <w:rFonts w:ascii="Times New Roman" w:cs="Times New Roman" w:eastAsia="Times New Roman" w:hAnsi="Times New Roman"/>
          <w:sz w:val="16"/>
          <w:szCs w:val="16"/>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57" w:lineRule="exact"/>
        <w:rPr>
          <w:sz w:val="20"/>
          <w:szCs w:val="20"/>
          <w:color w:val="auto"/>
        </w:rPr>
      </w:pPr>
    </w:p>
    <w:p>
      <w:pPr>
        <w:ind w:left="900" w:right="40" w:firstLine="37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Prime Vendor Model. </w:t>
      </w:r>
      <w:r>
        <w:rPr>
          <w:rFonts w:ascii="Times New Roman" w:cs="Times New Roman" w:eastAsia="Times New Roman" w:hAnsi="Times New Roman"/>
          <w:sz w:val="16"/>
          <w:szCs w:val="16"/>
          <w:color w:val="auto"/>
        </w:rPr>
        <w:t>In our Prime Vendor relationships, we enter into long-term agreements, typically structured with five-year terms,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63" w:lineRule="exact"/>
        <w:rPr>
          <w:sz w:val="20"/>
          <w:szCs w:val="20"/>
          <w:color w:val="auto"/>
        </w:rPr>
      </w:pPr>
    </w:p>
    <w:p>
      <w:pPr>
        <w:ind w:left="900" w:firstLine="378"/>
        <w:spacing w:after="0" w:line="254" w:lineRule="auto"/>
        <w:rPr>
          <w:sz w:val="20"/>
          <w:szCs w:val="20"/>
          <w:color w:val="auto"/>
        </w:rPr>
      </w:pPr>
      <w:r>
        <w:rPr>
          <w:rFonts w:ascii="Times New Roman" w:cs="Times New Roman" w:eastAsia="Times New Roman" w:hAnsi="Times New Roman"/>
          <w:sz w:val="16"/>
          <w:szCs w:val="16"/>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w:t>
      </w: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40"/>
          </w:cols>
          <w:pgMar w:left="320" w:top="420" w:right="1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85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10300" cy="56851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60"/>
        <w:spacing w:after="0" w:line="265" w:lineRule="auto"/>
        <w:rPr>
          <w:sz w:val="20"/>
          <w:szCs w:val="20"/>
          <w:color w:val="auto"/>
        </w:rPr>
      </w:pPr>
      <w:r>
        <w:rPr>
          <w:rFonts w:ascii="Times New Roman" w:cs="Times New Roman" w:eastAsia="Times New Roman" w:hAnsi="Times New Roman"/>
          <w:sz w:val="16"/>
          <w:szCs w:val="16"/>
          <w:color w:val="auto"/>
        </w:rPr>
        <w:t>products at a more cost-effective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57" w:lineRule="exact"/>
        <w:rPr>
          <w:sz w:val="20"/>
          <w:szCs w:val="20"/>
          <w:color w:val="auto"/>
        </w:rPr>
      </w:pPr>
    </w:p>
    <w:p>
      <w:pPr>
        <w:ind w:left="900" w:firstLine="378"/>
        <w:spacing w:after="0" w:line="251" w:lineRule="auto"/>
        <w:rPr>
          <w:sz w:val="20"/>
          <w:szCs w:val="20"/>
          <w:color w:val="auto"/>
        </w:rPr>
      </w:pPr>
      <w:r>
        <w:rPr>
          <w:rFonts w:ascii="Times New Roman" w:cs="Times New Roman" w:eastAsia="Times New Roman" w:hAnsi="Times New Roman"/>
          <w:sz w:val="16"/>
          <w:szCs w:val="16"/>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 Risks Related to Our Business, Industry and Operations—Our failure to establish and maintain Prime Vendor relationships may cause our revenue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2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280"/>
          </w:cols>
          <w:pgMar w:left="320" w:top="420"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761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10300" cy="57613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0" w:right="40" w:firstLine="378"/>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Distribution Network. </w:t>
      </w:r>
      <w:r>
        <w:rPr>
          <w:rFonts w:ascii="Times New Roman" w:cs="Times New Roman" w:eastAsia="Times New Roman" w:hAnsi="Times New Roman"/>
          <w:sz w:val="16"/>
          <w:szCs w:val="16"/>
          <w:color w:val="auto"/>
        </w:rPr>
        <w:t>We have a differentiated network of 69 global distribution centers, 45 of which are in the United States.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 December 31, 2024, we had approximately 25%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00" w:firstLine="37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Commercial Platform. </w:t>
      </w:r>
      <w:r>
        <w:rPr>
          <w:rFonts w:ascii="Times New Roman" w:cs="Times New Roman" w:eastAsia="Times New Roman" w:hAnsi="Times New Roman"/>
          <w:sz w:val="16"/>
          <w:szCs w:val="16"/>
          <w:color w:val="auto"/>
        </w:rPr>
        <w:t>Our deep connectivity to our customers is driven by the strength of our dedicated and tenured commercial team.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40"/>
          </w:cols>
          <w:pgMar w:left="320" w:top="420" w:right="1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989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10300" cy="59893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105" w:lineRule="exact"/>
        <w:rPr>
          <w:sz w:val="20"/>
          <w:szCs w:val="20"/>
          <w:color w:val="auto"/>
        </w:rPr>
      </w:pPr>
    </w:p>
    <w:p>
      <w:pPr>
        <w:ind w:left="900" w:right="120" w:firstLine="378"/>
        <w:spacing w:after="0" w:line="260" w:lineRule="auto"/>
        <w:rPr>
          <w:sz w:val="20"/>
          <w:szCs w:val="20"/>
          <w:color w:val="auto"/>
        </w:rPr>
      </w:pPr>
      <w:r>
        <w:rPr>
          <w:rFonts w:ascii="Times New Roman" w:cs="Times New Roman" w:eastAsia="Times New Roman" w:hAnsi="Times New Roman"/>
          <w:sz w:val="16"/>
          <w:szCs w:val="16"/>
          <w:color w:val="auto"/>
        </w:rPr>
        <w:t>We estimate our total addressable market (“TAM”) to be approximately $375 billion globally. Of this amount, we estimate that the United States represents an approximately $175 billion opportunity, diversified across acute care and non-acute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61" w:lineRule="exact"/>
        <w:rPr>
          <w:sz w:val="20"/>
          <w:szCs w:val="20"/>
          <w:color w:val="auto"/>
        </w:rPr>
      </w:pPr>
    </w:p>
    <w:p>
      <w:pPr>
        <w:ind w:left="900" w:firstLine="378"/>
        <w:spacing w:after="0" w:line="256" w:lineRule="auto"/>
        <w:rPr>
          <w:sz w:val="20"/>
          <w:szCs w:val="20"/>
          <w:color w:val="auto"/>
        </w:rPr>
      </w:pPr>
      <w:r>
        <w:rPr>
          <w:rFonts w:ascii="Times New Roman" w:cs="Times New Roman" w:eastAsia="Times New Roman" w:hAnsi="Times New Roman"/>
          <w:sz w:val="16"/>
          <w:szCs w:val="16"/>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the Centers for Medicare &amp; Medicaid Services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64" w:lineRule="exact"/>
        <w:rPr>
          <w:sz w:val="20"/>
          <w:szCs w:val="20"/>
          <w:color w:val="auto"/>
        </w:rPr>
      </w:pPr>
    </w:p>
    <w:p>
      <w:pPr>
        <w:ind w:left="900" w:right="100" w:firstLine="378"/>
        <w:spacing w:after="0" w:line="281" w:lineRule="auto"/>
        <w:rPr>
          <w:sz w:val="20"/>
          <w:szCs w:val="20"/>
          <w:color w:val="auto"/>
        </w:rPr>
      </w:pPr>
      <w:r>
        <w:rPr>
          <w:rFonts w:ascii="Times New Roman" w:cs="Times New Roman" w:eastAsia="Times New Roman" w:hAnsi="Times New Roman"/>
          <w:sz w:val="16"/>
          <w:szCs w:val="16"/>
          <w:color w:val="auto"/>
        </w:rPr>
        <w:t>International markets also represent an attractive opportunity, as net sales outside of the United States represented only 6.9% of our total net sales for the year ended December 31, 2024.</w:t>
      </w:r>
    </w:p>
    <w:p>
      <w:pPr>
        <w:spacing w:after="0" w:line="14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Our market opportunity is enhanced by the following dynamics:</w:t>
      </w:r>
    </w:p>
    <w:p>
      <w:pPr>
        <w:spacing w:after="0" w:line="113" w:lineRule="exact"/>
        <w:rPr>
          <w:sz w:val="20"/>
          <w:szCs w:val="20"/>
          <w:color w:val="auto"/>
        </w:rPr>
      </w:pPr>
    </w:p>
    <w:p>
      <w:pPr>
        <w:ind w:left="1720" w:right="580" w:hanging="353"/>
        <w:spacing w:after="0" w:line="284"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Margin Pressure Across End Markets: </w:t>
      </w:r>
      <w:r>
        <w:rPr>
          <w:rFonts w:ascii="Times New Roman" w:cs="Times New Roman" w:eastAsia="Times New Roman" w:hAnsi="Times New Roman"/>
          <w:sz w:val="16"/>
          <w:szCs w:val="16"/>
          <w:color w:val="auto"/>
        </w:rPr>
        <w:t>Hospitals generally operate at a low margin; given these dynamics, health systems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providers are heavily focused on mitigating costs and increasing the quality of care.</w:t>
      </w:r>
    </w:p>
    <w:p>
      <w:pPr>
        <w:spacing w:after="0" w:line="55" w:lineRule="exact"/>
        <w:rPr>
          <w:rFonts w:ascii="Times New Roman" w:cs="Times New Roman" w:eastAsia="Times New Roman" w:hAnsi="Times New Roman"/>
          <w:sz w:val="16"/>
          <w:szCs w:val="16"/>
          <w:color w:val="auto"/>
        </w:rPr>
      </w:pPr>
    </w:p>
    <w:p>
      <w:pPr>
        <w:ind w:left="1720" w:right="380" w:hanging="353"/>
        <w:spacing w:after="0" w:line="284"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Shift in Volumes Outside of the Hospital: </w:t>
      </w:r>
      <w:r>
        <w:rPr>
          <w:rFonts w:ascii="Times New Roman" w:cs="Times New Roman" w:eastAsia="Times New Roman" w:hAnsi="Times New Roman"/>
          <w:sz w:val="16"/>
          <w:szCs w:val="16"/>
          <w:color w:val="auto"/>
        </w:rPr>
        <w:t>As overall healthcare utilization increases, higher acuity procedures continue to shift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lower-cost sites of care, such as surgery centers and physician offices.</w:t>
      </w:r>
    </w:p>
    <w:p>
      <w:pPr>
        <w:spacing w:after="0" w:line="55" w:lineRule="exact"/>
        <w:rPr>
          <w:rFonts w:ascii="Times New Roman" w:cs="Times New Roman" w:eastAsia="Times New Roman" w:hAnsi="Times New Roman"/>
          <w:sz w:val="16"/>
          <w:szCs w:val="16"/>
          <w:color w:val="auto"/>
        </w:rPr>
      </w:pPr>
    </w:p>
    <w:p>
      <w:pPr>
        <w:ind w:left="1720" w:right="260" w:hanging="353"/>
        <w:spacing w:after="0" w:line="284"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Healthcare Consolidation: </w:t>
      </w:r>
      <w:r>
        <w:rPr>
          <w:rFonts w:ascii="Times New Roman" w:cs="Times New Roman" w:eastAsia="Times New Roman" w:hAnsi="Times New Roman"/>
          <w:sz w:val="16"/>
          <w:szCs w:val="16"/>
          <w:color w:val="auto"/>
        </w:rPr>
        <w:t>Consolidation activity is expected to continue, as hospitals combine to drive scale and create integrated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models to serve the continuum of care.</w:t>
      </w:r>
    </w:p>
    <w:p>
      <w:pPr>
        <w:spacing w:after="0" w:line="55" w:lineRule="exact"/>
        <w:rPr>
          <w:rFonts w:ascii="Times New Roman" w:cs="Times New Roman" w:eastAsia="Times New Roman" w:hAnsi="Times New Roman"/>
          <w:sz w:val="16"/>
          <w:szCs w:val="16"/>
          <w:color w:val="auto"/>
        </w:rPr>
      </w:pPr>
    </w:p>
    <w:p>
      <w:pPr>
        <w:ind w:left="1720" w:right="280" w:hanging="353"/>
        <w:spacing w:after="0" w:line="284" w:lineRule="auto"/>
        <w:tabs>
          <w:tab w:leader="none" w:pos="17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Supply Chain Resiliency: </w:t>
      </w:r>
      <w:r>
        <w:rPr>
          <w:rFonts w:ascii="Times New Roman" w:cs="Times New Roman" w:eastAsia="Times New Roman" w:hAnsi="Times New Roman"/>
          <w:sz w:val="16"/>
          <w:szCs w:val="16"/>
          <w:color w:val="auto"/>
        </w:rPr>
        <w:t>Supply chain disruptions and shortages have revealed the industry’s need for in-stock products and short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delivery timeframes.</w:t>
      </w:r>
    </w:p>
    <w:p>
      <w:pPr>
        <w:spacing w:after="0" w:line="23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Value Creation for Key Stakeholders</w:t>
      </w:r>
    </w:p>
    <w:p>
      <w:pPr>
        <w:spacing w:after="0" w:line="105" w:lineRule="exact"/>
        <w:rPr>
          <w:sz w:val="20"/>
          <w:szCs w:val="20"/>
          <w:color w:val="auto"/>
        </w:rPr>
      </w:pPr>
    </w:p>
    <w:p>
      <w:pPr>
        <w:ind w:left="900" w:right="80" w:firstLine="378"/>
        <w:spacing w:after="0" w:line="281" w:lineRule="auto"/>
        <w:rPr>
          <w:sz w:val="20"/>
          <w:szCs w:val="20"/>
          <w:color w:val="auto"/>
        </w:rPr>
      </w:pPr>
      <w:r>
        <w:rPr>
          <w:rFonts w:ascii="Times New Roman" w:cs="Times New Roman" w:eastAsia="Times New Roman" w:hAnsi="Times New Roman"/>
          <w:sz w:val="16"/>
          <w:szCs w:val="16"/>
          <w:color w:val="auto"/>
        </w:rPr>
        <w:t>Our integrated business model helps us to address the needs of the market today and enables us to drive value for key constituents across the healthcare system.</w:t>
      </w:r>
    </w:p>
    <w:p>
      <w:pPr>
        <w:spacing w:after="0" w:line="23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i w:val="1"/>
          <w:iCs w:val="1"/>
          <w:color w:val="auto"/>
        </w:rPr>
        <w:t>Healthcare providers:</w:t>
      </w:r>
    </w:p>
    <w:p>
      <w:pPr>
        <w:spacing w:after="0" w:line="117" w:lineRule="exact"/>
        <w:rPr>
          <w:sz w:val="20"/>
          <w:szCs w:val="20"/>
          <w:color w:val="auto"/>
        </w:rPr>
      </w:pPr>
    </w:p>
    <w:p>
      <w:pPr>
        <w:ind w:left="1720" w:right="40" w:hanging="353"/>
        <w:spacing w:after="0" w:line="281" w:lineRule="auto"/>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high-quality, competitively priced Medline Brand products deliver material cost savings to providers, many of whom face margin pressures.</w:t>
      </w:r>
    </w:p>
    <w:p>
      <w:pPr>
        <w:spacing w:after="0" w:line="60" w:lineRule="exact"/>
        <w:rPr>
          <w:rFonts w:ascii="Times New Roman" w:cs="Times New Roman" w:eastAsia="Times New Roman" w:hAnsi="Times New Roman"/>
          <w:sz w:val="16"/>
          <w:szCs w:val="16"/>
          <w:color w:val="auto"/>
        </w:rPr>
      </w:pPr>
    </w:p>
    <w:p>
      <w:pPr>
        <w:ind w:left="1720" w:right="240" w:hanging="353"/>
        <w:spacing w:after="0" w:line="281" w:lineRule="auto"/>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0"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15" w:lineRule="exact"/>
        <w:rPr>
          <w:rFonts w:ascii="Times New Roman" w:cs="Times New Roman" w:eastAsia="Times New Roman" w:hAnsi="Times New Roman"/>
          <w:sz w:val="16"/>
          <w:szCs w:val="16"/>
          <w:color w:val="auto"/>
        </w:rPr>
      </w:pPr>
    </w:p>
    <w:p>
      <w:pPr>
        <w:ind w:left="1720" w:right="140" w:hanging="353"/>
        <w:spacing w:after="0" w:line="257" w:lineRule="auto"/>
        <w:tabs>
          <w:tab w:leader="none" w:pos="17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20"/>
          </w:cols>
          <w:pgMar w:left="320" w:top="420" w:right="12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3792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10300" cy="379222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i w:val="1"/>
          <w:iCs w:val="1"/>
          <w:color w:val="auto"/>
        </w:rPr>
        <w:t>Patients:</w:t>
      </w:r>
    </w:p>
    <w:p>
      <w:pPr>
        <w:spacing w:after="0" w:line="117" w:lineRule="exact"/>
        <w:rPr>
          <w:sz w:val="20"/>
          <w:szCs w:val="20"/>
          <w:color w:val="auto"/>
        </w:rPr>
      </w:pPr>
    </w:p>
    <w:p>
      <w:pPr>
        <w:ind w:left="1720" w:hanging="353"/>
        <w:spacing w:after="0" w:line="316" w:lineRule="auto"/>
        <w:tabs>
          <w:tab w:leader="none" w:pos="172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36" w:lineRule="exact"/>
        <w:rPr>
          <w:rFonts w:ascii="Times New Roman" w:cs="Times New Roman" w:eastAsia="Times New Roman" w:hAnsi="Times New Roman"/>
          <w:sz w:val="15"/>
          <w:szCs w:val="15"/>
          <w:color w:val="auto"/>
        </w:rPr>
      </w:pPr>
    </w:p>
    <w:p>
      <w:pPr>
        <w:ind w:left="1720" w:right="160" w:hanging="353"/>
        <w:spacing w:after="0" w:line="281" w:lineRule="auto"/>
        <w:tabs>
          <w:tab w:leader="none" w:pos="1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educational materials and at-home care kits help patients take an active role in their own care, which improves health outcomes and patient satisfaction.</w:t>
      </w:r>
    </w:p>
    <w:p>
      <w:pPr>
        <w:spacing w:after="0" w:line="60"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thoughtfully designed products and services creates positive patient experiences.</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direct-to-consumer channel increases access to our high-quality, cost-effective products.</w:t>
      </w:r>
    </w:p>
    <w:p>
      <w:pPr>
        <w:spacing w:after="0" w:line="29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i w:val="1"/>
          <w:iCs w:val="1"/>
          <w:color w:val="auto"/>
        </w:rPr>
        <w:t>Product suppliers:</w:t>
      </w:r>
    </w:p>
    <w:p>
      <w:pPr>
        <w:spacing w:after="0" w:line="117" w:lineRule="exact"/>
        <w:rPr>
          <w:sz w:val="20"/>
          <w:szCs w:val="20"/>
          <w:color w:val="auto"/>
        </w:rPr>
      </w:pPr>
    </w:p>
    <w:p>
      <w:pPr>
        <w:ind w:left="1720" w:hanging="353"/>
        <w:spacing w:after="0"/>
        <w:tabs>
          <w:tab w:leader="none" w:pos="17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scaled platform provides third-party product suppliers with access to our commercial team and a large and diverse customer base.</w:t>
      </w:r>
    </w:p>
    <w:p>
      <w:pPr>
        <w:spacing w:after="0" w:line="126" w:lineRule="exact"/>
        <w:rPr>
          <w:rFonts w:ascii="Times New Roman" w:cs="Times New Roman" w:eastAsia="Times New Roman" w:hAnsi="Times New Roman"/>
          <w:sz w:val="15"/>
          <w:szCs w:val="15"/>
          <w:color w:val="auto"/>
        </w:rPr>
      </w:pPr>
    </w:p>
    <w:p>
      <w:pPr>
        <w:ind w:left="1720" w:hanging="353"/>
        <w:spacing w:after="0"/>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 levels ensure that suppliers’ products are delivered reliably and on time.</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presence across the healthcare continuum provides opportunities to serve every site of care.</w:t>
      </w:r>
    </w:p>
    <w:p>
      <w:pPr>
        <w:spacing w:after="0" w:line="29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b w:val="1"/>
          <w:bCs w:val="1"/>
          <w:color w:val="auto"/>
        </w:rPr>
        <w:t>Why We Win</w:t>
      </w:r>
    </w:p>
    <w:p>
      <w:pPr>
        <w:spacing w:after="0" w:line="1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Our ability to earn and retain customers is driven by a number of specific qualities that are critical to our success.</w:t>
      </w:r>
    </w:p>
    <w:p>
      <w:pPr>
        <w:spacing w:after="0" w:line="195" w:lineRule="exact"/>
        <w:rPr>
          <w:sz w:val="20"/>
          <w:szCs w:val="20"/>
          <w:color w:val="auto"/>
        </w:rPr>
      </w:pPr>
    </w:p>
    <w:p>
      <w:pPr>
        <w:ind w:left="900" w:right="80" w:firstLine="37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Customer-Focused Culture. </w:t>
      </w:r>
      <w:r>
        <w:rPr>
          <w:rFonts w:ascii="Times New Roman" w:cs="Times New Roman" w:eastAsia="Times New Roman" w:hAnsi="Times New Roman"/>
          <w:sz w:val="16"/>
          <w:szCs w:val="16"/>
          <w:color w:val="auto"/>
        </w:rPr>
        <w:t>Customers are at the heart of what we do. Our best-in-class business model, entrepreneurial spirit,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compelling 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2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00"/>
          </w:cols>
          <w:pgMar w:left="320" w:top="420" w:right="12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730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10300" cy="57308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0" w:firstLine="37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Platform Advantage. </w:t>
      </w:r>
      <w:r>
        <w:rPr>
          <w:rFonts w:ascii="Times New Roman" w:cs="Times New Roman" w:eastAsia="Times New Roman" w:hAnsi="Times New Roman"/>
          <w:sz w:val="16"/>
          <w:szCs w:val="16"/>
          <w:color w:val="auto"/>
        </w:rPr>
        <w:t>We are the largest provider of med-surg and supply chain solutions serving all points of care, based on total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net 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0" w:right="60" w:firstLine="378"/>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Product Portfolio. </w:t>
      </w:r>
      <w:r>
        <w:rPr>
          <w:rFonts w:ascii="Times New Roman" w:cs="Times New Roman" w:eastAsia="Times New Roman" w:hAnsi="Times New Roman"/>
          <w:sz w:val="16"/>
          <w:szCs w:val="16"/>
          <w:color w:val="auto"/>
        </w:rPr>
        <w:t>We offer approximately 190,000 Medline Brand products across our product categories. We have a track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record of successfully bringing new products to market, with more than 2,100 granted patents and more than 400 clearances under Section 510(k) of the Federal Food, Drug and Cosmetic Act (“510(k)”).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59" w:lineRule="exact"/>
        <w:rPr>
          <w:sz w:val="20"/>
          <w:szCs w:val="20"/>
          <w:color w:val="auto"/>
        </w:rPr>
      </w:pPr>
    </w:p>
    <w:p>
      <w:pPr>
        <w:ind w:left="900" w:right="80" w:firstLine="378"/>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Unrivaled Distribution Capabilities. </w:t>
      </w:r>
      <w:r>
        <w:rPr>
          <w:rFonts w:ascii="Times New Roman" w:cs="Times New Roman" w:eastAsia="Times New Roman" w:hAnsi="Times New Roman"/>
          <w:sz w:val="16"/>
          <w:szCs w:val="16"/>
          <w:color w:val="auto"/>
        </w:rPr>
        <w:t>Medline’s breadth and footprint today is the result of decades of significant investments, including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61" w:lineRule="exact"/>
        <w:rPr>
          <w:sz w:val="20"/>
          <w:szCs w:val="20"/>
          <w:color w:val="auto"/>
        </w:rPr>
      </w:pPr>
    </w:p>
    <w:p>
      <w:pPr>
        <w:ind w:left="900" w:right="300" w:firstLine="378"/>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Clinical Solutions. </w:t>
      </w:r>
      <w:r>
        <w:rPr>
          <w:rFonts w:ascii="Times New Roman" w:cs="Times New Roman" w:eastAsia="Times New Roman" w:hAnsi="Times New Roman"/>
          <w:sz w:val="16"/>
          <w:szCs w:val="16"/>
          <w:color w:val="auto"/>
        </w:rPr>
        <w:t>Medline’s clinical solutions empower frontline teams with best practice guidance, education and training, and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system 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2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0340"/>
          </w:cols>
          <w:pgMar w:left="320" w:top="420" w:right="1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16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10300" cy="5616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900" w:right="80" w:firstLine="378"/>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Increasing Returns to Scale. </w:t>
      </w:r>
      <w:r>
        <w:rPr>
          <w:rFonts w:ascii="Times New Roman" w:cs="Times New Roman" w:eastAsia="Times New Roman" w:hAnsi="Times New Roman"/>
          <w:sz w:val="16"/>
          <w:szCs w:val="16"/>
          <w:color w:val="auto"/>
        </w:rPr>
        <w:t>As we grow, Medline is uniquely positioned to benefit from our vertically integrated model and over 1,300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active 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6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05" w:lineRule="exact"/>
        <w:rPr>
          <w:sz w:val="20"/>
          <w:szCs w:val="20"/>
          <w:color w:val="auto"/>
        </w:rPr>
      </w:pPr>
    </w:p>
    <w:p>
      <w:pPr>
        <w:ind w:left="900" w:firstLine="378"/>
        <w:spacing w:after="0" w:line="316" w:lineRule="auto"/>
        <w:rPr>
          <w:sz w:val="20"/>
          <w:szCs w:val="20"/>
          <w:color w:val="auto"/>
        </w:rPr>
      </w:pPr>
      <w:r>
        <w:rPr>
          <w:rFonts w:ascii="Times New Roman" w:cs="Times New Roman" w:eastAsia="Times New Roman" w:hAnsi="Times New Roman"/>
          <w:sz w:val="15"/>
          <w:szCs w:val="15"/>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2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auto"/>
        </w:rPr>
        <w:t>Net Sales Growth</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1720" w:right="140" w:hanging="353"/>
        <w:spacing w:after="0" w:line="261"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with our Prime Vendor Customers</w:t>
      </w:r>
      <w:r>
        <w:rPr>
          <w:rFonts w:ascii="Times New Roman" w:cs="Times New Roman" w:eastAsia="Times New Roman" w:hAnsi="Times New Roman"/>
          <w:sz w:val="16"/>
          <w:szCs w:val="16"/>
          <w:color w:val="auto"/>
        </w:rPr>
        <w:t>: We have achieved a greater than 98% average Prime Vendor retention rate over the past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five 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73" w:lineRule="exact"/>
        <w:rPr>
          <w:rFonts w:ascii="Times New Roman" w:cs="Times New Roman" w:eastAsia="Times New Roman" w:hAnsi="Times New Roman"/>
          <w:sz w:val="16"/>
          <w:szCs w:val="16"/>
          <w:color w:val="auto"/>
        </w:rPr>
      </w:pPr>
    </w:p>
    <w:p>
      <w:pPr>
        <w:ind w:left="1720" w:right="160" w:hanging="353"/>
        <w:spacing w:after="0" w:line="261"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Winning New Prime Vendor Customers</w:t>
      </w:r>
      <w:r>
        <w:rPr>
          <w:rFonts w:ascii="Times New Roman" w:cs="Times New Roman" w:eastAsia="Times New Roman" w:hAnsi="Times New Roman"/>
          <w:sz w:val="16"/>
          <w:szCs w:val="16"/>
          <w:color w:val="auto"/>
        </w:rPr>
        <w:t>: We continue to earn new Prime Vendor customers, which has been a key driver of sustained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73" w:lineRule="exact"/>
        <w:rPr>
          <w:rFonts w:ascii="Times New Roman" w:cs="Times New Roman" w:eastAsia="Times New Roman" w:hAnsi="Times New Roman"/>
          <w:sz w:val="16"/>
          <w:szCs w:val="16"/>
          <w:color w:val="auto"/>
        </w:rPr>
      </w:pPr>
    </w:p>
    <w:p>
      <w:pPr>
        <w:ind w:left="1720" w:right="240" w:hanging="353"/>
        <w:spacing w:after="0" w:line="267"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Medline Brand with Non-Prime Vendor Customers</w:t>
      </w:r>
      <w:r>
        <w:rPr>
          <w:rFonts w:ascii="Times New Roman" w:cs="Times New Roman" w:eastAsia="Times New Roman" w:hAnsi="Times New Roman"/>
          <w:sz w:val="16"/>
          <w:szCs w:val="16"/>
          <w:color w:val="auto"/>
        </w:rPr>
        <w:t>: An increasing number of non-Prime Vendor customers are choosing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Medline Brand. We will continue to provide high-quality, cost-effective products that meet their med-surg needs and accelerate our expansion within these customers.</w:t>
      </w:r>
    </w:p>
    <w:p>
      <w:pPr>
        <w:spacing w:after="0" w:line="68" w:lineRule="exact"/>
        <w:rPr>
          <w:rFonts w:ascii="Times New Roman" w:cs="Times New Roman" w:eastAsia="Times New Roman" w:hAnsi="Times New Roman"/>
          <w:sz w:val="16"/>
          <w:szCs w:val="16"/>
          <w:color w:val="auto"/>
        </w:rPr>
      </w:pPr>
    </w:p>
    <w:p>
      <w:pPr>
        <w:ind w:left="1720" w:right="80" w:hanging="353"/>
        <w:spacing w:after="0" w:line="267"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our quality and regulatory organizations to develop new Medline Brand products. Our culture of innovation and entrepreneurship and our highly scalable go-to-market model provide us with unique capabilities to bring products to market swiftly.</w:t>
      </w:r>
    </w:p>
    <w:p>
      <w:pPr>
        <w:spacing w:after="0" w:line="68" w:lineRule="exact"/>
        <w:rPr>
          <w:rFonts w:ascii="Times New Roman" w:cs="Times New Roman" w:eastAsia="Times New Roman" w:hAnsi="Times New Roman"/>
          <w:sz w:val="16"/>
          <w:szCs w:val="16"/>
          <w:color w:val="auto"/>
        </w:rPr>
      </w:pPr>
    </w:p>
    <w:p>
      <w:pPr>
        <w:ind w:left="1720" w:right="40" w:hanging="353"/>
        <w:spacing w:after="0" w:line="261"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Channel Expansion</w:t>
      </w:r>
      <w:r>
        <w:rPr>
          <w:rFonts w:ascii="Times New Roman" w:cs="Times New Roman" w:eastAsia="Times New Roman" w:hAnsi="Times New Roman"/>
          <w:sz w:val="16"/>
          <w:szCs w:val="16"/>
          <w:color w:val="auto"/>
        </w:rPr>
        <w:t>: We will continue to evaluate new opportunities to expand our TAM and the markets we serve. We currently 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73"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International Expansion</w:t>
      </w:r>
      <w:r>
        <w:rPr>
          <w:rFonts w:ascii="Times New Roman" w:cs="Times New Roman" w:eastAsia="Times New Roman" w:hAnsi="Times New Roman"/>
          <w:sz w:val="16"/>
          <w:szCs w:val="16"/>
          <w:color w:val="auto"/>
        </w:rPr>
        <w:t>: Our value proposition can help customers across markets internationally, and we expect to tap into the</w:t>
      </w:r>
    </w:p>
    <w:p>
      <w:pPr>
        <w:spacing w:after="0" w:line="26" w:lineRule="exact"/>
        <w:rPr>
          <w:rFonts w:ascii="Times New Roman" w:cs="Times New Roman" w:eastAsia="Times New Roman" w:hAnsi="Times New Roman"/>
          <w:sz w:val="16"/>
          <w:szCs w:val="16"/>
          <w:color w:val="auto"/>
        </w:rPr>
      </w:pPr>
    </w:p>
    <w:p>
      <w:pPr>
        <w:jc w:val="both"/>
        <w:ind w:left="1720" w:right="14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79" w:lineRule="exact"/>
        <w:rPr>
          <w:rFonts w:ascii="Times New Roman" w:cs="Times New Roman" w:eastAsia="Times New Roman" w:hAnsi="Times New Roman"/>
          <w:sz w:val="16"/>
          <w:szCs w:val="16"/>
          <w:color w:val="auto"/>
        </w:rPr>
      </w:pPr>
    </w:p>
    <w:p>
      <w:pPr>
        <w:ind w:left="1720" w:right="200" w:hanging="353"/>
        <w:spacing w:after="0" w:line="284" w:lineRule="auto"/>
        <w:tabs>
          <w:tab w:leader="none" w:pos="17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M&amp;A Execution</w:t>
      </w:r>
      <w:r>
        <w:rPr>
          <w:rFonts w:ascii="Times New Roman" w:cs="Times New Roman" w:eastAsia="Times New Roman" w:hAnsi="Times New Roman"/>
          <w:sz w:val="16"/>
          <w:szCs w:val="16"/>
          <w:color w:val="auto"/>
        </w:rPr>
        <w:t>: Our disciplined, global M&amp;A strategy is focused on pursuing adjacent products and services, as well as expanding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into new channels. We have a proven strategy for integrating new</w:t>
      </w:r>
    </w:p>
    <w:p>
      <w:pPr>
        <w:spacing w:after="0" w:line="24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0340"/>
          </w:cols>
          <w:pgMar w:left="320" w:top="420" w:right="1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01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10300" cy="56019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740" w:right="80"/>
        <w:spacing w:after="0" w:line="256" w:lineRule="auto"/>
        <w:rPr>
          <w:sz w:val="20"/>
          <w:szCs w:val="20"/>
          <w:color w:val="auto"/>
        </w:rPr>
      </w:pPr>
      <w:r>
        <w:rPr>
          <w:rFonts w:ascii="Times New Roman" w:cs="Times New Roman" w:eastAsia="Times New Roman" w:hAnsi="Times New Roman"/>
          <w:sz w:val="16"/>
          <w:szCs w:val="16"/>
          <w:color w:val="auto"/>
        </w:rPr>
        <w:t>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2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u w:val="single" w:color="auto"/>
          <w:color w:val="auto"/>
        </w:rPr>
        <w:t>Earnings Growth</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1720" w:hanging="353"/>
        <w:spacing w:after="0" w:line="252" w:lineRule="auto"/>
        <w:tabs>
          <w:tab w:leader="none" w:pos="1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Medline Brand Conversion Opportunity</w:t>
      </w:r>
      <w:r>
        <w:rPr>
          <w:rFonts w:ascii="Times New Roman" w:cs="Times New Roman" w:eastAsia="Times New Roman" w:hAnsi="Times New Roman"/>
          <w:sz w:val="16"/>
          <w:szCs w:val="16"/>
          <w:color w:val="auto"/>
        </w:rPr>
        <w:t>: To help our customers achieve cost savings, we provide them with Medline Brand products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82" w:lineRule="exact"/>
        <w:rPr>
          <w:rFonts w:ascii="Times New Roman" w:cs="Times New Roman" w:eastAsia="Times New Roman" w:hAnsi="Times New Roman"/>
          <w:sz w:val="16"/>
          <w:szCs w:val="16"/>
          <w:color w:val="auto"/>
        </w:rPr>
      </w:pPr>
    </w:p>
    <w:p>
      <w:pPr>
        <w:jc w:val="both"/>
        <w:ind w:left="1720" w:right="100" w:hanging="353"/>
        <w:spacing w:after="0" w:line="261" w:lineRule="auto"/>
        <w:tabs>
          <w:tab w:leader="none" w:pos="1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Operational Execution</w:t>
      </w:r>
      <w:r>
        <w:rPr>
          <w:rFonts w:ascii="Times New Roman" w:cs="Times New Roman" w:eastAsia="Times New Roman" w:hAnsi="Times New Roman"/>
          <w:sz w:val="16"/>
          <w:szCs w:val="16"/>
          <w:color w:val="auto"/>
        </w:rPr>
        <w:t>: To strengthen our cost advantage on Medline Brand products, we continuously improve our procurement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53"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b w:val="1"/>
          <w:bCs w:val="1"/>
          <w:color w:val="auto"/>
        </w:rPr>
        <w:t>Our Culture</w:t>
      </w:r>
    </w:p>
    <w:p>
      <w:pPr>
        <w:spacing w:after="0" w:line="105" w:lineRule="exact"/>
        <w:rPr>
          <w:sz w:val="20"/>
          <w:szCs w:val="20"/>
          <w:color w:val="auto"/>
        </w:rPr>
      </w:pPr>
    </w:p>
    <w:p>
      <w:pPr>
        <w:ind w:left="900" w:right="40" w:firstLine="378"/>
        <w:spacing w:after="0" w:line="257" w:lineRule="auto"/>
        <w:rPr>
          <w:sz w:val="20"/>
          <w:szCs w:val="20"/>
          <w:color w:val="auto"/>
        </w:rPr>
      </w:pPr>
      <w:r>
        <w:rPr>
          <w:rFonts w:ascii="Times New Roman" w:cs="Times New Roman" w:eastAsia="Times New Roman" w:hAnsi="Times New Roman"/>
          <w:sz w:val="16"/>
          <w:szCs w:val="16"/>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Our culture is guided by our six core values:</w:t>
      </w:r>
    </w:p>
    <w:p>
      <w:pPr>
        <w:spacing w:after="0" w:line="115" w:lineRule="exact"/>
        <w:rPr>
          <w:sz w:val="20"/>
          <w:szCs w:val="20"/>
          <w:color w:val="auto"/>
        </w:rPr>
      </w:pPr>
    </w:p>
    <w:p>
      <w:pPr>
        <w:ind w:left="1720" w:hanging="353"/>
        <w:spacing w:after="0"/>
        <w:tabs>
          <w:tab w:leader="none" w:pos="1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relentless customer focus</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demonstrate agility and flexibility</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gritty problem solvers</w:t>
      </w:r>
    </w:p>
    <w:p>
      <w:pPr>
        <w:spacing w:after="0" w:line="3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0340"/>
          </w:cols>
          <w:pgMar w:left="320" w:top="420" w:right="1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776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10300" cy="577659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720" w:hanging="353"/>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drive to succeed</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practice purposeful candor</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relationships matter</w:t>
      </w:r>
    </w:p>
    <w:p>
      <w:pPr>
        <w:spacing w:after="0" w:line="199" w:lineRule="exact"/>
        <w:rPr>
          <w:sz w:val="20"/>
          <w:szCs w:val="20"/>
          <w:color w:val="auto"/>
        </w:rPr>
      </w:pPr>
    </w:p>
    <w:p>
      <w:pPr>
        <w:ind w:left="900" w:right="40" w:firstLine="378"/>
        <w:spacing w:after="0" w:line="260"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25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6"/>
          <w:szCs w:val="16"/>
          <w:b w:val="1"/>
          <w:bCs w:val="1"/>
          <w:color w:val="auto"/>
        </w:rPr>
        <w:t>Our Structure</w:t>
      </w:r>
    </w:p>
    <w:p>
      <w:pPr>
        <w:spacing w:after="0" w:line="105" w:lineRule="exact"/>
        <w:rPr>
          <w:sz w:val="20"/>
          <w:szCs w:val="20"/>
          <w:color w:val="auto"/>
        </w:rPr>
      </w:pPr>
    </w:p>
    <w:p>
      <w:pPr>
        <w:ind w:left="900" w:right="140" w:firstLine="378"/>
        <w:spacing w:after="0" w:line="260" w:lineRule="auto"/>
        <w:rPr>
          <w:sz w:val="20"/>
          <w:szCs w:val="20"/>
          <w:color w:val="auto"/>
        </w:rPr>
      </w:pPr>
      <w:r>
        <w:rPr>
          <w:rFonts w:ascii="Times New Roman" w:cs="Times New Roman" w:eastAsia="Times New Roman" w:hAnsi="Times New Roman"/>
          <w:sz w:val="16"/>
          <w:szCs w:val="16"/>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Prior to the completion of this offering:</w:t>
      </w:r>
    </w:p>
    <w:p>
      <w:pPr>
        <w:spacing w:after="0" w:line="77" w:lineRule="exact"/>
        <w:rPr>
          <w:sz w:val="20"/>
          <w:szCs w:val="20"/>
          <w:color w:val="auto"/>
        </w:rPr>
      </w:pPr>
    </w:p>
    <w:p>
      <w:pPr>
        <w:ind w:left="1740" w:right="140" w:hanging="469"/>
        <w:spacing w:after="0" w:line="281" w:lineRule="auto"/>
        <w:tabs>
          <w:tab w:leader="none" w:pos="1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will receive shares of Class A common stock of Medline Inc. pursuant to the Blocker Transfers as defined and described in “Organizational Structure—Blocker Transfers”;</w:t>
      </w:r>
    </w:p>
    <w:p>
      <w:pPr>
        <w:spacing w:after="0" w:line="60" w:lineRule="exact"/>
        <w:rPr>
          <w:rFonts w:ascii="Times New Roman" w:cs="Times New Roman" w:eastAsia="Times New Roman" w:hAnsi="Times New Roman"/>
          <w:sz w:val="16"/>
          <w:szCs w:val="16"/>
          <w:color w:val="auto"/>
        </w:rPr>
      </w:pPr>
    </w:p>
    <w:p>
      <w:pPr>
        <w:ind w:left="1740" w:right="40" w:hanging="469"/>
        <w:spacing w:after="0" w:line="257" w:lineRule="auto"/>
        <w:tabs>
          <w:tab w:leader="none" w:pos="1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limited partnership agreement of Medline Holdings will be amended and restated to, among other things, modify its capital structure by reclassifying its interests as follows (such reclassification, the “Reclassification,” as further described under “Organizational Structure—Reclassification and Amendment and Restatement of the Limited Partnership Agreement of Medline Holdings” and “Management—Compensation Arrangements to be Adopted in Connection with this Offering—Treatment of Existing Equity Interests”):</w:t>
      </w:r>
    </w:p>
    <w:p>
      <w:pPr>
        <w:spacing w:after="0" w:line="80" w:lineRule="exact"/>
        <w:rPr>
          <w:rFonts w:ascii="Times New Roman" w:cs="Times New Roman" w:eastAsia="Times New Roman" w:hAnsi="Times New Roman"/>
          <w:sz w:val="16"/>
          <w:szCs w:val="16"/>
          <w:color w:val="auto"/>
        </w:rPr>
      </w:pPr>
    </w:p>
    <w:p>
      <w:pPr>
        <w:ind w:left="2100" w:hanging="266"/>
        <w:spacing w:after="0"/>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Continuing Common Unitholders will be converted into Common Units;</w:t>
      </w:r>
    </w:p>
    <w:p>
      <w:pPr>
        <w:spacing w:after="0" w:line="115" w:lineRule="exact"/>
        <w:rPr>
          <w:rFonts w:ascii="Times New Roman" w:cs="Times New Roman" w:eastAsia="Times New Roman" w:hAnsi="Times New Roman"/>
          <w:sz w:val="16"/>
          <w:szCs w:val="16"/>
          <w:color w:val="auto"/>
        </w:rPr>
      </w:pPr>
    </w:p>
    <w:p>
      <w:pPr>
        <w:ind w:left="2100" w:hanging="266"/>
        <w:spacing w:after="0"/>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Continuing Common Unitholders will be converted into Common Units; and</w:t>
      </w:r>
    </w:p>
    <w:p>
      <w:pPr>
        <w:spacing w:after="0" w:line="115" w:lineRule="exact"/>
        <w:rPr>
          <w:rFonts w:ascii="Times New Roman" w:cs="Times New Roman" w:eastAsia="Times New Roman" w:hAnsi="Times New Roman"/>
          <w:sz w:val="16"/>
          <w:szCs w:val="16"/>
          <w:color w:val="auto"/>
        </w:rPr>
      </w:pPr>
    </w:p>
    <w:p>
      <w:pPr>
        <w:ind w:left="2100" w:hanging="266"/>
        <w:spacing w:after="0"/>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held by Continuing Incentive Unitholders will be converted into Incentive Units;</w:t>
      </w:r>
    </w:p>
    <w:p>
      <w:pPr>
        <w:spacing w:after="0" w:line="115" w:lineRule="exact"/>
        <w:rPr>
          <w:rFonts w:ascii="Times New Roman" w:cs="Times New Roman" w:eastAsia="Times New Roman" w:hAnsi="Times New Roman"/>
          <w:sz w:val="16"/>
          <w:szCs w:val="16"/>
          <w:color w:val="auto"/>
        </w:rPr>
      </w:pPr>
    </w:p>
    <w:p>
      <w:pPr>
        <w:ind w:left="1740" w:right="200" w:hanging="469"/>
        <w:spacing w:after="0" w:line="281" w:lineRule="auto"/>
        <w:tabs>
          <w:tab w:leader="none" w:pos="1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Common Unitholders will receive the number of shares of Class B common stock of Medline Inc. equivalent to the number of Common Units held by each such Continuing Common Unitholder; and</w:t>
      </w:r>
    </w:p>
    <w:p>
      <w:pPr>
        <w:spacing w:after="0" w:line="60" w:lineRule="exact"/>
        <w:rPr>
          <w:rFonts w:ascii="Times New Roman" w:cs="Times New Roman" w:eastAsia="Times New Roman" w:hAnsi="Times New Roman"/>
          <w:sz w:val="16"/>
          <w:szCs w:val="16"/>
          <w:color w:val="auto"/>
        </w:rPr>
      </w:pPr>
    </w:p>
    <w:p>
      <w:pPr>
        <w:ind w:left="1740" w:hanging="469"/>
        <w:spacing w:after="0"/>
        <w:tabs>
          <w:tab w:leader="none" w:pos="17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CUPI Units, and Class B Units that are not reclassified as set forth in (2) above will be treated as follows:</w:t>
      </w:r>
    </w:p>
    <w:p>
      <w:pPr>
        <w:spacing w:after="0" w:line="115" w:lineRule="exact"/>
        <w:rPr>
          <w:rFonts w:ascii="Times New Roman" w:cs="Times New Roman" w:eastAsia="Times New Roman" w:hAnsi="Times New Roman"/>
          <w:sz w:val="16"/>
          <w:szCs w:val="16"/>
          <w:color w:val="auto"/>
        </w:rPr>
      </w:pPr>
    </w:p>
    <w:p>
      <w:pPr>
        <w:ind w:left="2100" w:right="140" w:hanging="266"/>
        <w:spacing w:after="0" w:line="281" w:lineRule="auto"/>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Exchanging Class A Unitholders will be directly or indirectly exchanged for shares of Class A common stock;</w:t>
      </w:r>
    </w:p>
    <w:p>
      <w:pPr>
        <w:spacing w:after="0" w:line="60" w:lineRule="exact"/>
        <w:rPr>
          <w:rFonts w:ascii="Times New Roman" w:cs="Times New Roman" w:eastAsia="Times New Roman" w:hAnsi="Times New Roman"/>
          <w:sz w:val="16"/>
          <w:szCs w:val="16"/>
          <w:color w:val="auto"/>
        </w:rPr>
      </w:pPr>
    </w:p>
    <w:p>
      <w:pPr>
        <w:ind w:left="2100" w:hanging="266"/>
        <w:spacing w:after="0" w:line="281" w:lineRule="auto"/>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Exchanging CUPI Unitholders will be directly or indirectly exchanged for shares of Class A common stock; and</w:t>
      </w:r>
    </w:p>
    <w:p>
      <w:pPr>
        <w:spacing w:after="0" w:line="60" w:lineRule="exact"/>
        <w:rPr>
          <w:rFonts w:ascii="Times New Roman" w:cs="Times New Roman" w:eastAsia="Times New Roman" w:hAnsi="Times New Roman"/>
          <w:sz w:val="16"/>
          <w:szCs w:val="16"/>
          <w:color w:val="auto"/>
        </w:rPr>
      </w:pPr>
    </w:p>
    <w:p>
      <w:pPr>
        <w:ind w:left="2100" w:right="160" w:hanging="266"/>
        <w:spacing w:after="0" w:line="265" w:lineRule="auto"/>
        <w:tabs>
          <w:tab w:leader="none" w:pos="2100"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57" w:lineRule="exact"/>
        <w:rPr>
          <w:sz w:val="20"/>
          <w:szCs w:val="20"/>
          <w:color w:val="auto"/>
        </w:rPr>
      </w:pPr>
    </w:p>
    <w:p>
      <w:pPr>
        <w:ind w:left="900" w:firstLine="378"/>
        <w:spacing w:after="0" w:line="265" w:lineRule="auto"/>
        <w:rPr>
          <w:sz w:val="20"/>
          <w:szCs w:val="20"/>
          <w:color w:val="auto"/>
        </w:rPr>
      </w:pPr>
      <w:r>
        <w:rPr>
          <w:rFonts w:ascii="Times New Roman" w:cs="Times New Roman" w:eastAsia="Times New Roman" w:hAnsi="Times New Roman"/>
          <w:sz w:val="16"/>
          <w:szCs w:val="16"/>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w:t>
      </w:r>
    </w:p>
    <w:p>
      <w:pPr>
        <w:spacing w:after="0" w:line="2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0300"/>
          </w:cols>
          <w:pgMar w:left="320" w:top="420" w:right="12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9555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10300" cy="49555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180"/>
        <w:spacing w:after="0" w:line="265" w:lineRule="auto"/>
        <w:rPr>
          <w:sz w:val="20"/>
          <w:szCs w:val="20"/>
          <w:color w:val="auto"/>
        </w:rPr>
      </w:pPr>
      <w:r>
        <w:rPr>
          <w:rFonts w:ascii="Times New Roman" w:cs="Times New Roman" w:eastAsia="Times New Roman" w:hAnsi="Times New Roman"/>
          <w:sz w:val="16"/>
          <w:szCs w:val="16"/>
          <w:color w:val="auto"/>
        </w:rPr>
        <w:t>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57" w:lineRule="exact"/>
        <w:rPr>
          <w:sz w:val="20"/>
          <w:szCs w:val="20"/>
          <w:color w:val="auto"/>
        </w:rPr>
      </w:pPr>
    </w:p>
    <w:p>
      <w:pPr>
        <w:ind w:left="900" w:right="40" w:firstLine="378"/>
        <w:spacing w:after="0" w:line="253"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70" w:lineRule="exact"/>
        <w:rPr>
          <w:sz w:val="20"/>
          <w:szCs w:val="20"/>
          <w:color w:val="auto"/>
        </w:rPr>
      </w:pPr>
    </w:p>
    <w:p>
      <w:pPr>
        <w:ind w:left="900" w:right="80" w:firstLine="378"/>
        <w:spacing w:after="0" w:line="255" w:lineRule="auto"/>
        <w:rPr>
          <w:sz w:val="20"/>
          <w:szCs w:val="20"/>
          <w:color w:val="auto"/>
        </w:rPr>
      </w:pPr>
      <w:r>
        <w:rPr>
          <w:rFonts w:ascii="Times New Roman" w:cs="Times New Roman" w:eastAsia="Times New Roman" w:hAnsi="Times New Roman"/>
          <w:sz w:val="16"/>
          <w:szCs w:val="16"/>
          <w:color w:val="auto"/>
        </w:rPr>
        <w:t>We intend to grant options to purchase shares of Class A common stock under the Omnibus Incentive Plan (as defined herein) to certain Exchanging Class B Unitholders in substitution for a portion of the economic benefit to which the Class B Units are entitled prior to this offering that is not reflected in the exchange of Class B Units to shares of Class A common stock. In addition, we intend to grant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 and “Management—Compensation Arrangements to be Adopted in Connection with this Offering—Equity Award Grants.”</w:t>
      </w:r>
    </w:p>
    <w:p>
      <w:pPr>
        <w:spacing w:after="0" w:line="164" w:lineRule="exact"/>
        <w:rPr>
          <w:sz w:val="20"/>
          <w:szCs w:val="20"/>
          <w:color w:val="auto"/>
        </w:rPr>
      </w:pPr>
    </w:p>
    <w:p>
      <w:pPr>
        <w:ind w:left="900" w:firstLine="378"/>
        <w:spacing w:after="0" w:line="255" w:lineRule="auto"/>
        <w:rPr>
          <w:sz w:val="20"/>
          <w:szCs w:val="20"/>
          <w:color w:val="auto"/>
        </w:rPr>
      </w:pPr>
      <w:r>
        <w:rPr>
          <w:rFonts w:ascii="Times New Roman" w:cs="Times New Roman" w:eastAsia="Times New Roman" w:hAnsi="Times New Roman"/>
          <w:sz w:val="16"/>
          <w:szCs w:val="16"/>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64" w:lineRule="exact"/>
        <w:rPr>
          <w:sz w:val="20"/>
          <w:szCs w:val="20"/>
          <w:color w:val="auto"/>
        </w:rPr>
      </w:pPr>
    </w:p>
    <w:p>
      <w:pPr>
        <w:ind w:left="900" w:firstLine="378"/>
        <w:spacing w:after="0" w:line="253" w:lineRule="auto"/>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0340"/>
          </w:cols>
          <w:pgMar w:left="320" w:top="420" w:right="1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955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10300" cy="49555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firstLine="378"/>
        <w:spacing w:after="0" w:line="271" w:lineRule="auto"/>
        <w:rPr>
          <w:sz w:val="20"/>
          <w:szCs w:val="20"/>
          <w:color w:val="auto"/>
        </w:rPr>
      </w:pPr>
      <w:r>
        <w:rPr>
          <w:rFonts w:ascii="Times New Roman" w:cs="Times New Roman" w:eastAsia="Times New Roman" w:hAnsi="Times New Roman"/>
          <w:sz w:val="15"/>
          <w:szCs w:val="15"/>
          <w:color w:val="auto"/>
        </w:rPr>
        <w:t>Prior to the completion of this offering, we will enter into a tax receivable agreement with certain of our pre-IPO owners that provides for the payment by Medline Inc. to such pre-IPO owners of 90% of certain tax benefits, if any, that Medline Inc. realizes, or is deemed to realize (calculated using certain assumptions), as a result of (i) Medline Inc.’s allocable share of the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w:t>
      </w:r>
    </w:p>
    <w:p>
      <w:pPr>
        <w:spacing w:after="0" w:line="1" w:lineRule="exact"/>
        <w:rPr>
          <w:sz w:val="20"/>
          <w:szCs w:val="20"/>
          <w:color w:val="auto"/>
        </w:rPr>
      </w:pPr>
    </w:p>
    <w:p>
      <w:pPr>
        <w:ind w:left="900"/>
        <w:spacing w:after="0" w:line="268" w:lineRule="auto"/>
        <w:tabs>
          <w:tab w:leader="none" w:pos="1179"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acquires in connection with this offering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pre-IPO owners. Assuming: (i) a price of $29.00 per share of our Class A common stock; (ii) a constant corporate tax rate of 25.7%;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the initial public offering price of $29.00 per share of Class A common stock, we estimate that we would, as a result of the Reorganization Transactions and Offering Transactions and such hypothetical exchange, record a deferred tax asset of approximately $3,577 million and that the aggregate noncurrent liability we would record based on our estimate of the aggregate amount that Medline Inc. would pay under the tax receivable agreement is approximately</w:t>
      </w:r>
    </w:p>
    <w:p>
      <w:pPr>
        <w:spacing w:after="0" w:line="176" w:lineRule="exact"/>
        <w:rPr>
          <w:rFonts w:ascii="Times New Roman" w:cs="Times New Roman" w:eastAsia="Times New Roman" w:hAnsi="Times New Roman"/>
          <w:sz w:val="15"/>
          <w:szCs w:val="15"/>
          <w:color w:val="auto"/>
        </w:rPr>
      </w:pPr>
    </w:p>
    <w:p>
      <w:pPr>
        <w:ind w:left="900" w:right="60"/>
        <w:spacing w:after="0" w:line="251"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$8,975 million, generally payable over a 15-year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our deferred tax asset would increase (decrease) by approximately $268 million and the related liability for payments under the tax receivable agreement would increase (decrease) by approximately $243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67" w:lineRule="exact"/>
        <w:rPr>
          <w:sz w:val="20"/>
          <w:szCs w:val="20"/>
          <w:color w:val="auto"/>
        </w:rPr>
      </w:pPr>
    </w:p>
    <w:p>
      <w:pPr>
        <w:ind w:left="900" w:right="40" w:firstLine="378"/>
        <w:spacing w:after="0" w:line="255" w:lineRule="auto"/>
        <w:rPr>
          <w:sz w:val="20"/>
          <w:szCs w:val="20"/>
          <w:color w:val="auto"/>
        </w:rPr>
      </w:pPr>
      <w:r>
        <w:rPr>
          <w:rFonts w:ascii="Times New Roman" w:cs="Times New Roman" w:eastAsia="Times New Roman" w:hAnsi="Times New Roman"/>
          <w:sz w:val="16"/>
          <w:szCs w:val="16"/>
          <w:color w:val="auto"/>
        </w:rPr>
        <w:t>Our post-offering organizational structure, as described above, is commonly referred to as an umbrella partnership-C-corporation (“UP-C”) structure. This organizational structure will allow the Continuing Unitholders to retain their equity ownership in Medline Holdings, an entity that is classified as a partnership for U.S. federal income tax purposes, in the form of Units. Investors in this offering, the Pre-IPO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0340"/>
          </w:cols>
          <w:pgMar w:left="320" w:top="420" w:right="1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7842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10300" cy="57842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900" w:firstLine="378"/>
        <w:spacing w:after="0" w:line="257" w:lineRule="auto"/>
        <w:rPr>
          <w:sz w:val="20"/>
          <w:szCs w:val="20"/>
          <w:color w:val="auto"/>
        </w:rPr>
      </w:pPr>
      <w:r>
        <w:rPr>
          <w:rFonts w:ascii="Times New Roman" w:cs="Times New Roman" w:eastAsia="Times New Roman" w:hAnsi="Times New Roman"/>
          <w:sz w:val="16"/>
          <w:szCs w:val="16"/>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Medline Inc. will consolidate Medline Holdings in its consolidated financial statements and record a non-controlling interest related to the Units held by the Continuing Unitholders on its consolidated balance sheet and statement of comprehensive income.</w:t>
      </w:r>
    </w:p>
    <w:p>
      <w:pPr>
        <w:spacing w:after="0" w:line="165" w:lineRule="exact"/>
        <w:rPr>
          <w:sz w:val="20"/>
          <w:szCs w:val="20"/>
          <w:color w:val="auto"/>
        </w:rPr>
      </w:pPr>
    </w:p>
    <w:p>
      <w:pPr>
        <w:ind w:left="900" w:right="840" w:firstLine="378"/>
        <w:spacing w:after="0" w:line="281" w:lineRule="auto"/>
        <w:rPr>
          <w:sz w:val="20"/>
          <w:szCs w:val="20"/>
          <w:color w:val="auto"/>
        </w:rPr>
      </w:pPr>
      <w:r>
        <w:rPr>
          <w:rFonts w:ascii="Times New Roman" w:cs="Times New Roman" w:eastAsia="Times New Roman" w:hAnsi="Times New Roman"/>
          <w:sz w:val="16"/>
          <w:szCs w:val="16"/>
          <w:color w:val="auto"/>
        </w:rPr>
        <w:t>The simplified diagram below depicts our organizational structure immediately following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i w:val="1"/>
          <w:iCs w:val="1"/>
          <w:color w:val="auto"/>
        </w:rPr>
        <w:t>Note:  Certain intermediate holding companies that are not material to this offering have been omitted from the structure chart.</w:t>
      </w:r>
    </w:p>
    <w:p>
      <w:pPr>
        <w:ind w:left="1280" w:right="220" w:hanging="380"/>
        <w:spacing w:after="0" w:line="211"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ind w:left="1280" w:right="100" w:hanging="380"/>
        <w:spacing w:after="0" w:line="219" w:lineRule="auto"/>
        <w:tabs>
          <w:tab w:leader="none" w:pos="12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time of this offering, 18,084,823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162" w:lineRule="exact"/>
        <w:rPr>
          <w:sz w:val="20"/>
          <w:szCs w:val="20"/>
          <w:color w:val="auto"/>
        </w:rPr>
      </w:pPr>
    </w:p>
    <w:p>
      <w:pPr>
        <w:ind w:left="900" w:right="40" w:firstLine="378"/>
        <w:spacing w:after="0" w:line="256" w:lineRule="auto"/>
        <w:rPr>
          <w:sz w:val="20"/>
          <w:szCs w:val="20"/>
          <w:color w:val="auto"/>
        </w:rPr>
      </w:pPr>
      <w:r>
        <w:rPr>
          <w:rFonts w:ascii="Times New Roman" w:cs="Times New Roman" w:eastAsia="Times New Roman" w:hAnsi="Times New Roman"/>
          <w:sz w:val="16"/>
          <w:szCs w:val="16"/>
          <w:color w:val="auto"/>
        </w:rPr>
        <w:t>Upon consummation of the Reorganization Transactions and immediately prior to this offering, our pre-IPO owners will hold shares and interests that may be exchanged or settled for an aggregate of 1,153,325,829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one-for-one basis in exchange for Common Units into which outstanding Incentive Units that will be held by the Continuing</w:t>
      </w:r>
    </w:p>
    <w:p>
      <w:pPr>
        <w:spacing w:after="0" w:line="2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0320"/>
          </w:cols>
          <w:pgMar w:left="320" w:top="420" w:right="1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19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10300" cy="41948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80"/>
        <w:spacing w:after="0" w:line="255" w:lineRule="auto"/>
        <w:rPr>
          <w:sz w:val="20"/>
          <w:szCs w:val="20"/>
          <w:color w:val="auto"/>
        </w:rPr>
      </w:pPr>
      <w:r>
        <w:rPr>
          <w:rFonts w:ascii="Times New Roman" w:cs="Times New Roman" w:eastAsia="Times New Roman" w:hAnsi="Times New Roman"/>
          <w:sz w:val="16"/>
          <w:szCs w:val="16"/>
          <w:color w:val="auto"/>
        </w:rPr>
        <w:t>Incentive Unitholders may be converted; (iv) shares of Class A common stock in respect of RSUs to be granted to certain Exchanging Unitholders to compensate them for the loss of the opportunity to participate in the tax receivable agreement; (v) shares of Class A common stock underlying RSUs to be held by certain independent non-employee members of our board of directors with respect to RSUs covering Class A Units; and (vi) shares of Class A common stock underlying RSUs having a value of $300,000 based on the initial public offering price per share of Class A common stock in this offering to be granted to an independent non-employee member of our board of directors upon appointment to the board of directors in connection with this offering. The table below sets forth the relative ownership of the diluted pre-IPO shares outstanding among our pre-IPO owners.</w:t>
      </w:r>
    </w:p>
    <w:p>
      <w:pPr>
        <w:spacing w:after="0" w:line="205" w:lineRule="exact"/>
        <w:rPr>
          <w:sz w:val="20"/>
          <w:szCs w:val="20"/>
          <w:color w:val="auto"/>
        </w:rPr>
      </w:pPr>
    </w:p>
    <w:tbl>
      <w:tblPr>
        <w:tblLayout w:type="fixed"/>
        <w:tblInd w:w="90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Class A common stock held by Pre-IPO Stockholders and Exchanging Unitholders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607,521,662</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Shares of Class A common stock issuable upon exchange of Common Units held by our Continuing Common Unitholders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527,195,560</w:t>
            </w:r>
          </w:p>
        </w:tc>
        <w:tc>
          <w:tcPr>
            <w:tcW w:w="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issuable upon exchange of as-converted Incentive Units held by Continuing Incentive</w:t>
            </w: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line="208" w:lineRule="exact"/>
              <w:rPr>
                <w:sz w:val="20"/>
                <w:szCs w:val="20"/>
                <w:color w:val="auto"/>
              </w:rPr>
            </w:pPr>
            <w:r>
              <w:rPr>
                <w:rFonts w:ascii="Times New Roman" w:cs="Times New Roman" w:eastAsia="Times New Roman" w:hAnsi="Times New Roman"/>
                <w:sz w:val="16"/>
                <w:szCs w:val="16"/>
                <w:color w:val="auto"/>
              </w:rPr>
              <w:t>Unitholders</w:t>
            </w:r>
            <w:r>
              <w:rPr>
                <w:rFonts w:ascii="Times New Roman" w:cs="Times New Roman" w:eastAsia="Times New Roman" w:hAnsi="Times New Roman"/>
                <w:sz w:val="23"/>
                <w:szCs w:val="23"/>
                <w:color w:val="auto"/>
                <w:vertAlign w:val="superscript"/>
              </w:rPr>
              <w:t>(1)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18,084,823</w:t>
            </w:r>
          </w:p>
        </w:tc>
        <w:tc>
          <w:tcPr>
            <w:tcW w:w="60" w:type="dxa"/>
            <w:vAlign w:val="bottom"/>
            <w:shd w:val="clear" w:color="auto" w:fill="CCEEFF"/>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6"/>
                <w:szCs w:val="16"/>
                <w:color w:val="auto"/>
              </w:rPr>
              <w:t>Shares of Class A common stock in respect of RSUs to be granted to certain Exchanging Unitholders</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490,021</w:t>
            </w:r>
          </w:p>
        </w:tc>
        <w:tc>
          <w:tcPr>
            <w:tcW w:w="6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81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with respect to RSUs to be held by certain independent non-employee members of our board</w:t>
            </w: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20" w:type="dxa"/>
            <w:vAlign w:val="bottom"/>
          </w:tcPr>
          <w:p>
            <w:pPr>
              <w:spacing w:after="0"/>
              <w:rPr>
                <w:sz w:val="18"/>
                <w:szCs w:val="18"/>
                <w:color w:val="auto"/>
              </w:rPr>
            </w:pPr>
          </w:p>
        </w:tc>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of directors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w:t>
            </w:r>
          </w:p>
        </w:tc>
        <w:tc>
          <w:tcPr>
            <w:tcW w:w="60" w:type="dxa"/>
            <w:vAlign w:val="bottom"/>
            <w:shd w:val="clear" w:color="auto" w:fill="CCEEFF"/>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8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with respect to RSUs to be granted to an independent non-employee member of our board of</w:t>
            </w: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directors upon appointment to our board of directors in connection with this offering</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6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1,153,325,829</w:t>
            </w:r>
          </w:p>
        </w:tc>
        <w:tc>
          <w:tcPr>
            <w:tcW w:w="60" w:type="dxa"/>
            <w:vAlign w:val="bottom"/>
            <w:shd w:val="clear" w:color="auto" w:fill="CCEEFF"/>
          </w:tcPr>
          <w:p>
            <w:pPr>
              <w:spacing w:after="0"/>
              <w:rPr>
                <w:sz w:val="16"/>
                <w:szCs w:val="16"/>
                <w:color w:val="auto"/>
              </w:rPr>
            </w:pPr>
          </w:p>
        </w:tc>
      </w:tr>
    </w:tbl>
    <w:p>
      <w:pPr>
        <w:spacing w:after="0" w:line="160" w:lineRule="exact"/>
        <w:rPr>
          <w:sz w:val="20"/>
          <w:szCs w:val="20"/>
          <w:color w:val="auto"/>
        </w:rPr>
      </w:pPr>
    </w:p>
    <w:p>
      <w:pPr>
        <w:ind w:left="1280" w:right="260" w:hanging="380"/>
        <w:spacing w:after="0" w:line="238" w:lineRule="auto"/>
        <w:tabs>
          <w:tab w:leader="none" w:pos="12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Incentive Unitholders will hold an aggregate of 42,197,933 participating Incentive Units with a weighted-average participation threshold of $16.57 per Incentive Unit.</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The diluted pre-IPO shares outstanding presented in the foregoing table do not reflect shares of Class A common stock issuable:</w:t>
      </w:r>
    </w:p>
    <w:p>
      <w:pPr>
        <w:spacing w:after="0" w:line="115" w:lineRule="exact"/>
        <w:rPr>
          <w:sz w:val="20"/>
          <w:szCs w:val="20"/>
          <w:color w:val="auto"/>
        </w:rPr>
      </w:pPr>
    </w:p>
    <w:p>
      <w:pPr>
        <w:ind w:left="1720" w:right="20" w:hanging="353"/>
        <w:spacing w:after="0" w:line="283" w:lineRule="auto"/>
        <w:tabs>
          <w:tab w:leader="none" w:pos="17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exercise of stock options to purchase 6,770,442 shares of Class A common stock. These stock options will have an exercise price per share that is equal to or greater than the initial public offering price per share of Class A common stock in this offering, and the shares of Class A common stock underlying such options are not reflected in the foregoing table because they are not “in the money.” See “Management—Compensation Arrangements to be Adopted in Connection with this Offering—Equity Award Grants”; or</w:t>
      </w:r>
    </w:p>
    <w:p>
      <w:pPr>
        <w:spacing w:after="0" w:line="60" w:lineRule="exact"/>
        <w:rPr>
          <w:rFonts w:ascii="Times New Roman" w:cs="Times New Roman" w:eastAsia="Times New Roman" w:hAnsi="Times New Roman"/>
          <w:sz w:val="15"/>
          <w:szCs w:val="15"/>
          <w:color w:val="auto"/>
        </w:rPr>
      </w:pPr>
    </w:p>
    <w:p>
      <w:pPr>
        <w:ind w:left="1720" w:right="140" w:hanging="353"/>
        <w:spacing w:after="0" w:line="257" w:lineRule="auto"/>
        <w:tabs>
          <w:tab w:leader="none" w:pos="17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 Liability-classified units” of our unaudited condensed consolidated financial statements.</w:t>
      </w: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0340"/>
          </w:cols>
          <w:pgMar w:left="320" w:top="420" w:right="1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09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10300" cy="5609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Investment Risks</w:t>
      </w:r>
    </w:p>
    <w:p>
      <w:pPr>
        <w:spacing w:after="0" w:line="105" w:lineRule="exact"/>
        <w:rPr>
          <w:sz w:val="20"/>
          <w:szCs w:val="20"/>
          <w:color w:val="auto"/>
        </w:rPr>
      </w:pPr>
    </w:p>
    <w:p>
      <w:pPr>
        <w:ind w:left="900" w:right="40" w:firstLine="378"/>
        <w:spacing w:after="0" w:line="265" w:lineRule="auto"/>
        <w:rPr>
          <w:sz w:val="20"/>
          <w:szCs w:val="20"/>
          <w:color w:val="auto"/>
        </w:rPr>
      </w:pPr>
      <w:r>
        <w:rPr>
          <w:rFonts w:ascii="Times New Roman" w:cs="Times New Roman" w:eastAsia="Times New Roman" w:hAnsi="Times New Roman"/>
          <w:sz w:val="16"/>
          <w:szCs w:val="16"/>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73" w:lineRule="exact"/>
        <w:rPr>
          <w:sz w:val="20"/>
          <w:szCs w:val="20"/>
          <w:color w:val="auto"/>
        </w:rPr>
      </w:pPr>
    </w:p>
    <w:p>
      <w:pPr>
        <w:ind w:left="1720" w:right="30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rely on the proper function, security and availability of our information technology systems and data, as well as those of third parties throughout our global supply chain, to operate our business.</w:t>
      </w:r>
    </w:p>
    <w:p>
      <w:pPr>
        <w:spacing w:after="0" w:line="60" w:lineRule="exact"/>
        <w:rPr>
          <w:rFonts w:ascii="Times New Roman" w:cs="Times New Roman" w:eastAsia="Times New Roman" w:hAnsi="Times New Roman"/>
          <w:sz w:val="16"/>
          <w:szCs w:val="16"/>
          <w:color w:val="auto"/>
        </w:rPr>
      </w:pPr>
    </w:p>
    <w:p>
      <w:pPr>
        <w:ind w:left="1720" w:right="48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global operations are subject to inherent risks that could materially adversely affect our business, results of operations and financial condition.</w:t>
      </w:r>
    </w:p>
    <w:p>
      <w:pPr>
        <w:spacing w:after="0" w:line="60" w:lineRule="exact"/>
        <w:rPr>
          <w:rFonts w:ascii="Times New Roman" w:cs="Times New Roman" w:eastAsia="Times New Roman" w:hAnsi="Times New Roman"/>
          <w:sz w:val="16"/>
          <w:szCs w:val="16"/>
          <w:color w:val="auto"/>
        </w:rPr>
      </w:pPr>
    </w:p>
    <w:p>
      <w:pPr>
        <w:ind w:left="1720" w:right="480" w:hanging="353"/>
        <w:spacing w:after="0" w:line="316" w:lineRule="auto"/>
        <w:tabs>
          <w:tab w:leader="none" w:pos="17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36" w:lineRule="exact"/>
        <w:rPr>
          <w:rFonts w:ascii="Times New Roman" w:cs="Times New Roman" w:eastAsia="Times New Roman" w:hAnsi="Times New Roman"/>
          <w:sz w:val="15"/>
          <w:szCs w:val="15"/>
          <w:color w:val="auto"/>
        </w:rPr>
      </w:pPr>
    </w:p>
    <w:p>
      <w:pPr>
        <w:ind w:left="1720" w:right="70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environmental, health and safety requirements, and our operations involve hazardous and other environmentally sensitive substances.</w:t>
      </w:r>
    </w:p>
    <w:p>
      <w:pPr>
        <w:spacing w:after="0" w:line="60" w:lineRule="exact"/>
        <w:rPr>
          <w:rFonts w:ascii="Times New Roman" w:cs="Times New Roman" w:eastAsia="Times New Roman" w:hAnsi="Times New Roman"/>
          <w:sz w:val="16"/>
          <w:szCs w:val="16"/>
          <w:color w:val="auto"/>
        </w:rPr>
      </w:pPr>
    </w:p>
    <w:p>
      <w:pPr>
        <w:ind w:left="1720" w:right="54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derive fully the anticipated benefits from our existing or future acquisitions, joint ventures, investments, dispositions, or other strategic transactions.</w:t>
      </w:r>
    </w:p>
    <w:p>
      <w:pPr>
        <w:spacing w:after="0" w:line="60"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healthcare industry could have an adverse effect on our business, results of operations and financial condition.</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 could have a significant impact on our results of operations.</w:t>
      </w:r>
    </w:p>
    <w:p>
      <w:pPr>
        <w:spacing w:after="0" w:line="115"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profitability and cash flows may be adversely affected by inflationary pressures.</w:t>
      </w:r>
    </w:p>
    <w:p>
      <w:pPr>
        <w:spacing w:after="0" w:line="115" w:lineRule="exact"/>
        <w:rPr>
          <w:rFonts w:ascii="Times New Roman" w:cs="Times New Roman" w:eastAsia="Times New Roman" w:hAnsi="Times New Roman"/>
          <w:sz w:val="16"/>
          <w:szCs w:val="16"/>
          <w:color w:val="auto"/>
        </w:rPr>
      </w:pPr>
    </w:p>
    <w:p>
      <w:pPr>
        <w:ind w:left="1720" w:right="32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and domestic macro-economic and political conditions could materially adversely affect our business, results of operations and financial condition.</w:t>
      </w:r>
    </w:p>
    <w:p>
      <w:pPr>
        <w:spacing w:after="0" w:line="60"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industry, with accelerating pricing pressure and changes in technology.</w:t>
      </w:r>
    </w:p>
    <w:p>
      <w:pPr>
        <w:spacing w:after="0" w:line="115" w:lineRule="exact"/>
        <w:rPr>
          <w:rFonts w:ascii="Times New Roman" w:cs="Times New Roman" w:eastAsia="Times New Roman" w:hAnsi="Times New Roman"/>
          <w:sz w:val="16"/>
          <w:szCs w:val="16"/>
          <w:color w:val="auto"/>
        </w:rPr>
      </w:pPr>
    </w:p>
    <w:p>
      <w:pPr>
        <w:ind w:left="1720" w:right="8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60" w:lineRule="exact"/>
        <w:rPr>
          <w:rFonts w:ascii="Times New Roman" w:cs="Times New Roman" w:eastAsia="Times New Roman" w:hAnsi="Times New Roman"/>
          <w:sz w:val="16"/>
          <w:szCs w:val="16"/>
          <w:color w:val="auto"/>
        </w:rPr>
      </w:pPr>
    </w:p>
    <w:p>
      <w:pPr>
        <w:ind w:left="1720" w:hanging="353"/>
        <w:spacing w:after="0"/>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be unable to attract, develop and retain key employees.</w:t>
      </w:r>
    </w:p>
    <w:p>
      <w:pPr>
        <w:spacing w:after="0" w:line="115" w:lineRule="exact"/>
        <w:rPr>
          <w:rFonts w:ascii="Times New Roman" w:cs="Times New Roman" w:eastAsia="Times New Roman" w:hAnsi="Times New Roman"/>
          <w:sz w:val="16"/>
          <w:szCs w:val="16"/>
          <w:color w:val="auto"/>
        </w:rPr>
      </w:pPr>
    </w:p>
    <w:p>
      <w:pPr>
        <w:jc w:val="both"/>
        <w:ind w:left="1720" w:right="120" w:hanging="353"/>
        <w:spacing w:after="0" w:line="265"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73" w:lineRule="exact"/>
        <w:rPr>
          <w:rFonts w:ascii="Times New Roman" w:cs="Times New Roman" w:eastAsia="Times New Roman" w:hAnsi="Times New Roman"/>
          <w:sz w:val="16"/>
          <w:szCs w:val="16"/>
          <w:color w:val="auto"/>
        </w:rPr>
      </w:pPr>
    </w:p>
    <w:p>
      <w:pPr>
        <w:ind w:left="1720" w:right="40" w:hanging="353"/>
        <w:spacing w:after="0" w:line="281" w:lineRule="auto"/>
        <w:tabs>
          <w:tab w:leader="none" w:pos="17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Designating Stockholders will continue to hold a significant percentage of our stock, and their interests may conflict with ours or yours in the future.</w:t>
      </w:r>
    </w:p>
    <w:p>
      <w:pPr>
        <w:spacing w:after="0" w:line="144" w:lineRule="exact"/>
        <w:rPr>
          <w:sz w:val="20"/>
          <w:szCs w:val="20"/>
          <w:color w:val="auto"/>
        </w:rPr>
      </w:pPr>
    </w:p>
    <w:p>
      <w:pPr>
        <w:ind w:left="900" w:firstLine="378"/>
        <w:spacing w:after="0" w:line="281" w:lineRule="auto"/>
        <w:rPr>
          <w:sz w:val="20"/>
          <w:szCs w:val="20"/>
          <w:color w:val="auto"/>
        </w:rPr>
      </w:pPr>
      <w:r>
        <w:rPr>
          <w:rFonts w:ascii="Times New Roman" w:cs="Times New Roman" w:eastAsia="Times New Roman" w:hAnsi="Times New Roman"/>
          <w:sz w:val="16"/>
          <w:szCs w:val="16"/>
          <w:color w:val="auto"/>
        </w:rPr>
        <w:t>Before you invest in our Class A common stock, you should carefully consider all of the information in this prospectus, including matters set forth under the heading “Risk Factors.”</w:t>
      </w:r>
    </w:p>
    <w:p>
      <w:pPr>
        <w:spacing w:after="0" w:line="238"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Corporate History and Information</w:t>
      </w:r>
    </w:p>
    <w:p>
      <w:pPr>
        <w:spacing w:after="0" w:line="105" w:lineRule="exact"/>
        <w:rPr>
          <w:sz w:val="20"/>
          <w:szCs w:val="20"/>
          <w:color w:val="auto"/>
        </w:rPr>
      </w:pPr>
    </w:p>
    <w:p>
      <w:pPr>
        <w:ind w:left="900" w:right="80" w:firstLine="378"/>
        <w:spacing w:after="0" w:line="281" w:lineRule="auto"/>
        <w:rPr>
          <w:sz w:val="20"/>
          <w:szCs w:val="20"/>
          <w:color w:val="auto"/>
        </w:rPr>
      </w:pPr>
      <w:r>
        <w:rPr>
          <w:rFonts w:ascii="Times New Roman" w:cs="Times New Roman" w:eastAsia="Times New Roman" w:hAnsi="Times New Roman"/>
          <w:sz w:val="16"/>
          <w:szCs w:val="16"/>
          <w:color w:val="auto"/>
        </w:rPr>
        <w:t>Medline has served customers in the healthcare industry for over 50 years. Medline was founded in 1966 by Jim and Jon Mills in Evanston, Illinois. In 1968, we opened our first manufacturing facility. In 1997, Charles N.</w:t>
      </w:r>
    </w:p>
    <w:p>
      <w:pPr>
        <w:spacing w:after="0" w:line="2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0280"/>
          </w:cols>
          <w:pgMar w:left="320" w:top="420" w:right="1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15487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10300" cy="15487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900"/>
        <w:spacing w:after="0" w:line="265" w:lineRule="auto"/>
        <w:rPr>
          <w:sz w:val="20"/>
          <w:szCs w:val="20"/>
          <w:color w:val="auto"/>
        </w:rPr>
      </w:pPr>
      <w:r>
        <w:rPr>
          <w:rFonts w:ascii="Times New Roman" w:cs="Times New Roman" w:eastAsia="Times New Roman" w:hAnsi="Times New Roman"/>
          <w:sz w:val="16"/>
          <w:szCs w:val="16"/>
          <w:color w:val="auto"/>
        </w:rPr>
        <w:t>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57" w:lineRule="exact"/>
        <w:rPr>
          <w:sz w:val="20"/>
          <w:szCs w:val="20"/>
          <w:color w:val="auto"/>
        </w:rPr>
      </w:pPr>
    </w:p>
    <w:p>
      <w:pPr>
        <w:ind w:left="900" w:right="200" w:firstLine="378"/>
        <w:spacing w:after="0" w:line="281" w:lineRule="auto"/>
        <w:rPr>
          <w:sz w:val="20"/>
          <w:szCs w:val="20"/>
          <w:color w:val="auto"/>
        </w:rPr>
      </w:pPr>
      <w:r>
        <w:rPr>
          <w:rFonts w:ascii="Times New Roman" w:cs="Times New Roman" w:eastAsia="Times New Roman" w:hAnsi="Times New Roman"/>
          <w:sz w:val="16"/>
          <w:szCs w:val="16"/>
          <w:color w:val="auto"/>
        </w:rPr>
        <w:t>In 2023, as part of a multi-year succession planning process, we elevated Jim Boyle to Chief Executive Officer, with members of the Mills Family continuing to serve on our board.</w:t>
      </w:r>
    </w:p>
    <w:p>
      <w:pPr>
        <w:spacing w:after="0" w:line="144" w:lineRule="exact"/>
        <w:rPr>
          <w:sz w:val="20"/>
          <w:szCs w:val="20"/>
          <w:color w:val="auto"/>
        </w:rPr>
      </w:pPr>
    </w:p>
    <w:p>
      <w:pPr>
        <w:ind w:left="900" w:right="80" w:firstLine="378"/>
        <w:spacing w:after="0" w:line="260" w:lineRule="auto"/>
        <w:rPr>
          <w:sz w:val="20"/>
          <w:szCs w:val="20"/>
          <w:color w:val="auto"/>
        </w:rPr>
      </w:pPr>
      <w:r>
        <w:rPr>
          <w:rFonts w:ascii="Times New Roman" w:cs="Times New Roman" w:eastAsia="Times New Roman" w:hAnsi="Times New Roman"/>
          <w:sz w:val="16"/>
          <w:szCs w:val="16"/>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6"/>
          <w:szCs w:val="16"/>
          <w:i w:val="1"/>
          <w:iCs w:val="1"/>
          <w:color w:val="auto"/>
        </w:rPr>
        <w:t>www.medline.com</w:t>
      </w:r>
      <w:r>
        <w:rPr>
          <w:rFonts w:ascii="Times New Roman" w:cs="Times New Roman" w:eastAsia="Times New Roman" w:hAnsi="Times New Roman"/>
          <w:sz w:val="16"/>
          <w:szCs w:val="16"/>
          <w:color w:val="auto"/>
        </w:rPr>
        <w:t xml:space="preserve">. The reference to our website is intended to be an inactive textual reference only. </w:t>
      </w:r>
      <w:r>
        <w:rPr>
          <w:rFonts w:ascii="Times New Roman" w:cs="Times New Roman" w:eastAsia="Times New Roman" w:hAnsi="Times New Roman"/>
          <w:sz w:val="16"/>
          <w:szCs w:val="16"/>
          <w:b w:val="1"/>
          <w:bCs w:val="1"/>
          <w:color w:val="auto"/>
        </w:rPr>
        <w:t>The information contained on, or that can be accessed through, our website is not part of 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prospectus.</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0320"/>
          </w:cols>
          <w:pgMar w:left="320" w:top="420" w:right="1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879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10300" cy="487934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16"/>
          <w:szCs w:val="16"/>
          <w:b w:val="1"/>
          <w:bCs w:val="1"/>
          <w:color w:val="auto"/>
        </w:rPr>
        <w:t>The Offering</w:t>
      </w:r>
    </w:p>
    <w:p>
      <w:pPr>
        <w:sectPr>
          <w:pgSz w:w="11900" w:h="16838" w:orient="portrait"/>
          <w:cols w:equalWidth="0" w:num="1">
            <w:col w:w="10320"/>
          </w:cols>
          <w:pgMar w:left="320" w:top="420" w:right="1259" w:bottom="1440" w:gutter="0" w:footer="0" w:header="0"/>
        </w:sectPr>
      </w:pP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Class A common stock offered by Medline Inc.</w:t>
      </w:r>
    </w:p>
    <w:p>
      <w:pPr>
        <w:spacing w:after="0" w:line="200" w:lineRule="exact"/>
        <w:rPr>
          <w:sz w:val="20"/>
          <w:szCs w:val="20"/>
          <w:color w:val="auto"/>
        </w:rPr>
      </w:pPr>
    </w:p>
    <w:p>
      <w:pPr>
        <w:spacing w:after="0" w:line="215" w:lineRule="exact"/>
        <w:rPr>
          <w:sz w:val="20"/>
          <w:szCs w:val="20"/>
          <w:color w:val="auto"/>
        </w:rPr>
      </w:pPr>
    </w:p>
    <w:p>
      <w:pPr>
        <w:jc w:val="both"/>
        <w:ind w:left="980" w:right="20" w:hanging="69"/>
        <w:spacing w:after="0" w:line="281" w:lineRule="auto"/>
        <w:rPr>
          <w:sz w:val="20"/>
          <w:szCs w:val="20"/>
          <w:color w:val="auto"/>
        </w:rPr>
      </w:pPr>
      <w:r>
        <w:rPr>
          <w:rFonts w:ascii="Times New Roman" w:cs="Times New Roman" w:eastAsia="Times New Roman" w:hAnsi="Times New Roman"/>
          <w:sz w:val="16"/>
          <w:szCs w:val="16"/>
          <w:color w:val="auto"/>
        </w:rPr>
        <w:t>Class A common stock outstanding, after giving effect to this offering</w:t>
      </w:r>
    </w:p>
    <w:p>
      <w:pPr>
        <w:spacing w:after="0" w:line="180" w:lineRule="exact"/>
        <w:rPr>
          <w:sz w:val="20"/>
          <w:szCs w:val="20"/>
          <w:color w:val="auto"/>
        </w:rPr>
      </w:pPr>
    </w:p>
    <w:p>
      <w:pPr>
        <w:jc w:val="both"/>
        <w:ind w:left="980" w:right="40" w:hanging="69"/>
        <w:spacing w:after="0" w:line="265" w:lineRule="auto"/>
        <w:rPr>
          <w:sz w:val="20"/>
          <w:szCs w:val="20"/>
          <w:color w:val="auto"/>
        </w:rPr>
      </w:pPr>
      <w:r>
        <w:rPr>
          <w:rFonts w:ascii="Times New Roman" w:cs="Times New Roman" w:eastAsia="Times New Roman" w:hAnsi="Times New Roman"/>
          <w:sz w:val="16"/>
          <w:szCs w:val="16"/>
          <w:color w:val="auto"/>
        </w:rPr>
        <w:t>Class A common stock outstanding after this offering, assuming exchange of all Common Units held by the Continuing Common Unitholders</w:t>
      </w:r>
    </w:p>
    <w:p>
      <w:pPr>
        <w:spacing w:after="0" w:line="193" w:lineRule="exact"/>
        <w:rPr>
          <w:sz w:val="20"/>
          <w:szCs w:val="20"/>
          <w:color w:val="auto"/>
        </w:rPr>
      </w:pPr>
    </w:p>
    <w:p>
      <w:pPr>
        <w:jc w:val="both"/>
        <w:ind w:left="980" w:right="20" w:hanging="69"/>
        <w:spacing w:after="0" w:line="281" w:lineRule="auto"/>
        <w:rPr>
          <w:sz w:val="20"/>
          <w:szCs w:val="20"/>
          <w:color w:val="auto"/>
        </w:rPr>
      </w:pPr>
      <w:r>
        <w:rPr>
          <w:rFonts w:ascii="Times New Roman" w:cs="Times New Roman" w:eastAsia="Times New Roman" w:hAnsi="Times New Roman"/>
          <w:sz w:val="16"/>
          <w:szCs w:val="16"/>
          <w:color w:val="auto"/>
        </w:rPr>
        <w:t>Class B common stock outstanding, after giving effect to this offering</w:t>
      </w:r>
    </w:p>
    <w:p>
      <w:pPr>
        <w:spacing w:after="0" w:line="360" w:lineRule="exact"/>
        <w:rPr>
          <w:sz w:val="20"/>
          <w:szCs w:val="20"/>
          <w:color w:val="auto"/>
        </w:rPr>
      </w:pPr>
    </w:p>
    <w:p>
      <w:pPr>
        <w:ind w:left="980" w:right="140" w:hanging="69"/>
        <w:spacing w:after="0" w:line="281" w:lineRule="auto"/>
        <w:rPr>
          <w:sz w:val="20"/>
          <w:szCs w:val="20"/>
          <w:color w:val="auto"/>
        </w:rPr>
      </w:pPr>
      <w:r>
        <w:rPr>
          <w:rFonts w:ascii="Times New Roman" w:cs="Times New Roman" w:eastAsia="Times New Roman" w:hAnsi="Times New Roman"/>
          <w:sz w:val="16"/>
          <w:szCs w:val="16"/>
          <w:color w:val="auto"/>
        </w:rPr>
        <w:t>Voting power held by investors in this offering, after giving effect to this offering</w:t>
      </w:r>
    </w:p>
    <w:p>
      <w:pPr>
        <w:spacing w:after="0" w:line="180" w:lineRule="exact"/>
        <w:rPr>
          <w:sz w:val="20"/>
          <w:szCs w:val="20"/>
          <w:color w:val="auto"/>
        </w:rPr>
      </w:pPr>
    </w:p>
    <w:p>
      <w:pPr>
        <w:ind w:left="980" w:hanging="69"/>
        <w:spacing w:after="0" w:line="281" w:lineRule="auto"/>
        <w:rPr>
          <w:sz w:val="20"/>
          <w:szCs w:val="20"/>
          <w:color w:val="auto"/>
        </w:rPr>
      </w:pPr>
      <w:r>
        <w:rPr>
          <w:rFonts w:ascii="Times New Roman" w:cs="Times New Roman" w:eastAsia="Times New Roman" w:hAnsi="Times New Roman"/>
          <w:sz w:val="16"/>
          <w:szCs w:val="16"/>
          <w:color w:val="auto"/>
        </w:rPr>
        <w:t>Voting power held by our pre-IPO owners, after giving effect to this offering</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color w:val="auto"/>
        </w:rPr>
        <w:t>Indications of interest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216,034,482 shares (or 248,439,654 shares if the underwriters exercise in full their option to purchase additional shares of Class A common stock).</w:t>
      </w:r>
    </w:p>
    <w:p>
      <w:pPr>
        <w:spacing w:after="0" w:line="168"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799,799,804 shares (or 811,418,179 shares if the underwriters exercise in full their option to purchase additional shares of Class A common stock).</w:t>
      </w:r>
    </w:p>
    <w:p>
      <w:pPr>
        <w:spacing w:after="0" w:line="180"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1,313,717,222 shares (which does not reflect any shares of Class A common stock issuable in exchange for as-converted Incentive Units).</w:t>
      </w:r>
    </w:p>
    <w:p>
      <w:pPr>
        <w:spacing w:after="0" w:line="37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6"/>
          <w:szCs w:val="16"/>
          <w:color w:val="auto"/>
        </w:rPr>
        <w:t>513,917,418 shares, all of which will be held by the Continuing Common Unitholders (or 502,299,043 shares if the underwriters exercise in full their option to purchase additional shares of Class A common stock).</w:t>
      </w:r>
    </w:p>
    <w:p>
      <w:pPr>
        <w:spacing w:after="0" w:line="18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16.4% (or 18.9% if the underwriters exercise in full their option to purchase additional shares of Class A common stock).</w:t>
      </w:r>
    </w:p>
    <w:p>
      <w:pPr>
        <w:spacing w:after="0" w:line="180"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6"/>
          <w:szCs w:val="16"/>
          <w:color w:val="auto"/>
        </w:rPr>
        <w:t>83.6% (or 81.1% if the underwriters exercise in full their option to purchase additional shares of Class A common stock).</w:t>
      </w:r>
    </w:p>
    <w:p>
      <w:pPr>
        <w:spacing w:after="0" w:line="18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18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18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Because these indications of interest are not binding agreements or commitments to purchase, members of the Mills Family and their affiliates or the cornerstone investors may determine to purchase</w:t>
      </w:r>
    </w:p>
    <w:p>
      <w:pPr>
        <w:spacing w:after="0" w:line="200" w:lineRule="exact"/>
        <w:rPr>
          <w:sz w:val="20"/>
          <w:szCs w:val="20"/>
          <w:color w:val="auto"/>
        </w:rPr>
      </w:pPr>
    </w:p>
    <w:p>
      <w:pPr>
        <w:sectPr>
          <w:pgSz w:w="11900" w:h="16838" w:orient="portrait"/>
          <w:cols w:equalWidth="0" w:num="2">
            <w:col w:w="4400" w:space="80"/>
            <w:col w:w="5840"/>
          </w:cols>
          <w:pgMar w:left="320" w:top="420" w:right="1259" w:bottom="1440" w:gutter="0" w:footer="0" w:header="0"/>
          <w:type w:val="continuous"/>
        </w:sectPr>
      </w:pPr>
    </w:p>
    <w:p>
      <w:pPr>
        <w:spacing w:after="0" w:line="6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0320"/>
          </w:cols>
          <w:pgMar w:left="320" w:top="420" w:right="12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50" w:type="dxa"/>
        <w:tblCellMar>
          <w:top w:w="0" w:type="dxa"/>
          <w:left w:w="0" w:type="dxa"/>
          <w:bottom w:w="0" w:type="dxa"/>
          <w:right w:w="0" w:type="dxa"/>
        </w:tblCellMar>
      </w:tblPr>
      <w:tr>
        <w:trPr>
          <w:trHeight w:val="335"/>
        </w:trPr>
        <w:tc>
          <w:tcPr>
            <w:tcW w:w="2580" w:type="dxa"/>
            <w:vAlign w:val="bottom"/>
            <w:tcBorders>
              <w:top w:val="single" w:sz="8" w:color="auto"/>
              <w:left w:val="single" w:sz="8" w:color="auto"/>
            </w:tcBorders>
          </w:tcPr>
          <w:p>
            <w:pPr>
              <w:spacing w:after="0"/>
              <w:rPr>
                <w:sz w:val="24"/>
                <w:szCs w:val="24"/>
                <w:color w:val="auto"/>
              </w:rPr>
            </w:pPr>
          </w:p>
        </w:tc>
        <w:tc>
          <w:tcPr>
            <w:tcW w:w="720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more, less, or no shares in this offering, or the underwriters may determine to sell more,</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less, or no shares to members of the Mills Family and their affiliates or the cornerstone</w:t>
            </w:r>
          </w:p>
        </w:tc>
      </w:tr>
      <w:tr>
        <w:trPr>
          <w:trHeight w:val="208"/>
        </w:trPr>
        <w:tc>
          <w:tcPr>
            <w:tcW w:w="258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investors.</w:t>
            </w:r>
          </w:p>
        </w:tc>
      </w:tr>
      <w:tr>
        <w:trPr>
          <w:trHeight w:val="402"/>
        </w:trPr>
        <w:tc>
          <w:tcPr>
            <w:tcW w:w="25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Use of proceeds</w:t>
            </w: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We estimate that the proceeds to Medline Inc. from this offering, after deducting estimated</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underwriting discounts and commissions, will be approximately $6,129 million (or</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$7,048 million if the underwriters exercise in full their option to purchase additional shares</w:t>
            </w:r>
          </w:p>
        </w:tc>
      </w:tr>
      <w:tr>
        <w:trPr>
          <w:trHeight w:val="208"/>
        </w:trPr>
        <w:tc>
          <w:tcPr>
            <w:tcW w:w="258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of Class A common stock).</w:t>
            </w:r>
          </w:p>
        </w:tc>
      </w:tr>
      <w:tr>
        <w:trPr>
          <w:trHeight w:val="391"/>
        </w:trPr>
        <w:tc>
          <w:tcPr>
            <w:tcW w:w="258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from the issuance of 179,000,000 shares in this offering (which we estimate will be</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approximately $5,078 million) to acquire an equivalent number of newly issued Common</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Units from Medline Holdings, as described under “Organizational Structure—Offering</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Transactions.” Medline Holdings will in turn use approximately $729 million to repay in</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full all outstanding indebtedness under our New Euro Term Loan Facility, approximately</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$3,280 million to repay a portion of the outstanding indebtedness under our 2028</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Refinancing Term Loan Facility, and the remainder for general corporate purposes and to</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bear all of the expenses of this offering. We estimate these offering expenses (excluding</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underwriting discounts and commissions) will be approximately $38 million. See “Use of</w:t>
            </w:r>
          </w:p>
        </w:tc>
      </w:tr>
      <w:tr>
        <w:trPr>
          <w:trHeight w:val="208"/>
        </w:trPr>
        <w:tc>
          <w:tcPr>
            <w:tcW w:w="258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Proceeds.”</w:t>
            </w:r>
          </w:p>
        </w:tc>
      </w:tr>
      <w:tr>
        <w:trPr>
          <w:trHeight w:val="391"/>
        </w:trPr>
        <w:tc>
          <w:tcPr>
            <w:tcW w:w="258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from the issuance of 37,034,482 shares (which we estimate will be approximately</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$1,051 million) and from any issuance of shares pursuant to any exercise by the</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underwriters of their option to purchase up to 32,405,172 additional shares of Class A</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common stock (which we estimate will be approximately $919 million if the underwriters</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exercise in full their option to purchase additional shares of Class A common stock) to</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purchase or redeem outstanding equity interests from certain of our pre-IPO owners at a</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price per equity interest equal to the initial public offering price per share of our Class A</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common stock less the underwriting discounts and commissions, as described under</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“Organizational Structure—Offering Transactions.” Accordingly, we will not retain any of</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these proceeds. See “Principal Stockholders” for information regarding the proceeds from</w:t>
            </w:r>
          </w:p>
        </w:tc>
      </w:tr>
      <w:tr>
        <w:trPr>
          <w:trHeight w:val="208"/>
        </w:trPr>
        <w:tc>
          <w:tcPr>
            <w:tcW w:w="258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this offering that may be paid to certain of our pre-IPO owners.</w:t>
            </w:r>
          </w:p>
        </w:tc>
      </w:tr>
      <w:tr>
        <w:trPr>
          <w:trHeight w:val="391"/>
        </w:trPr>
        <w:tc>
          <w:tcPr>
            <w:tcW w:w="25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Conflicts of Interest</w:t>
            </w: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Affiliates of Blackstone and Carlyle beneficially own in excess of 10% of our issued and</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outstanding common stock and will receive in excess of 5% of the net proceeds of this</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offering. Because TCG Capital Markets L.L.C. and Blackstone Securities Partners L.P. are</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underwriters in this offering, and their affiliates own in excess of 10% of our issued and</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outstanding common stock and will receive in excess of 5% of the net proceeds of this</w:t>
            </w:r>
          </w:p>
        </w:tc>
      </w:tr>
      <w:tr>
        <w:trPr>
          <w:trHeight w:val="192"/>
        </w:trPr>
        <w:tc>
          <w:tcPr>
            <w:tcW w:w="2580" w:type="dxa"/>
            <w:vAlign w:val="bottom"/>
            <w:tcBorders>
              <w:left w:val="single" w:sz="8" w:color="auto"/>
            </w:tcBorders>
          </w:tcPr>
          <w:p>
            <w:pPr>
              <w:spacing w:after="0"/>
              <w:rPr>
                <w:sz w:val="16"/>
                <w:szCs w:val="16"/>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offering, TCG Capital Markets L.L.C. and Blackstone Securities Partners L.P. are deemed</w:t>
            </w:r>
          </w:p>
        </w:tc>
      </w:tr>
      <w:tr>
        <w:trPr>
          <w:trHeight w:val="208"/>
        </w:trPr>
        <w:tc>
          <w:tcPr>
            <w:tcW w:w="258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6"/>
                <w:szCs w:val="16"/>
                <w:color w:val="auto"/>
              </w:rPr>
              <w:t>to</w:t>
            </w:r>
          </w:p>
        </w:tc>
      </w:tr>
      <w:tr>
        <w:trPr>
          <w:trHeight w:val="152"/>
        </w:trPr>
        <w:tc>
          <w:tcPr>
            <w:tcW w:w="2580" w:type="dxa"/>
            <w:vAlign w:val="bottom"/>
            <w:tcBorders>
              <w:left w:val="single" w:sz="8" w:color="auto"/>
              <w:bottom w:val="single" w:sz="8" w:color="auto"/>
            </w:tcBorders>
          </w:tcPr>
          <w:p>
            <w:pPr>
              <w:spacing w:after="0"/>
              <w:rPr>
                <w:sz w:val="13"/>
                <w:szCs w:val="13"/>
                <w:color w:val="auto"/>
              </w:rPr>
            </w:pPr>
          </w:p>
        </w:tc>
        <w:tc>
          <w:tcPr>
            <w:tcW w:w="7200" w:type="dxa"/>
            <w:vAlign w:val="bottom"/>
            <w:tcBorders>
              <w:bottom w:val="single" w:sz="8" w:color="auto"/>
              <w:right w:val="single" w:sz="8" w:color="auto"/>
            </w:tcBorders>
          </w:tcPr>
          <w:p>
            <w:pPr>
              <w:spacing w:after="0"/>
              <w:rPr>
                <w:sz w:val="13"/>
                <w:szCs w:val="13"/>
                <w:color w:val="auto"/>
              </w:rPr>
            </w:pPr>
          </w:p>
        </w:tc>
      </w:tr>
      <w:tr>
        <w:trPr>
          <w:trHeight w:val="319"/>
        </w:trPr>
        <w:tc>
          <w:tcPr>
            <w:tcW w:w="2580" w:type="dxa"/>
            <w:vAlign w:val="bottom"/>
          </w:tcPr>
          <w:p>
            <w:pPr>
              <w:spacing w:after="0"/>
              <w:rPr>
                <w:sz w:val="24"/>
                <w:szCs w:val="24"/>
                <w:color w:val="auto"/>
              </w:rPr>
            </w:pPr>
          </w:p>
        </w:tc>
        <w:tc>
          <w:tcPr>
            <w:tcW w:w="7200" w:type="dxa"/>
            <w:vAlign w:val="bottom"/>
          </w:tcPr>
          <w:p>
            <w:pPr>
              <w:ind w:left="2220"/>
              <w:spacing w:after="0"/>
              <w:rPr>
                <w:sz w:val="20"/>
                <w:szCs w:val="20"/>
                <w:color w:val="auto"/>
              </w:rPr>
            </w:pPr>
            <w:r>
              <w:rPr>
                <w:rFonts w:ascii="Times New Roman" w:cs="Times New Roman" w:eastAsia="Times New Roman" w:hAnsi="Times New Roman"/>
                <w:sz w:val="16"/>
                <w:szCs w:val="16"/>
                <w:color w:val="auto"/>
              </w:rPr>
              <w:t>21</w:t>
            </w:r>
          </w:p>
        </w:tc>
      </w:tr>
    </w:tbl>
    <w:p>
      <w:pPr>
        <w:sectPr>
          <w:pgSz w:w="11900" w:h="16838" w:orient="portrait"/>
          <w:cols w:equalWidth="0" w:num="1">
            <w:col w:w="10520"/>
          </w:cols>
          <w:pgMar w:left="320" w:top="420" w:right="10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50" w:type="dxa"/>
        <w:tblCellMar>
          <w:top w:w="0" w:type="dxa"/>
          <w:left w:w="0" w:type="dxa"/>
          <w:bottom w:w="0" w:type="dxa"/>
          <w:right w:w="0" w:type="dxa"/>
        </w:tblCellMar>
      </w:tblPr>
      <w:tr>
        <w:trPr>
          <w:trHeight w:val="335"/>
        </w:trPr>
        <w:tc>
          <w:tcPr>
            <w:tcW w:w="246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have a “conflict of interest” under Rule 5121 (“Rule 5121”) of the Financial Industry</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Regulatory Authority, Inc. (“FINRA”). Accordingly, this offering is being made in</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compliance with the requirements of Rule 5121. Pursuant to that rule, the appointment of a</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“qualified independent underwriter” is not required in connection with this offering as the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member primarily responsible for managing the public offering does not have a conflict of</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interest, is not an affiliate of any member that has a conflict of interest and meets the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requirements of paragraph (f)(12)(E) of Rule 5121. See “Underwriting (Conflicts of</w:t>
            </w:r>
          </w:p>
        </w:tc>
      </w:tr>
      <w:tr>
        <w:trPr>
          <w:trHeight w:val="208"/>
        </w:trPr>
        <w:tc>
          <w:tcPr>
            <w:tcW w:w="24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Interest).”</w:t>
            </w:r>
          </w:p>
        </w:tc>
      </w:tr>
      <w:tr>
        <w:trPr>
          <w:trHeight w:val="402"/>
        </w:trPr>
        <w:tc>
          <w:tcPr>
            <w:tcW w:w="2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Voting rights</w:t>
            </w: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Each share of our Class A common stock entitles its holder to one vote on all matters to be</w:t>
            </w:r>
          </w:p>
        </w:tc>
      </w:tr>
      <w:tr>
        <w:trPr>
          <w:trHeight w:val="208"/>
        </w:trPr>
        <w:tc>
          <w:tcPr>
            <w:tcW w:w="24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voted on by stockholders generally.</w:t>
            </w:r>
          </w:p>
        </w:tc>
      </w:tr>
      <w:tr>
        <w:trPr>
          <w:trHeight w:val="391"/>
        </w:trPr>
        <w:tc>
          <w:tcPr>
            <w:tcW w:w="24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Class B common stock and, upon conversion of vested Incentive Units for Common Units,</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the converting holders will also receive an equivalent number of shares of Class B common</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stock. The shares of Class B common stock will have no economic rights but will entitle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each holder to one vote for each share held of record on all matters to be voted on by</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stockholders generally, with the number of shares of Class B common stock held by each</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Continuing Unitholder being equivalent to the number of Common Units held by each such</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Continuing Unitholder. If at any time the ratio at which Common Units are exchangeable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for shares of our Class A common stock changes from one-for-one as described under</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“Certain Relationships and Related Person Transactions—Exchange Agreement,” the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number of votes to which Class B common stockholders are entitled will be adjusted</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accordingly. Holders of shares of our Class B common stock will vote together with</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holders of our Class A common stock as a single class on all matters on which stockholders</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are entitled to vote generally, except as otherwise required by law. See “Description of</w:t>
            </w:r>
          </w:p>
        </w:tc>
      </w:tr>
      <w:tr>
        <w:trPr>
          <w:trHeight w:val="208"/>
        </w:trPr>
        <w:tc>
          <w:tcPr>
            <w:tcW w:w="24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Capital Stock—Common Stock—Class B Common Stock.”</w:t>
            </w:r>
          </w:p>
        </w:tc>
      </w:tr>
      <w:tr>
        <w:trPr>
          <w:trHeight w:val="391"/>
        </w:trPr>
        <w:tc>
          <w:tcPr>
            <w:tcW w:w="24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Dividend policy</w:t>
            </w: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We have no current plans to pay dividends on our Class A common stock following this</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offering. The declaration, amount, and payment of any future dividends will be at the sole</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discretion of our board of directors and will depend on general economic and business</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conditions; our financial condition and operating results; our available cash; current and</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anticipated cash needs; capital requirements; contractual, legal, tax, and regulatory</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restrictions and implications on the payment of dividends by us to our stockholders or by</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our subsidiaries (including Medline Holdings) to us; and such other factors as our board of</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directors may deem relevant. Holders of Class B common stock are not entitled to any</w:t>
            </w:r>
          </w:p>
        </w:tc>
      </w:tr>
      <w:tr>
        <w:trPr>
          <w:trHeight w:val="192"/>
        </w:trPr>
        <w:tc>
          <w:tcPr>
            <w:tcW w:w="2460" w:type="dxa"/>
            <w:vAlign w:val="bottom"/>
            <w:tcBorders>
              <w:left w:val="single" w:sz="8" w:color="auto"/>
            </w:tcBorders>
          </w:tcPr>
          <w:p>
            <w:pPr>
              <w:spacing w:after="0"/>
              <w:rPr>
                <w:sz w:val="16"/>
                <w:szCs w:val="16"/>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dividends (other than dividends payable in the form of additional shares of Class B</w:t>
            </w:r>
          </w:p>
        </w:tc>
      </w:tr>
      <w:tr>
        <w:trPr>
          <w:trHeight w:val="208"/>
        </w:trPr>
        <w:tc>
          <w:tcPr>
            <w:tcW w:w="24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common stock).</w:t>
            </w:r>
          </w:p>
        </w:tc>
      </w:tr>
      <w:tr>
        <w:trPr>
          <w:trHeight w:val="391"/>
        </w:trPr>
        <w:tc>
          <w:tcPr>
            <w:tcW w:w="24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Medline Inc. is a holding company and has no material assets other than its equity interests</w:t>
            </w:r>
          </w:p>
        </w:tc>
      </w:tr>
      <w:tr>
        <w:trPr>
          <w:trHeight w:val="208"/>
        </w:trPr>
        <w:tc>
          <w:tcPr>
            <w:tcW w:w="24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6"/>
                <w:szCs w:val="16"/>
                <w:color w:val="auto"/>
              </w:rPr>
              <w:t>held directly or indirectly through wholly</w:t>
            </w:r>
          </w:p>
        </w:tc>
      </w:tr>
      <w:tr>
        <w:trPr>
          <w:trHeight w:val="152"/>
        </w:trPr>
        <w:tc>
          <w:tcPr>
            <w:tcW w:w="246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19"/>
        </w:trPr>
        <w:tc>
          <w:tcPr>
            <w:tcW w:w="2460" w:type="dxa"/>
            <w:vAlign w:val="bottom"/>
          </w:tcPr>
          <w:p>
            <w:pPr>
              <w:spacing w:after="0"/>
              <w:rPr>
                <w:sz w:val="24"/>
                <w:szCs w:val="24"/>
                <w:color w:val="auto"/>
              </w:rPr>
            </w:pPr>
          </w:p>
        </w:tc>
        <w:tc>
          <w:tcPr>
            <w:tcW w:w="732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22</w:t>
            </w:r>
          </w:p>
        </w:tc>
      </w:tr>
    </w:tbl>
    <w:p>
      <w:pPr>
        <w:sectPr>
          <w:pgSz w:w="11900" w:h="16838" w:orient="portrait"/>
          <w:cols w:equalWidth="0" w:num="1">
            <w:col w:w="10520"/>
          </w:cols>
          <w:pgMar w:left="320" w:top="420" w:right="10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50" w:type="dxa"/>
        <w:tblCellMar>
          <w:top w:w="0" w:type="dxa"/>
          <w:left w:w="0" w:type="dxa"/>
          <w:bottom w:w="0" w:type="dxa"/>
          <w:right w:w="0" w:type="dxa"/>
        </w:tblCellMar>
      </w:tblPr>
      <w:tr>
        <w:trPr>
          <w:trHeight w:val="335"/>
        </w:trPr>
        <w:tc>
          <w:tcPr>
            <w:tcW w:w="3540" w:type="dxa"/>
            <w:vAlign w:val="bottom"/>
            <w:tcBorders>
              <w:top w:val="single" w:sz="8" w:color="auto"/>
              <w:left w:val="single" w:sz="8" w:color="auto"/>
            </w:tcBorders>
          </w:tcPr>
          <w:p>
            <w:pPr>
              <w:spacing w:after="0"/>
              <w:rPr>
                <w:sz w:val="24"/>
                <w:szCs w:val="24"/>
                <w:color w:val="auto"/>
              </w:rPr>
            </w:pPr>
          </w:p>
        </w:tc>
        <w:tc>
          <w:tcPr>
            <w:tcW w:w="624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owned subsidiaries in Medline Holdings. We intend to cause Medline Holdings to make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distributions to us in an amount sufficient to cover cash dividends, if any, declared by us. If</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Medline Holdings makes such distributions to Medline Inc., the other holders of Common</w:t>
            </w:r>
          </w:p>
        </w:tc>
      </w:tr>
      <w:tr>
        <w:trPr>
          <w:trHeight w:val="190"/>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Units and any participating Incentive Units (as described below) will be entitled to receive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 xml:space="preserve">equivalent pro rata </w:t>
            </w:r>
            <w:r>
              <w:rPr>
                <w:rFonts w:ascii="Times New Roman" w:cs="Times New Roman" w:eastAsia="Times New Roman" w:hAnsi="Times New Roman"/>
                <w:sz w:val="16"/>
                <w:szCs w:val="16"/>
                <w:i w:val="1"/>
                <w:iCs w:val="1"/>
                <w:color w:val="auto"/>
              </w:rPr>
              <w:t>distributions. Incentive Units initially will not be entitled to receive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distributions (other than tax distributions) until holders of Common Units have received a</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minimum return as provided in the amended and restated limited partnership agreement of</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Medline Holdings. However, Incentive Units will have the benefit of adjustment provisions</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that will reduce the participation threshold for distributions in respect of which they do not</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participate until there is no participation threshold, at and after which time the Incentive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Units would participate pro rata with distributions on Common Units. The adjustment to</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the participation threshold of an Incentive Unit for distributions in respect of which such</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Incentive Unit does not participate will be factored into calculating the number of Common</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Units the holder of vested Incentive Units would receive upon conversion of a vested</w:t>
            </w:r>
          </w:p>
        </w:tc>
      </w:tr>
      <w:tr>
        <w:trPr>
          <w:trHeight w:val="210"/>
        </w:trPr>
        <w:tc>
          <w:tcPr>
            <w:tcW w:w="354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i w:val="1"/>
                <w:iCs w:val="1"/>
                <w:color w:val="auto"/>
              </w:rPr>
              <w:t>Incentive Unit for a Common Unit.</w:t>
            </w:r>
          </w:p>
        </w:tc>
      </w:tr>
      <w:tr>
        <w:trPr>
          <w:trHeight w:val="402"/>
        </w:trPr>
        <w:tc>
          <w:tcPr>
            <w:tcW w:w="3540" w:type="dxa"/>
            <w:vAlign w:val="bottom"/>
            <w:tcBorders>
              <w:left w:val="single" w:sz="8" w:color="auto"/>
            </w:tcBorders>
          </w:tcPr>
          <w:p>
            <w:pPr>
              <w:spacing w:after="0"/>
              <w:rPr>
                <w:sz w:val="24"/>
                <w:szCs w:val="24"/>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Under the terms of the amended and restated limited partnership agreement, Medline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Holdings is obligated to make tax distributions to holders of Units (including Medline Inc.)</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at certain assumed tax rates. See “Risk Factors—Risks Related to Our Organizational</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Structure—Medline Inc. is a holding company and its only material assets after completion</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of this offering will be its equity interests held directly or indirectly through wholly owned</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subsidiaries in Medline Holdings, and it is accordingly dependent upon distributions from</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Medline Holdings to pay taxes, make payments under the tax receivable agreement, and</w:t>
            </w:r>
          </w:p>
        </w:tc>
      </w:tr>
      <w:tr>
        <w:trPr>
          <w:trHeight w:val="208"/>
        </w:trPr>
        <w:tc>
          <w:tcPr>
            <w:tcW w:w="354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pay dividends.”</w:t>
            </w:r>
          </w:p>
        </w:tc>
      </w:tr>
      <w:tr>
        <w:trPr>
          <w:trHeight w:val="391"/>
        </w:trPr>
        <w:tc>
          <w:tcPr>
            <w:tcW w:w="35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Exchange rights of holders of Common Units and</w:t>
            </w: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Prior to this offering, we will enter into an exchange agreement with the Continuing</w:t>
            </w:r>
          </w:p>
        </w:tc>
      </w:tr>
      <w:tr>
        <w:trPr>
          <w:trHeight w:val="192"/>
        </w:trPr>
        <w:tc>
          <w:tcPr>
            <w:tcW w:w="3540" w:type="dxa"/>
            <w:vAlign w:val="bottom"/>
            <w:tcBorders>
              <w:lef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Incentive Units</w:t>
            </w: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Unitholders so that they may, after the completion of this offering (subject to the terms of</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the exchange agreement), exchange their Common Units (including Common Units issued</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upon conversion of vested Incentive Units) for shares of Class A common stock of Medline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Inc. on a one-for-one basis, subject to customary conversion rate adjustments for stock</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splits, stock dividends and reclassifications, whereupon an equivalent number of shares of</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Class B common stock held by each such Continuing Unitholder will be automatically</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transferred to us and cancelled and retired upon any such exchange. See “Certain</w:t>
            </w:r>
          </w:p>
        </w:tc>
      </w:tr>
      <w:tr>
        <w:trPr>
          <w:trHeight w:val="208"/>
        </w:trPr>
        <w:tc>
          <w:tcPr>
            <w:tcW w:w="354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Relationships and Related Person Transactions—Exchange Agreement.”</w:t>
            </w:r>
          </w:p>
        </w:tc>
      </w:tr>
      <w:tr>
        <w:trPr>
          <w:trHeight w:val="391"/>
        </w:trPr>
        <w:tc>
          <w:tcPr>
            <w:tcW w:w="3540" w:type="dxa"/>
            <w:vAlign w:val="bottom"/>
            <w:tcBorders>
              <w:left w:val="single" w:sz="8" w:color="auto"/>
            </w:tcBorders>
          </w:tcPr>
          <w:p>
            <w:pPr>
              <w:spacing w:after="0"/>
              <w:rPr>
                <w:sz w:val="24"/>
                <w:szCs w:val="24"/>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Subject to certain restrictions, the holders of vested Incentive Units will have the right to</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convert their vested Incentive Units into a number of Common Units that will generally be</w:t>
            </w:r>
          </w:p>
        </w:tc>
      </w:tr>
      <w:tr>
        <w:trPr>
          <w:trHeight w:val="192"/>
        </w:trPr>
        <w:tc>
          <w:tcPr>
            <w:tcW w:w="3540" w:type="dxa"/>
            <w:vAlign w:val="bottom"/>
            <w:tcBorders>
              <w:left w:val="single" w:sz="8" w:color="auto"/>
            </w:tcBorders>
          </w:tcPr>
          <w:p>
            <w:pPr>
              <w:spacing w:after="0"/>
              <w:rPr>
                <w:sz w:val="16"/>
                <w:szCs w:val="16"/>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equal to (a) the product of the number of vested Incentive Units to be converted with a</w:t>
            </w:r>
          </w:p>
        </w:tc>
      </w:tr>
      <w:tr>
        <w:trPr>
          <w:trHeight w:val="208"/>
        </w:trPr>
        <w:tc>
          <w:tcPr>
            <w:tcW w:w="3540" w:type="dxa"/>
            <w:vAlign w:val="bottom"/>
            <w:tcBorders>
              <w:left w:val="single" w:sz="8" w:color="auto"/>
            </w:tcBorders>
          </w:tcPr>
          <w:p>
            <w:pPr>
              <w:spacing w:after="0"/>
              <w:rPr>
                <w:sz w:val="18"/>
                <w:szCs w:val="18"/>
                <w:color w:val="auto"/>
              </w:rPr>
            </w:pPr>
          </w:p>
        </w:tc>
        <w:tc>
          <w:tcPr>
            <w:tcW w:w="62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given per unit participation threshold and then-current difference</w:t>
            </w:r>
          </w:p>
        </w:tc>
      </w:tr>
      <w:tr>
        <w:trPr>
          <w:trHeight w:val="152"/>
        </w:trPr>
        <w:tc>
          <w:tcPr>
            <w:tcW w:w="3540" w:type="dxa"/>
            <w:vAlign w:val="bottom"/>
            <w:tcBorders>
              <w:left w:val="single" w:sz="8" w:color="auto"/>
              <w:bottom w:val="single" w:sz="8" w:color="auto"/>
            </w:tcBorders>
          </w:tcPr>
          <w:p>
            <w:pPr>
              <w:spacing w:after="0"/>
              <w:rPr>
                <w:sz w:val="13"/>
                <w:szCs w:val="13"/>
                <w:color w:val="auto"/>
              </w:rPr>
            </w:pPr>
          </w:p>
        </w:tc>
        <w:tc>
          <w:tcPr>
            <w:tcW w:w="6240" w:type="dxa"/>
            <w:vAlign w:val="bottom"/>
            <w:tcBorders>
              <w:bottom w:val="single" w:sz="8" w:color="auto"/>
              <w:right w:val="single" w:sz="8" w:color="auto"/>
            </w:tcBorders>
          </w:tcPr>
          <w:p>
            <w:pPr>
              <w:spacing w:after="0"/>
              <w:rPr>
                <w:sz w:val="13"/>
                <w:szCs w:val="13"/>
                <w:color w:val="auto"/>
              </w:rPr>
            </w:pPr>
          </w:p>
        </w:tc>
      </w:tr>
      <w:tr>
        <w:trPr>
          <w:trHeight w:val="319"/>
        </w:trPr>
        <w:tc>
          <w:tcPr>
            <w:tcW w:w="3540" w:type="dxa"/>
            <w:vAlign w:val="bottom"/>
          </w:tcPr>
          <w:p>
            <w:pPr>
              <w:spacing w:after="0"/>
              <w:rPr>
                <w:sz w:val="24"/>
                <w:szCs w:val="24"/>
                <w:color w:val="auto"/>
              </w:rPr>
            </w:pPr>
          </w:p>
        </w:tc>
        <w:tc>
          <w:tcPr>
            <w:tcW w:w="624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23</w:t>
            </w:r>
          </w:p>
        </w:tc>
      </w:tr>
    </w:tbl>
    <w:p>
      <w:pPr>
        <w:sectPr>
          <w:pgSz w:w="11900" w:h="16838" w:orient="portrait"/>
          <w:cols w:equalWidth="0" w:num="1">
            <w:col w:w="10520"/>
          </w:cols>
          <w:pgMar w:left="320" w:top="420" w:right="10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78" w:lineRule="exact"/>
        <w:rPr>
          <w:sz w:val="20"/>
          <w:szCs w:val="20"/>
          <w:color w:val="auto"/>
        </w:rPr>
      </w:pPr>
    </w:p>
    <w:tbl>
      <w:tblPr>
        <w:tblLayout w:type="fixed"/>
        <w:tblInd w:w="750" w:type="dxa"/>
        <w:tblCellMar>
          <w:top w:w="0" w:type="dxa"/>
          <w:left w:w="0" w:type="dxa"/>
          <w:bottom w:w="0" w:type="dxa"/>
          <w:right w:w="0" w:type="dxa"/>
        </w:tblCellMar>
      </w:tblPr>
      <w:tr>
        <w:trPr>
          <w:trHeight w:val="335"/>
        </w:trPr>
        <w:tc>
          <w:tcPr>
            <w:tcW w:w="276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between the per unit value of a Common Unit at the time of the conversion (based on the</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public trading price of a share of Class A common stock) and the per unit participation</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threshold of such vested Incentive Units divided by (b) the per unit value of a Common</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Unit at the time of the conversion (based on the public trading price of a share of Class A</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common stock), subject to certain adjustments. See “Certain Relationships and Related</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Person Transactions—Medline Holdings Amended and Restated Limited Partnership</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Agreement.” Common Units received upon conversion will be exchangeable on a one-for-</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one basis for shares of Class A common stock of Medline Inc. in accordance with the terms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of the exchange agreement. An unvested Incentive Unit will not be exchangeable unless</w:t>
            </w:r>
          </w:p>
        </w:tc>
      </w:tr>
      <w:tr>
        <w:trPr>
          <w:trHeight w:val="208"/>
        </w:trPr>
        <w:tc>
          <w:tcPr>
            <w:tcW w:w="276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and until such Incentive Unit vests.</w:t>
            </w:r>
          </w:p>
        </w:tc>
      </w:tr>
      <w:tr>
        <w:trPr>
          <w:trHeight w:val="402"/>
        </w:trPr>
        <w:tc>
          <w:tcPr>
            <w:tcW w:w="27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Tax receivable agreement</w:t>
            </w: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Prior to the completion of this offering, we will enter into a tax receivable agreement with</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certain of our pre-IPO owners that provides for the payment by Medline Inc. to such</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pre-IPO owners of 90% of certain tax benefits, if any, that Medline Inc. realizes, or is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deemed to realize (calculated using certain assumptions), as a result of (i) Medline Inc.’s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allocable share of the existing tax basis in Medline Holdings’ assets acquired in this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offering, (ii) increases in Medline Inc.’s allocable share of existing tax basis and tax basis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adjustments to the tangible and intangible assets of Medline Holdings as a result of sales or</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exchanges of Common Units (including Common Units issued upon conversion of vested</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Incentive Units) in connection with or after this offering, (iii) Medline Inc.’s utilization of</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certain tax attributes (including any existing tax basis) of the Blocker Companies, which</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Medline Inc. acquires in connection with this offering as described under “Organizational</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Structure—Blocker Transfers,” and (iv) certain other tax benefits related to entering into</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the tax receivable agreement, including tax benefits attributable to payments under the tax</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receivable agreement. Sales or exchanges of Common Units (including Common Units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issued upon conversion of vested Incentive Units) are expected to result in increases in the</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tax basis of the assets of Medline Holdings. The existing tax basis, increases in existing tax</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basis and tax basis adjustments generated over time may increase (for tax purposes)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depreciation and amortization deductions available to Medline Inc. for tax purposes and,</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therefore, may reduce the amount of U.S. federal, state and local tax that Medline Inc.</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would otherwise be required to pay in the future. Actual tax benefits realized by Medline</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Inc. may differ from tax benefits calculated under the tax receivable agreement as a result</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of the use of certain assumptions in the tax receivable agreement, including the use of an</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assumed blended state and local income tax rate of 6% (as adjusted to take into account the</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U.S. federal tax benefit of such taxes) to calculate tax benefits. This payment obligation is</w:t>
            </w:r>
          </w:p>
        </w:tc>
      </w:tr>
      <w:tr>
        <w:trPr>
          <w:trHeight w:val="192"/>
        </w:trPr>
        <w:tc>
          <w:tcPr>
            <w:tcW w:w="27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an obligation of Medline Inc. and not of Medline Holdings. See “Certain Relationships and</w:t>
            </w:r>
          </w:p>
        </w:tc>
      </w:tr>
      <w:tr>
        <w:trPr>
          <w:trHeight w:val="208"/>
        </w:trPr>
        <w:tc>
          <w:tcPr>
            <w:tcW w:w="276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Related Person Transactions—Tax Receivable Agreement.”</w:t>
            </w:r>
          </w:p>
        </w:tc>
      </w:tr>
      <w:tr>
        <w:trPr>
          <w:trHeight w:val="152"/>
        </w:trPr>
        <w:tc>
          <w:tcPr>
            <w:tcW w:w="2760" w:type="dxa"/>
            <w:vAlign w:val="bottom"/>
            <w:tcBorders>
              <w:left w:val="single" w:sz="8" w:color="auto"/>
              <w:bottom w:val="single" w:sz="8" w:color="auto"/>
            </w:tcBorders>
          </w:tcPr>
          <w:p>
            <w:pPr>
              <w:spacing w:after="0"/>
              <w:rPr>
                <w:sz w:val="13"/>
                <w:szCs w:val="13"/>
                <w:color w:val="auto"/>
              </w:rPr>
            </w:pPr>
          </w:p>
        </w:tc>
        <w:tc>
          <w:tcPr>
            <w:tcW w:w="7020" w:type="dxa"/>
            <w:vAlign w:val="bottom"/>
            <w:tcBorders>
              <w:bottom w:val="single" w:sz="8" w:color="auto"/>
              <w:right w:val="single" w:sz="8" w:color="auto"/>
            </w:tcBorders>
          </w:tcPr>
          <w:p>
            <w:pPr>
              <w:spacing w:after="0"/>
              <w:rPr>
                <w:sz w:val="13"/>
                <w:szCs w:val="13"/>
                <w:color w:val="auto"/>
              </w:rPr>
            </w:pPr>
          </w:p>
        </w:tc>
      </w:tr>
      <w:tr>
        <w:trPr>
          <w:trHeight w:val="319"/>
        </w:trPr>
        <w:tc>
          <w:tcPr>
            <w:tcW w:w="2760" w:type="dxa"/>
            <w:vAlign w:val="bottom"/>
          </w:tcPr>
          <w:p>
            <w:pPr>
              <w:spacing w:after="0"/>
              <w:rPr>
                <w:sz w:val="24"/>
                <w:szCs w:val="24"/>
                <w:color w:val="auto"/>
              </w:rPr>
            </w:pPr>
          </w:p>
        </w:tc>
        <w:tc>
          <w:tcPr>
            <w:tcW w:w="7020" w:type="dxa"/>
            <w:vAlign w:val="bottom"/>
          </w:tcPr>
          <w:p>
            <w:pPr>
              <w:ind w:left="2040"/>
              <w:spacing w:after="0"/>
              <w:rPr>
                <w:sz w:val="20"/>
                <w:szCs w:val="20"/>
                <w:color w:val="auto"/>
              </w:rPr>
            </w:pPr>
            <w:r>
              <w:rPr>
                <w:rFonts w:ascii="Times New Roman" w:cs="Times New Roman" w:eastAsia="Times New Roman" w:hAnsi="Times New Roman"/>
                <w:sz w:val="16"/>
                <w:szCs w:val="16"/>
                <w:color w:val="auto"/>
              </w:rPr>
              <w:t>24</w:t>
            </w:r>
          </w:p>
        </w:tc>
      </w:tr>
    </w:tbl>
    <w:p>
      <w:pPr>
        <w:sectPr>
          <w:pgSz w:w="11900" w:h="16838" w:orient="portrait"/>
          <w:cols w:equalWidth="0" w:num="1">
            <w:col w:w="10520"/>
          </w:cols>
          <w:pgMar w:left="320" w:top="420" w:right="10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196215</wp:posOffset>
            </wp:positionV>
            <wp:extent cx="6210300" cy="5852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10300" cy="5852795"/>
                    </a:xfrm>
                    <a:prstGeom prst="rect">
                      <a:avLst/>
                    </a:prstGeom>
                    <a:noFill/>
                  </pic:spPr>
                </pic:pic>
              </a:graphicData>
            </a:graphic>
          </wp:anchor>
        </w:drawing>
      </w:r>
    </w:p>
    <w:p>
      <w:pPr>
        <w:sectPr>
          <w:pgSz w:w="11900" w:h="16838" w:orient="portrait"/>
          <w:cols w:equalWidth="0" w:num="1">
            <w:col w:w="10300"/>
          </w:cols>
          <w:pgMar w:left="320" w:top="420" w:right="127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5"/>
          <w:szCs w:val="15"/>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See “Risk Factors” for a discussion of risks you should carefully consider before deciding to invest in our Class A common stock.</w:t>
      </w:r>
    </w:p>
    <w:p>
      <w:pPr>
        <w:spacing w:after="0" w:line="168" w:lineRule="exact"/>
        <w:rPr>
          <w:sz w:val="20"/>
          <w:szCs w:val="20"/>
          <w:color w:val="auto"/>
        </w:rPr>
      </w:pPr>
    </w:p>
    <w:p>
      <w:pPr>
        <w:sectPr>
          <w:pgSz w:w="11900" w:h="16838" w:orient="portrait"/>
          <w:cols w:equalWidth="0" w:num="2">
            <w:col w:w="3760" w:space="720"/>
            <w:col w:w="5820"/>
          </w:cols>
          <w:pgMar w:left="320" w:top="420" w:right="1279" w:bottom="1440" w:gutter="0" w:footer="0" w:header="0"/>
          <w:type w:val="continuous"/>
        </w:sectPr>
      </w:pPr>
    </w:p>
    <w:p>
      <w:pPr>
        <w:ind w:left="980" w:hanging="69"/>
        <w:spacing w:after="0" w:line="281" w:lineRule="auto"/>
        <w:rPr>
          <w:sz w:val="20"/>
          <w:szCs w:val="20"/>
          <w:color w:val="auto"/>
        </w:rPr>
      </w:pPr>
      <w:r>
        <w:rPr>
          <w:rFonts w:ascii="Times New Roman" w:cs="Times New Roman" w:eastAsia="Times New Roman" w:hAnsi="Times New Roman"/>
          <w:sz w:val="16"/>
          <w:szCs w:val="16"/>
          <w:color w:val="auto"/>
        </w:rPr>
        <w:t>Certain U.S. federal income tax consequences to non-U.S. holders</w:t>
      </w:r>
    </w:p>
    <w:p>
      <w:pPr>
        <w:spacing w:after="0" w:line="20" w:lineRule="exact"/>
        <w:rPr>
          <w:sz w:val="20"/>
          <w:szCs w:val="20"/>
          <w:color w:val="auto"/>
        </w:rPr>
      </w:pPr>
      <w:r>
        <w:rPr>
          <w:sz w:val="20"/>
          <w:szCs w:val="20"/>
          <w:color w:val="auto"/>
        </w:rPr>
        <w:br w:type="column"/>
      </w:r>
    </w:p>
    <w:p>
      <w:pPr>
        <w:jc w:val="both"/>
        <w:ind w:right="120"/>
        <w:spacing w:after="0" w:line="265" w:lineRule="auto"/>
        <w:rPr>
          <w:sz w:val="20"/>
          <w:szCs w:val="20"/>
          <w:color w:val="auto"/>
        </w:rPr>
      </w:pPr>
      <w:r>
        <w:rPr>
          <w:rFonts w:ascii="Times New Roman" w:cs="Times New Roman" w:eastAsia="Times New Roman" w:hAnsi="Times New Roman"/>
          <w:sz w:val="16"/>
          <w:szCs w:val="16"/>
          <w:color w:val="auto"/>
        </w:rPr>
        <w:t>For a discussion of certain U.S. federal income tax consequences that may be relevant to non-U.S. stockholders, see “Certain U.S. Federal Income Tax Consequences to Non-U.S. Holders.”</w:t>
      </w:r>
    </w:p>
    <w:p>
      <w:pPr>
        <w:spacing w:after="0" w:line="181" w:lineRule="exact"/>
        <w:rPr>
          <w:sz w:val="20"/>
          <w:szCs w:val="20"/>
          <w:color w:val="auto"/>
        </w:rPr>
      </w:pPr>
    </w:p>
    <w:p>
      <w:pPr>
        <w:sectPr>
          <w:pgSz w:w="11900" w:h="16838" w:orient="portrait"/>
          <w:cols w:equalWidth="0" w:num="2">
            <w:col w:w="4000" w:space="480"/>
            <w:col w:w="5820"/>
          </w:cols>
          <w:pgMar w:left="320" w:top="420" w:right="1279" w:bottom="1440" w:gutter="0" w:footer="0" w:header="0"/>
          <w:type w:val="continuous"/>
        </w:sectPr>
      </w:pPr>
    </w:p>
    <w:p>
      <w:pPr>
        <w:ind w:left="900"/>
        <w:spacing w:after="0"/>
        <w:rPr>
          <w:sz w:val="20"/>
          <w:szCs w:val="20"/>
          <w:color w:val="auto"/>
        </w:rPr>
      </w:pPr>
      <w:r>
        <w:rPr>
          <w:rFonts w:ascii="Times New Roman" w:cs="Times New Roman" w:eastAsia="Times New Roman" w:hAnsi="Times New Roman"/>
          <w:sz w:val="15"/>
          <w:szCs w:val="15"/>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“MDLN”</w:t>
      </w:r>
    </w:p>
    <w:p>
      <w:pPr>
        <w:spacing w:after="0" w:line="200" w:lineRule="exact"/>
        <w:rPr>
          <w:sz w:val="20"/>
          <w:szCs w:val="20"/>
          <w:color w:val="auto"/>
        </w:rPr>
      </w:pPr>
    </w:p>
    <w:p>
      <w:pPr>
        <w:sectPr>
          <w:pgSz w:w="11900" w:h="16838" w:orient="portrait"/>
          <w:cols w:equalWidth="0" w:num="2">
            <w:col w:w="3760" w:space="720"/>
            <w:col w:w="5820"/>
          </w:cols>
          <w:pgMar w:left="320" w:top="420" w:right="1279" w:bottom="1440" w:gutter="0" w:footer="0" w:header="0"/>
          <w:type w:val="continuous"/>
        </w:sectPr>
      </w:pPr>
    </w:p>
    <w:p>
      <w:pPr>
        <w:spacing w:after="0" w:line="11" w:lineRule="exact"/>
        <w:rPr>
          <w:sz w:val="20"/>
          <w:szCs w:val="20"/>
          <w:color w:val="auto"/>
        </w:rPr>
      </w:pPr>
    </w:p>
    <w:p>
      <w:pPr>
        <w:ind w:left="900" w:right="180" w:firstLine="378"/>
        <w:spacing w:after="0" w:line="281" w:lineRule="auto"/>
        <w:rPr>
          <w:sz w:val="20"/>
          <w:szCs w:val="20"/>
          <w:color w:val="auto"/>
        </w:rPr>
      </w:pPr>
      <w:r>
        <w:rPr>
          <w:rFonts w:ascii="Times New Roman" w:cs="Times New Roman" w:eastAsia="Times New Roman" w:hAnsi="Times New Roman"/>
          <w:sz w:val="16"/>
          <w:szCs w:val="16"/>
          <w:color w:val="auto"/>
        </w:rPr>
        <w:t>In this prospectus, unless otherwise indicated, the number of shares of Class A common stock outstanding and the other information based thereon does not reflect:</w:t>
      </w:r>
    </w:p>
    <w:p>
      <w:pPr>
        <w:spacing w:after="0" w:line="60" w:lineRule="exact"/>
        <w:rPr>
          <w:sz w:val="20"/>
          <w:szCs w:val="20"/>
          <w:color w:val="auto"/>
        </w:rPr>
      </w:pPr>
    </w:p>
    <w:p>
      <w:pPr>
        <w:ind w:left="1720" w:right="440" w:hanging="353"/>
        <w:spacing w:after="0" w:line="281" w:lineRule="auto"/>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32,405,172 shares of Class A common stock issuable upon exercise of the underwriters’ option to purchase additional shares of Class A common stock from Medline Inc.;</w:t>
      </w:r>
    </w:p>
    <w:p>
      <w:pPr>
        <w:spacing w:after="0" w:line="60" w:lineRule="exact"/>
        <w:rPr>
          <w:rFonts w:ascii="Times New Roman" w:cs="Times New Roman" w:eastAsia="Times New Roman" w:hAnsi="Times New Roman"/>
          <w:sz w:val="16"/>
          <w:szCs w:val="16"/>
          <w:color w:val="auto"/>
        </w:rPr>
      </w:pPr>
    </w:p>
    <w:p>
      <w:pPr>
        <w:ind w:left="1720" w:right="20" w:hanging="353"/>
        <w:spacing w:after="0" w:line="260" w:lineRule="auto"/>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513,917,418 shares of Class A common stock issuable upon exchange of 513,917,418 Common Units (or, if the underwriters exercise their option to purchase additional shares of Class A common stock, 502,299,043 shares of Class A common stock issuable upon exchange of 502,299,043 Common Units) that will be held by the Continuing Common Unitholders immediately following this offering;</w:t>
      </w:r>
    </w:p>
    <w:p>
      <w:pPr>
        <w:spacing w:after="0" w:line="76" w:lineRule="exact"/>
        <w:rPr>
          <w:rFonts w:ascii="Times New Roman" w:cs="Times New Roman" w:eastAsia="Times New Roman" w:hAnsi="Times New Roman"/>
          <w:sz w:val="16"/>
          <w:szCs w:val="16"/>
          <w:color w:val="auto"/>
        </w:rPr>
      </w:pPr>
    </w:p>
    <w:p>
      <w:pPr>
        <w:ind w:left="1720" w:right="20" w:hanging="353"/>
        <w:spacing w:after="0" w:line="265" w:lineRule="auto"/>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49,481,814 shares of Class A common stock that may be granted under the Medline Inc. 2025 Omnibus Incentive Plan (the “Omnibus Incentive Plan”), which includes shares of Class A common stock issuable upon exercise, vesting or settlement, as applicable, of the following employee equity grants, in each case, to be awarded in connection with the offering:</w:t>
      </w:r>
    </w:p>
    <w:p>
      <w:pPr>
        <w:spacing w:after="0" w:line="73" w:lineRule="exact"/>
        <w:rPr>
          <w:rFonts w:ascii="Times New Roman" w:cs="Times New Roman" w:eastAsia="Times New Roman" w:hAnsi="Times New Roman"/>
          <w:sz w:val="16"/>
          <w:szCs w:val="16"/>
          <w:color w:val="auto"/>
        </w:rPr>
      </w:pPr>
    </w:p>
    <w:p>
      <w:pPr>
        <w:ind w:left="2100" w:hanging="266"/>
        <w:spacing w:after="0" w:line="265" w:lineRule="auto"/>
        <w:tabs>
          <w:tab w:leader="none" w:pos="21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in exchange for an equivalent number of Common Units into which 42,197,933 participating outstanding Incentive Units held by the Continuing Incentive Unitholders are convertible (assuming such Incentive Units are fully vested), which units have a weighted average per unit participation threshold of $16.57;</w:t>
      </w:r>
    </w:p>
    <w:p>
      <w:pPr>
        <w:spacing w:after="0" w:line="73" w:lineRule="exact"/>
        <w:rPr>
          <w:rFonts w:ascii="Times New Roman" w:cs="Times New Roman" w:eastAsia="Times New Roman" w:hAnsi="Times New Roman"/>
          <w:sz w:val="16"/>
          <w:szCs w:val="16"/>
          <w:color w:val="auto"/>
        </w:rPr>
      </w:pPr>
    </w:p>
    <w:p>
      <w:pPr>
        <w:ind w:left="2100" w:right="80" w:hanging="266"/>
        <w:spacing w:after="0" w:line="281" w:lineRule="auto"/>
        <w:tabs>
          <w:tab w:leader="none" w:pos="21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6,770,442 shares of Class A common stock in respect of stock options to be granted to certain Exchanging Class B Unitholders with an exercise price per share equal to the initial public offering price per share of Class A common stock;</w:t>
      </w:r>
    </w:p>
    <w:p>
      <w:pPr>
        <w:spacing w:after="0" w:line="60" w:lineRule="exact"/>
        <w:rPr>
          <w:rFonts w:ascii="Times New Roman" w:cs="Times New Roman" w:eastAsia="Times New Roman" w:hAnsi="Times New Roman"/>
          <w:sz w:val="16"/>
          <w:szCs w:val="16"/>
          <w:color w:val="auto"/>
        </w:rPr>
      </w:pPr>
    </w:p>
    <w:p>
      <w:pPr>
        <w:ind w:left="2100" w:right="360" w:hanging="266"/>
        <w:spacing w:after="0" w:line="265" w:lineRule="auto"/>
        <w:tabs>
          <w:tab w:leader="none" w:pos="21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490,021 shares of Class A common stock underlying RSUs to be granted to certain Exchanging Unitholders, which will be issuable upon the settlement of such RSUs following the later of the date that is 180 days following the completion of this offering and the existing vesting date of the underlying unit; and</w:t>
      </w:r>
    </w:p>
    <w:p>
      <w:pPr>
        <w:spacing w:after="0" w:line="73" w:lineRule="exact"/>
        <w:rPr>
          <w:rFonts w:ascii="Times New Roman" w:cs="Times New Roman" w:eastAsia="Times New Roman" w:hAnsi="Times New Roman"/>
          <w:sz w:val="16"/>
          <w:szCs w:val="16"/>
          <w:color w:val="auto"/>
        </w:rPr>
      </w:pPr>
    </w:p>
    <w:p>
      <w:pPr>
        <w:ind w:left="2100" w:right="80" w:hanging="266"/>
        <w:spacing w:after="0" w:line="265" w:lineRule="auto"/>
        <w:tabs>
          <w:tab w:leader="none" w:pos="21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23,418 shares of Class A common stock underlying RSUs to be held by certain independent non-employee members of our board of directors, which will be issuable upon the settlement of such RSUs following the vesting date of such director’s RSUs in respect of Class A Units;</w:t>
      </w:r>
    </w:p>
    <w:p>
      <w:pPr>
        <w:spacing w:after="0" w:line="73" w:lineRule="exact"/>
        <w:rPr>
          <w:rFonts w:ascii="Times New Roman" w:cs="Times New Roman" w:eastAsia="Times New Roman" w:hAnsi="Times New Roman"/>
          <w:sz w:val="16"/>
          <w:szCs w:val="16"/>
          <w:color w:val="auto"/>
        </w:rPr>
      </w:pPr>
    </w:p>
    <w:p>
      <w:pPr>
        <w:ind w:left="1720" w:right="120" w:hanging="353"/>
        <w:spacing w:after="0" w:line="265" w:lineRule="auto"/>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60,000,000 additional shares of Class A common stock that may be granted under the Omnibus Incentive Plan, including awards we expect to grant to our named executive officers, other executive officers, and independent directors, see “Management— Compensation Arrangements to be Adopted in Connection with this Offering”; or</w:t>
      </w:r>
    </w:p>
    <w:p>
      <w:pPr>
        <w:spacing w:after="0" w:line="73" w:lineRule="exact"/>
        <w:rPr>
          <w:rFonts w:ascii="Times New Roman" w:cs="Times New Roman" w:eastAsia="Times New Roman" w:hAnsi="Times New Roman"/>
          <w:sz w:val="16"/>
          <w:szCs w:val="16"/>
          <w:color w:val="auto"/>
        </w:rPr>
      </w:pPr>
    </w:p>
    <w:p>
      <w:pPr>
        <w:ind w:left="1720" w:right="140" w:hanging="353"/>
        <w:spacing w:after="0" w:line="281" w:lineRule="auto"/>
        <w:tabs>
          <w:tab w:leader="none" w:pos="17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20,000,000 shares of Class A common stock available for issuance under the Medline Inc. 2025 Employee Stock Purchase Plan (the “ESPP”).</w:t>
      </w:r>
    </w:p>
    <w:p>
      <w:pPr>
        <w:spacing w:after="0" w:line="144" w:lineRule="exact"/>
        <w:rPr>
          <w:sz w:val="20"/>
          <w:szCs w:val="20"/>
          <w:color w:val="auto"/>
        </w:rPr>
      </w:pPr>
    </w:p>
    <w:p>
      <w:pPr>
        <w:ind w:left="900" w:right="180"/>
        <w:spacing w:after="0" w:line="260" w:lineRule="auto"/>
        <w:rPr>
          <w:sz w:val="20"/>
          <w:szCs w:val="20"/>
          <w:color w:val="auto"/>
        </w:rPr>
      </w:pPr>
      <w:r>
        <w:rPr>
          <w:rFonts w:ascii="Times New Roman" w:cs="Times New Roman" w:eastAsia="Times New Roman" w:hAnsi="Times New Roman"/>
          <w:sz w:val="16"/>
          <w:szCs w:val="16"/>
          <w:color w:val="auto"/>
        </w:rPr>
        <w:t>See “Management—Compensation Arrangements to be Adopted in Connection with this Offering—Omnibus Incentive Plan,” “Management— Compensation Arrangements to be Adopted in Connection with this Offering—Employee Stock Purchase Plan,” “Management—Compensation Arrangements to be Adopted in Connection with this Offering—Treatment of Existing Equity Awards,” and “Management—Compensation Arrangements to be Adopted in Connection with this Offering—Equity Award Grants.”</w:t>
      </w: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0300"/>
          </w:cols>
          <w:pgMar w:left="320" w:top="420" w:right="127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198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10300" cy="51987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6"/>
          <w:szCs w:val="16"/>
          <w:b w:val="1"/>
          <w:bCs w:val="1"/>
          <w:color w:val="auto"/>
        </w:rPr>
        <w:t>Summary Historical and Pro Forma Condensed Consolidated Financial and Other Data</w:t>
      </w:r>
    </w:p>
    <w:p>
      <w:pPr>
        <w:spacing w:after="0" w:line="201" w:lineRule="exact"/>
        <w:rPr>
          <w:sz w:val="20"/>
          <w:szCs w:val="20"/>
          <w:color w:val="auto"/>
        </w:rPr>
      </w:pPr>
    </w:p>
    <w:p>
      <w:pPr>
        <w:ind w:left="900" w:right="120" w:firstLine="378"/>
        <w:spacing w:after="0" w:line="253" w:lineRule="auto"/>
        <w:rPr>
          <w:sz w:val="20"/>
          <w:szCs w:val="20"/>
          <w:color w:val="auto"/>
        </w:rPr>
      </w:pPr>
      <w:r>
        <w:rPr>
          <w:rFonts w:ascii="Times New Roman" w:cs="Times New Roman" w:eastAsia="Times New Roman" w:hAnsi="Times New Roman"/>
          <w:sz w:val="16"/>
          <w:szCs w:val="16"/>
          <w:color w:val="auto"/>
        </w:rPr>
        <w:t>The following table presents the summary historical consolidated financial and other data for Medline Holdings and its subsidiaries and the summary pro forma condensed consolidated financial and other data for Medline Inc. for the periods and at the dates indicated.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held by our Continuing Unitholders on its consolidated balance sheet and consolidated statement of comprehensive income.</w:t>
      </w:r>
    </w:p>
    <w:p>
      <w:pPr>
        <w:spacing w:after="0" w:line="168" w:lineRule="exact"/>
        <w:rPr>
          <w:sz w:val="20"/>
          <w:szCs w:val="20"/>
          <w:color w:val="auto"/>
        </w:rPr>
      </w:pPr>
    </w:p>
    <w:p>
      <w:pPr>
        <w:ind w:left="900" w:right="20" w:firstLine="378"/>
        <w:spacing w:after="0" w:line="255" w:lineRule="auto"/>
        <w:rPr>
          <w:sz w:val="20"/>
          <w:szCs w:val="20"/>
          <w:color w:val="auto"/>
        </w:rPr>
      </w:pPr>
      <w:r>
        <w:rPr>
          <w:rFonts w:ascii="Times New Roman" w:cs="Times New Roman" w:eastAsia="Times New Roman" w:hAnsi="Times New Roman"/>
          <w:sz w:val="16"/>
          <w:szCs w:val="16"/>
          <w:color w:val="auto"/>
        </w:rPr>
        <w:t>The summary unaudited condensed consolidated statements of comprehensive income data and statements of cash flows data presented below for the nine months ended September 27, 2025 and September 28, 2024 and the summary unaudited condensed consolidated balance sheet data presented below as of September 27, 2025 have been derived from the unaudited condensed consolidated financial statements of Medline Holdings included elsewhere in this prospectus. The summary consolidated statements of comprehensive income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64" w:lineRule="exact"/>
        <w:rPr>
          <w:sz w:val="20"/>
          <w:szCs w:val="20"/>
          <w:color w:val="auto"/>
        </w:rPr>
      </w:pPr>
    </w:p>
    <w:p>
      <w:pPr>
        <w:ind w:left="900" w:firstLine="378"/>
        <w:spacing w:after="0" w:line="316" w:lineRule="auto"/>
        <w:rPr>
          <w:sz w:val="20"/>
          <w:szCs w:val="20"/>
          <w:color w:val="auto"/>
        </w:rPr>
      </w:pPr>
      <w:r>
        <w:rPr>
          <w:rFonts w:ascii="Times New Roman" w:cs="Times New Roman" w:eastAsia="Times New Roman" w:hAnsi="Times New Roman"/>
          <w:sz w:val="15"/>
          <w:szCs w:val="15"/>
          <w:color w:val="auto"/>
        </w:rPr>
        <w:t>The summary historical consolidated financial and other data of Medline Inc. has not been presented because Medline Inc. is a newly incorporated entity, has had no business transactions or activities to date, and had no assets or liabilities during the periods presented in this section.</w:t>
      </w:r>
    </w:p>
    <w:p>
      <w:pPr>
        <w:spacing w:after="0" w:line="121" w:lineRule="exact"/>
        <w:rPr>
          <w:sz w:val="20"/>
          <w:szCs w:val="20"/>
          <w:color w:val="auto"/>
        </w:rPr>
      </w:pPr>
    </w:p>
    <w:p>
      <w:pPr>
        <w:ind w:left="900" w:right="60" w:firstLine="378"/>
        <w:spacing w:after="0" w:line="254" w:lineRule="auto"/>
        <w:rPr>
          <w:sz w:val="20"/>
          <w:szCs w:val="20"/>
          <w:color w:val="auto"/>
        </w:rPr>
      </w:pPr>
      <w:r>
        <w:rPr>
          <w:rFonts w:ascii="Times New Roman" w:cs="Times New Roman" w:eastAsia="Times New Roman" w:hAnsi="Times New Roman"/>
          <w:sz w:val="16"/>
          <w:szCs w:val="16"/>
          <w:color w:val="auto"/>
        </w:rPr>
        <w:t>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Condensed Consolidated Financial Information,” “Management’s Discussion and Analysis of Financial Condition and Results of Operations,” “Description of Certain Indebtedness” and the other information included elsewhere in this prospectus.</w:t>
      </w:r>
    </w:p>
    <w:p>
      <w:pPr>
        <w:spacing w:after="0" w:line="167" w:lineRule="exact"/>
        <w:rPr>
          <w:sz w:val="20"/>
          <w:szCs w:val="20"/>
          <w:color w:val="auto"/>
        </w:rPr>
      </w:pPr>
    </w:p>
    <w:p>
      <w:pPr>
        <w:ind w:left="900" w:right="40" w:firstLine="378"/>
        <w:spacing w:after="0" w:line="254" w:lineRule="auto"/>
        <w:rPr>
          <w:sz w:val="20"/>
          <w:szCs w:val="20"/>
          <w:color w:val="auto"/>
        </w:rPr>
      </w:pPr>
      <w:r>
        <w:rPr>
          <w:rFonts w:ascii="Times New Roman" w:cs="Times New Roman" w:eastAsia="Times New Roman" w:hAnsi="Times New Roman"/>
          <w:sz w:val="16"/>
          <w:szCs w:val="16"/>
          <w:color w:val="auto"/>
        </w:rPr>
        <w:t>The summary unaudited pro forma condensed consolidated financial data of Medline Inc. presented below has been derived from our unaudited pro forma condensed consolidated financial information included elsewhere in this prospectus. The summary unaudited pro forma condensed consolidated statements of income data for the nine months ended September 27, 2025 and for the year ended December 31, 2024 gives effect to the Reorganization Transactions and the Offering Transactions as if they had occurred on January 1, 2024. The summary unaudited pro forma condensed consolidated balance sheet data as of September 27, 2025 gives effect to the transactions described under “Unaudited Pro Forma Condensed Consolidated Financial Information,” including the sale by us of 216,034,482 shares of Class A common stock in this offering at the initial public offering price of $29.00 per share and the application of the proceeds therefrom as described in “Use of Proceeds” as if they had occurred on</w:t>
      </w:r>
    </w:p>
    <w:p>
      <w:pPr>
        <w:spacing w:after="0" w:line="2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0320"/>
          </w:cols>
          <w:pgMar w:left="320" w:top="420"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4894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10300" cy="489458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260"/>
        <w:spacing w:after="0" w:line="260" w:lineRule="auto"/>
        <w:rPr>
          <w:sz w:val="20"/>
          <w:szCs w:val="20"/>
          <w:color w:val="auto"/>
        </w:rPr>
      </w:pPr>
      <w:r>
        <w:rPr>
          <w:rFonts w:ascii="Times New Roman" w:cs="Times New Roman" w:eastAsia="Times New Roman" w:hAnsi="Times New Roman"/>
          <w:sz w:val="16"/>
          <w:szCs w:val="16"/>
          <w:color w:val="auto"/>
        </w:rPr>
        <w:t>September 27, 2025. The following summary unaudited condensed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Condensed Consolidated Financial Information.”</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6"/>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900" w:type="dxa"/>
            <w:vAlign w:val="bottom"/>
            <w:tcBorders>
              <w:top w:val="single" w:sz="8" w:color="auto"/>
              <w:bottom w:val="single" w:sz="8" w:color="auto"/>
            </w:tcBorders>
            <w:gridSpan w:val="5"/>
          </w:tcPr>
          <w:p>
            <w:pPr>
              <w:jc w:val="right"/>
              <w:ind w:right="313"/>
              <w:spacing w:after="0" w:line="124" w:lineRule="exact"/>
              <w:rPr>
                <w:sz w:val="20"/>
                <w:szCs w:val="20"/>
                <w:color w:val="auto"/>
              </w:rPr>
            </w:pPr>
            <w:r>
              <w:rPr>
                <w:rFonts w:ascii="Times New Roman" w:cs="Times New Roman" w:eastAsia="Times New Roman" w:hAnsi="Times New Roman"/>
                <w:sz w:val="13"/>
                <w:szCs w:val="13"/>
                <w:b w:val="1"/>
                <w:bCs w:val="1"/>
                <w:color w:val="auto"/>
              </w:rPr>
              <w:t>Unaudited Pro Forma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1700" w:type="dxa"/>
            <w:vAlign w:val="bottom"/>
            <w:tcBorders>
              <w:top w:val="single" w:sz="8" w:color="auto"/>
              <w:bottom w:val="single" w:sz="8" w:color="auto"/>
            </w:tcBorders>
            <w:gridSpan w:val="5"/>
          </w:tcPr>
          <w:p>
            <w:pPr>
              <w:jc w:val="right"/>
              <w:ind w:right="293"/>
              <w:spacing w:after="0" w:line="124" w:lineRule="exact"/>
              <w:rPr>
                <w:sz w:val="20"/>
                <w:szCs w:val="20"/>
                <w:color w:val="auto"/>
              </w:rPr>
            </w:pPr>
            <w:r>
              <w:rPr>
                <w:rFonts w:ascii="Times New Roman" w:cs="Times New Roman" w:eastAsia="Times New Roman" w:hAnsi="Times New Roman"/>
                <w:sz w:val="13"/>
                <w:szCs w:val="13"/>
                <w:b w:val="1"/>
                <w:bCs w:val="1"/>
                <w:color w:val="auto"/>
              </w:rPr>
              <w:t>Unaudited Historical</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center"/>
              <w:ind w:right="240"/>
              <w:spacing w:after="0" w:line="124"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0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120" w:type="dxa"/>
            <w:vAlign w:val="bottom"/>
          </w:tcPr>
          <w:p>
            <w:pPr>
              <w:spacing w:after="0"/>
              <w:rPr>
                <w:sz w:val="8"/>
                <w:szCs w:val="8"/>
                <w:color w:val="auto"/>
              </w:rPr>
            </w:pPr>
          </w:p>
        </w:tc>
        <w:tc>
          <w:tcPr>
            <w:tcW w:w="920" w:type="dxa"/>
            <w:vAlign w:val="bottom"/>
            <w:gridSpan w:val="3"/>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00" w:type="dxa"/>
            <w:vAlign w:val="bottom"/>
          </w:tcPr>
          <w:p>
            <w:pPr>
              <w:spacing w:after="0"/>
              <w:rPr>
                <w:sz w:val="8"/>
                <w:szCs w:val="8"/>
                <w:color w:val="auto"/>
              </w:rPr>
            </w:pPr>
          </w:p>
        </w:tc>
        <w:tc>
          <w:tcPr>
            <w:tcW w:w="82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40" w:type="dxa"/>
            <w:vAlign w:val="bottom"/>
          </w:tcPr>
          <w:p>
            <w:pPr>
              <w:spacing w:after="0"/>
              <w:rPr>
                <w:sz w:val="8"/>
                <w:szCs w:val="8"/>
                <w:color w:val="auto"/>
              </w:rPr>
            </w:pPr>
          </w:p>
        </w:tc>
        <w:tc>
          <w:tcPr>
            <w:tcW w:w="9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00" w:type="dxa"/>
            <w:vAlign w:val="bottom"/>
          </w:tcPr>
          <w:p>
            <w:pPr>
              <w:spacing w:after="0"/>
              <w:rPr>
                <w:sz w:val="8"/>
                <w:szCs w:val="8"/>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Year Ended</w:t>
            </w:r>
          </w:p>
        </w:tc>
        <w:tc>
          <w:tcPr>
            <w:tcW w:w="0" w:type="dxa"/>
            <w:vAlign w:val="bottom"/>
          </w:tcPr>
          <w:p>
            <w:pPr>
              <w:spacing w:after="0"/>
              <w:rPr>
                <w:sz w:val="1"/>
                <w:szCs w:val="1"/>
                <w:color w:val="auto"/>
              </w:rPr>
            </w:pPr>
          </w:p>
        </w:tc>
      </w:tr>
      <w:tr>
        <w:trPr>
          <w:trHeight w:val="132"/>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other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300"/>
              <w:spacing w:after="0" w:line="132"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100" w:type="dxa"/>
            <w:vAlign w:val="bottom"/>
          </w:tcPr>
          <w:p>
            <w:pPr>
              <w:spacing w:after="0"/>
              <w:rPr>
                <w:sz w:val="11"/>
                <w:szCs w:val="11"/>
                <w:color w:val="auto"/>
              </w:rPr>
            </w:pPr>
          </w:p>
        </w:tc>
        <w:tc>
          <w:tcPr>
            <w:tcW w:w="100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20" w:type="dxa"/>
            <w:vAlign w:val="bottom"/>
          </w:tcPr>
          <w:p>
            <w:pPr>
              <w:spacing w:after="0"/>
              <w:rPr>
                <w:sz w:val="11"/>
                <w:szCs w:val="11"/>
                <w:color w:val="auto"/>
              </w:rPr>
            </w:pPr>
          </w:p>
        </w:tc>
        <w:tc>
          <w:tcPr>
            <w:tcW w:w="92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100" w:type="dxa"/>
            <w:vAlign w:val="bottom"/>
          </w:tcPr>
          <w:p>
            <w:pPr>
              <w:spacing w:after="0"/>
              <w:rPr>
                <w:sz w:val="11"/>
                <w:szCs w:val="11"/>
                <w:color w:val="auto"/>
              </w:rPr>
            </w:pPr>
          </w:p>
        </w:tc>
        <w:tc>
          <w:tcPr>
            <w:tcW w:w="96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9"/>
              </w:rPr>
              <w:t>September 28 ,</w:t>
            </w:r>
          </w:p>
        </w:tc>
        <w:tc>
          <w:tcPr>
            <w:tcW w:w="100" w:type="dxa"/>
            <w:vAlign w:val="bottom"/>
          </w:tcPr>
          <w:p>
            <w:pPr>
              <w:spacing w:after="0"/>
              <w:rPr>
                <w:sz w:val="11"/>
                <w:szCs w:val="11"/>
                <w:color w:val="auto"/>
              </w:rPr>
            </w:pPr>
          </w:p>
        </w:tc>
        <w:tc>
          <w:tcPr>
            <w:tcW w:w="96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11"/>
                <w:szCs w:val="11"/>
                <w:color w:val="auto"/>
              </w:rPr>
            </w:pPr>
          </w:p>
        </w:tc>
        <w:tc>
          <w:tcPr>
            <w:tcW w:w="900" w:type="dxa"/>
            <w:vAlign w:val="bottom"/>
            <w:gridSpan w:val="3"/>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00" w:type="dxa"/>
            <w:vAlign w:val="bottom"/>
          </w:tcPr>
          <w:p>
            <w:pPr>
              <w:spacing w:after="0"/>
              <w:rPr>
                <w:sz w:val="11"/>
                <w:szCs w:val="11"/>
                <w:color w:val="auto"/>
              </w:rPr>
            </w:pPr>
          </w:p>
        </w:tc>
        <w:tc>
          <w:tcPr>
            <w:tcW w:w="82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22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than per share data)</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2022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Summary Statements of Income:</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sales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20,645</w:t>
            </w:r>
          </w:p>
        </w:tc>
        <w:tc>
          <w:tcPr>
            <w:tcW w:w="1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140" w:type="dxa"/>
            <w:vAlign w:val="bottom"/>
          </w:tcPr>
          <w:p>
            <w:pPr>
              <w:spacing w:after="0"/>
              <w:rPr>
                <w:sz w:val="15"/>
                <w:szCs w:val="15"/>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20,645</w:t>
            </w:r>
          </w:p>
        </w:tc>
        <w:tc>
          <w:tcPr>
            <w:tcW w:w="26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18,723</w:t>
            </w:r>
          </w:p>
        </w:tc>
        <w:tc>
          <w:tcPr>
            <w:tcW w:w="14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23,231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goods sold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15,041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18,531</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17,346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ind w:left="260"/>
              <w:spacing w:after="0" w:line="129" w:lineRule="exact"/>
              <w:rPr>
                <w:sz w:val="20"/>
                <w:szCs w:val="20"/>
                <w:color w:val="auto"/>
              </w:rPr>
            </w:pPr>
            <w:r>
              <w:rPr>
                <w:rFonts w:ascii="Times New Roman" w:cs="Times New Roman" w:eastAsia="Times New Roman" w:hAnsi="Times New Roman"/>
                <w:sz w:val="14"/>
                <w:szCs w:val="14"/>
                <w:color w:val="auto"/>
              </w:rPr>
              <w:t>Selling, general, and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400"/>
              <w:spacing w:after="0" w:line="159" w:lineRule="exact"/>
              <w:rPr>
                <w:sz w:val="20"/>
                <w:szCs w:val="20"/>
                <w:color w:val="auto"/>
              </w:rPr>
            </w:pPr>
            <w:r>
              <w:rPr>
                <w:rFonts w:ascii="Times New Roman" w:cs="Times New Roman" w:eastAsia="Times New Roman" w:hAnsi="Times New Roman"/>
                <w:sz w:val="14"/>
                <w:szCs w:val="14"/>
                <w:color w:val="auto"/>
              </w:rPr>
              <w:t>administrative expenses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3,276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4,275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3,259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2,944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4,108</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3,867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3,676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operating expense</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4,830</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 expense,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Foreign exchange (loss) gain, net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other expense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140" w:type="dxa"/>
            <w:vAlign w:val="bottom"/>
          </w:tcPr>
          <w:p>
            <w:pPr>
              <w:spacing w:after="0"/>
              <w:rPr>
                <w:sz w:val="15"/>
                <w:szCs w:val="15"/>
                <w:color w:val="auto"/>
              </w:rPr>
            </w:pPr>
          </w:p>
        </w:tc>
        <w:tc>
          <w:tcPr>
            <w:tcW w:w="26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40" w:type="dxa"/>
            <w:vAlign w:val="bottom"/>
          </w:tcPr>
          <w:p>
            <w:pPr>
              <w:spacing w:after="0"/>
              <w:rPr>
                <w:sz w:val="15"/>
                <w:szCs w:val="15"/>
                <w:color w:val="auto"/>
              </w:rPr>
            </w:pPr>
          </w:p>
        </w:tc>
        <w:tc>
          <w:tcPr>
            <w:tcW w:w="26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4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60" w:type="dxa"/>
            <w:vAlign w:val="bottom"/>
          </w:tcPr>
          <w:p>
            <w:pPr>
              <w:spacing w:after="0"/>
              <w:rPr>
                <w:sz w:val="15"/>
                <w:szCs w:val="15"/>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180" w:type="dxa"/>
            <w:vAlign w:val="bottom"/>
            <w:shd w:val="clear" w:color="auto" w:fill="CCEEFF"/>
          </w:tcPr>
          <w:p>
            <w:pPr>
              <w:ind w:left="260"/>
              <w:spacing w:after="0" w:line="117" w:lineRule="exact"/>
              <w:rPr>
                <w:sz w:val="20"/>
                <w:szCs w:val="20"/>
                <w:color w:val="auto"/>
              </w:rPr>
            </w:pPr>
            <w:r>
              <w:rPr>
                <w:rFonts w:ascii="Times New Roman" w:cs="Times New Roman" w:eastAsia="Times New Roman" w:hAnsi="Times New Roman"/>
                <w:sz w:val="12"/>
                <w:szCs w:val="12"/>
                <w:color w:val="auto"/>
              </w:rPr>
              <w:t>Net income attributable to</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shd w:val="clear" w:color="auto" w:fill="CCEEFF"/>
          </w:tcPr>
          <w:p>
            <w:pPr>
              <w:ind w:left="400"/>
              <w:spacing w:after="0" w:line="159" w:lineRule="exact"/>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466</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538</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Net income attributable to</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80" w:type="dxa"/>
            <w:vAlign w:val="bottom"/>
          </w:tcPr>
          <w:p>
            <w:pPr>
              <w:ind w:left="400"/>
              <w:spacing w:after="0" w:line="159" w:lineRule="exact"/>
              <w:rPr>
                <w:sz w:val="20"/>
                <w:szCs w:val="20"/>
                <w:color w:val="auto"/>
              </w:rPr>
            </w:pPr>
            <w:r>
              <w:rPr>
                <w:rFonts w:ascii="Times New Roman" w:cs="Times New Roman" w:eastAsia="Times New Roman" w:hAnsi="Times New Roman"/>
                <w:sz w:val="14"/>
                <w:szCs w:val="14"/>
                <w:color w:val="auto"/>
              </w:rPr>
              <w:t>Medline Inc.</w:t>
            </w:r>
          </w:p>
        </w:tc>
        <w:tc>
          <w:tcPr>
            <w:tcW w:w="1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551</w:t>
            </w:r>
          </w:p>
        </w:tc>
        <w:tc>
          <w:tcPr>
            <w:tcW w:w="160" w:type="dxa"/>
            <w:vAlign w:val="bottom"/>
          </w:tcPr>
          <w:p>
            <w:pPr>
              <w:spacing w:after="0"/>
              <w:rPr>
                <w:sz w:val="13"/>
                <w:szCs w:val="13"/>
                <w:color w:val="auto"/>
              </w:rPr>
            </w:pPr>
          </w:p>
        </w:tc>
        <w:tc>
          <w:tcPr>
            <w:tcW w:w="1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639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vMerge w:val="restart"/>
          </w:tcPr>
          <w:p>
            <w:pPr>
              <w:spacing w:after="0"/>
              <w:rPr>
                <w:sz w:val="7"/>
                <w:szCs w:val="7"/>
                <w:color w:val="auto"/>
              </w:rPr>
            </w:pPr>
          </w:p>
        </w:tc>
        <w:tc>
          <w:tcPr>
            <w:tcW w:w="2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Pro Forma Net Income Per Share: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0.71</w:t>
            </w:r>
          </w:p>
        </w:tc>
        <w:tc>
          <w:tcPr>
            <w:tcW w:w="160" w:type="dxa"/>
            <w:vAlign w:val="bottom"/>
          </w:tcPr>
          <w:p>
            <w:pPr>
              <w:spacing w:after="0"/>
              <w:rPr>
                <w:sz w:val="12"/>
                <w:szCs w:val="12"/>
                <w:color w:val="auto"/>
              </w:rPr>
            </w:pPr>
          </w:p>
        </w:tc>
        <w:tc>
          <w:tcPr>
            <w:tcW w:w="1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4"/>
                <w:szCs w:val="14"/>
                <w:color w:val="auto"/>
              </w:rPr>
              <w:t>0.82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4"/>
                <w:szCs w:val="14"/>
                <w:color w:val="auto"/>
              </w:rPr>
              <w:t>Diluted</w:t>
            </w:r>
          </w:p>
        </w:tc>
        <w:tc>
          <w:tcPr>
            <w:tcW w:w="1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0.68</w:t>
            </w:r>
          </w:p>
        </w:tc>
        <w:tc>
          <w:tcPr>
            <w:tcW w:w="16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4"/>
                <w:szCs w:val="14"/>
                <w:color w:val="auto"/>
              </w:rPr>
              <w:t>0.79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Pro forma weighted-average shares</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2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80" w:type="dxa"/>
            <w:vAlign w:val="bottom"/>
          </w:tcPr>
          <w:p>
            <w:pPr>
              <w:ind w:left="120"/>
              <w:spacing w:after="0" w:line="144" w:lineRule="exact"/>
              <w:rPr>
                <w:sz w:val="20"/>
                <w:szCs w:val="20"/>
                <w:color w:val="auto"/>
              </w:rPr>
            </w:pPr>
            <w:r>
              <w:rPr>
                <w:rFonts w:ascii="Times New Roman" w:cs="Times New Roman" w:eastAsia="Times New Roman" w:hAnsi="Times New Roman"/>
                <w:sz w:val="14"/>
                <w:szCs w:val="14"/>
                <w:b w:val="1"/>
                <w:bCs w:val="1"/>
                <w:color w:val="auto"/>
              </w:rPr>
              <w:t>used to compute net income per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8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4"/>
                <w:szCs w:val="14"/>
                <w:color w:val="auto"/>
              </w:rPr>
              <w:t>Basic</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798,168,619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4"/>
                <w:szCs w:val="14"/>
                <w:color w:val="auto"/>
              </w:rPr>
              <w:t>797,952,430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Diluted</w:t>
            </w: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4"/>
                <w:szCs w:val="14"/>
                <w:color w:val="auto"/>
                <w:w w:val="94"/>
              </w:rPr>
              <w:t>1,329,778,049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Times New Roman" w:cs="Times New Roman" w:eastAsia="Times New Roman" w:hAnsi="Times New Roman"/>
                <w:sz w:val="14"/>
                <w:szCs w:val="14"/>
                <w:color w:val="auto"/>
                <w:w w:val="94"/>
              </w:rPr>
              <w:t>1,327,322,578</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0340"/>
          </w:cols>
          <w:pgMar w:left="320" w:top="420" w:right="1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548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10300" cy="554863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900" w:type="dxa"/>
        <w:tblCellMar>
          <w:top w:w="0" w:type="dxa"/>
          <w:left w:w="0" w:type="dxa"/>
          <w:bottom w:w="0" w:type="dxa"/>
          <w:right w:w="0" w:type="dxa"/>
        </w:tblCellMar>
      </w:tblPr>
      <w:tr>
        <w:trPr>
          <w:trHeight w:val="154"/>
        </w:trPr>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Medline Inc.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Medline Holdings, LP</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10"/>
              <w:spacing w:after="0" w:line="102"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30"/>
              <w:spacing w:after="0" w:line="102"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Historical</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10"/>
              <w:spacing w:after="0" w:line="102" w:lineRule="exact"/>
              <w:rPr>
                <w:sz w:val="20"/>
                <w:szCs w:val="20"/>
                <w:color w:val="auto"/>
              </w:rPr>
            </w:pPr>
            <w:r>
              <w:rPr>
                <w:rFonts w:ascii="Times New Roman" w:cs="Times New Roman" w:eastAsia="Times New Roman" w:hAnsi="Times New Roman"/>
                <w:sz w:val="11"/>
                <w:szCs w:val="11"/>
                <w:b w:val="1"/>
                <w:bCs w:val="1"/>
                <w:color w:val="auto"/>
              </w:rPr>
              <w:t>As of</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jc w:val="center"/>
              <w:ind w:right="10"/>
              <w:spacing w:after="0" w:line="102" w:lineRule="exact"/>
              <w:rPr>
                <w:sz w:val="20"/>
                <w:szCs w:val="20"/>
                <w:color w:val="auto"/>
              </w:rPr>
            </w:pPr>
            <w:r>
              <w:rPr>
                <w:rFonts w:ascii="Times New Roman" w:cs="Times New Roman" w:eastAsia="Times New Roman" w:hAnsi="Times New Roman"/>
                <w:sz w:val="11"/>
                <w:szCs w:val="11"/>
                <w:b w:val="1"/>
                <w:bCs w:val="1"/>
                <w:color w:val="auto"/>
              </w:rPr>
              <w:t>As of</w:t>
            </w:r>
          </w:p>
        </w:tc>
        <w:tc>
          <w:tcPr>
            <w:tcW w:w="5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60" w:type="dxa"/>
            <w:vAlign w:val="bottom"/>
            <w:tcBorders>
              <w:top w:val="single" w:sz="8" w:color="auto"/>
            </w:tcBorders>
            <w:gridSpan w:val="2"/>
          </w:tcPr>
          <w:p>
            <w:pPr>
              <w:jc w:val="center"/>
              <w:ind w:right="656"/>
              <w:spacing w:after="0" w:line="102" w:lineRule="exact"/>
              <w:rPr>
                <w:sz w:val="20"/>
                <w:szCs w:val="20"/>
                <w:color w:val="auto"/>
              </w:rPr>
            </w:pPr>
            <w:r>
              <w:rPr>
                <w:rFonts w:ascii="Times New Roman" w:cs="Times New Roman" w:eastAsia="Times New Roman" w:hAnsi="Times New Roman"/>
                <w:sz w:val="11"/>
                <w:szCs w:val="11"/>
                <w:b w:val="1"/>
                <w:bCs w:val="1"/>
                <w:color w:val="auto"/>
              </w:rPr>
              <w:t>As of</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ind w:right="86"/>
              <w:spacing w:after="0" w:line="102" w:lineRule="exact"/>
              <w:rPr>
                <w:sz w:val="20"/>
                <w:szCs w:val="20"/>
                <w:color w:val="auto"/>
              </w:rPr>
            </w:pPr>
            <w:r>
              <w:rPr>
                <w:rFonts w:ascii="Times New Roman" w:cs="Times New Roman" w:eastAsia="Times New Roman" w:hAnsi="Times New Roman"/>
                <w:sz w:val="11"/>
                <w:szCs w:val="11"/>
                <w:b w:val="1"/>
                <w:bCs w:val="1"/>
                <w:color w:val="auto"/>
              </w:rPr>
              <w:t>As of</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37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900" w:type="dxa"/>
            <w:vAlign w:val="bottom"/>
          </w:tcPr>
          <w:p>
            <w:pPr>
              <w:spacing w:after="0"/>
              <w:rPr>
                <w:sz w:val="11"/>
                <w:szCs w:val="11"/>
                <w:color w:val="auto"/>
              </w:rPr>
            </w:pPr>
          </w:p>
        </w:tc>
        <w:tc>
          <w:tcPr>
            <w:tcW w:w="1080" w:type="dxa"/>
            <w:vAlign w:val="bottom"/>
            <w:gridSpan w:val="3"/>
          </w:tcPr>
          <w:p>
            <w:pPr>
              <w:jc w:val="center"/>
              <w:ind w:right="30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280" w:type="dxa"/>
            <w:vAlign w:val="bottom"/>
          </w:tcPr>
          <w:p>
            <w:pPr>
              <w:spacing w:after="0"/>
              <w:rPr>
                <w:sz w:val="11"/>
                <w:szCs w:val="11"/>
                <w:color w:val="auto"/>
              </w:rPr>
            </w:pPr>
          </w:p>
        </w:tc>
        <w:tc>
          <w:tcPr>
            <w:tcW w:w="78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580" w:type="dxa"/>
            <w:vAlign w:val="bottom"/>
          </w:tcPr>
          <w:p>
            <w:pPr>
              <w:spacing w:after="0"/>
              <w:rPr>
                <w:sz w:val="11"/>
                <w:szCs w:val="11"/>
                <w:color w:val="auto"/>
              </w:rPr>
            </w:pPr>
          </w:p>
        </w:tc>
        <w:tc>
          <w:tcPr>
            <w:tcW w:w="130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1"/>
                <w:szCs w:val="11"/>
                <w:color w:val="auto"/>
              </w:rPr>
            </w:pPr>
          </w:p>
        </w:tc>
        <w:tc>
          <w:tcPr>
            <w:tcW w:w="78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3720" w:type="dxa"/>
            <w:vAlign w:val="bottom"/>
            <w:tcBorders>
              <w:bottom w:val="single" w:sz="8" w:color="CCEEFF"/>
            </w:tcBorders>
            <w:vMerge w:val="continue"/>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5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7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Summary Balance Sheet Data:</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3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952</w:t>
            </w: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5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38,460</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36,883</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96"/>
              <w:spacing w:after="0"/>
              <w:rPr>
                <w:sz w:val="20"/>
                <w:szCs w:val="20"/>
                <w:color w:val="auto"/>
              </w:rPr>
            </w:pPr>
            <w:r>
              <w:rPr>
                <w:rFonts w:ascii="Times New Roman" w:cs="Times New Roman" w:eastAsia="Times New Roman" w:hAnsi="Times New Roman"/>
                <w:sz w:val="16"/>
                <w:szCs w:val="16"/>
                <w:color w:val="auto"/>
              </w:rPr>
              <w:t>35,978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19,187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19,742</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496"/>
              <w:spacing w:after="0"/>
              <w:rPr>
                <w:sz w:val="20"/>
                <w:szCs w:val="20"/>
                <w:color w:val="auto"/>
              </w:rPr>
            </w:pPr>
            <w:r>
              <w:rPr>
                <w:rFonts w:ascii="Times New Roman" w:cs="Times New Roman" w:eastAsia="Times New Roman" w:hAnsi="Times New Roman"/>
                <w:sz w:val="16"/>
                <w:szCs w:val="16"/>
                <w:color w:val="auto"/>
              </w:rPr>
              <w:t>19,454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mezzanine equity</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Total partners’ capital / shareholders’ equity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19,273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496"/>
              <w:spacing w:after="0"/>
              <w:rPr>
                <w:sz w:val="20"/>
                <w:szCs w:val="20"/>
                <w:color w:val="auto"/>
              </w:rPr>
            </w:pPr>
            <w:r>
              <w:rPr>
                <w:rFonts w:ascii="Times New Roman" w:cs="Times New Roman" w:eastAsia="Times New Roman" w:hAnsi="Times New Roman"/>
                <w:sz w:val="16"/>
                <w:szCs w:val="16"/>
                <w:color w:val="auto"/>
              </w:rPr>
              <w:t>16,158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900" w:type="dxa"/>
        <w:tblCellMar>
          <w:top w:w="0" w:type="dxa"/>
          <w:left w:w="0" w:type="dxa"/>
          <w:bottom w:w="0" w:type="dxa"/>
          <w:right w:w="0" w:type="dxa"/>
        </w:tblCellMar>
      </w:tblPr>
      <w:tr>
        <w:trPr>
          <w:trHeight w:val="154"/>
        </w:trPr>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8"/>
          </w:tcPr>
          <w:p>
            <w:pPr>
              <w:jc w:val="right"/>
              <w:ind w:right="440"/>
              <w:spacing w:after="0" w:line="124" w:lineRule="exact"/>
              <w:rPr>
                <w:sz w:val="20"/>
                <w:szCs w:val="20"/>
                <w:color w:val="auto"/>
              </w:rPr>
            </w:pPr>
            <w:r>
              <w:rPr>
                <w:rFonts w:ascii="Times New Roman" w:cs="Times New Roman" w:eastAsia="Times New Roman" w:hAnsi="Times New Roman"/>
                <w:sz w:val="13"/>
                <w:szCs w:val="13"/>
                <w:b w:val="1"/>
                <w:bCs w:val="1"/>
                <w:color w:val="auto"/>
              </w:rPr>
              <w:t>Unaudited Historical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gridSpan w:val="4"/>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3"/>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4"/>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jc w:val="center"/>
              <w:ind w:right="240"/>
              <w:spacing w:after="0" w:line="132"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jc w:val="center"/>
              <w:ind w:right="196"/>
              <w:spacing w:after="0" w:line="132" w:lineRule="exact"/>
              <w:rPr>
                <w:sz w:val="20"/>
                <w:szCs w:val="20"/>
                <w:color w:val="auto"/>
              </w:rPr>
            </w:pPr>
            <w:r>
              <w:rPr>
                <w:rFonts w:ascii="Times New Roman" w:cs="Times New Roman" w:eastAsia="Times New Roman" w:hAnsi="Times New Roman"/>
                <w:sz w:val="13"/>
                <w:szCs w:val="13"/>
                <w:b w:val="1"/>
                <w:bCs w:val="1"/>
                <w:color w:val="auto"/>
                <w:w w:val="93"/>
              </w:rPr>
              <w:t>Ended</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gridSpan w:val="4"/>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4"/>
          </w:tcPr>
          <w:p>
            <w:pPr>
              <w:jc w:val="center"/>
              <w:ind w:right="76"/>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4"/>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4"/>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4"/>
          </w:tcPr>
          <w:p>
            <w:pPr>
              <w:jc w:val="center"/>
              <w:ind w:right="1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3160" w:type="dxa"/>
            <w:vAlign w:val="bottom"/>
            <w:tcBorders>
              <w:bottom w:val="single" w:sz="8" w:color="CCEEFF"/>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left="22"/>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Summary Statements of Cash Flows Data:</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  1,515</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4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260" w:type="dxa"/>
            <w:vAlign w:val="bottom"/>
          </w:tcPr>
          <w:p>
            <w:pPr>
              <w:spacing w:after="0"/>
              <w:rPr>
                <w:sz w:val="16"/>
                <w:szCs w:val="16"/>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20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6"/>
                <w:szCs w:val="16"/>
                <w:color w:val="auto"/>
              </w:rPr>
              <w:t>(1,396)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08"/>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16"/>
              <w:spacing w:after="0"/>
              <w:rPr>
                <w:sz w:val="20"/>
                <w:szCs w:val="20"/>
                <w:color w:val="auto"/>
              </w:rPr>
            </w:pPr>
            <w:r>
              <w:rPr>
                <w:rFonts w:ascii="Times New Roman" w:cs="Times New Roman" w:eastAsia="Times New Roman" w:hAnsi="Times New Roman"/>
                <w:sz w:val="16"/>
                <w:szCs w:val="16"/>
                <w:color w:val="auto"/>
              </w:rPr>
              <w:t>(219)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(1,613)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14"/>
        </w:trPr>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8"/>
              </w:rPr>
              <w:t>Medline Holdings, LP</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6"/>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Unaudited Historical</w:t>
            </w:r>
          </w:p>
        </w:tc>
        <w:tc>
          <w:tcPr>
            <w:tcW w:w="4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5"/>
          </w:tcPr>
          <w:p>
            <w:pPr>
              <w:jc w:val="center"/>
              <w:ind w:right="360"/>
              <w:spacing w:after="0" w:line="124"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5"/>
          </w:tcPr>
          <w:p>
            <w:pPr>
              <w:jc w:val="center"/>
              <w:ind w:right="420"/>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00" w:type="dxa"/>
            <w:vAlign w:val="bottom"/>
          </w:tcPr>
          <w:p>
            <w:pPr>
              <w:spacing w:after="0"/>
              <w:rPr>
                <w:sz w:val="8"/>
                <w:szCs w:val="8"/>
                <w:color w:val="auto"/>
              </w:rPr>
            </w:pPr>
          </w:p>
        </w:tc>
        <w:tc>
          <w:tcPr>
            <w:tcW w:w="780" w:type="dxa"/>
            <w:vAlign w:val="bottom"/>
            <w:gridSpan w:val="3"/>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36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5"/>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80" w:type="dxa"/>
            <w:vAlign w:val="bottom"/>
          </w:tcPr>
          <w:p>
            <w:pPr>
              <w:spacing w:after="0"/>
              <w:rPr>
                <w:sz w:val="8"/>
                <w:szCs w:val="8"/>
                <w:color w:val="auto"/>
              </w:rPr>
            </w:pPr>
          </w:p>
        </w:tc>
        <w:tc>
          <w:tcPr>
            <w:tcW w:w="110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60" w:type="dxa"/>
            <w:vAlign w:val="bottom"/>
          </w:tcPr>
          <w:p>
            <w:pPr>
              <w:spacing w:after="0"/>
              <w:rPr>
                <w:sz w:val="8"/>
                <w:szCs w:val="8"/>
                <w:color w:val="auto"/>
              </w:rPr>
            </w:pPr>
          </w:p>
        </w:tc>
        <w:tc>
          <w:tcPr>
            <w:tcW w:w="96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0" w:type="dxa"/>
            <w:vAlign w:val="bottom"/>
          </w:tcPr>
          <w:p>
            <w:pPr>
              <w:spacing w:after="0"/>
              <w:rPr>
                <w:sz w:val="1"/>
                <w:szCs w:val="1"/>
                <w:color w:val="auto"/>
              </w:rPr>
            </w:pPr>
          </w:p>
        </w:tc>
      </w:tr>
      <w:tr>
        <w:trPr>
          <w:trHeight w:val="132"/>
        </w:trPr>
        <w:tc>
          <w:tcPr>
            <w:tcW w:w="3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5"/>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00" w:type="dxa"/>
            <w:vAlign w:val="bottom"/>
          </w:tcPr>
          <w:p>
            <w:pPr>
              <w:spacing w:after="0"/>
              <w:rPr>
                <w:sz w:val="11"/>
                <w:szCs w:val="11"/>
                <w:color w:val="auto"/>
              </w:rPr>
            </w:pPr>
          </w:p>
        </w:tc>
        <w:tc>
          <w:tcPr>
            <w:tcW w:w="1140" w:type="dxa"/>
            <w:vAlign w:val="bottom"/>
            <w:gridSpan w:val="5"/>
          </w:tcPr>
          <w:p>
            <w:pPr>
              <w:jc w:val="center"/>
              <w:ind w:right="276"/>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160" w:type="dxa"/>
            <w:vAlign w:val="bottom"/>
          </w:tcPr>
          <w:p>
            <w:pPr>
              <w:spacing w:after="0"/>
              <w:rPr>
                <w:sz w:val="11"/>
                <w:szCs w:val="11"/>
                <w:color w:val="auto"/>
              </w:rPr>
            </w:pPr>
          </w:p>
        </w:tc>
        <w:tc>
          <w:tcPr>
            <w:tcW w:w="11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220" w:type="dxa"/>
            <w:vAlign w:val="bottom"/>
          </w:tcPr>
          <w:p>
            <w:pPr>
              <w:spacing w:after="0"/>
              <w:rPr>
                <w:sz w:val="11"/>
                <w:szCs w:val="11"/>
                <w:color w:val="auto"/>
              </w:rPr>
            </w:pPr>
          </w:p>
        </w:tc>
        <w:tc>
          <w:tcPr>
            <w:tcW w:w="1180" w:type="dxa"/>
            <w:vAlign w:val="bottom"/>
            <w:gridSpan w:val="5"/>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September 27,</w:t>
            </w:r>
          </w:p>
        </w:tc>
        <w:tc>
          <w:tcPr>
            <w:tcW w:w="100" w:type="dxa"/>
            <w:vAlign w:val="bottom"/>
          </w:tcPr>
          <w:p>
            <w:pPr>
              <w:spacing w:after="0"/>
              <w:rPr>
                <w:sz w:val="11"/>
                <w:szCs w:val="11"/>
                <w:color w:val="auto"/>
              </w:rPr>
            </w:pPr>
          </w:p>
        </w:tc>
        <w:tc>
          <w:tcPr>
            <w:tcW w:w="1140" w:type="dxa"/>
            <w:vAlign w:val="bottom"/>
            <w:gridSpan w:val="5"/>
          </w:tcPr>
          <w:p>
            <w:pPr>
              <w:jc w:val="center"/>
              <w:ind w:right="296"/>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28,</w:t>
            </w:r>
          </w:p>
        </w:tc>
        <w:tc>
          <w:tcPr>
            <w:tcW w:w="160" w:type="dxa"/>
            <w:vAlign w:val="bottom"/>
          </w:tcPr>
          <w:p>
            <w:pPr>
              <w:spacing w:after="0"/>
              <w:rPr>
                <w:sz w:val="11"/>
                <w:szCs w:val="11"/>
                <w:color w:val="auto"/>
              </w:rPr>
            </w:pPr>
          </w:p>
        </w:tc>
        <w:tc>
          <w:tcPr>
            <w:tcW w:w="1180" w:type="dxa"/>
            <w:vAlign w:val="bottom"/>
            <w:gridSpan w:val="5"/>
          </w:tcPr>
          <w:p>
            <w:pPr>
              <w:jc w:val="center"/>
              <w:ind w:right="4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80" w:type="dxa"/>
            <w:vAlign w:val="bottom"/>
          </w:tcPr>
          <w:p>
            <w:pPr>
              <w:spacing w:after="0"/>
              <w:rPr>
                <w:sz w:val="11"/>
                <w:szCs w:val="11"/>
                <w:color w:val="auto"/>
              </w:rPr>
            </w:pPr>
          </w:p>
        </w:tc>
        <w:tc>
          <w:tcPr>
            <w:tcW w:w="1100" w:type="dxa"/>
            <w:vAlign w:val="bottom"/>
            <w:gridSpan w:val="5"/>
          </w:tcPr>
          <w:p>
            <w:pPr>
              <w:jc w:val="center"/>
              <w:ind w:right="3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Pr>
          <w:p>
            <w:pPr>
              <w:spacing w:after="0"/>
              <w:rPr>
                <w:sz w:val="11"/>
                <w:szCs w:val="11"/>
                <w:color w:val="auto"/>
              </w:rPr>
            </w:pPr>
          </w:p>
        </w:tc>
        <w:tc>
          <w:tcPr>
            <w:tcW w:w="960" w:type="dxa"/>
            <w:vAlign w:val="bottom"/>
            <w:gridSpan w:val="5"/>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3160" w:type="dxa"/>
            <w:vAlign w:val="bottom"/>
            <w:vMerge w:val="continue"/>
          </w:tcPr>
          <w:p>
            <w:pPr>
              <w:spacing w:after="0"/>
              <w:rPr>
                <w:sz w:val="13"/>
                <w:szCs w:val="13"/>
                <w:color w:val="auto"/>
              </w:rPr>
            </w:pPr>
          </w:p>
        </w:tc>
        <w:tc>
          <w:tcPr>
            <w:tcW w:w="980" w:type="dxa"/>
            <w:vAlign w:val="bottom"/>
            <w:gridSpan w:val="4"/>
          </w:tcPr>
          <w:p>
            <w:pPr>
              <w:jc w:val="center"/>
              <w:ind w:left="146"/>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4"/>
          </w:tcPr>
          <w:p>
            <w:pPr>
              <w:jc w:val="center"/>
              <w:ind w:left="2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tcPr>
          <w:p>
            <w:pPr>
              <w:jc w:val="center"/>
              <w:ind w:left="88"/>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right="16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142"/>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Other Financial Data:</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Medline Brand segment net sales</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0" w:type="dxa"/>
            <w:vAlign w:val="bottom"/>
            <w:gridSpan w:val="3"/>
          </w:tcPr>
          <w:p>
            <w:pPr>
              <w:jc w:val="right"/>
              <w:ind w:right="296"/>
              <w:spacing w:after="0"/>
              <w:rPr>
                <w:sz w:val="20"/>
                <w:szCs w:val="20"/>
                <w:color w:val="auto"/>
              </w:rPr>
            </w:pPr>
            <w:r>
              <w:rPr>
                <w:rFonts w:ascii="Times New Roman" w:cs="Times New Roman" w:eastAsia="Times New Roman" w:hAnsi="Times New Roman"/>
                <w:sz w:val="16"/>
                <w:szCs w:val="16"/>
                <w:color w:val="auto"/>
                <w:w w:val="87"/>
              </w:rPr>
              <w:t>  9,186</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12,515</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Medline Brand Segment Adjusted EBITDA</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Medline Brand Segment Adjusted EBITDA</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60" w:type="dxa"/>
            <w:vAlign w:val="bottom"/>
          </w:tcPr>
          <w:p>
            <w:pPr>
              <w:ind w:left="160"/>
              <w:spacing w:after="0" w:line="208" w:lineRule="exact"/>
              <w:rPr>
                <w:sz w:val="20"/>
                <w:szCs w:val="20"/>
                <w:color w:val="auto"/>
              </w:rPr>
            </w:pPr>
            <w:r>
              <w:rPr>
                <w:rFonts w:ascii="Times New Roman" w:cs="Times New Roman" w:eastAsia="Times New Roman" w:hAnsi="Times New Roman"/>
                <w:sz w:val="16"/>
                <w:szCs w:val="16"/>
                <w:color w:val="auto"/>
              </w:rPr>
              <w:t>Margin</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 Chain Solutions segment net sales</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10,648</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12,992</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10,449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Supply Chain Solutions Segment Adjusted</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60" w:type="dxa"/>
            <w:vAlign w:val="bottom"/>
          </w:tcPr>
          <w:p>
            <w:pPr>
              <w:ind w:left="160"/>
              <w:spacing w:after="0" w:line="208" w:lineRule="exact"/>
              <w:rPr>
                <w:sz w:val="20"/>
                <w:szCs w:val="20"/>
                <w:color w:val="auto"/>
              </w:rPr>
            </w:pPr>
            <w:r>
              <w:rPr>
                <w:rFonts w:ascii="Times New Roman" w:cs="Times New Roman" w:eastAsia="Times New Roman" w:hAnsi="Times New Roman"/>
                <w:sz w:val="16"/>
                <w:szCs w:val="16"/>
                <w:color w:val="auto"/>
              </w:rPr>
              <w:t>EBITDA</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Supply Chain Solutions Segment Adjusted</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60" w:type="dxa"/>
            <w:vAlign w:val="bottom"/>
            <w:shd w:val="clear" w:color="auto" w:fill="CCEEFF"/>
          </w:tcPr>
          <w:p>
            <w:pPr>
              <w:ind w:left="160"/>
              <w:spacing w:after="0" w:line="208" w:lineRule="exact"/>
              <w:rPr>
                <w:sz w:val="20"/>
                <w:szCs w:val="20"/>
                <w:color w:val="auto"/>
              </w:rPr>
            </w:pPr>
            <w:r>
              <w:rPr>
                <w:rFonts w:ascii="Times New Roman" w:cs="Times New Roman" w:eastAsia="Times New Roman" w:hAnsi="Times New Roman"/>
                <w:sz w:val="16"/>
                <w:szCs w:val="16"/>
                <w:color w:val="auto"/>
              </w:rPr>
              <w:t>EBITDA Margin</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92"/>
        </w:trPr>
        <w:tc>
          <w:tcPr>
            <w:tcW w:w="316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margin</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315"/>
        </w:trPr>
        <w:tc>
          <w:tcPr>
            <w:tcW w:w="31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1280" w:right="20" w:hanging="380"/>
        <w:spacing w:after="0" w:line="217" w:lineRule="auto"/>
        <w:tabs>
          <w:tab w:leader="none" w:pos="12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18—Segment Information” of our audited consolidated financial statements and “Note 15—Segment Information” of our unaudited condensed consolidated financial statements, each of which is included elsewhere in this prospectus. Segment Adjusted EBITDA margin is Segment Adjusted EBITDA divided by segment net sales.</w:t>
      </w:r>
    </w:p>
    <w:p>
      <w:pPr>
        <w:ind w:left="1280" w:right="200" w:hanging="380"/>
        <w:spacing w:after="0" w:line="227" w:lineRule="auto"/>
        <w:tabs>
          <w:tab w:leader="none" w:pos="12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0340"/>
          </w:cols>
          <w:pgMar w:left="320" w:top="420" w:right="1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5601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10300" cy="560197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00" w:right="180" w:firstLine="378"/>
        <w:spacing w:after="0" w:line="260" w:lineRule="auto"/>
        <w:rPr>
          <w:sz w:val="20"/>
          <w:szCs w:val="20"/>
          <w:color w:val="auto"/>
        </w:rPr>
      </w:pPr>
      <w:r>
        <w:rPr>
          <w:rFonts w:ascii="Times New Roman" w:cs="Times New Roman" w:eastAsia="Times New Roman" w:hAnsi="Times New Roman"/>
          <w:sz w:val="16"/>
          <w:szCs w:val="16"/>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65" w:lineRule="exact"/>
        <w:rPr>
          <w:sz w:val="20"/>
          <w:szCs w:val="20"/>
          <w:color w:val="auto"/>
        </w:rPr>
      </w:pPr>
    </w:p>
    <w:p>
      <w:pPr>
        <w:ind w:left="900" w:right="180" w:firstLine="378"/>
        <w:spacing w:after="0" w:line="278" w:lineRule="auto"/>
        <w:rPr>
          <w:sz w:val="20"/>
          <w:szCs w:val="20"/>
          <w:color w:val="auto"/>
        </w:rPr>
      </w:pPr>
      <w:r>
        <w:rPr>
          <w:rFonts w:ascii="Times New Roman" w:cs="Times New Roman" w:eastAsia="Times New Roman" w:hAnsi="Times New Roman"/>
          <w:sz w:val="15"/>
          <w:szCs w:val="15"/>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w:t>
      </w:r>
    </w:p>
    <w:p>
      <w:pPr>
        <w:ind w:left="900" w:right="180"/>
        <w:spacing w:after="0" w:line="271" w:lineRule="auto"/>
        <w:tabs>
          <w:tab w:leader="none" w:pos="1126"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stock-based compensation, (vi) change of control expenses, (vii) acquisition and integration-related adjustments, (viii) litigation (gains) charges, net, and (ix)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non-cash charges, assets being depreciated and amortized will often have to be replaced in the future, and Adjusted EBITDA does not reflect any cash requirements for such replacements.</w:t>
      </w:r>
    </w:p>
    <w:p>
      <w:pPr>
        <w:spacing w:after="0" w:line="57" w:lineRule="exact"/>
        <w:rPr>
          <w:sz w:val="20"/>
          <w:szCs w:val="20"/>
          <w:color w:val="auto"/>
        </w:rPr>
      </w:pPr>
    </w:p>
    <w:p>
      <w:pPr>
        <w:ind w:left="900" w:right="180" w:firstLine="378"/>
        <w:spacing w:after="0" w:line="255" w:lineRule="auto"/>
        <w:rPr>
          <w:sz w:val="20"/>
          <w:szCs w:val="20"/>
          <w:color w:val="auto"/>
        </w:rPr>
      </w:pPr>
      <w:r>
        <w:rPr>
          <w:rFonts w:ascii="Times New Roman" w:cs="Times New Roman" w:eastAsia="Times New Roman" w:hAnsi="Times New Roman"/>
          <w:sz w:val="16"/>
          <w:szCs w:val="16"/>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p>
      <w:pPr>
        <w:spacing w:after="0" w:line="105" w:lineRule="exact"/>
        <w:rPr>
          <w:sz w:val="20"/>
          <w:szCs w:val="20"/>
          <w:color w:val="auto"/>
        </w:rPr>
      </w:pPr>
    </w:p>
    <w:p>
      <w:pPr>
        <w:ind w:left="900" w:right="240" w:firstLine="378"/>
        <w:spacing w:after="0" w:line="281" w:lineRule="auto"/>
        <w:rPr>
          <w:sz w:val="20"/>
          <w:szCs w:val="20"/>
          <w:color w:val="auto"/>
        </w:rPr>
      </w:pPr>
      <w:r>
        <w:rPr>
          <w:rFonts w:ascii="Times New Roman" w:cs="Times New Roman" w:eastAsia="Times New Roman" w:hAnsi="Times New Roman"/>
          <w:sz w:val="16"/>
          <w:szCs w:val="16"/>
          <w:color w:val="auto"/>
        </w:rPr>
        <w:t>The following table sets forth a reconciliation of net income (loss), the most comparable GAAP financial measure, to Adjusted EBITDA and Adjusted EBITDA Margin for the periods indicated.</w:t>
      </w:r>
    </w:p>
    <w:p>
      <w:pPr>
        <w:spacing w:after="0" w:line="162"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5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Medline Holdings, LP</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gridSpan w:val="4"/>
          </w:tcPr>
          <w:p>
            <w:pPr>
              <w:jc w:val="right"/>
              <w:ind w:right="322"/>
              <w:spacing w:after="0" w:line="124" w:lineRule="exact"/>
              <w:rPr>
                <w:sz w:val="20"/>
                <w:szCs w:val="20"/>
                <w:color w:val="auto"/>
              </w:rPr>
            </w:pPr>
            <w:r>
              <w:rPr>
                <w:rFonts w:ascii="Times New Roman" w:cs="Times New Roman" w:eastAsia="Times New Roman" w:hAnsi="Times New Roman"/>
                <w:sz w:val="13"/>
                <w:szCs w:val="13"/>
                <w:b w:val="1"/>
                <w:bCs w:val="1"/>
                <w:color w:val="auto"/>
              </w:rPr>
              <w:t>Unaudited Historical</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jc w:val="center"/>
              <w:ind w:right="500"/>
              <w:spacing w:after="0" w:line="124" w:lineRule="exact"/>
              <w:rPr>
                <w:sz w:val="20"/>
                <w:szCs w:val="20"/>
                <w:color w:val="auto"/>
              </w:rPr>
            </w:pPr>
            <w:r>
              <w:rPr>
                <w:rFonts w:ascii="Times New Roman" w:cs="Times New Roman" w:eastAsia="Times New Roman" w:hAnsi="Times New Roman"/>
                <w:sz w:val="13"/>
                <w:szCs w:val="13"/>
                <w:b w:val="1"/>
                <w:bCs w:val="1"/>
                <w:color w:val="auto"/>
                <w:w w:val="98"/>
              </w:rPr>
              <w:t>Historical</w:t>
            </w: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54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180" w:type="dxa"/>
            <w:vAlign w:val="bottom"/>
            <w:gridSpan w:val="3"/>
          </w:tcPr>
          <w:p>
            <w:pPr>
              <w:jc w:val="center"/>
              <w:ind w:right="400"/>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780" w:type="dxa"/>
            <w:vAlign w:val="bottom"/>
            <w:gridSpan w:val="2"/>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Nine Months</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1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15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54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20" w:type="dxa"/>
            <w:vAlign w:val="bottom"/>
          </w:tcPr>
          <w:p>
            <w:pPr>
              <w:spacing w:after="0"/>
              <w:rPr>
                <w:sz w:val="11"/>
                <w:szCs w:val="11"/>
                <w:color w:val="auto"/>
              </w:rPr>
            </w:pPr>
          </w:p>
        </w:tc>
        <w:tc>
          <w:tcPr>
            <w:tcW w:w="70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26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40" w:type="dxa"/>
            <w:vAlign w:val="bottom"/>
          </w:tcPr>
          <w:p>
            <w:pPr>
              <w:spacing w:after="0"/>
              <w:rPr>
                <w:sz w:val="11"/>
                <w:szCs w:val="11"/>
                <w:color w:val="auto"/>
              </w:rPr>
            </w:pPr>
          </w:p>
        </w:tc>
        <w:tc>
          <w:tcPr>
            <w:tcW w:w="3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(Amounts in millions, except percentages)</w:t>
            </w:r>
          </w:p>
        </w:tc>
        <w:tc>
          <w:tcPr>
            <w:tcW w:w="1180" w:type="dxa"/>
            <w:vAlign w:val="bottom"/>
            <w:gridSpan w:val="3"/>
          </w:tcPr>
          <w:p>
            <w:pPr>
              <w:jc w:val="center"/>
              <w:ind w:right="400"/>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9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September 28,</w:t>
            </w:r>
          </w:p>
        </w:tc>
        <w:tc>
          <w:tcPr>
            <w:tcW w:w="260" w:type="dxa"/>
            <w:vAlign w:val="bottom"/>
          </w:tcPr>
          <w:p>
            <w:pPr>
              <w:spacing w:after="0"/>
              <w:rPr>
                <w:sz w:val="11"/>
                <w:szCs w:val="11"/>
                <w:color w:val="auto"/>
              </w:rPr>
            </w:pPr>
          </w:p>
        </w:tc>
        <w:tc>
          <w:tcPr>
            <w:tcW w:w="11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140" w:type="dxa"/>
            <w:vAlign w:val="bottom"/>
            <w:gridSpan w:val="3"/>
          </w:tcPr>
          <w:p>
            <w:pPr>
              <w:jc w:val="center"/>
              <w:ind w:right="4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1540" w:type="dxa"/>
            <w:vAlign w:val="bottom"/>
            <w:gridSpan w:val="4"/>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540" w:type="dxa"/>
            <w:vAlign w:val="bottom"/>
          </w:tcPr>
          <w:p>
            <w:pPr>
              <w:spacing w:after="0"/>
              <w:rPr>
                <w:sz w:val="13"/>
                <w:szCs w:val="13"/>
                <w:color w:val="auto"/>
              </w:rPr>
            </w:pPr>
          </w:p>
        </w:tc>
        <w:tc>
          <w:tcPr>
            <w:tcW w:w="304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Borders>
              <w:bottom w:val="single" w:sz="8" w:color="CCEEFF"/>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shd w:val="clear" w:color="auto" w:fill="CCEEFF"/>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646</w:t>
            </w:r>
          </w:p>
        </w:tc>
        <w:tc>
          <w:tcPr>
            <w:tcW w:w="2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655</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976</w:t>
            </w: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30</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750</w:t>
            </w:r>
          </w:p>
        </w:tc>
        <w:tc>
          <w:tcPr>
            <w:tcW w:w="2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951</w:t>
            </w: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933</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Inventory-related adjustments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67</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150</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78</w:t>
            </w: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Change of control expenses</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217</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Litigation (gains) charges, net</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161</w:t>
            </w:r>
          </w:p>
        </w:tc>
        <w:tc>
          <w:tcPr>
            <w:tcW w:w="1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304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Other non-core charges (gains)</w:t>
            </w:r>
            <w:r>
              <w:rPr>
                <w:rFonts w:ascii="Times New Roman" w:cs="Times New Roman" w:eastAsia="Times New Roman" w:hAnsi="Times New Roman"/>
                <w:sz w:val="22"/>
                <w:szCs w:val="22"/>
                <w:color w:val="auto"/>
                <w:vertAlign w:val="superscript"/>
              </w:rPr>
              <w:t>(5)</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181</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(29)</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4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4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40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30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Net income (loss) margin</w:t>
            </w:r>
            <w:r>
              <w:rPr>
                <w:rFonts w:ascii="Times New Roman" w:cs="Times New Roman" w:eastAsia="Times New Roman" w:hAnsi="Times New Roman"/>
                <w:sz w:val="20"/>
                <w:szCs w:val="20"/>
                <w:color w:val="auto"/>
                <w:vertAlign w:val="superscript"/>
              </w:rPr>
              <w:t>(6)</w:t>
            </w: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40" w:type="dxa"/>
            <w:vAlign w:val="bottom"/>
            <w:vMerge w:val="restart"/>
          </w:tcPr>
          <w:p>
            <w:pPr>
              <w:spacing w:after="0" w:line="22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3"/>
                <w:szCs w:val="23"/>
                <w:color w:val="auto"/>
                <w:vertAlign w:val="superscript"/>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40" w:type="dxa"/>
            <w:vAlign w:val="bottom"/>
          </w:tcPr>
          <w:p>
            <w:pPr>
              <w:spacing w:after="0"/>
              <w:rPr>
                <w:sz w:val="15"/>
                <w:szCs w:val="15"/>
                <w:color w:val="auto"/>
              </w:rPr>
            </w:pPr>
          </w:p>
        </w:tc>
        <w:tc>
          <w:tcPr>
            <w:tcW w:w="3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20" w:type="dxa"/>
            <w:vAlign w:val="bottom"/>
          </w:tcPr>
          <w:p>
            <w:pPr>
              <w:spacing w:after="0"/>
              <w:rPr>
                <w:sz w:val="15"/>
                <w:szCs w:val="15"/>
                <w:color w:val="auto"/>
              </w:rPr>
            </w:pPr>
          </w:p>
        </w:tc>
        <w:tc>
          <w:tcPr>
            <w:tcW w:w="70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5"/>
                <w:szCs w:val="15"/>
                <w:color w:val="auto"/>
              </w:rPr>
            </w:pPr>
          </w:p>
        </w:tc>
        <w:tc>
          <w:tcPr>
            <w:tcW w:w="1040" w:type="dxa"/>
            <w:vAlign w:val="bottom"/>
            <w:gridSpan w:val="2"/>
          </w:tcPr>
          <w:p>
            <w:pPr>
              <w:jc w:val="right"/>
              <w:ind w:right="260"/>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8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5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320" w:top="420" w:right="10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wp:posOffset>
            </wp:positionH>
            <wp:positionV relativeFrom="paragraph">
              <wp:posOffset>189230</wp:posOffset>
            </wp:positionV>
            <wp:extent cx="6210300" cy="29095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10300" cy="290957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280" w:right="40" w:hanging="380"/>
        <w:spacing w:after="0" w:line="222" w:lineRule="auto"/>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1280" w:hanging="380"/>
        <w:spacing w:after="0" w:line="211" w:lineRule="auto"/>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$38 million and $54 million of inventory adjustments associated with non-cash last-in, first-out (“LIFO”) reserves, which removes the entire impact of LIFO for the nine months ended September 27, 2025 and September 28, 2024, respectively, and $13 million of amortization of the inventory step-up resulting from acquisitions for the nine months ended September 28, 2024. Represents $53 million, $61 million, and $154 million of inventory adjustments associated with LIFO reserves for the years ended December 31, 2024, 2023, and 2022, respectively, and $25 million, $90 million, and $11 million of amortization of the inventory step-up resulting from acquisitions for the years ended December 31, 2024, 2023, and 2022, respectively.</w:t>
      </w:r>
    </w:p>
    <w:p>
      <w:pPr>
        <w:spacing w:after="0" w:line="1" w:lineRule="exact"/>
        <w:rPr>
          <w:rFonts w:ascii="Times New Roman" w:cs="Times New Roman" w:eastAsia="Times New Roman" w:hAnsi="Times New Roman"/>
          <w:sz w:val="13"/>
          <w:szCs w:val="13"/>
          <w:color w:val="auto"/>
        </w:rPr>
      </w:pPr>
    </w:p>
    <w:p>
      <w:pPr>
        <w:ind w:left="1280" w:right="80" w:hanging="380"/>
        <w:spacing w:after="0" w:line="211" w:lineRule="auto"/>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2" w:lineRule="exact"/>
        <w:rPr>
          <w:rFonts w:ascii="Times New Roman" w:cs="Times New Roman" w:eastAsia="Times New Roman" w:hAnsi="Times New Roman"/>
          <w:sz w:val="13"/>
          <w:szCs w:val="13"/>
          <w:color w:val="auto"/>
        </w:rPr>
      </w:pPr>
    </w:p>
    <w:p>
      <w:pPr>
        <w:ind w:left="1280" w:right="100" w:hanging="380"/>
        <w:spacing w:after="0" w:line="211" w:lineRule="auto"/>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nine months ended September 27, 2025, represents a settlement adjustment of $(8) million related to the ethylene oxide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spacing w:after="0" w:line="1" w:lineRule="exact"/>
        <w:rPr>
          <w:rFonts w:ascii="Times New Roman" w:cs="Times New Roman" w:eastAsia="Times New Roman" w:hAnsi="Times New Roman"/>
          <w:sz w:val="13"/>
          <w:szCs w:val="13"/>
          <w:color w:val="auto"/>
        </w:rPr>
      </w:pPr>
    </w:p>
    <w:p>
      <w:pPr>
        <w:ind w:left="1280" w:right="20" w:hanging="380"/>
        <w:spacing w:after="0" w:line="211" w:lineRule="auto"/>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other non-core charges (gains), including $91 million and $25 million of realized and unrealized foreign exchange and investment losses (gains); $32 million and $16 million of credit loss expense related to certain customer receivables; $23 million and $13 million of acquisition and integration related costs and adjustments; $15 million and $20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3" w:lineRule="exact"/>
        <w:rPr>
          <w:rFonts w:ascii="Times New Roman" w:cs="Times New Roman" w:eastAsia="Times New Roman" w:hAnsi="Times New Roman"/>
          <w:sz w:val="13"/>
          <w:szCs w:val="13"/>
          <w:color w:val="auto"/>
        </w:rPr>
      </w:pPr>
    </w:p>
    <w:p>
      <w:pPr>
        <w:ind w:left="1280" w:hanging="380"/>
        <w:spacing w:after="0"/>
        <w:tabs>
          <w:tab w:leader="none" w:pos="12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(loss) margin represents net income (loss) divided by net sales and Adjusted EBITDA Margin represents Adjusted EBITDA divided by net sales.</w:t>
      </w: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0320"/>
          </w:cols>
          <w:pgMar w:left="320" w:top="420"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RISK FACTORS</w:t>
      </w:r>
    </w:p>
    <w:p>
      <w:pPr>
        <w:spacing w:after="0" w:line="199"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Our Business, Industry and Operations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Our global operations are subject to inherent risks that could materially adversely affect our business, results of operations, and financial condition.</w:t>
      </w:r>
    </w:p>
    <w:p>
      <w:pPr>
        <w:spacing w:after="0" w:line="107"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Our global operations are subject to risks that may materially adversely affect our business, results of operations, and financial condition. We import a significant percentage of our Medline Brand products from outside of the United States, including 8% of our costs of goods sold from China for the year ended December 31, 2024. As a result of our global operations, we may experience, among other things:</w:t>
      </w:r>
    </w:p>
    <w:p>
      <w:pPr>
        <w:spacing w:after="0" w:line="73" w:lineRule="exact"/>
        <w:rPr>
          <w:sz w:val="20"/>
          <w:szCs w:val="20"/>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relating to staffing and managing foreign operations;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delays inherent in sourcing products, establishing channels of distribution, and contract manufacturing in foreign markets;</w:t>
      </w:r>
    </w:p>
    <w:p>
      <w:pPr>
        <w:spacing w:after="0" w:line="115"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in ending foreign distribution relationships where the distributor exclusively or predominantly markets and sells Medline Brand products;</w:t>
      </w:r>
    </w:p>
    <w:p>
      <w:pPr>
        <w:spacing w:after="0" w:line="60" w:lineRule="exact"/>
        <w:rPr>
          <w:rFonts w:ascii="Times New Roman" w:cs="Times New Roman" w:eastAsia="Times New Roman" w:hAnsi="Times New Roman"/>
          <w:sz w:val="16"/>
          <w:szCs w:val="16"/>
          <w:color w:val="auto"/>
        </w:rPr>
      </w:pPr>
    </w:p>
    <w:p>
      <w:pPr>
        <w:ind w:left="1600" w:right="420" w:hanging="383"/>
        <w:spacing w:after="0" w:line="281" w:lineRule="auto"/>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value of foreign currencies;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relating to trade agreements and international trade relationships;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longer payment cycles of foreign customers and difficulty of collecting receivables in foreign jurisdictions;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repatriating cash from our foreign operations to the United States;</w:t>
      </w:r>
    </w:p>
    <w:p>
      <w:pPr>
        <w:spacing w:after="0" w:line="115" w:lineRule="exact"/>
        <w:rPr>
          <w:rFonts w:ascii="Times New Roman" w:cs="Times New Roman" w:eastAsia="Times New Roman" w:hAnsi="Times New Roman"/>
          <w:sz w:val="16"/>
          <w:szCs w:val="16"/>
          <w:color w:val="auto"/>
        </w:rPr>
      </w:pPr>
    </w:p>
    <w:p>
      <w:pPr>
        <w:ind w:left="1600" w:hanging="383"/>
        <w:spacing w:after="0" w:line="265" w:lineRule="auto"/>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litigation risks, new or unanticipated litigation developments, and the status of litigation matters;</w:t>
      </w:r>
    </w:p>
    <w:p>
      <w:pPr>
        <w:spacing w:after="0" w:line="115" w:lineRule="exact"/>
        <w:rPr>
          <w:rFonts w:ascii="Times New Roman" w:cs="Times New Roman" w:eastAsia="Times New Roman" w:hAnsi="Times New Roman"/>
          <w:sz w:val="16"/>
          <w:szCs w:val="16"/>
          <w:color w:val="auto"/>
        </w:rPr>
      </w:pPr>
    </w:p>
    <w:p>
      <w:pPr>
        <w:ind w:left="1600" w:right="80" w:hanging="383"/>
        <w:spacing w:after="0" w:line="281" w:lineRule="auto"/>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difficulties in importing or exporting our products and trade laws, import/export tariffs, quotas, sanctions, or penalties, custom duties, and other trade restrictions;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limitations on our ability under local laws to protect our intellectual property;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unexpected regulatory, legal, economic, and political changes in foreign markets;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regulations that impact our operations, including purchases of capital equipment;</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0500"/>
          </w:cols>
          <w:pgMar w:left="320" w:top="420" w:right="10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60" w:hanging="383"/>
        <w:spacing w:after="0" w:line="281" w:lineRule="auto"/>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customs, tax, governmental, or other regulatory investigations, enforcements, and penalties, which may lead to informational requests and audits;</w:t>
      </w:r>
    </w:p>
    <w:p>
      <w:pPr>
        <w:spacing w:after="0" w:line="60" w:lineRule="exact"/>
        <w:rPr>
          <w:rFonts w:ascii="Times New Roman" w:cs="Times New Roman" w:eastAsia="Times New Roman" w:hAnsi="Times New Roman"/>
          <w:sz w:val="16"/>
          <w:szCs w:val="16"/>
          <w:color w:val="auto"/>
        </w:rPr>
      </w:pPr>
    </w:p>
    <w:p>
      <w:pPr>
        <w:ind w:left="1600" w:right="120" w:hanging="383"/>
        <w:spacing w:after="0" w:line="281" w:lineRule="auto"/>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disturbances, geopolitical turmoil, including terrorism, war, or political or military coups (including, without limitation, the ongoing wars in Ukraine and the Middle East);</w:t>
      </w:r>
    </w:p>
    <w:p>
      <w:pPr>
        <w:spacing w:after="0" w:line="60" w:lineRule="exact"/>
        <w:rPr>
          <w:rFonts w:ascii="Times New Roman" w:cs="Times New Roman" w:eastAsia="Times New Roman" w:hAnsi="Times New Roman"/>
          <w:sz w:val="16"/>
          <w:szCs w:val="16"/>
          <w:color w:val="auto"/>
        </w:rPr>
      </w:pPr>
    </w:p>
    <w:p>
      <w:pPr>
        <w:ind w:left="1600" w:right="220" w:hanging="383"/>
        <w:spacing w:after="0" w:line="281" w:lineRule="auto"/>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risks associated with climate change, including physical risks such as impacts from extreme weather events and other potential physical consequences;</w:t>
      </w:r>
    </w:p>
    <w:p>
      <w:pPr>
        <w:spacing w:after="0" w:line="60"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policy, legal, and regulatory impacts, including but not limited to those that affect the import of goods or require supply chain transparency and impacts as a result of the 2024 U.S. presidential election;</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developments;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stakeholder expectations and reputational risk;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public health emergencies, such as the COVID-19 pandemic.</w:t>
      </w:r>
    </w:p>
    <w:p>
      <w:pPr>
        <w:spacing w:after="0" w:line="199" w:lineRule="exact"/>
        <w:rPr>
          <w:sz w:val="20"/>
          <w:szCs w:val="20"/>
          <w:color w:val="auto"/>
        </w:rPr>
      </w:pPr>
    </w:p>
    <w:p>
      <w:pPr>
        <w:ind w:left="740" w:right="320" w:firstLine="391"/>
        <w:spacing w:after="0" w:line="281" w:lineRule="auto"/>
        <w:rPr>
          <w:sz w:val="20"/>
          <w:szCs w:val="20"/>
          <w:color w:val="auto"/>
        </w:rPr>
      </w:pPr>
      <w:r>
        <w:rPr>
          <w:rFonts w:ascii="Times New Roman" w:cs="Times New Roman" w:eastAsia="Times New Roman" w:hAnsi="Times New Roman"/>
          <w:sz w:val="16"/>
          <w:szCs w:val="16"/>
          <w:color w:val="auto"/>
        </w:rPr>
        <w:t>See also “—Uncertain global and domestic macro-economic and political conditions could materially adversely affect our business, results of operations, and financial condition.”</w:t>
      </w:r>
    </w:p>
    <w:p>
      <w:pPr>
        <w:spacing w:after="0" w:line="236" w:lineRule="exact"/>
        <w:rPr>
          <w:sz w:val="20"/>
          <w:szCs w:val="20"/>
          <w:color w:val="auto"/>
        </w:rPr>
      </w:pPr>
    </w:p>
    <w:p>
      <w:pPr>
        <w:ind w:left="740"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unable to derive fully the anticipated benefits from our existing or future acquisitions, joint ventures, investments, dispositions, or other strategic transactions.</w:t>
      </w:r>
    </w:p>
    <w:p>
      <w:pPr>
        <w:spacing w:after="0" w:line="44"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57"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57" w:lineRule="exact"/>
        <w:rPr>
          <w:sz w:val="20"/>
          <w:szCs w:val="20"/>
          <w:color w:val="auto"/>
        </w:rPr>
      </w:pPr>
    </w:p>
    <w:p>
      <w:pPr>
        <w:jc w:val="both"/>
        <w:ind w:left="740" w:firstLine="391"/>
        <w:spacing w:after="0" w:line="283" w:lineRule="auto"/>
        <w:rPr>
          <w:sz w:val="20"/>
          <w:szCs w:val="20"/>
          <w:color w:val="auto"/>
        </w:rPr>
      </w:pPr>
      <w:r>
        <w:rPr>
          <w:rFonts w:ascii="Times New Roman" w:cs="Times New Roman" w:eastAsia="Times New Roman" w:hAnsi="Times New Roman"/>
          <w:sz w:val="15"/>
          <w:szCs w:val="15"/>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44" w:lineRule="exact"/>
        <w:rPr>
          <w:sz w:val="20"/>
          <w:szCs w:val="20"/>
          <w:color w:val="auto"/>
        </w:rPr>
      </w:pPr>
    </w:p>
    <w:p>
      <w:pPr>
        <w:ind w:left="740" w:firstLine="391"/>
        <w:spacing w:after="0" w:line="271" w:lineRule="auto"/>
        <w:rPr>
          <w:sz w:val="20"/>
          <w:szCs w:val="20"/>
          <w:color w:val="auto"/>
        </w:rPr>
      </w:pPr>
      <w:r>
        <w:rPr>
          <w:rFonts w:ascii="Times New Roman" w:cs="Times New Roman" w:eastAsia="Times New Roman" w:hAnsi="Times New Roman"/>
          <w:sz w:val="15"/>
          <w:szCs w:val="15"/>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Further, acquired businesses may have liabilities, or be subject to claims, litigation, or investigations that we did not anticipate or which exceed our estimates at the time of the acquisition. Certain factors, such as our ability to integrate the information systems of acquired companies in a secure and reliable manner, the presence or absence of adequate internal controls and/or fraud in the financial systems of acquired companies, and our ability to achieve synergies among acquired companies, will affect the success of our acquisitions.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0480"/>
          </w:cols>
          <w:pgMar w:left="320" w:top="420"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Consolidation in the healthcare industry could have an adverse effect on our business, results of operations, and financial condition.</w:t>
      </w:r>
    </w:p>
    <w:p>
      <w:pPr>
        <w:spacing w:after="0" w:line="107"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Many healthcare industry companies, including healthcare systems, distributors, manufacturers, suppliers, providers, and insurers, are consolidating or have formed strategic alliances. We expect that market demand, 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as discussed in the “Summary” and “Business” sections,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industry, with accelerating pricing pressure and changes in technology.</w:t>
      </w:r>
    </w:p>
    <w:p>
      <w:pPr>
        <w:spacing w:after="0" w:line="107" w:lineRule="exact"/>
        <w:rPr>
          <w:sz w:val="20"/>
          <w:szCs w:val="20"/>
          <w:color w:val="auto"/>
        </w:rPr>
      </w:pPr>
    </w:p>
    <w:p>
      <w:pPr>
        <w:ind w:left="740" w:right="160" w:firstLine="391"/>
        <w:spacing w:after="0" w:line="253" w:lineRule="auto"/>
        <w:rPr>
          <w:sz w:val="20"/>
          <w:szCs w:val="20"/>
          <w:color w:val="auto"/>
        </w:rPr>
      </w:pPr>
      <w:r>
        <w:rPr>
          <w:rFonts w:ascii="Times New Roman" w:cs="Times New Roman" w:eastAsia="Times New Roman" w:hAnsi="Times New Roman"/>
          <w:sz w:val="16"/>
          <w:szCs w:val="16"/>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70"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64" w:lineRule="exact"/>
        <w:rPr>
          <w:sz w:val="20"/>
          <w:szCs w:val="20"/>
          <w:color w:val="auto"/>
        </w:rPr>
      </w:pPr>
    </w:p>
    <w:p>
      <w:pPr>
        <w:ind w:left="740" w:right="120" w:firstLine="391"/>
        <w:spacing w:after="0" w:line="260" w:lineRule="auto"/>
        <w:rPr>
          <w:sz w:val="20"/>
          <w:szCs w:val="20"/>
          <w:color w:val="auto"/>
        </w:rPr>
      </w:pPr>
      <w:r>
        <w:rPr>
          <w:rFonts w:ascii="Times New Roman" w:cs="Times New Roman" w:eastAsia="Times New Roman" w:hAnsi="Times New Roman"/>
          <w:sz w:val="16"/>
          <w:szCs w:val="16"/>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61"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0480"/>
          </w:cols>
          <w:pgMar w:left="320" w:top="420" w:right="10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Changes to the U.S. and global healthcare environments may not be favorable to us.</w:t>
      </w:r>
    </w:p>
    <w:p>
      <w:pPr>
        <w:spacing w:after="0" w:line="107" w:lineRule="exact"/>
        <w:rPr>
          <w:sz w:val="20"/>
          <w:szCs w:val="20"/>
          <w:color w:val="auto"/>
        </w:rPr>
      </w:pPr>
    </w:p>
    <w:p>
      <w:pPr>
        <w:ind w:left="740" w:right="40" w:firstLine="391"/>
        <w:spacing w:after="0" w:line="252" w:lineRule="auto"/>
        <w:rPr>
          <w:sz w:val="20"/>
          <w:szCs w:val="20"/>
          <w:color w:val="auto"/>
        </w:rPr>
      </w:pPr>
      <w:r>
        <w:rPr>
          <w:rFonts w:ascii="Times New Roman" w:cs="Times New Roman" w:eastAsia="Times New Roman" w:hAnsi="Times New Roman"/>
          <w:sz w:val="16"/>
          <w:szCs w:val="16"/>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is undergoing, and is expected to further undergo significant changes. These changes may include, and have previously included, declines in Medicare and Medicaid spending and reimbursement levels, changes to eligibility and enrollment that result in individuals becoming uninsured, hospital and healthcare facility closures, hospitals reducing or eliminating certain lines of service and staff, changes to provider taxes, pricing reforms, efforts by healthcare insurance companies to limit or reduce payments to pharmacies and providers, the basis for payments beginning to transition from a fee-for-service model to value-based payments and risk-sharing models, and the industry shifting away from traditional healthcare venues like hospitals and into clinics, physician offices, and patients’ homes, and other potential changes. The impact of newly enacted laws, future legislative proposals, and executive orders that may bring significant changes to the healthcare industry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71"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Increases in shipping costs or service issues with our third-party shippers could harm our business.</w:t>
      </w:r>
    </w:p>
    <w:p>
      <w:pPr>
        <w:spacing w:after="0" w:line="107"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Significant challenges or delays in our sourcing of new products and technologies could have an adverse impact on our long-term success.</w:t>
      </w:r>
    </w:p>
    <w:p>
      <w:pPr>
        <w:spacing w:after="0" w:line="107" w:lineRule="exact"/>
        <w:rPr>
          <w:sz w:val="20"/>
          <w:szCs w:val="20"/>
          <w:color w:val="auto"/>
        </w:rPr>
      </w:pPr>
    </w:p>
    <w:p>
      <w:pPr>
        <w:ind w:left="740" w:right="180" w:firstLine="391"/>
        <w:spacing w:after="0" w:line="257" w:lineRule="auto"/>
        <w:rPr>
          <w:sz w:val="20"/>
          <w:szCs w:val="20"/>
          <w:color w:val="auto"/>
        </w:rPr>
      </w:pPr>
      <w:r>
        <w:rPr>
          <w:rFonts w:ascii="Times New Roman" w:cs="Times New Roman" w:eastAsia="Times New Roman" w:hAnsi="Times New Roman"/>
          <w:sz w:val="16"/>
          <w:szCs w:val="16"/>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0480"/>
          </w:cols>
          <w:pgMar w:left="320" w:top="420" w:right="10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spacing w:after="0" w:line="265" w:lineRule="auto"/>
        <w:rPr>
          <w:sz w:val="20"/>
          <w:szCs w:val="20"/>
          <w:color w:val="auto"/>
        </w:rPr>
      </w:pPr>
      <w:r>
        <w:rPr>
          <w:rFonts w:ascii="Times New Roman" w:cs="Times New Roman" w:eastAsia="Times New Roman" w:hAnsi="Times New Roman"/>
          <w:sz w:val="16"/>
          <w:szCs w:val="16"/>
          <w:color w:val="auto"/>
        </w:rPr>
        <w:t>uncertainty over third-party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have concentration in and dependence on certain healthcare provider customers and GPOs.</w:t>
      </w:r>
    </w:p>
    <w:p>
      <w:pPr>
        <w:spacing w:after="0" w:line="107" w:lineRule="exact"/>
        <w:rPr>
          <w:sz w:val="20"/>
          <w:szCs w:val="20"/>
          <w:color w:val="auto"/>
        </w:rPr>
      </w:pPr>
    </w:p>
    <w:p>
      <w:pPr>
        <w:ind w:left="740" w:right="180" w:firstLine="391"/>
        <w:spacing w:after="0" w:line="255" w:lineRule="auto"/>
        <w:rPr>
          <w:sz w:val="20"/>
          <w:szCs w:val="20"/>
          <w:color w:val="auto"/>
        </w:rPr>
      </w:pPr>
      <w:r>
        <w:rPr>
          <w:rFonts w:ascii="Times New Roman" w:cs="Times New Roman" w:eastAsia="Times New Roman" w:hAnsi="Times New Roman"/>
          <w:sz w:val="16"/>
          <w:szCs w:val="16"/>
          <w:color w:val="auto"/>
        </w:rPr>
        <w:t>For the year ended December 31, 2024, our top five U.S. customers represented approximately $2.6 billion (or 10.4%) of our net sales. In addition, for the year ended December 31, 2024, approximately $17.1 billion (or 67% of consolidated net sales and 72% of U.S. net sales) was from sales to member hospitals under contract with our largest GPOs: Vizient Supply, LLC, Premier Healthcare Alliance, L.P., and HealthTrust Purchasing Group,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attract, develop, and retain key employees.</w:t>
      </w:r>
    </w:p>
    <w:p>
      <w:pPr>
        <w:spacing w:after="0" w:line="107" w:lineRule="exact"/>
        <w:rPr>
          <w:sz w:val="20"/>
          <w:szCs w:val="20"/>
          <w:color w:val="auto"/>
        </w:rPr>
      </w:pPr>
    </w:p>
    <w:p>
      <w:pPr>
        <w:ind w:left="740" w:right="80" w:firstLine="391"/>
        <w:spacing w:after="0" w:line="252" w:lineRule="auto"/>
        <w:rPr>
          <w:sz w:val="20"/>
          <w:szCs w:val="20"/>
          <w:color w:val="auto"/>
        </w:rPr>
      </w:pPr>
      <w:r>
        <w:rPr>
          <w:rFonts w:ascii="Times New Roman" w:cs="Times New Roman" w:eastAsia="Times New Roman" w:hAnsi="Times New Roman"/>
          <w:sz w:val="16"/>
          <w:szCs w:val="16"/>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68" w:lineRule="exact"/>
        <w:rPr>
          <w:sz w:val="20"/>
          <w:szCs w:val="20"/>
          <w:color w:val="auto"/>
        </w:rPr>
      </w:pPr>
    </w:p>
    <w:p>
      <w:pPr>
        <w:ind w:left="740" w:right="40" w:firstLine="391"/>
        <w:spacing w:after="0" w:line="257" w:lineRule="auto"/>
        <w:rPr>
          <w:sz w:val="20"/>
          <w:szCs w:val="20"/>
          <w:color w:val="auto"/>
        </w:rPr>
      </w:pPr>
      <w:r>
        <w:rPr>
          <w:rFonts w:ascii="Times New Roman" w:cs="Times New Roman" w:eastAsia="Times New Roman" w:hAnsi="Times New Roman"/>
          <w:sz w:val="16"/>
          <w:szCs w:val="16"/>
          <w:color w:val="auto"/>
        </w:rPr>
        <w:t>We may also experience sudden loss of key personnel due to a variety of causes, such as illness or the competitive factors above. Our ability to effectively succession plan, and to execute such plans, is also important to our long-term success. In addition, recent legal and regulatory changes affect our ability to enforce post-termination obligations from certain employees with respect to non-competition, non-solicitation, and protection of confidential information, which may negatively impact our ability to retain employees and protect our information and relationships with customers and other third parties.</w:t>
      </w:r>
    </w:p>
    <w:p>
      <w:pPr>
        <w:spacing w:after="0" w:line="256" w:lineRule="exact"/>
        <w:rPr>
          <w:sz w:val="20"/>
          <w:szCs w:val="20"/>
          <w:color w:val="auto"/>
        </w:rPr>
      </w:pPr>
    </w:p>
    <w:p>
      <w:pPr>
        <w:ind w:left="740"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operations depend on the proper functioning of our critical facilities and distribution networks and could be negatively impacted by events outside our control.</w:t>
      </w:r>
    </w:p>
    <w:p>
      <w:pPr>
        <w:spacing w:after="0" w:line="44" w:lineRule="exact"/>
        <w:rPr>
          <w:sz w:val="20"/>
          <w:szCs w:val="20"/>
          <w:color w:val="auto"/>
        </w:rPr>
      </w:pPr>
    </w:p>
    <w:p>
      <w:pPr>
        <w:ind w:left="740" w:right="60" w:firstLine="391"/>
        <w:spacing w:after="0" w:line="281" w:lineRule="auto"/>
        <w:rPr>
          <w:sz w:val="20"/>
          <w:szCs w:val="20"/>
          <w:color w:val="auto"/>
        </w:rPr>
      </w:pPr>
      <w:r>
        <w:rPr>
          <w:rFonts w:ascii="Times New Roman" w:cs="Times New Roman" w:eastAsia="Times New Roman" w:hAnsi="Times New Roman"/>
          <w:sz w:val="16"/>
          <w:szCs w:val="16"/>
          <w:color w:val="auto"/>
        </w:rPr>
        <w:t>Our business depends on the proper functioning of our business processes and critical facilities and our logistics and distribution networks as well as those of our third-party suppliers. We have a differentiated network</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0500"/>
          </w:cols>
          <w:pgMar w:left="320" w:top="420" w:right="10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20"/>
        <w:spacing w:after="0" w:line="253" w:lineRule="auto"/>
        <w:rPr>
          <w:sz w:val="20"/>
          <w:szCs w:val="20"/>
          <w:color w:val="auto"/>
        </w:rPr>
      </w:pPr>
      <w:r>
        <w:rPr>
          <w:rFonts w:ascii="Times New Roman" w:cs="Times New Roman" w:eastAsia="Times New Roman" w:hAnsi="Times New Roman"/>
          <w:sz w:val="16"/>
          <w:szCs w:val="16"/>
          <w:color w:val="auto"/>
        </w:rPr>
        <w:t>of 33 manufacturing facilities, 69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failure to properly control inventory; actions either required or determined to be taken to cease shipments in response to regulatory requests, pressure, actions or safety issues; regulatory enforcement actions; increased shipping times; 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62" w:lineRule="exact"/>
        <w:rPr>
          <w:sz w:val="20"/>
          <w:szCs w:val="20"/>
          <w:color w:val="auto"/>
        </w:rPr>
      </w:pPr>
    </w:p>
    <w:p>
      <w:pPr>
        <w:ind w:left="740"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 required to recognize impairment charges related to goodwill, identified intangible assets, and fixed assets that would reduce our reported assets and earnings.</w:t>
      </w:r>
    </w:p>
    <w:p>
      <w:pPr>
        <w:spacing w:after="0" w:line="44"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may not realize the expected benefits from the entry into new or amended contracts, planned cost savings, and business improvement initiatives.</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56" w:lineRule="exact"/>
        <w:rPr>
          <w:sz w:val="20"/>
          <w:szCs w:val="20"/>
          <w:color w:val="auto"/>
        </w:rPr>
      </w:pPr>
    </w:p>
    <w:p>
      <w:pPr>
        <w:ind w:left="740"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44"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product-related information with respect to our products, whether manufactured by Medline or our third-party manufacturers, or products of other manufacturers that have been incorporated into our surgical and procedural kits, have occurred and may occur in the future and have resulted in and may result in product recalls, notifications to affected customers, and other corrective actions.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0500"/>
          </w:cols>
          <w:pgMar w:left="320" w:top="420" w:right="10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color w:val="auto"/>
        </w:rPr>
        <w:t>Strong product quality is critical to the success of our goods and services. If we or our third-party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67" w:lineRule="exact"/>
        <w:rPr>
          <w:sz w:val="20"/>
          <w:szCs w:val="20"/>
          <w:color w:val="auto"/>
        </w:rPr>
      </w:pPr>
    </w:p>
    <w:p>
      <w:pPr>
        <w:jc w:val="both"/>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Any such problems, including quality issues at our third-party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Our failure to establish and maintain Prime Vendor relationships may cause our revenue to decline.</w:t>
      </w:r>
    </w:p>
    <w:p>
      <w:pPr>
        <w:spacing w:after="0" w:line="107"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Our ability to earn Prime Vendor agreements is an important revenue driver for us. Our active Prime Vendor agreements as of December 31, 2024 generated approximately 62.9% ($16.0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16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258" w:lineRule="exact"/>
        <w:rPr>
          <w:sz w:val="20"/>
          <w:szCs w:val="20"/>
          <w:color w:val="auto"/>
        </w:rPr>
      </w:pPr>
    </w:p>
    <w:p>
      <w:pPr>
        <w:ind w:left="740"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44" w:lineRule="exact"/>
        <w:rPr>
          <w:sz w:val="20"/>
          <w:szCs w:val="20"/>
          <w:color w:val="auto"/>
        </w:rPr>
      </w:pPr>
    </w:p>
    <w:p>
      <w:pPr>
        <w:ind w:left="740" w:right="120" w:firstLine="391"/>
        <w:spacing w:after="0" w:line="256" w:lineRule="auto"/>
        <w:rPr>
          <w:sz w:val="20"/>
          <w:szCs w:val="20"/>
          <w:color w:val="auto"/>
        </w:rPr>
      </w:pPr>
      <w:r>
        <w:rPr>
          <w:rFonts w:ascii="Times New Roman" w:cs="Times New Roman" w:eastAsia="Times New Roman" w:hAnsi="Times New Roman"/>
          <w:sz w:val="16"/>
          <w:szCs w:val="16"/>
          <w:color w:val="auto"/>
        </w:rPr>
        <w:t>We have experienced, and may continue to experience, increased pressure to lower the prices for certain of our goods and services due to pricing pressure from managed care organizations and other third-party payers, 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0500"/>
          </w:cols>
          <w:pgMar w:left="320" w:top="420" w:right="10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73" w:lineRule="auto"/>
        <w:rPr>
          <w:sz w:val="20"/>
          <w:szCs w:val="20"/>
          <w:color w:val="auto"/>
        </w:rPr>
      </w:pPr>
      <w:r>
        <w:rPr>
          <w:rFonts w:ascii="Times New Roman" w:cs="Times New Roman" w:eastAsia="Times New Roman" w:hAnsi="Times New Roman"/>
          <w:sz w:val="15"/>
          <w:szCs w:val="15"/>
          <w:color w:val="auto"/>
        </w:rPr>
        <w:t>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247" w:lineRule="exact"/>
        <w:rPr>
          <w:sz w:val="20"/>
          <w:szCs w:val="20"/>
          <w:color w:val="auto"/>
        </w:rPr>
      </w:pPr>
    </w:p>
    <w:p>
      <w:pPr>
        <w:ind w:left="740"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4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We rely on third parties to manufacture and supply certain raw materials, component parts, and finished goods. For example, we utilize a network of more than 500 global partners across a diversified set of approximately 40 countries for the vast majority of the other two-thirds of our Medline Brand products that are not manufactured at our manufacturing facilities, and, through our Supply Chain Solutions segment, we offer med-surg products from over 1,250 third-party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6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the possibility of adverse regulatory action against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event,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identify and enter into arrangements with additional or replacement suppliers or third-party manufacturers in a timely or cost-effective manner, partly as a result of U.S. Food and Drug Administration (“FDA”) and other applicable laws and regulations that require, among other things, qualification and registration of certain suppliers and third-party contract manufacturers, requirements for regulatory clearance, authorization, approval or certification of certain products or components, as well as validation of certain materials, components, and processes prior to their use in or with our products. Seeking and obtaining such clearances, authorizations, approvals or certifications from the FDA and other regulatory authorities is a time-consuming and expensive process. Disruptions at the FDA and other government agencies, including disruptions due to government shutdowns, lapses in appropriations, funding shortages, staffing limitations, changes in policy, or other factors may also delay, prevent, or otherwise adversely affect our ability, or the ability of any of our suppliers or third-party manufacturers to obtain any required , qualifications, clearances, approvals, authorizations or certifications. Such disruptions may also affect the submission of any required or planned filings to FDA and other government agencies (and the ability of FDA and other government agencies to accept</w:t>
      </w:r>
    </w:p>
    <w:p>
      <w:pPr>
        <w:spacing w:after="0" w:line="1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0500"/>
          </w:cols>
          <w:pgMar w:left="320" w:top="420" w:right="10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such submissions) by us or third parties, which could have a material adverse effect on our business, results of operations, and financial condition.</w:t>
      </w:r>
    </w:p>
    <w:p>
      <w:pPr>
        <w:spacing w:after="0" w:line="199"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64" w:lineRule="exact"/>
        <w:rPr>
          <w:sz w:val="20"/>
          <w:szCs w:val="20"/>
          <w:color w:val="auto"/>
        </w:rPr>
      </w:pPr>
    </w:p>
    <w:p>
      <w:pPr>
        <w:ind w:left="740" w:right="200" w:firstLine="391"/>
        <w:spacing w:after="0" w:line="255" w:lineRule="auto"/>
        <w:rPr>
          <w:sz w:val="20"/>
          <w:szCs w:val="20"/>
          <w:color w:val="auto"/>
        </w:rPr>
      </w:pPr>
      <w:r>
        <w:rPr>
          <w:rFonts w:ascii="Times New Roman" w:cs="Times New Roman" w:eastAsia="Times New Roman" w:hAnsi="Times New Roman"/>
          <w:sz w:val="16"/>
          <w:szCs w:val="16"/>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Regulation and Legal Proceedings</w:t>
      </w:r>
    </w:p>
    <w:p>
      <w:pPr>
        <w:spacing w:after="0" w:line="101" w:lineRule="exact"/>
        <w:rPr>
          <w:sz w:val="20"/>
          <w:szCs w:val="20"/>
          <w:color w:val="auto"/>
        </w:rPr>
      </w:pPr>
    </w:p>
    <w:p>
      <w:pPr>
        <w:ind w:left="740" w:right="7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4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1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0480"/>
          </w:cols>
          <w:pgMar w:left="320" w:top="420" w:right="10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61"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Measures taken to protect our systems, those of our contractors or third-party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69" w:lineRule="exact"/>
        <w:rPr>
          <w:sz w:val="20"/>
          <w:szCs w:val="20"/>
          <w:color w:val="auto"/>
        </w:rPr>
      </w:pPr>
    </w:p>
    <w:p>
      <w:pPr>
        <w:ind w:left="740" w:right="40" w:firstLine="391"/>
        <w:spacing w:after="0" w:line="252" w:lineRule="auto"/>
        <w:rPr>
          <w:sz w:val="20"/>
          <w:szCs w:val="20"/>
          <w:color w:val="auto"/>
        </w:rPr>
      </w:pPr>
      <w:r>
        <w:rPr>
          <w:rFonts w:ascii="Times New Roman" w:cs="Times New Roman" w:eastAsia="Times New Roman" w:hAnsi="Times New Roman"/>
          <w:sz w:val="16"/>
          <w:szCs w:val="16"/>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 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73"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0500"/>
          </w:cols>
          <w:pgMar w:left="320" w:top="420" w:right="10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256" w:lineRule="exact"/>
        <w:rPr>
          <w:sz w:val="20"/>
          <w:szCs w:val="20"/>
          <w:color w:val="auto"/>
        </w:rPr>
      </w:pPr>
    </w:p>
    <w:p>
      <w:pPr>
        <w:ind w:left="740"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4"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U.S.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w:t>
      </w:r>
    </w:p>
    <w:p>
      <w:pPr>
        <w:spacing w:after="0" w:line="16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In particular, our products, marketing, sales and development activities and manufacturing processes are subject to extensive and rigorous regulation by the FDA pursuant to the Federal Food, Drug and Cosmetic Act (“FDCA”), and by comparable agencies and regulatory bodies in foreign countries and other jurisdictions. Under the FDCA, medical devices must receive FDA clearance or approval, or be exempt from requirements for such clearance or approval before they can be commercially marketed in the U.S. In the EU, we are required to comply with the Medical Device Regulation (“EU MDR”) effective May 2021, which superseded the Medical Device Directives. We cannot guarantee that we will be able to obtain or maintain the required marketing clearances, approvals, authorizations, or certifications to market our new products or for enhancements or modifications to existing products. Obtaining the necessary clearances, approvals,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pacing w:after="0" w:line="171" w:lineRule="exact"/>
        <w:rPr>
          <w:sz w:val="20"/>
          <w:szCs w:val="20"/>
          <w:color w:val="auto"/>
        </w:rPr>
      </w:pPr>
    </w:p>
    <w:p>
      <w:pPr>
        <w:ind w:left="740" w:right="100" w:firstLine="391"/>
        <w:spacing w:after="0" w:line="253" w:lineRule="auto"/>
        <w:rPr>
          <w:sz w:val="20"/>
          <w:szCs w:val="20"/>
          <w:color w:val="auto"/>
        </w:rPr>
      </w:pPr>
      <w:r>
        <w:rPr>
          <w:rFonts w:ascii="Times New Roman" w:cs="Times New Roman" w:eastAsia="Times New Roman" w:hAnsi="Times New Roman"/>
          <w:sz w:val="16"/>
          <w:szCs w:val="16"/>
          <w:color w:val="auto"/>
        </w:rPr>
        <w:t>Both before and after a product is commercially marketed, we have responsibilities under the FDCA, the EU MDR and other applicable U.S. and non-U.S. regulations, including with respect to clinical studies, quality systems, manufacturing, imports, and labeling and promotional practices. We may conduct and participate in clinical studies to obtain marketing clearance, approval, authorization, or certification for new products and new indications for, or modifications to, existing products. Unfavorable clinical data from existing or future clinical studies or unfavorable performance evaluations, assessments, and testing may adversely impact our ability to obtain product clearances, approvals,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0500"/>
          </w:cols>
          <w:pgMar w:left="320" w:top="420" w:right="10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included and presently include, notices of inspectional observations (FDA Form 483s), warning letters, or other forms of enforcement.</w:t>
      </w:r>
    </w:p>
    <w:p>
      <w:pPr>
        <w:spacing w:after="0" w:line="199"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16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approval, authorization, or certification, decline to provide certificates required by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non-compliance could also be severe, including fines, revocation or suspension of a company’s products or quality management system certificates, and criminal sanctions. Any adverse regulatory or other action, including any adverse press releases or other communications from regulators, depending on its magnitude, may require termination of distribution, impose operating restrictions, result in shutdowns or delays in the introduction of products into the market, restrict us from effectively marketing, shipping, and selling our products, and limit our ability to obtain future clearances, approvals, authorizations or certifications, licenses, registrations, or other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 or continuing to market products in our current portfolio.</w:t>
      </w:r>
    </w:p>
    <w:p>
      <w:pPr>
        <w:spacing w:after="0" w:line="17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64" w:lineRule="exact"/>
        <w:rPr>
          <w:sz w:val="20"/>
          <w:szCs w:val="20"/>
          <w:color w:val="auto"/>
        </w:rPr>
      </w:pPr>
    </w:p>
    <w:p>
      <w:pPr>
        <w:ind w:left="740" w:right="120" w:firstLine="391"/>
        <w:spacing w:after="0" w:line="260" w:lineRule="auto"/>
        <w:rPr>
          <w:sz w:val="20"/>
          <w:szCs w:val="20"/>
          <w:color w:val="auto"/>
        </w:rPr>
      </w:pPr>
      <w:r>
        <w:rPr>
          <w:rFonts w:ascii="Times New Roman" w:cs="Times New Roman" w:eastAsia="Times New Roman" w:hAnsi="Times New Roman"/>
          <w:sz w:val="16"/>
          <w:szCs w:val="16"/>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0500"/>
          </w:cols>
          <w:pgMar w:left="320" w:top="420" w:right="10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renewed or might be terminated for convenience by the government with little or no prior notice, which could have a material adverse effect on our business, results of operations, and financial condition.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Any required adjustments to our efforts, such as modifications in regard to Diversity Suppliers, could increase operational complexity and legal risk. The U.S. federal government may issue updated guidance, reassess existing supervisory frameworks, or pursue enforcement actions via the False Claims Act or other mechanisms or targeted executive enforcement actions based on perceived violations of revised standards. At the same time, some states continue to require affirmative action policies or corporate diversity reporting, adding further complexity.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64" w:lineRule="exact"/>
        <w:rPr>
          <w:sz w:val="20"/>
          <w:szCs w:val="20"/>
          <w:color w:val="auto"/>
        </w:rPr>
      </w:pPr>
    </w:p>
    <w:p>
      <w:pPr>
        <w:ind w:left="740" w:right="4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extensive environmental, health, and safety requirements, and our operations involve hazardous and other environmentally sensitive substances.</w:t>
      </w:r>
    </w:p>
    <w:p>
      <w:pPr>
        <w:spacing w:after="0" w:line="44"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spacing w:after="0" w:line="164"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70"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0480"/>
          </w:cols>
          <w:pgMar w:left="320" w:top="420" w:right="10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80" w:firstLine="391"/>
        <w:spacing w:after="0" w:line="260" w:lineRule="auto"/>
        <w:rPr>
          <w:sz w:val="20"/>
          <w:szCs w:val="20"/>
          <w:color w:val="auto"/>
        </w:rPr>
      </w:pPr>
      <w:r>
        <w:rPr>
          <w:rFonts w:ascii="Times New Roman" w:cs="Times New Roman" w:eastAsia="Times New Roman" w:hAnsi="Times New Roman"/>
          <w:sz w:val="16"/>
          <w:szCs w:val="16"/>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253" w:lineRule="exact"/>
        <w:rPr>
          <w:sz w:val="20"/>
          <w:szCs w:val="20"/>
          <w:color w:val="auto"/>
        </w:rPr>
      </w:pPr>
    </w:p>
    <w:p>
      <w:pPr>
        <w:ind w:left="740"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44" w:lineRule="exact"/>
        <w:rPr>
          <w:sz w:val="20"/>
          <w:szCs w:val="20"/>
          <w:color w:val="auto"/>
        </w:rPr>
      </w:pPr>
    </w:p>
    <w:p>
      <w:pPr>
        <w:ind w:left="740" w:firstLine="391"/>
        <w:spacing w:after="0" w:line="271" w:lineRule="auto"/>
        <w:rPr>
          <w:sz w:val="20"/>
          <w:szCs w:val="20"/>
          <w:color w:val="auto"/>
        </w:rPr>
      </w:pPr>
      <w:r>
        <w:rPr>
          <w:rFonts w:ascii="Times New Roman" w:cs="Times New Roman" w:eastAsia="Times New Roman" w:hAnsi="Times New Roman"/>
          <w:sz w:val="15"/>
          <w:szCs w:val="15"/>
          <w:color w:val="auto"/>
        </w:rPr>
        <w:t>We are subject to applicable anti-corruption, anti-bribery, and similar laws, such as the FCPA, the U.S. domestic bribery statute in 18 U.S.C. § 201, and similar laws in other jurisdictions in which we operate. Anti-corruption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57"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70" w:lineRule="exact"/>
        <w:rPr>
          <w:sz w:val="20"/>
          <w:szCs w:val="20"/>
          <w:color w:val="auto"/>
        </w:rPr>
      </w:pPr>
    </w:p>
    <w:p>
      <w:pPr>
        <w:ind w:left="740" w:right="80" w:firstLine="391"/>
        <w:spacing w:after="0" w:line="255" w:lineRule="auto"/>
        <w:rPr>
          <w:sz w:val="20"/>
          <w:szCs w:val="20"/>
          <w:color w:val="auto"/>
        </w:rPr>
      </w:pPr>
      <w:r>
        <w:rPr>
          <w:rFonts w:ascii="Times New Roman" w:cs="Times New Roman" w:eastAsia="Times New Roman" w:hAnsi="Times New Roman"/>
          <w:sz w:val="16"/>
          <w:szCs w:val="16"/>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256" w:lineRule="exact"/>
        <w:rPr>
          <w:sz w:val="20"/>
          <w:szCs w:val="20"/>
          <w:color w:val="auto"/>
        </w:rPr>
      </w:pPr>
    </w:p>
    <w:p>
      <w:pPr>
        <w:ind w:left="740"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44" w:lineRule="exact"/>
        <w:rPr>
          <w:sz w:val="20"/>
          <w:szCs w:val="20"/>
          <w:color w:val="auto"/>
        </w:rPr>
      </w:pPr>
    </w:p>
    <w:p>
      <w:pPr>
        <w:ind w:left="740" w:right="640" w:firstLine="391"/>
        <w:spacing w:after="0" w:line="281" w:lineRule="auto"/>
        <w:rPr>
          <w:sz w:val="20"/>
          <w:szCs w:val="20"/>
          <w:color w:val="auto"/>
        </w:rPr>
      </w:pPr>
      <w:r>
        <w:rPr>
          <w:rFonts w:ascii="Times New Roman" w:cs="Times New Roman" w:eastAsia="Times New Roman" w:hAnsi="Times New Roman"/>
          <w:sz w:val="16"/>
          <w:szCs w:val="16"/>
          <w:color w:val="auto"/>
        </w:rPr>
        <w:t>Our business includes the Processing of Personal Data of consumers; Medline applicants, employees, and other workforce members; our customers’ patients, plan members, and employees; our vendors’ employees; and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500"/>
          </w:cols>
          <w:pgMar w:left="320" w:top="420" w:right="10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spacing w:after="0" w:line="253" w:lineRule="auto"/>
        <w:rPr>
          <w:sz w:val="20"/>
          <w:szCs w:val="20"/>
          <w:color w:val="auto"/>
        </w:rPr>
      </w:pPr>
      <w:r>
        <w:rPr>
          <w:rFonts w:ascii="Times New Roman" w:cs="Times New Roman" w:eastAsia="Times New Roman" w:hAnsi="Times New Roman"/>
          <w:sz w:val="16"/>
          <w:szCs w:val="16"/>
          <w:color w:val="auto"/>
        </w:rPr>
        <w:t>other third parties, as well as PHI, where we meet the definition of a Business Associate (as such term is defined under HIPAA)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70"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64"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In January 2025, the DOJ issued final regulations on bulk U.S. sensitive personal data and government-related data that prohibit or restrict U.S. persons from knowingly directing or engaging in defined classes of transactions that allow persons in “countries of concern” (China, including Hong Kong and Macau, Russia, Iran, North Korea, Cuba, and Venezuela) or those otherwise deemed a “covered person” access to bulk U.S. sensitive personal data and U.S. government-related data. Violations of the regulations can result in civil and criminal penalties. The regulations may further complicate compliance efforts and increase legal risk and compliance costs for us and the third parties upon whom we rely.</w:t>
      </w:r>
    </w:p>
    <w:p>
      <w:pPr>
        <w:spacing w:after="0" w:line="16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70" w:lineRule="exact"/>
        <w:rPr>
          <w:sz w:val="20"/>
          <w:szCs w:val="20"/>
          <w:color w:val="auto"/>
        </w:rPr>
      </w:pPr>
    </w:p>
    <w:p>
      <w:pPr>
        <w:jc w:val="both"/>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61" w:lineRule="exact"/>
        <w:rPr>
          <w:sz w:val="20"/>
          <w:szCs w:val="20"/>
          <w:color w:val="auto"/>
        </w:rPr>
      </w:pPr>
    </w:p>
    <w:p>
      <w:pPr>
        <w:ind w:left="740" w:right="280" w:firstLine="391"/>
        <w:spacing w:after="0" w:line="281" w:lineRule="auto"/>
        <w:rPr>
          <w:sz w:val="20"/>
          <w:szCs w:val="20"/>
          <w:color w:val="auto"/>
        </w:rPr>
      </w:pPr>
      <w:r>
        <w:rPr>
          <w:rFonts w:ascii="Times New Roman" w:cs="Times New Roman" w:eastAsia="Times New Roman" w:hAnsi="Times New Roman"/>
          <w:sz w:val="16"/>
          <w:szCs w:val="16"/>
          <w:color w:val="auto"/>
        </w:rPr>
        <w:t>In the event of a privacy or security incident or claim that we, a service provider, a third party with which we do business, or a hacker or other third party with authorized or unauthorized access to our data has violated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0480"/>
          </w:cols>
          <w:pgMar w:left="320" w:top="420" w:right="10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53" w:lineRule="auto"/>
        <w:rPr>
          <w:sz w:val="20"/>
          <w:szCs w:val="20"/>
          <w:color w:val="auto"/>
        </w:rPr>
      </w:pPr>
      <w:r>
        <w:rPr>
          <w:rFonts w:ascii="Times New Roman" w:cs="Times New Roman" w:eastAsia="Times New Roman" w:hAnsi="Times New Roman"/>
          <w:sz w:val="16"/>
          <w:szCs w:val="16"/>
          <w:color w:val="auto"/>
        </w:rPr>
        <w:t>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actions,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processes,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60" w:lineRule="exact"/>
        <w:rPr>
          <w:sz w:val="20"/>
          <w:szCs w:val="20"/>
          <w:color w:val="auto"/>
        </w:rPr>
      </w:pPr>
    </w:p>
    <w:p>
      <w:pPr>
        <w:jc w:val="both"/>
        <w:ind w:left="740" w:right="1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58" w:lineRule="exact"/>
        <w:rPr>
          <w:sz w:val="20"/>
          <w:szCs w:val="20"/>
          <w:color w:val="auto"/>
        </w:rPr>
      </w:pPr>
    </w:p>
    <w:p>
      <w:pPr>
        <w:ind w:left="740" w:right="60" w:firstLine="391"/>
        <w:spacing w:after="0" w:line="252" w:lineRule="auto"/>
        <w:rPr>
          <w:sz w:val="20"/>
          <w:szCs w:val="20"/>
          <w:color w:val="auto"/>
        </w:rPr>
      </w:pPr>
      <w:r>
        <w:rPr>
          <w:rFonts w:ascii="Times New Roman" w:cs="Times New Roman" w:eastAsia="Times New Roman" w:hAnsi="Times New Roman"/>
          <w:sz w:val="16"/>
          <w:szCs w:val="16"/>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69"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67"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0500"/>
          </w:cols>
          <w:pgMar w:left="320" w:top="420" w:right="10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For example, various U.S. states are in the process of enacting (or have already enacted) new laws and regulations that are aimed at providing individuals with additional protections in connection with Machine Learning Technology. Moreover, the FDA has issued draft guidance documents and other publications setting forth the FDA’s current thinking with respect to the use and regulation of AI and Machine Learning Technology in the development medical device software and drug products, but has yet to finalize such guidance documents or otherwise propose rules and regulations that would more specifically address the use of AI technologies in medical device products. As a result, the regulatory guidance provided with respect to the use of AI technologies has been limited.</w:t>
      </w:r>
    </w:p>
    <w:p>
      <w:pPr>
        <w:spacing w:after="0" w:line="167" w:lineRule="exact"/>
        <w:rPr>
          <w:sz w:val="20"/>
          <w:szCs w:val="20"/>
          <w:color w:val="auto"/>
        </w:rPr>
      </w:pPr>
    </w:p>
    <w:p>
      <w:pPr>
        <w:ind w:left="740" w:right="20" w:firstLine="391"/>
        <w:spacing w:after="0" w:line="272" w:lineRule="auto"/>
        <w:rPr>
          <w:sz w:val="20"/>
          <w:szCs w:val="20"/>
          <w:color w:val="auto"/>
        </w:rPr>
      </w:pPr>
      <w:r>
        <w:rPr>
          <w:rFonts w:ascii="Times New Roman" w:cs="Times New Roman" w:eastAsia="Times New Roman" w:hAnsi="Times New Roman"/>
          <w:sz w:val="15"/>
          <w:szCs w:val="15"/>
          <w:color w:val="auto"/>
        </w:rPr>
        <w:t>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w:t>
      </w:r>
    </w:p>
    <w:p>
      <w:pPr>
        <w:spacing w:after="0" w:line="1" w:lineRule="exact"/>
        <w:rPr>
          <w:sz w:val="20"/>
          <w:szCs w:val="20"/>
          <w:color w:val="auto"/>
        </w:rPr>
      </w:pPr>
    </w:p>
    <w:p>
      <w:pPr>
        <w:ind w:left="740" w:right="80"/>
        <w:spacing w:after="0" w:line="252" w:lineRule="auto"/>
        <w:rPr>
          <w:sz w:val="20"/>
          <w:szCs w:val="20"/>
          <w:color w:val="auto"/>
        </w:rPr>
      </w:pPr>
      <w:r>
        <w:rPr>
          <w:rFonts w:ascii="Times New Roman" w:cs="Times New Roman" w:eastAsia="Times New Roman" w:hAnsi="Times New Roman"/>
          <w:sz w:val="16"/>
          <w:szCs w:val="16"/>
          <w:color w:val="auto"/>
        </w:rPr>
        <w:t>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develop and introduce new products or otherwise improve our services.</w:t>
      </w:r>
    </w:p>
    <w:p>
      <w:pPr>
        <w:spacing w:after="0" w:line="259" w:lineRule="exact"/>
        <w:rPr>
          <w:sz w:val="20"/>
          <w:szCs w:val="20"/>
          <w:color w:val="auto"/>
        </w:rPr>
      </w:pPr>
    </w:p>
    <w:p>
      <w:pPr>
        <w:ind w:left="740"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In addition, in July 2025, the One Big Beautiful Bill Act (the “OBBBA”) was signed into law. The OBBBA introduced significant changes to numerous areas of U.S. federal income tax law, including permanency of certain provisions in the 2017 Tax Cuts and Jobs Act, and changes to R&amp;D expensing, bonus depreciation, and international tax provisions. Other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 Additional guidance with respect to any of these rules or other changes in tax law could materially affect our financial position, tax obligations, and effective tax rate.</w:t>
      </w:r>
    </w:p>
    <w:p>
      <w:pPr>
        <w:spacing w:after="0" w:line="173" w:lineRule="exact"/>
        <w:rPr>
          <w:sz w:val="20"/>
          <w:szCs w:val="20"/>
          <w:color w:val="auto"/>
        </w:rPr>
      </w:pPr>
    </w:p>
    <w:p>
      <w:pPr>
        <w:ind w:left="740" w:right="80" w:firstLine="391"/>
        <w:spacing w:after="0" w:line="283" w:lineRule="auto"/>
        <w:rPr>
          <w:sz w:val="20"/>
          <w:szCs w:val="20"/>
          <w:color w:val="auto"/>
        </w:rPr>
      </w:pPr>
      <w:r>
        <w:rPr>
          <w:rFonts w:ascii="Times New Roman" w:cs="Times New Roman" w:eastAsia="Times New Roman" w:hAnsi="Times New Roman"/>
          <w:sz w:val="15"/>
          <w:szCs w:val="15"/>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0500"/>
          </w:cols>
          <w:pgMar w:left="320" w:top="420" w:right="10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may become subject to litigation brought by third parties claiming infringement, misappropriation, or other violation by us of their intellectual property rights.</w:t>
      </w:r>
    </w:p>
    <w:p>
      <w:pPr>
        <w:spacing w:after="0" w:line="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64" w:lineRule="exact"/>
        <w:rPr>
          <w:sz w:val="20"/>
          <w:szCs w:val="20"/>
          <w:color w:val="auto"/>
        </w:rPr>
      </w:pPr>
    </w:p>
    <w:p>
      <w:pPr>
        <w:ind w:left="740" w:right="3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Climate change or legal, regulatory or market measures to address climate change may negatively affect our business, results of operations, and financial condition.</w:t>
      </w:r>
    </w:p>
    <w:p>
      <w:pPr>
        <w:spacing w:after="0" w:line="44"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6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Our business could be affected by current and future local, state, federal, and international laws, regulations, treaties, agreements, and policies related to greenhouse gas emissions and climate change. Some existing laws 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62" w:lineRule="exact"/>
        <w:rPr>
          <w:sz w:val="20"/>
          <w:szCs w:val="20"/>
          <w:color w:val="auto"/>
        </w:rPr>
      </w:pPr>
    </w:p>
    <w:p>
      <w:pPr>
        <w:ind w:left="740" w:right="2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increasing focus on ESG and sustainability matters or the failure or perceived failure to meet our ESG and sustainability goals may increase our costs, harm our reputation or adversely affect our business.</w:t>
      </w:r>
    </w:p>
    <w:p>
      <w:pPr>
        <w:spacing w:after="0" w:line="44" w:lineRule="exact"/>
        <w:rPr>
          <w:sz w:val="20"/>
          <w:szCs w:val="20"/>
          <w:color w:val="auto"/>
        </w:rPr>
      </w:pPr>
    </w:p>
    <w:p>
      <w:pPr>
        <w:ind w:left="740" w:right="320" w:firstLine="391"/>
        <w:spacing w:after="0" w:line="281" w:lineRule="auto"/>
        <w:rPr>
          <w:sz w:val="20"/>
          <w:szCs w:val="20"/>
          <w:color w:val="auto"/>
        </w:rPr>
      </w:pPr>
      <w:r>
        <w:rPr>
          <w:rFonts w:ascii="Times New Roman" w:cs="Times New Roman" w:eastAsia="Times New Roman" w:hAnsi="Times New Roman"/>
          <w:sz w:val="16"/>
          <w:szCs w:val="16"/>
          <w:color w:val="auto"/>
        </w:rPr>
        <w:t>Companies are facing increasing scrutiny from investors, customers, patients, consumers, employees, proxy advisory firms, nongovernmental organizations, and other stakeholders related to environmental, social, and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0500"/>
          </w:cols>
          <w:pgMar w:left="320" w:top="420" w:right="10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1" w:lineRule="auto"/>
        <w:rPr>
          <w:sz w:val="20"/>
          <w:szCs w:val="20"/>
          <w:color w:val="auto"/>
        </w:rPr>
      </w:pPr>
      <w:r>
        <w:rPr>
          <w:rFonts w:ascii="Times New Roman" w:cs="Times New Roman" w:eastAsia="Times New Roman" w:hAnsi="Times New Roman"/>
          <w:sz w:val="16"/>
          <w:szCs w:val="16"/>
          <w:color w:val="auto"/>
        </w:rPr>
        <w:t>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2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are involved in legal proceedings and disputes, which could adversely impact our business, results of operations, and financial condition.</w:t>
      </w:r>
    </w:p>
    <w:p>
      <w:pPr>
        <w:spacing w:after="0" w:line="107"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or determine that certain products in our inventory should no longer be shipped as a result of regulatory requests or actions or safety or other issues. Even claims without merit could subject us to adverse publicity, harm our reputation, require us to incur significant legal fees, or cause us to modify our pay or other practices. Any of these events could have a material adverse effect on our business, results of operations,</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0500"/>
          </w:cols>
          <w:pgMar w:left="320" w:top="420" w:right="10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320"/>
        <w:spacing w:after="0" w:line="265" w:lineRule="auto"/>
        <w:rPr>
          <w:sz w:val="20"/>
          <w:szCs w:val="20"/>
          <w:color w:val="auto"/>
        </w:rPr>
      </w:pPr>
      <w:r>
        <w:rPr>
          <w:rFonts w:ascii="Times New Roman" w:cs="Times New Roman" w:eastAsia="Times New Roman" w:hAnsi="Times New Roman"/>
          <w:sz w:val="16"/>
          <w:szCs w:val="16"/>
          <w:color w:val="auto"/>
        </w:rPr>
        <w:t>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157" w:lineRule="exact"/>
        <w:rPr>
          <w:sz w:val="20"/>
          <w:szCs w:val="20"/>
          <w:color w:val="auto"/>
        </w:rPr>
      </w:pPr>
    </w:p>
    <w:p>
      <w:pPr>
        <w:ind w:left="740" w:right="20" w:firstLine="391"/>
        <w:spacing w:after="0" w:line="276" w:lineRule="auto"/>
        <w:rPr>
          <w:sz w:val="20"/>
          <w:szCs w:val="20"/>
          <w:color w:val="auto"/>
        </w:rPr>
      </w:pPr>
      <w:r>
        <w:rPr>
          <w:rFonts w:ascii="Times New Roman" w:cs="Times New Roman" w:eastAsia="Times New Roman" w:hAnsi="Times New Roman"/>
          <w:sz w:val="15"/>
          <w:szCs w:val="15"/>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243" w:lineRule="exact"/>
        <w:rPr>
          <w:sz w:val="20"/>
          <w:szCs w:val="20"/>
          <w:color w:val="auto"/>
        </w:rPr>
      </w:pPr>
    </w:p>
    <w:p>
      <w:pPr>
        <w:ind w:left="740" w:right="5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44"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166" w:lineRule="exact"/>
        <w:rPr>
          <w:sz w:val="20"/>
          <w:szCs w:val="20"/>
          <w:color w:val="auto"/>
        </w:rPr>
      </w:pPr>
    </w:p>
    <w:p>
      <w:pPr>
        <w:ind w:left="740" w:right="100" w:firstLine="391"/>
        <w:spacing w:after="0" w:line="253" w:lineRule="auto"/>
        <w:rPr>
          <w:sz w:val="20"/>
          <w:szCs w:val="20"/>
          <w:color w:val="auto"/>
        </w:rPr>
      </w:pPr>
      <w:r>
        <w:rPr>
          <w:rFonts w:ascii="Times New Roman" w:cs="Times New Roman" w:eastAsia="Times New Roman" w:hAnsi="Times New Roman"/>
          <w:sz w:val="16"/>
          <w:szCs w:val="16"/>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70"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0480"/>
          </w:cols>
          <w:pgMar w:left="320" w:top="420" w:right="10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55" w:lineRule="auto"/>
        <w:rPr>
          <w:sz w:val="20"/>
          <w:szCs w:val="20"/>
          <w:color w:val="auto"/>
        </w:rPr>
      </w:pPr>
      <w:r>
        <w:rPr>
          <w:rFonts w:ascii="Times New Roman" w:cs="Times New Roman" w:eastAsia="Times New Roman" w:hAnsi="Times New Roman"/>
          <w:sz w:val="16"/>
          <w:szCs w:val="16"/>
          <w:color w:val="auto"/>
        </w:rPr>
        <w:t>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64"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65"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Additionally, we also directly submitted claims to governmental healthcare programs as a Medicare-enrolled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Our insurance program may not cover claims brought against us, deny coverage of claims, or be inadequate to cover future losses.</w:t>
      </w:r>
    </w:p>
    <w:p>
      <w:pPr>
        <w:spacing w:after="0" w:line="107"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We maintain third-party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$2.0 million of net litigation charges for the year ended December 31, 2024. See “—We are involved in legal proceedings and disputes, which could adversely impact our business, results of operations, and financial condition” and “Note 12—Commitments and Contingencies” of our audited consolidated financial statements and “Note 9—Commitments and Contingencies” of our unaudited condensed consolidated financial statements, each of which is included elsewhere in this prospectus.</w:t>
      </w:r>
    </w:p>
    <w:p>
      <w:pPr>
        <w:spacing w:after="0" w:line="166"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0440"/>
          </w:cols>
          <w:pgMar w:left="320" w:top="420" w:right="11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5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44"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64"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70"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Financial and Economic Market Conditions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rate fluctuations could have a significant impact on our results of operations.</w:t>
      </w:r>
    </w:p>
    <w:p>
      <w:pPr>
        <w:spacing w:after="0" w:line="107" w:lineRule="exact"/>
        <w:rPr>
          <w:sz w:val="20"/>
          <w:szCs w:val="20"/>
          <w:color w:val="auto"/>
        </w:rPr>
      </w:pPr>
    </w:p>
    <w:p>
      <w:pPr>
        <w:ind w:left="740" w:right="20" w:firstLine="391"/>
        <w:spacing w:after="0" w:line="271" w:lineRule="auto"/>
        <w:rPr>
          <w:sz w:val="20"/>
          <w:szCs w:val="20"/>
          <w:color w:val="auto"/>
        </w:rPr>
      </w:pPr>
      <w:r>
        <w:rPr>
          <w:rFonts w:ascii="Times New Roman" w:cs="Times New Roman" w:eastAsia="Times New Roman" w:hAnsi="Times New Roman"/>
          <w:sz w:val="15"/>
          <w:szCs w:val="15"/>
          <w:color w:val="auto"/>
        </w:rPr>
        <w:t>We operate in various international markets, including Canada, Mexico, Europe, and the Asia Pacific region, with more significant manufacturing operations in Mexico. For the year ended December 31, 2024, 6.7% of our total net sales and 8.7%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0480"/>
          </w:cols>
          <w:pgMar w:left="320" w:top="420" w:right="10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Our profitability and cash flows may be adversely affected by inflationary pressures.</w:t>
      </w:r>
    </w:p>
    <w:p>
      <w:pPr>
        <w:spacing w:after="0" w:line="10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260" w:lineRule="exact"/>
        <w:rPr>
          <w:sz w:val="20"/>
          <w:szCs w:val="20"/>
          <w:color w:val="auto"/>
        </w:rPr>
      </w:pPr>
    </w:p>
    <w:p>
      <w:pPr>
        <w:ind w:left="740"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Uncertain global and domestic macro-economic and political conditions could materially adversely affect our business, results of operations, and financial condition.</w:t>
      </w:r>
    </w:p>
    <w:p>
      <w:pPr>
        <w:spacing w:after="0" w:line="44"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73" w:lineRule="exact"/>
        <w:rPr>
          <w:sz w:val="20"/>
          <w:szCs w:val="20"/>
          <w:color w:val="auto"/>
        </w:rPr>
      </w:pPr>
    </w:p>
    <w:p>
      <w:pPr>
        <w:ind w:left="1600" w:right="340" w:hanging="383"/>
        <w:spacing w:after="0" w:line="281" w:lineRule="auto"/>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greater restrictions on imports and exports;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tariffs, sanctions, or other protectionist measures;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including further deterioration of, the relationship between the United States and China;</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as a result of the 2024 U.S. presidential election;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sovereign debt levels;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 confidence;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unemployment levels (and a corresponding increase in the uninsured and underinsured population);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employment laws and regulations;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fluctuations and strengthening of the dollar, which have and will continue to impact our results of operations;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availability of capital;</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fuel and energy costs;</w:t>
      </w:r>
    </w:p>
    <w:p>
      <w:pPr>
        <w:spacing w:after="0" w:line="115"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 of inflation on our ability to procure products and our ability to increase prices over time and pass through to our customers price increases we may receive;</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tax rates and the availability of certain tax deductions;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increases in labor costs or healthcare costs;</w:t>
      </w:r>
    </w:p>
    <w:p>
      <w:pPr>
        <w:spacing w:after="0" w:line="115" w:lineRule="exact"/>
        <w:rPr>
          <w:rFonts w:ascii="Times New Roman" w:cs="Times New Roman" w:eastAsia="Times New Roman" w:hAnsi="Times New Roman"/>
          <w:sz w:val="16"/>
          <w:szCs w:val="16"/>
          <w:color w:val="auto"/>
        </w:rPr>
      </w:pPr>
    </w:p>
    <w:p>
      <w:pPr>
        <w:ind w:left="1600" w:right="100" w:hanging="383"/>
        <w:spacing w:after="0" w:line="281" w:lineRule="auto"/>
        <w:tabs>
          <w:tab w:leader="none" w:pos="1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threat or outbreak of war, terrorism, or public unrest (including, without limitation, the ongoing wars in Ukraine and the Middle East); and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0500"/>
          </w:cols>
          <w:pgMar w:left="320" w:top="420" w:right="10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383"/>
        <w:spacing w:after="0"/>
        <w:tabs>
          <w:tab w:leader="none" w:pos="160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laws and policies governing manufacturing, development and investment in territories and countries where we do business.</w:t>
      </w:r>
    </w:p>
    <w:p>
      <w:pPr>
        <w:spacing w:after="0" w:line="199" w:lineRule="exact"/>
        <w:rPr>
          <w:sz w:val="20"/>
          <w:szCs w:val="20"/>
          <w:color w:val="auto"/>
        </w:rPr>
      </w:pPr>
    </w:p>
    <w:p>
      <w:pPr>
        <w:ind w:left="740" w:right="40" w:firstLine="391"/>
        <w:spacing w:after="0" w:line="252" w:lineRule="auto"/>
        <w:rPr>
          <w:sz w:val="20"/>
          <w:szCs w:val="20"/>
          <w:color w:val="auto"/>
        </w:rPr>
      </w:pPr>
      <w:r>
        <w:rPr>
          <w:rFonts w:ascii="Times New Roman" w:cs="Times New Roman" w:eastAsia="Times New Roman" w:hAnsi="Times New Roman"/>
          <w:sz w:val="16"/>
          <w:szCs w:val="16"/>
          <w:color w:val="auto"/>
        </w:rPr>
        <w:t>The U.S. government has implemented or announced significant new tariffs on products manufactured in a wide range of countries outside the United States, including China, Mexico, and countries in Southeast Asia. These actions have prompted a cycle of retaliatory tariffs and potential retaliatory tariffs by a number of these countries and the United States. While certain of these announced tariffs have been delayed, a number of new tariffs remain in effect, and the U.S. government may in the future impose, reimpose, increase, or pause tariffs, and countries subject to such tariffs have imposed, and in the future may impose, reciprocal tariffs or other protectionist or retaliatory trade measures in response. The imposition of tariffs and other trade restrictions, as well as the escalation of trade disputes and any resulting downturns in the global economy, has and could continue to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exemptions or exclusions that may be granted, availability and cost of alternative sources of supply, and demand for our products in affected markets. Furthermore, actions we take to adapt to new tariffs or other trade restrictions may cause us to modify our operations, which could be time-consuming and expensive; impact pricing of our products, which could impact our sales and profitability; or cause us to forgo business opportunities.</w:t>
      </w:r>
    </w:p>
    <w:p>
      <w:pPr>
        <w:spacing w:after="0" w:line="173"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61"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255" w:lineRule="exact"/>
        <w:rPr>
          <w:sz w:val="20"/>
          <w:szCs w:val="20"/>
          <w:color w:val="auto"/>
        </w:rPr>
      </w:pPr>
    </w:p>
    <w:p>
      <w:pPr>
        <w:ind w:left="740" w:right="2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manufacturing business is exposed to price fluctuations of key commodities, which may negatively impact our results of operations and cash flows.</w:t>
      </w:r>
    </w:p>
    <w:p>
      <w:pPr>
        <w:spacing w:after="0" w:line="44" w:lineRule="exact"/>
        <w:rPr>
          <w:sz w:val="20"/>
          <w:szCs w:val="20"/>
          <w:color w:val="auto"/>
        </w:rPr>
      </w:pPr>
    </w:p>
    <w:p>
      <w:pPr>
        <w:ind w:left="740" w:right="80" w:firstLine="391"/>
        <w:spacing w:after="0" w:line="255" w:lineRule="auto"/>
        <w:rPr>
          <w:sz w:val="20"/>
          <w:szCs w:val="20"/>
          <w:color w:val="auto"/>
        </w:rPr>
      </w:pPr>
      <w:r>
        <w:rPr>
          <w:rFonts w:ascii="Times New Roman" w:cs="Times New Roman" w:eastAsia="Times New Roman" w:hAnsi="Times New Roman"/>
          <w:sz w:val="16"/>
          <w:szCs w:val="16"/>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0500"/>
          </w:cols>
          <w:pgMar w:left="320" w:top="420" w:right="10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Our Indebtedness</w:t>
      </w:r>
    </w:p>
    <w:p>
      <w:pPr>
        <w:spacing w:after="0" w:line="101" w:lineRule="exact"/>
        <w:rPr>
          <w:sz w:val="20"/>
          <w:szCs w:val="20"/>
          <w:color w:val="auto"/>
        </w:rPr>
      </w:pPr>
    </w:p>
    <w:p>
      <w:pPr>
        <w:ind w:left="740" w:right="18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44" w:lineRule="exact"/>
        <w:rPr>
          <w:sz w:val="20"/>
          <w:szCs w:val="20"/>
          <w:color w:val="auto"/>
        </w:rPr>
      </w:pPr>
    </w:p>
    <w:p>
      <w:pPr>
        <w:jc w:val="both"/>
        <w:ind w:left="740" w:right="500" w:firstLine="391"/>
        <w:spacing w:after="0" w:line="265" w:lineRule="auto"/>
        <w:rPr>
          <w:sz w:val="20"/>
          <w:szCs w:val="20"/>
          <w:color w:val="auto"/>
        </w:rPr>
      </w:pPr>
      <w:r>
        <w:rPr>
          <w:rFonts w:ascii="Times New Roman" w:cs="Times New Roman" w:eastAsia="Times New Roman" w:hAnsi="Times New Roman"/>
          <w:sz w:val="16"/>
          <w:szCs w:val="16"/>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73" w:lineRule="exact"/>
        <w:rPr>
          <w:sz w:val="20"/>
          <w:szCs w:val="20"/>
          <w:color w:val="auto"/>
        </w:rPr>
      </w:pPr>
    </w:p>
    <w:p>
      <w:pPr>
        <w:ind w:left="1600" w:hanging="383"/>
        <w:spacing w:after="0"/>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making it difficult for us to satisfy our obligations, including debt service requirements under our outstanding debt;</w:t>
      </w:r>
    </w:p>
    <w:p>
      <w:pPr>
        <w:spacing w:after="0" w:line="115"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obtain additional financing for working capital, capital expenditures, debt service requirements, acquisitions, or other general corporate purposes;</w:t>
      </w:r>
    </w:p>
    <w:p>
      <w:pPr>
        <w:spacing w:after="0" w:line="60" w:lineRule="exact"/>
        <w:rPr>
          <w:rFonts w:ascii="Times New Roman" w:cs="Times New Roman" w:eastAsia="Times New Roman" w:hAnsi="Times New Roman"/>
          <w:sz w:val="16"/>
          <w:szCs w:val="16"/>
          <w:color w:val="auto"/>
        </w:rPr>
      </w:pPr>
    </w:p>
    <w:p>
      <w:pPr>
        <w:ind w:left="1600" w:right="180" w:hanging="383"/>
        <w:spacing w:after="0" w:line="265" w:lineRule="auto"/>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73" w:lineRule="exact"/>
        <w:rPr>
          <w:rFonts w:ascii="Times New Roman" w:cs="Times New Roman" w:eastAsia="Times New Roman" w:hAnsi="Times New Roman"/>
          <w:sz w:val="16"/>
          <w:szCs w:val="16"/>
          <w:color w:val="auto"/>
        </w:rPr>
      </w:pPr>
    </w:p>
    <w:p>
      <w:pPr>
        <w:ind w:left="1600" w:right="160" w:hanging="383"/>
        <w:spacing w:after="0" w:line="281" w:lineRule="auto"/>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increasing our vulnerability to economic downturns and adverse industry conditions and our flexibility to plan for, or react to, changes in our business or industry is more limited;</w:t>
      </w:r>
    </w:p>
    <w:p>
      <w:pPr>
        <w:spacing w:after="0" w:line="60" w:lineRule="exact"/>
        <w:rPr>
          <w:rFonts w:ascii="Times New Roman" w:cs="Times New Roman" w:eastAsia="Times New Roman" w:hAnsi="Times New Roman"/>
          <w:sz w:val="16"/>
          <w:szCs w:val="16"/>
          <w:color w:val="auto"/>
        </w:rPr>
      </w:pPr>
    </w:p>
    <w:p>
      <w:pPr>
        <w:ind w:left="1600" w:right="20" w:hanging="383"/>
        <w:spacing w:after="0" w:line="265" w:lineRule="auto"/>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limiting our ability to borrow additional funds or to refinance debt on favorable terms or at all;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causing potential or existing customers or vendors to not contract with us due to concerns over our ability to meet our financial obligations.</w:t>
      </w:r>
    </w:p>
    <w:p>
      <w:pPr>
        <w:spacing w:after="0" w:line="211"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64"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70" w:lineRule="exact"/>
        <w:rPr>
          <w:sz w:val="20"/>
          <w:szCs w:val="20"/>
          <w:color w:val="auto"/>
        </w:rPr>
      </w:pPr>
    </w:p>
    <w:p>
      <w:pPr>
        <w:ind w:left="740" w:right="380" w:firstLine="391"/>
        <w:spacing w:after="0" w:line="281" w:lineRule="auto"/>
        <w:rPr>
          <w:sz w:val="20"/>
          <w:szCs w:val="20"/>
          <w:color w:val="auto"/>
        </w:rPr>
      </w:pPr>
      <w:r>
        <w:rPr>
          <w:rFonts w:ascii="Times New Roman" w:cs="Times New Roman" w:eastAsia="Times New Roman" w:hAnsi="Times New Roman"/>
          <w:sz w:val="16"/>
          <w:szCs w:val="16"/>
          <w:color w:val="auto"/>
        </w:rPr>
        <w:t>All of the debt under our Senior Secured Credit Facilities bears interest at variable rates. In recent years, we have experienced higher interest expense on our credit facilities due to interest rate increases, and if interest rates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0500"/>
          </w:cols>
          <w:pgMar w:left="320" w:top="420" w:right="10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65" w:lineRule="auto"/>
        <w:rPr>
          <w:sz w:val="20"/>
          <w:szCs w:val="20"/>
          <w:color w:val="auto"/>
        </w:rPr>
      </w:pPr>
      <w:r>
        <w:rPr>
          <w:rFonts w:ascii="Times New Roman" w:cs="Times New Roman" w:eastAsia="Times New Roman" w:hAnsi="Times New Roman"/>
          <w:sz w:val="16"/>
          <w:szCs w:val="16"/>
          <w:color w:val="auto"/>
        </w:rPr>
        <w:t>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5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60" w:lineRule="exact"/>
        <w:rPr>
          <w:sz w:val="20"/>
          <w:szCs w:val="20"/>
          <w:color w:val="auto"/>
        </w:rPr>
      </w:pPr>
    </w:p>
    <w:p>
      <w:pPr>
        <w:ind w:left="740" w:right="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44" w:lineRule="exact"/>
        <w:rPr>
          <w:sz w:val="20"/>
          <w:szCs w:val="20"/>
          <w:color w:val="auto"/>
        </w:rPr>
      </w:pPr>
    </w:p>
    <w:p>
      <w:pPr>
        <w:ind w:left="740" w:right="260" w:firstLine="391"/>
        <w:spacing w:after="0" w:line="281"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60" w:lineRule="exact"/>
        <w:rPr>
          <w:sz w:val="20"/>
          <w:szCs w:val="20"/>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or guarantee additional debt or issue disqualified stock or preferred stock;</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make other distributions on, or redeem or repurchase, capital stock;</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certain investments;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certain liens;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 or consolidate;</w:t>
      </w:r>
    </w:p>
    <w:p>
      <w:pPr>
        <w:spacing w:after="0" w:line="115" w:lineRule="exact"/>
        <w:rPr>
          <w:rFonts w:ascii="Times New Roman" w:cs="Times New Roman" w:eastAsia="Times New Roman" w:hAnsi="Times New Roman"/>
          <w:sz w:val="16"/>
          <w:szCs w:val="16"/>
          <w:color w:val="auto"/>
        </w:rPr>
      </w:pPr>
    </w:p>
    <w:p>
      <w:pPr>
        <w:ind w:left="1600" w:right="240" w:hanging="383"/>
        <w:spacing w:after="0" w:line="281" w:lineRule="auto"/>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restrict the ability of restricted subsidiaries to make dividends or other payments to the issuer/borrower or the guarantors of the relevant debt;</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restricted subsidiaries as unrestricted subsidiaries;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indebtedness that is subordinated in right of payment to the notes;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or sell assets.</w:t>
      </w:r>
    </w:p>
    <w:p>
      <w:pPr>
        <w:spacing w:after="0" w:line="19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In addition, if borrowings under our Revolving Credit Facility exceed certain thresholds, our subsidiaries are also subject to a first lien net</w:t>
      </w:r>
    </w:p>
    <w:p>
      <w:pPr>
        <w:spacing w:after="0" w:line="2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6"/>
          <w:szCs w:val="16"/>
          <w:color w:val="auto"/>
        </w:rPr>
        <w:t>leverage ratio financial covenant in the credit agreement that governs the Senior Secured Credit Facilities. See “Description of Certain Indebtedness.”</w:t>
      </w:r>
    </w:p>
    <w:p>
      <w:pPr>
        <w:spacing w:after="0" w:line="183"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0500"/>
          </w:cols>
          <w:pgMar w:left="320" w:top="420" w:right="10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40" w:firstLine="391"/>
        <w:spacing w:after="0" w:line="260" w:lineRule="auto"/>
        <w:rPr>
          <w:sz w:val="20"/>
          <w:szCs w:val="20"/>
          <w:color w:val="auto"/>
        </w:rPr>
      </w:pPr>
      <w:r>
        <w:rPr>
          <w:rFonts w:ascii="Times New Roman" w:cs="Times New Roman" w:eastAsia="Times New Roman" w:hAnsi="Times New Roman"/>
          <w:sz w:val="16"/>
          <w:szCs w:val="16"/>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Our Organizational Structure</w:t>
      </w:r>
    </w:p>
    <w:p>
      <w:pPr>
        <w:spacing w:after="0" w:line="101" w:lineRule="exact"/>
        <w:rPr>
          <w:sz w:val="20"/>
          <w:szCs w:val="20"/>
          <w:color w:val="auto"/>
        </w:rPr>
      </w:pPr>
    </w:p>
    <w:p>
      <w:pPr>
        <w:ind w:left="740" w:right="14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58"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Medline Inc. will be a holding company and after completion of this offering will have no material assets other than its ownership of Common Units held directly or indirectly through wholly owned subsidiaries. Medline Inc. will have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66"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Medline Holdings will continue to be treated as a partnership for U.S. federal income tax purposes and, as such, generally will not be subject to any entity-level U.S. federal income tax. Instead, taxable income will be allocated to holders of Units (including Medline Inc.). Accordingly, Medline Inc. will be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pacing w:after="0" w:line="167" w:lineRule="exact"/>
        <w:rPr>
          <w:sz w:val="20"/>
          <w:szCs w:val="20"/>
          <w:color w:val="auto"/>
        </w:rPr>
      </w:pPr>
    </w:p>
    <w:p>
      <w:pPr>
        <w:ind w:left="740" w:right="80" w:firstLine="391"/>
        <w:spacing w:after="0" w:line="254" w:lineRule="auto"/>
        <w:rPr>
          <w:sz w:val="20"/>
          <w:szCs w:val="20"/>
          <w:color w:val="auto"/>
        </w:rPr>
      </w:pPr>
      <w:r>
        <w:rPr>
          <w:rFonts w:ascii="Times New Roman" w:cs="Times New Roman" w:eastAsia="Times New Roman" w:hAnsi="Times New Roman"/>
          <w:sz w:val="16"/>
          <w:szCs w:val="16"/>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0500"/>
          </w:cols>
          <w:pgMar w:left="320" w:top="420" w:right="10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 See “Certain Relationships and Related Person Transactions—Medline Holdings Amended and Restated Limited Partnership Agreement.”</w:t>
      </w:r>
    </w:p>
    <w:p>
      <w:pPr>
        <w:spacing w:after="0" w:line="16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Our tax receivable agreement confers benefits upon certain of our pre-IPO owners.</w:t>
      </w:r>
    </w:p>
    <w:p>
      <w:pPr>
        <w:spacing w:after="0" w:line="107" w:lineRule="exact"/>
        <w:rPr>
          <w:sz w:val="20"/>
          <w:szCs w:val="20"/>
          <w:color w:val="auto"/>
        </w:rPr>
      </w:pPr>
    </w:p>
    <w:p>
      <w:pPr>
        <w:ind w:left="740" w:firstLine="391"/>
        <w:spacing w:after="0" w:line="270" w:lineRule="auto"/>
        <w:rPr>
          <w:sz w:val="20"/>
          <w:szCs w:val="20"/>
          <w:color w:val="auto"/>
        </w:rPr>
      </w:pPr>
      <w:r>
        <w:rPr>
          <w:rFonts w:ascii="Times New Roman" w:cs="Times New Roman" w:eastAsia="Times New Roman" w:hAnsi="Times New Roman"/>
          <w:sz w:val="15"/>
          <w:szCs w:val="15"/>
          <w:color w:val="auto"/>
        </w:rPr>
        <w:t>Our tax receivable agreement confers benefits upon certain of our pre-IPO owners. Prior to the completion of this offering, Medline Inc. will enter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15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pre-IPO owners. While the amount of existing tax basis and anticipated tax basis adjustments and utilization of tax attributes, as well as the amount and timing of any payments under the tax receivable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0500"/>
          </w:cols>
          <w:pgMar w:left="320" w:top="420" w:right="10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1" w:lineRule="auto"/>
        <w:rPr>
          <w:sz w:val="20"/>
          <w:szCs w:val="20"/>
          <w:color w:val="auto"/>
        </w:rPr>
      </w:pPr>
      <w:r>
        <w:rPr>
          <w:rFonts w:ascii="Times New Roman" w:cs="Times New Roman" w:eastAsia="Times New Roman" w:hAnsi="Times New Roman"/>
          <w:sz w:val="16"/>
          <w:szCs w:val="16"/>
          <w:color w:val="auto"/>
        </w:rPr>
        <w:t>agreement, will vary depending upon a number of factors, we expect the payments that Medline Inc. may make under the tax receivable agreement will be substantial. Assuming: (i) a price of $29.00 per share of our Class A common stock; (ii) a constant corporate tax rate of 25.7%;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the initial public offering price of $29.00 per share of Class A common stock, we estimate that we would, as a result of the Reorganization Transactions and Offering Transactions and such hypothetical exchange, record a deferred tax asset of approximately $3,577 million and that the aggregate noncurrent liability we would record based on our estimate of the aggregate amount that Medline Inc. would pay under the tax receivable agreement is approximately $8,975 million, generally payable over a 15-year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our deferred tax asset would increase (decrease) by approximately $268 million and the related liability for payments under the tax receivable agreement would increase (decrease) by approximately $243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(including Common Units issued upon conversion of vested Incentive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269" w:lineRule="exact"/>
        <w:rPr>
          <w:sz w:val="20"/>
          <w:szCs w:val="20"/>
          <w:color w:val="auto"/>
        </w:rPr>
      </w:pPr>
    </w:p>
    <w:p>
      <w:pPr>
        <w:ind w:left="740" w:right="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71"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0500"/>
          </w:cols>
          <w:pgMar w:left="320" w:top="420" w:right="10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4" w:lineRule="auto"/>
        <w:rPr>
          <w:sz w:val="20"/>
          <w:szCs w:val="20"/>
          <w:color w:val="auto"/>
        </w:rPr>
      </w:pPr>
      <w:r>
        <w:rPr>
          <w:rFonts w:ascii="Times New Roman" w:cs="Times New Roman" w:eastAsia="Times New Roman" w:hAnsi="Times New Roman"/>
          <w:sz w:val="16"/>
          <w:szCs w:val="16"/>
          <w:color w:val="auto"/>
        </w:rPr>
        <w:t>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See “Certain Relationships and Related Person Transactions—Tax Receivable Agreement.”</w:t>
      </w:r>
    </w:p>
    <w:p>
      <w:pPr>
        <w:spacing w:after="0" w:line="258" w:lineRule="exact"/>
        <w:rPr>
          <w:sz w:val="20"/>
          <w:szCs w:val="20"/>
          <w:color w:val="auto"/>
        </w:rPr>
      </w:pPr>
    </w:p>
    <w:p>
      <w:pPr>
        <w:jc w:val="both"/>
        <w:ind w:left="740" w:right="160"/>
        <w:spacing w:after="0" w:line="321" w:lineRule="auto"/>
        <w:rPr>
          <w:sz w:val="20"/>
          <w:szCs w:val="20"/>
          <w:color w:val="auto"/>
        </w:rPr>
      </w:pPr>
      <w:r>
        <w:rPr>
          <w:rFonts w:ascii="Times New Roman" w:cs="Times New Roman" w:eastAsia="Times New Roman" w:hAnsi="Times New Roman"/>
          <w:sz w:val="15"/>
          <w:szCs w:val="15"/>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22" w:lineRule="exact"/>
        <w:rPr>
          <w:sz w:val="20"/>
          <w:szCs w:val="20"/>
          <w:color w:val="auto"/>
        </w:rPr>
      </w:pPr>
    </w:p>
    <w:p>
      <w:pPr>
        <w:ind w:left="740" w:right="60" w:firstLine="391"/>
        <w:spacing w:after="0" w:line="252"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Risks Related to this Offering and Ownership of our Class A Common Stock</w:t>
      </w:r>
    </w:p>
    <w:p>
      <w:pPr>
        <w:spacing w:after="0" w:line="101" w:lineRule="exact"/>
        <w:rPr>
          <w:sz w:val="20"/>
          <w:szCs w:val="20"/>
          <w:color w:val="auto"/>
        </w:rPr>
      </w:pPr>
    </w:p>
    <w:p>
      <w:pPr>
        <w:ind w:left="740"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Designating Stockholders will continue to hold a significant percentage of our stock, and their interests may conflict with ours or yours in the future.</w:t>
      </w:r>
    </w:p>
    <w:p>
      <w:pPr>
        <w:spacing w:after="0" w:line="44"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Immediately following this offering and the application of net proceeds therefrom, the Designating Stockholders will beneficially own or control approximately 81.4% of the combined voting power of our shares eligible to vote in the election of our directors (or 78.7% if the underwriters exercise in full their option to purchase additional shares of Class A common stock). Moreover, we will agree to nominate to our board individuals designated by the Designating Stockholders in accordance with the director nomination agreements we intend to enter into in connection with this offering. The Designating Stockholders will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 change of control of our company or a change in the composition of our board of directors and could preclude</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0480"/>
          </w:cols>
          <w:pgMar w:left="320" w:top="420" w:right="10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4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In addition, immediately following this offering and the application of the net proceeds therefrom, the Continuing Common Unitholders (which include certain interests held by our Principal Stockholders) will own 39.1% of the Common Units (or 38.2%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existence of the tax receivable agreement that we will enter into in connection with this offering,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269" w:lineRule="exact"/>
        <w:rPr>
          <w:sz w:val="20"/>
          <w:szCs w:val="20"/>
          <w:color w:val="auto"/>
        </w:rPr>
      </w:pPr>
    </w:p>
    <w:p>
      <w:pPr>
        <w:ind w:left="740" w:right="12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will not limit the ability of our Sponsors, the Mills Family, and our Other Pre-IPO Investors to compete with us, and they may have investments in businesses whose interests conflict with ours.</w:t>
      </w:r>
    </w:p>
    <w:p>
      <w:pPr>
        <w:spacing w:after="0" w:line="44"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Our Sponsors, the Mills Family, our Other Pre-IPO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See “Description of Capital Stock —Conflicts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0500"/>
          </w:cols>
          <w:pgMar w:left="320" w:top="420" w:right="10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We also will incur costs associated with the Sarbanes-Oxley Act of 2002 (the “Sarbanes-Oxley Act”) and related rules implemented by the Securities and Exchange Commission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63" w:lineRule="exact"/>
        <w:rPr>
          <w:sz w:val="20"/>
          <w:szCs w:val="20"/>
          <w:color w:val="auto"/>
        </w:rPr>
      </w:pPr>
    </w:p>
    <w:p>
      <w:pPr>
        <w:ind w:left="740" w:right="4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requirements to design, implement, and maintain effective internal controls could have a material adverse effect on our business and stock price.</w:t>
      </w:r>
    </w:p>
    <w:p>
      <w:pPr>
        <w:spacing w:after="0" w:line="44" w:lineRule="exact"/>
        <w:rPr>
          <w:sz w:val="20"/>
          <w:szCs w:val="20"/>
          <w:color w:val="auto"/>
        </w:rPr>
      </w:pPr>
    </w:p>
    <w:p>
      <w:pPr>
        <w:ind w:left="740" w:right="20" w:firstLine="391"/>
        <w:spacing w:after="0" w:line="281" w:lineRule="auto"/>
        <w:rPr>
          <w:sz w:val="20"/>
          <w:szCs w:val="20"/>
          <w:color w:val="auto"/>
        </w:rPr>
      </w:pPr>
      <w:r>
        <w:rPr>
          <w:rFonts w:ascii="Times New Roman" w:cs="Times New Roman" w:eastAsia="Times New Roman" w:hAnsi="Times New Roman"/>
          <w:sz w:val="16"/>
          <w:szCs w:val="16"/>
          <w:color w:val="auto"/>
        </w:rPr>
        <w:t>As a privately held company, we were not required to evaluate our internal control over financial reporting in a manner that meets the standards of publicly traded companies required by Section 404(a) of the Sarbanes-Oxley Act (“Section 404”).</w:t>
      </w:r>
    </w:p>
    <w:p>
      <w:pPr>
        <w:spacing w:after="0" w:line="144"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our second annual report.</w:t>
      </w:r>
    </w:p>
    <w:p>
      <w:pPr>
        <w:spacing w:after="0" w:line="173" w:lineRule="exact"/>
        <w:rPr>
          <w:sz w:val="20"/>
          <w:szCs w:val="20"/>
          <w:color w:val="auto"/>
        </w:rPr>
      </w:pPr>
    </w:p>
    <w:p>
      <w:pPr>
        <w:ind w:left="740" w:right="200" w:firstLine="391"/>
        <w:spacing w:after="0" w:line="260" w:lineRule="auto"/>
        <w:rPr>
          <w:sz w:val="20"/>
          <w:szCs w:val="20"/>
          <w:color w:val="auto"/>
        </w:rPr>
      </w:pPr>
      <w:r>
        <w:rPr>
          <w:rFonts w:ascii="Times New Roman" w:cs="Times New Roman" w:eastAsia="Times New Roman" w:hAnsi="Times New Roman"/>
          <w:sz w:val="16"/>
          <w:szCs w:val="16"/>
          <w:color w:val="auto"/>
        </w:rPr>
        <w:t>We are currently in the process of updating our control processes and automating certain of our procedures and systems in anticipation of becoming a public company, but our internal controls over financial reporting currently do 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0500"/>
          </w:cols>
          <w:pgMar w:left="320" w:top="420" w:right="10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3" w:lineRule="auto"/>
        <w:rPr>
          <w:sz w:val="20"/>
          <w:szCs w:val="20"/>
          <w:color w:val="auto"/>
        </w:rPr>
      </w:pPr>
      <w:r>
        <w:rPr>
          <w:rFonts w:ascii="Times New Roman" w:cs="Times New Roman" w:eastAsia="Times New Roman" w:hAnsi="Times New Roman"/>
          <w:sz w:val="16"/>
          <w:szCs w:val="16"/>
          <w:color w:val="auto"/>
        </w:rPr>
        <w:t>that we do not have a material weakness in our internal controls or a combination of significant deficiencies that 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62" w:lineRule="exact"/>
        <w:rPr>
          <w:sz w:val="20"/>
          <w:szCs w:val="20"/>
          <w:color w:val="auto"/>
        </w:rPr>
      </w:pPr>
    </w:p>
    <w:p>
      <w:pPr>
        <w:ind w:left="740" w:right="1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44"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56" w:lineRule="exact"/>
        <w:rPr>
          <w:sz w:val="20"/>
          <w:szCs w:val="20"/>
          <w:color w:val="auto"/>
        </w:rPr>
      </w:pPr>
    </w:p>
    <w:p>
      <w:pPr>
        <w:ind w:left="740" w:right="60"/>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58"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258" w:lineRule="exact"/>
        <w:rPr>
          <w:sz w:val="20"/>
          <w:szCs w:val="20"/>
          <w:color w:val="auto"/>
        </w:rPr>
      </w:pPr>
    </w:p>
    <w:p>
      <w:pPr>
        <w:ind w:left="740" w:right="1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Participation in this offering by members of the Mills Family and their affiliates and the cornerstone investors could reduce the public float for our shares of Class A common stock.</w:t>
      </w:r>
    </w:p>
    <w:p>
      <w:pPr>
        <w:spacing w:after="0" w:line="44"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 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 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0500"/>
          </w:cols>
          <w:pgMar w:left="320" w:top="420" w:right="10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60"/>
        <w:spacing w:after="0" w:line="291" w:lineRule="auto"/>
        <w:rPr>
          <w:sz w:val="20"/>
          <w:szCs w:val="20"/>
          <w:color w:val="auto"/>
        </w:rPr>
      </w:pPr>
      <w:r>
        <w:rPr>
          <w:rFonts w:ascii="Times New Roman" w:cs="Times New Roman" w:eastAsia="Times New Roman" w:hAnsi="Times New Roman"/>
          <w:sz w:val="15"/>
          <w:szCs w:val="15"/>
          <w:color w:val="auto"/>
        </w:rPr>
        <w:t>shares to members of the Mills Family and their affiliates or the cornerstone investors. If members of the Mills Family or the cornerstone investors are allocated all or a portion (or more) of the shares of Class A common stock in which they have indicated an interest in purchasing in this offering, and purchase any such shares of Class A common stock, such purchase could reduce the available public float for our shares of Class A common stock.</w:t>
      </w:r>
    </w:p>
    <w:p>
      <w:pPr>
        <w:spacing w:after="0" w:line="2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cannot predict the impact our dual class structure may have on the market price of our Class A common stock.</w:t>
      </w:r>
    </w:p>
    <w:p>
      <w:pPr>
        <w:spacing w:after="0" w:line="107"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55" w:lineRule="exact"/>
        <w:rPr>
          <w:sz w:val="20"/>
          <w:szCs w:val="20"/>
          <w:color w:val="auto"/>
        </w:rPr>
      </w:pPr>
    </w:p>
    <w:p>
      <w:pPr>
        <w:ind w:left="7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44"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66" w:lineRule="exact"/>
        <w:rPr>
          <w:sz w:val="20"/>
          <w:szCs w:val="20"/>
          <w:color w:val="auto"/>
        </w:rPr>
      </w:pPr>
    </w:p>
    <w:p>
      <w:pPr>
        <w:ind w:left="740" w:right="280" w:firstLine="391"/>
        <w:spacing w:after="0" w:line="291" w:lineRule="auto"/>
        <w:rPr>
          <w:sz w:val="20"/>
          <w:szCs w:val="20"/>
          <w:color w:val="auto"/>
        </w:rPr>
      </w:pPr>
      <w:r>
        <w:rPr>
          <w:rFonts w:ascii="Times New Roman" w:cs="Times New Roman" w:eastAsia="Times New Roman" w:hAnsi="Times New Roman"/>
          <w:sz w:val="15"/>
          <w:szCs w:val="15"/>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Investors in this offering will suffer immediate and substantial dilution.</w:t>
      </w:r>
    </w:p>
    <w:p>
      <w:pPr>
        <w:spacing w:after="0" w:line="107" w:lineRule="exact"/>
        <w:rPr>
          <w:sz w:val="20"/>
          <w:szCs w:val="20"/>
          <w:color w:val="auto"/>
        </w:rPr>
      </w:pPr>
    </w:p>
    <w:p>
      <w:pPr>
        <w:ind w:left="740" w:right="140" w:firstLine="391"/>
        <w:spacing w:after="0" w:line="260" w:lineRule="auto"/>
        <w:rPr>
          <w:sz w:val="20"/>
          <w:szCs w:val="20"/>
          <w:color w:val="auto"/>
        </w:rPr>
      </w:pPr>
      <w:r>
        <w:rPr>
          <w:rFonts w:ascii="Times New Roman" w:cs="Times New Roman" w:eastAsia="Times New Roman" w:hAnsi="Times New Roman"/>
          <w:sz w:val="16"/>
          <w:szCs w:val="16"/>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Common Units by the pre-IPO owners. See “Dilution.”</w:t>
      </w:r>
    </w:p>
    <w:p>
      <w:pPr>
        <w:spacing w:after="0" w:line="253" w:lineRule="exact"/>
        <w:rPr>
          <w:sz w:val="20"/>
          <w:szCs w:val="20"/>
          <w:color w:val="auto"/>
        </w:rPr>
      </w:pPr>
    </w:p>
    <w:p>
      <w:pPr>
        <w:ind w:left="740" w:right="8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You may be diluted by the future issuance of additional Class A common stock or Common Units in connection with our incentive plans, acquisitions or otherwise.</w:t>
      </w:r>
    </w:p>
    <w:p>
      <w:pPr>
        <w:spacing w:after="0" w:line="44" w:lineRule="exact"/>
        <w:rPr>
          <w:sz w:val="20"/>
          <w:szCs w:val="20"/>
          <w:color w:val="auto"/>
        </w:rPr>
      </w:pPr>
    </w:p>
    <w:p>
      <w:pPr>
        <w:ind w:left="740" w:right="520" w:firstLine="391"/>
        <w:spacing w:after="0" w:line="281" w:lineRule="auto"/>
        <w:rPr>
          <w:sz w:val="20"/>
          <w:szCs w:val="20"/>
          <w:color w:val="auto"/>
        </w:rPr>
      </w:pPr>
      <w:r>
        <w:rPr>
          <w:rFonts w:ascii="Times New Roman" w:cs="Times New Roman" w:eastAsia="Times New Roman" w:hAnsi="Times New Roman"/>
          <w:sz w:val="16"/>
          <w:szCs w:val="16"/>
          <w:color w:val="auto"/>
        </w:rPr>
        <w:t>After this offering we will have 48,686,282,778 shares of Class A common stock authorized but unissued, including 513,917,418 shares of Class A common stock issuable upon exchange of Common Units that will be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0500"/>
          </w:cols>
          <w:pgMar w:left="320" w:top="420" w:right="10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held by the Continuing Common Unitholders (or 502,299,043 shares if the underwriters exercise their options to purchase additional shares of our Class A common stock).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60,000,000 shares of Class A common stock for issuance under our Omnibus Incentive Plan. For additional information concerning the awards under the Omnibus Incentive Plan that we intend to grant in connection with this offering or that will be outstanding at the time of this offering, see “Summary—The Offering.” There are also 20,000,000 shares of Class A common stock reserved for issuance under our ESPP. Any Class A common stock that we issue, including under our Omnibus Incentive Plan, our ESPP, or other equity incentive plans that we may adopt in the future, would dilute the percentage ownership held by the investors who purchase Class A common stock in this offering. See “Dilution.”</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We may issue preferred stock whose terms could materially adversely affect the voting power or value of our Class A common stock.</w:t>
      </w:r>
    </w:p>
    <w:p>
      <w:pPr>
        <w:spacing w:after="0" w:line="107"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Our amended and restated certificate of incorporation will authorize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55" w:lineRule="exact"/>
        <w:rPr>
          <w:sz w:val="20"/>
          <w:szCs w:val="20"/>
          <w:color w:val="auto"/>
        </w:rPr>
      </w:pPr>
    </w:p>
    <w:p>
      <w:pPr>
        <w:ind w:left="740" w:right="56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If we or our pre-IPO owners sell additional shares of our Class A common stock after this offering or are perceived by the public markets as intending to sell them, the market price of our Class A common stock could decline.</w:t>
      </w:r>
    </w:p>
    <w:p>
      <w:pPr>
        <w:spacing w:after="0" w:line="44"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799,799,804 shares of our Class A common stock outstanding, or 811,418,179 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 the Securities Act. See “Shares Eligible for Future Sale.”</w:t>
      </w:r>
    </w:p>
    <w:p>
      <w:pPr>
        <w:spacing w:after="0" w:line="164"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In addition, we and the Continuing Unitholders will enter into an exchange agreement under which they (or certain permitted transferees) will have the right, after the completion of this offering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completion of this offering (subject to the terms of the exchange agreement), an aggregate of 513,917,418 Common Units (or 502,299,043 Common Units if the underwriters exercise their option to purchase additional shares of our Class A common stock) may</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0480"/>
          </w:cols>
          <w:pgMar w:left="320" w:top="420" w:right="10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this offering have agreed, subject to certain exceptions, not to dispose of or hedge any shares of our Class A common stock (including shares issued upon exchange of Common Units) or securities convertible into or exchangeable for shares of our Class A common stock for 180 days from the date of this prospectus, except with the prior written consent of either Goldman Sachs &amp; Co. LLC or Morgan Stanley &amp; Co. LLC, and one additional representative, on behalf of the underwriters, and the prior written notice to the other representatives. See “Underwriting (Conflicts of Interest).” As a result of the registration rights agreement, however, all of these shares of our Class A common stock (including shares issued upon exchange of Common Units) may be eligible for future sale without restriction, subject to applicable lock-up arrangements. See “Shares Eligible for Future Sale—Registration Rights” and “Certain Relationships and Related Person Transactions—Registration Rights Agreement.”</w:t>
      </w:r>
    </w:p>
    <w:p>
      <w:pPr>
        <w:spacing w:after="0" w:line="173" w:lineRule="exact"/>
        <w:rPr>
          <w:sz w:val="20"/>
          <w:szCs w:val="20"/>
          <w:color w:val="auto"/>
        </w:rPr>
      </w:pPr>
    </w:p>
    <w:p>
      <w:pPr>
        <w:ind w:left="740" w:firstLine="391"/>
        <w:spacing w:after="0" w:line="272" w:lineRule="auto"/>
        <w:rPr>
          <w:sz w:val="20"/>
          <w:szCs w:val="20"/>
          <w:color w:val="auto"/>
        </w:rPr>
      </w:pPr>
      <w:r>
        <w:rPr>
          <w:rFonts w:ascii="Times New Roman" w:cs="Times New Roman" w:eastAsia="Times New Roman" w:hAnsi="Times New Roman"/>
          <w:sz w:val="15"/>
          <w:szCs w:val="15"/>
          <w:color w:val="auto"/>
        </w:rPr>
        <w:t>Subject to certain limitations and exceptions, pursuant to the terms of the amended and restated limited partnership agreement of Medline Holdings, the Continuing Incentive Unitholders will hold 42,197,933 Incentive Units, which have a weighted-average per unit participation threshold of $16.57 per Incentive Unit, and will have the right to convert their vested Incentive Units into 18,084,823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In the event that the price of our Class A common stock increases, the number of Common Units a holder of vested Incentive Units would receive upon conversion of such Incentive Units would increase. See “Certain Relationships and Related Person Transactions— Medline Holdings Amended and Restated Limited Partnership Agreement.” The delivery of shares of Class A common stock upon exchange of Common Units received in conversion of Incentive Units will be registered on one or more registration statements on Form S-8, as described below.</w:t>
      </w:r>
    </w:p>
    <w:p>
      <w:pPr>
        <w:spacing w:after="0" w:line="153" w:lineRule="exact"/>
        <w:rPr>
          <w:sz w:val="20"/>
          <w:szCs w:val="20"/>
          <w:color w:val="auto"/>
        </w:rPr>
      </w:pPr>
    </w:p>
    <w:p>
      <w:pPr>
        <w:ind w:left="740" w:right="100" w:firstLine="391"/>
        <w:spacing w:after="0" w:line="254" w:lineRule="auto"/>
        <w:rPr>
          <w:sz w:val="20"/>
          <w:szCs w:val="20"/>
          <w:color w:val="auto"/>
        </w:rPr>
      </w:pPr>
      <w:r>
        <w:rPr>
          <w:rFonts w:ascii="Times New Roman" w:cs="Times New Roman" w:eastAsia="Times New Roman" w:hAnsi="Times New Roman"/>
          <w:sz w:val="16"/>
          <w:szCs w:val="16"/>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67"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and our ESPP. Any such Form S-8 registration statements will automatically become effective upon filing. Accordingly, shares registered under such registration statements will be available for sale in the open market.</w:t>
      </w:r>
    </w:p>
    <w:p>
      <w:pPr>
        <w:spacing w:after="0" w:line="161" w:lineRule="exact"/>
        <w:rPr>
          <w:sz w:val="20"/>
          <w:szCs w:val="20"/>
          <w:color w:val="auto"/>
        </w:rPr>
      </w:pPr>
    </w:p>
    <w:p>
      <w:pPr>
        <w:ind w:left="740" w:right="40" w:firstLine="391"/>
        <w:spacing w:after="0" w:line="281" w:lineRule="auto"/>
        <w:rPr>
          <w:sz w:val="20"/>
          <w:szCs w:val="20"/>
          <w:color w:val="auto"/>
        </w:rPr>
      </w:pPr>
      <w:r>
        <w:rPr>
          <w:rFonts w:ascii="Times New Roman" w:cs="Times New Roman" w:eastAsia="Times New Roman" w:hAnsi="Times New Roman"/>
          <w:sz w:val="16"/>
          <w:szCs w:val="16"/>
          <w:color w:val="auto"/>
        </w:rPr>
        <w:t>In the future, we may also issue our securities in connection with investments or acquisitions. The amount of shares of our Class A common stock issued in connection with an investment or acquisition could constitute a</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0480"/>
          </w:cols>
          <w:pgMar w:left="320" w:top="420" w:right="10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spacing w:after="0" w:line="260" w:lineRule="auto"/>
        <w:rPr>
          <w:sz w:val="20"/>
          <w:szCs w:val="20"/>
          <w:color w:val="auto"/>
        </w:rPr>
      </w:pPr>
      <w:r>
        <w:rPr>
          <w:rFonts w:ascii="Times New Roman" w:cs="Times New Roman" w:eastAsia="Times New Roman" w:hAnsi="Times New Roman"/>
          <w:sz w:val="16"/>
          <w:szCs w:val="16"/>
          <w:color w:val="auto"/>
        </w:rPr>
        <w:t>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53" w:lineRule="exact"/>
        <w:rPr>
          <w:sz w:val="20"/>
          <w:szCs w:val="20"/>
          <w:color w:val="auto"/>
        </w:rPr>
      </w:pPr>
    </w:p>
    <w:p>
      <w:pPr>
        <w:ind w:left="740" w:right="20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Anti-takeover provisions in our organizational documents and Delaware law might discourage or delay acquisition attempts for us that you might consider favorable.</w:t>
      </w:r>
    </w:p>
    <w:p>
      <w:pPr>
        <w:spacing w:after="0" w:line="44"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73" w:lineRule="exact"/>
        <w:rPr>
          <w:sz w:val="20"/>
          <w:szCs w:val="20"/>
          <w:color w:val="auto"/>
        </w:rPr>
      </w:pPr>
    </w:p>
    <w:p>
      <w:pPr>
        <w:ind w:left="1600" w:right="220" w:hanging="383"/>
        <w:spacing w:after="0" w:line="257" w:lineRule="auto"/>
        <w:tabs>
          <w:tab w:leader="none" w:pos="1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80" w:lineRule="exact"/>
        <w:rPr>
          <w:rFonts w:ascii="Times New Roman" w:cs="Times New Roman" w:eastAsia="Times New Roman" w:hAnsi="Times New Roman"/>
          <w:sz w:val="16"/>
          <w:szCs w:val="16"/>
          <w:color w:val="auto"/>
        </w:rPr>
      </w:pPr>
    </w:p>
    <w:p>
      <w:pPr>
        <w:ind w:left="1600" w:right="420" w:hanging="383"/>
        <w:spacing w:after="0" w:line="265" w:lineRule="auto"/>
        <w:tabs>
          <w:tab w:leader="none" w:pos="1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for certain limitations on convening special stockholder meetings; and</w:t>
      </w:r>
    </w:p>
    <w:p>
      <w:pPr>
        <w:spacing w:after="0" w:line="115" w:lineRule="exact"/>
        <w:rPr>
          <w:rFonts w:ascii="Times New Roman" w:cs="Times New Roman" w:eastAsia="Times New Roman" w:hAnsi="Times New Roman"/>
          <w:sz w:val="16"/>
          <w:szCs w:val="16"/>
          <w:color w:val="auto"/>
        </w:rPr>
      </w:pPr>
    </w:p>
    <w:p>
      <w:pPr>
        <w:ind w:left="1600" w:right="80" w:hanging="383"/>
        <w:spacing w:after="0" w:line="281" w:lineRule="auto"/>
        <w:tabs>
          <w:tab w:leader="none" w:pos="16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 advance notice requirements for nominations for elections to our board or for proposing other items of business that can be acted upon by stockholders at annual or special meetings.</w:t>
      </w:r>
    </w:p>
    <w:p>
      <w:pPr>
        <w:spacing w:after="0" w:line="1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w:t>
      </w:r>
    </w:p>
    <w:p>
      <w:pPr>
        <w:spacing w:after="0" w:line="1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0500"/>
          </w:cols>
          <w:pgMar w:left="320" w:top="420" w:right="10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spacing w:after="0" w:line="281" w:lineRule="auto"/>
        <w:rPr>
          <w:sz w:val="20"/>
          <w:szCs w:val="20"/>
          <w:color w:val="auto"/>
        </w:rPr>
      </w:pPr>
      <w:r>
        <w:rPr>
          <w:rFonts w:ascii="Times New Roman" w:cs="Times New Roman" w:eastAsia="Times New Roman" w:hAnsi="Times New Roman"/>
          <w:sz w:val="16"/>
          <w:szCs w:val="16"/>
          <w:color w:val="auto"/>
        </w:rPr>
        <w:t>these and other such anti-takeover provisions, see “Description of Capital Stock—Anti-Takeover Effects of Our Amended and Restated Certificate of Incorporation and Amended and Restated Bylaws and Certain Provisions of Delaware Law.”</w:t>
      </w:r>
    </w:p>
    <w:p>
      <w:pPr>
        <w:spacing w:after="0" w:line="236" w:lineRule="exact"/>
        <w:rPr>
          <w:sz w:val="20"/>
          <w:szCs w:val="20"/>
          <w:color w:val="auto"/>
        </w:rPr>
      </w:pPr>
    </w:p>
    <w:p>
      <w:pPr>
        <w:ind w:left="740" w:right="20"/>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63" w:lineRule="exact"/>
        <w:rPr>
          <w:sz w:val="20"/>
          <w:szCs w:val="20"/>
          <w:color w:val="auto"/>
        </w:rPr>
      </w:pPr>
    </w:p>
    <w:p>
      <w:pPr>
        <w:ind w:left="740" w:right="180" w:firstLine="391"/>
        <w:spacing w:after="0" w:line="256" w:lineRule="auto"/>
        <w:rPr>
          <w:sz w:val="20"/>
          <w:szCs w:val="20"/>
          <w:color w:val="auto"/>
        </w:rPr>
      </w:pPr>
      <w:r>
        <w:rPr>
          <w:rFonts w:ascii="Times New Roman" w:cs="Times New Roman" w:eastAsia="Times New Roman" w:hAnsi="Times New Roman"/>
          <w:sz w:val="16"/>
          <w:szCs w:val="16"/>
          <w:color w:val="auto"/>
        </w:rPr>
        <w:t>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64"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61"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62" w:lineRule="exact"/>
        <w:rPr>
          <w:sz w:val="20"/>
          <w:szCs w:val="20"/>
          <w:color w:val="auto"/>
        </w:rPr>
      </w:pPr>
    </w:p>
    <w:p>
      <w:pPr>
        <w:ind w:left="740"/>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A portion of the proceeds from this offering may be used to purchase or redeem outstanding equity interests from certain of our pre-IPO owners and will not be available to fund our operations.</w:t>
      </w:r>
    </w:p>
    <w:p>
      <w:pPr>
        <w:spacing w:after="0" w:line="44"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We intend to use the proceeds (net of underwriting discounts and commissions) from the issuance of 37,034,482 shares and from any issuance of shares pursuant to any exercise by the underwriters of their option to purchase up to 32,405,172 additional shares of Class A common stock to purchase or redeem outstanding equity interests from certain pre-IPO owners at a price per equity interest equal to the initial public offering price per share of our Class A common stock less the underwriting discounts and commissions, as described under “Organizational Structure—Offering Transactions” and “Use of Proceeds.” Accordingly, we will not retain any of these proceeds, and none of these proceeds will be available to fund our operations, capital expenditures, or acquisition opportunities.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68</w:t>
      </w:r>
    </w:p>
    <w:p>
      <w:pPr>
        <w:sectPr>
          <w:pgSz w:w="11900" w:h="16838" w:orient="portrait"/>
          <w:cols w:equalWidth="0" w:num="1">
            <w:col w:w="10480"/>
          </w:cols>
          <w:pgMar w:left="320" w:top="420" w:right="10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87" w:lineRule="exact"/>
        <w:rPr>
          <w:sz w:val="20"/>
          <w:szCs w:val="20"/>
          <w:color w:val="auto"/>
        </w:rPr>
      </w:pPr>
    </w:p>
    <w:p>
      <w:pPr>
        <w:ind w:left="1600" w:right="300" w:hanging="383"/>
        <w:spacing w:after="0" w:line="316" w:lineRule="auto"/>
        <w:tabs>
          <w:tab w:leader="none" w:pos="160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36" w:lineRule="exact"/>
        <w:rPr>
          <w:rFonts w:ascii="Times New Roman" w:cs="Times New Roman" w:eastAsia="Times New Roman" w:hAnsi="Times New Roman"/>
          <w:sz w:val="15"/>
          <w:szCs w:val="15"/>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inherent risks in our global operations;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extensive and complex laws and governmental regulations and the cost of adverse regulatory actions;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compliance with environmental, health, and safety requirements;</w:t>
      </w:r>
    </w:p>
    <w:p>
      <w:pPr>
        <w:spacing w:after="0" w:line="115"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realize the expected benefits from the entry into new or amended contracts, planned cost savings, and business improvement initiatives;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consolidation in the healthcare industry;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exchange rate fluctuations;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inflationary pressures;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 global macro-economic and political conditions;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government-imposed import policies, tariffs, and legislation;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and accelerating price pressure in our markets;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anti-bribery laws, anti-corruption laws, and those laws and regulations pertaining to economic sanctions;</w:t>
      </w:r>
    </w:p>
    <w:p>
      <w:pPr>
        <w:spacing w:after="0" w:line="115" w:lineRule="exact"/>
        <w:rPr>
          <w:rFonts w:ascii="Times New Roman" w:cs="Times New Roman" w:eastAsia="Times New Roman" w:hAnsi="Times New Roman"/>
          <w:sz w:val="16"/>
          <w:szCs w:val="16"/>
          <w:color w:val="auto"/>
        </w:rPr>
      </w:pPr>
    </w:p>
    <w:p>
      <w:pPr>
        <w:ind w:left="1600" w:right="360" w:hanging="383"/>
        <w:spacing w:after="0" w:line="281" w:lineRule="auto"/>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third parties we work with to comply with complex and rapidly evolving data privacy, security, and data protection laws and regulations;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risks of increasing use of Machine Learning Technology;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tax legislation and audits by tax authorities;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the U.S. and global healthcare environments;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third-party manufacturers, certain significant suppliers and third-party shippers;</w:t>
      </w:r>
    </w:p>
    <w:p>
      <w:pPr>
        <w:spacing w:after="0" w:line="115" w:lineRule="exact"/>
        <w:rPr>
          <w:rFonts w:ascii="Times New Roman" w:cs="Times New Roman" w:eastAsia="Times New Roman" w:hAnsi="Times New Roman"/>
          <w:sz w:val="16"/>
          <w:szCs w:val="16"/>
          <w:color w:val="auto"/>
        </w:rPr>
      </w:pPr>
    </w:p>
    <w:p>
      <w:pPr>
        <w:ind w:left="1600" w:right="860" w:hanging="383"/>
        <w:spacing w:after="0" w:line="281" w:lineRule="auto"/>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price fluctuations of key commodities and other factors of production including labor and transportation on our manufacturing business;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significant challenges or delays in the Company’s sourcing of new products and technologies;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concentration in and dependence on certain healthcare provider customers and GPOs;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develop and retain key employees;</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69</w:t>
      </w:r>
    </w:p>
    <w:p>
      <w:pPr>
        <w:sectPr>
          <w:pgSz w:w="11900" w:h="16838" w:orient="portrait"/>
          <w:cols w:equalWidth="0" w:num="1">
            <w:col w:w="10440"/>
          </w:cols>
          <w:pgMar w:left="320" w:top="420" w:right="11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reliance on the proper functioning of critical facilities and distribution networks;</w:t>
      </w:r>
    </w:p>
    <w:p>
      <w:pPr>
        <w:spacing w:after="0" w:line="115"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cost of litigation brought by third parties claiming infringement, misappropriation, or other violation by us of their intellectual property rights;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requirements to recognize impairment charges related to goodwill, identified intangible assets, and fixed assets;</w:t>
      </w:r>
    </w:p>
    <w:p>
      <w:pPr>
        <w:spacing w:after="0" w:line="115"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derive fully the anticipated benefits from our existing or future acquisitions, joint ventures, investments, dispositions, or other strategic transactions;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quality problems, recalls, and product liability claims;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and legal, regulatory, and market measures to address climate change;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aspirations, goals, and disclosures related to ESG and sustainability matters;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unfavorable outcome of legal proceedings we are involved in;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laws and regulations relating to reimbursement of healthcare goods and services;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and the ability of third parties we work with to reduce expenses if we experience decreasing prices for our goods and services;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adequacy of our insurance program to cover future losses;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obtain, maintain, protect, and enforce our intellectual property rights;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dependence on positive perceptions of our reputation;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substantial indebtedness and ability to incur substantially more debt;</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exposure to the financial risks associated with interest rate fluctuations on our variable rate debt;</w:t>
      </w:r>
    </w:p>
    <w:p>
      <w:pPr>
        <w:spacing w:after="0" w:line="115"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restrictive covenants in our debt agreements, which may restrict our ability to pursue our business strategies and our ability to comply with them; and</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discussed under “Risk Factors” and elsewhere in this prospectus.</w:t>
      </w:r>
    </w:p>
    <w:p>
      <w:pPr>
        <w:spacing w:after="0" w:line="199" w:lineRule="exact"/>
        <w:rPr>
          <w:sz w:val="20"/>
          <w:szCs w:val="20"/>
          <w:color w:val="auto"/>
        </w:rPr>
      </w:pPr>
    </w:p>
    <w:p>
      <w:pPr>
        <w:ind w:left="740" w:right="80" w:firstLine="391"/>
        <w:spacing w:after="0" w:line="254" w:lineRule="auto"/>
        <w:rPr>
          <w:sz w:val="20"/>
          <w:szCs w:val="20"/>
          <w:color w:val="auto"/>
        </w:rPr>
      </w:pPr>
      <w:r>
        <w:rPr>
          <w:rFonts w:ascii="Times New Roman" w:cs="Times New Roman" w:eastAsia="Times New Roman" w:hAnsi="Times New Roman"/>
          <w:sz w:val="16"/>
          <w:szCs w:val="16"/>
          <w:color w:val="auto"/>
        </w:rPr>
        <w:t>The forward-looking statements contained in this prospectus are based on management’s current expectations and are subject to uncertainty and changes in circumstances. Although we believe that the assumptions underlying the forward-looking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6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70</w:t>
      </w:r>
    </w:p>
    <w:p>
      <w:pPr>
        <w:sectPr>
          <w:pgSz w:w="11900" w:h="16838" w:orient="portrait"/>
          <w:cols w:equalWidth="0" w:num="1">
            <w:col w:w="10480"/>
          </w:cols>
          <w:pgMar w:left="320" w:top="420" w:right="10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MARKET AND INDUSTRY DATA</w:t>
      </w:r>
    </w:p>
    <w:p>
      <w:pPr>
        <w:spacing w:after="0" w:line="201"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This prospectus includes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w:t>
      </w:r>
    </w:p>
    <w:p>
      <w:pPr>
        <w:spacing w:after="0" w:line="161"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68"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65" w:lineRule="exact"/>
        <w:rPr>
          <w:sz w:val="20"/>
          <w:szCs w:val="20"/>
          <w:color w:val="auto"/>
        </w:rPr>
      </w:pPr>
    </w:p>
    <w:p>
      <w:pPr>
        <w:ind w:left="740" w:firstLine="391"/>
        <w:spacing w:after="0" w:line="283" w:lineRule="auto"/>
        <w:rPr>
          <w:sz w:val="20"/>
          <w:szCs w:val="20"/>
          <w:color w:val="auto"/>
        </w:rPr>
      </w:pPr>
      <w:r>
        <w:rPr>
          <w:rFonts w:ascii="Times New Roman" w:cs="Times New Roman" w:eastAsia="Times New Roman" w:hAnsi="Times New Roman"/>
          <w:sz w:val="15"/>
          <w:szCs w:val="15"/>
          <w:color w:val="auto"/>
        </w:rPr>
        <w:t>Statements regarding our market position (including statements that we are the largest company in a particular market), unless otherwise noted, are based on our 2024 net sales in the relevant market relative to the publicly reported net sales of our competitors in such market, including with respect to our statement of being the largest provider of med-surg products and supply chain solutions serving all points of care, as that statement is based on our 2024 net sales relative to the publicly reported net sales of med-surg products by companies that are both med-surg manufacturers and distributors.</w:t>
      </w:r>
    </w:p>
    <w:p>
      <w:pPr>
        <w:spacing w:after="0" w:line="144" w:lineRule="exact"/>
        <w:rPr>
          <w:sz w:val="20"/>
          <w:szCs w:val="20"/>
          <w:color w:val="auto"/>
        </w:rPr>
      </w:pPr>
    </w:p>
    <w:p>
      <w:pPr>
        <w:ind w:left="740" w:right="180" w:firstLine="391"/>
        <w:spacing w:after="0" w:line="256" w:lineRule="auto"/>
        <w:rPr>
          <w:sz w:val="20"/>
          <w:szCs w:val="20"/>
          <w:color w:val="auto"/>
        </w:rPr>
      </w:pPr>
      <w:r>
        <w:rPr>
          <w:rFonts w:ascii="Times New Roman" w:cs="Times New Roman" w:eastAsia="Times New Roman" w:hAnsi="Times New Roman"/>
          <w:sz w:val="16"/>
          <w:szCs w:val="16"/>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35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TRADEMARKS, TRADE NAMES, AND SERVICE MARKS</w:t>
      </w:r>
    </w:p>
    <w:p>
      <w:pPr>
        <w:spacing w:after="0" w:line="201"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We own or have the right to use trademarks, trade names, and service marks used in connection with our business, including, but not limited to, Medline, Curad, Microtek, Hudson, and Proxima, which are protected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71</w:t>
      </w:r>
    </w:p>
    <w:p>
      <w:pPr>
        <w:sectPr>
          <w:pgSz w:w="11900" w:h="16838" w:orient="portrait"/>
          <w:cols w:equalWidth="0" w:num="1">
            <w:col w:w="10500"/>
          </w:cols>
          <w:pgMar w:left="320" w:top="420" w:right="10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21" w:lineRule="auto"/>
        <w:rPr>
          <w:sz w:val="20"/>
          <w:szCs w:val="20"/>
          <w:color w:val="auto"/>
        </w:rPr>
      </w:pPr>
      <w:r>
        <w:rPr>
          <w:rFonts w:ascii="Times New Roman" w:cs="Times New Roman" w:eastAsia="Times New Roman" w:hAnsi="Times New Roman"/>
          <w:sz w:val="16"/>
          <w:szCs w:val="16"/>
          <w:color w:val="auto"/>
        </w:rPr>
        <w:t xml:space="preserve">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6"/>
          <w:szCs w:val="16"/>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72</w:t>
      </w:r>
    </w:p>
    <w:p>
      <w:pPr>
        <w:sectPr>
          <w:pgSz w:w="11900" w:h="16838" w:orient="portrait"/>
          <w:cols w:equalWidth="0" w:num="1">
            <w:col w:w="10460"/>
          </w:cols>
          <w:pgMar w:left="320" w:top="420" w:right="11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ORGANIZATIONAL STRUCTURE</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Existing Organizational Structure</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2585720</wp:posOffset>
            </wp:positionV>
            <wp:extent cx="68453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4530" cy="762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152400</wp:posOffset>
            </wp:positionV>
            <wp:extent cx="1338580" cy="23495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3858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40"/>
        <w:spacing w:after="0"/>
        <w:tabs>
          <w:tab w:leader="none" w:pos="1100" w:val="left"/>
        </w:tabs>
        <w:rPr>
          <w:sz w:val="20"/>
          <w:szCs w:val="20"/>
          <w:color w:val="auto"/>
        </w:rPr>
      </w:pPr>
      <w:r>
        <w:rPr>
          <w:rFonts w:ascii="Times New Roman" w:cs="Times New Roman" w:eastAsia="Times New Roman" w:hAnsi="Times New Roman"/>
          <w:sz w:val="13"/>
          <w:szCs w:val="13"/>
          <w:i w:val="1"/>
          <w:iCs w:val="1"/>
          <w:color w:val="auto"/>
        </w:rPr>
        <w:t>Note:</w:t>
      </w:r>
      <w:r>
        <w:rPr>
          <w:sz w:val="20"/>
          <w:szCs w:val="20"/>
          <w:color w:val="auto"/>
        </w:rPr>
        <w:tab/>
      </w:r>
      <w:r>
        <w:rPr>
          <w:rFonts w:ascii="Times New Roman" w:cs="Times New Roman" w:eastAsia="Times New Roman" w:hAnsi="Times New Roman"/>
          <w:sz w:val="12"/>
          <w:szCs w:val="12"/>
          <w:i w:val="1"/>
          <w:iCs w:val="1"/>
          <w:color w:val="auto"/>
        </w:rPr>
        <w:t>Certain intermediate holding companies that are not material to this offering have been omitted from the structure chart.</w:t>
      </w:r>
    </w:p>
    <w:p>
      <w:pPr>
        <w:spacing w:after="0" w:line="2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Organizational Structure Following the Transactions</w:t>
      </w:r>
    </w:p>
    <w:p>
      <w:pPr>
        <w:spacing w:after="0" w:line="105" w:lineRule="exact"/>
        <w:rPr>
          <w:sz w:val="20"/>
          <w:szCs w:val="20"/>
          <w:color w:val="auto"/>
        </w:rPr>
      </w:pPr>
    </w:p>
    <w:p>
      <w:pPr>
        <w:ind w:left="740" w:right="20" w:firstLine="391"/>
        <w:spacing w:after="0" w:line="273" w:lineRule="auto"/>
        <w:rPr>
          <w:sz w:val="20"/>
          <w:szCs w:val="20"/>
          <w:color w:val="auto"/>
        </w:rPr>
      </w:pPr>
      <w:r>
        <w:rPr>
          <w:rFonts w:ascii="Times New Roman" w:cs="Times New Roman" w:eastAsia="Times New Roman" w:hAnsi="Times New Roman"/>
          <w:sz w:val="15"/>
          <w:szCs w:val="15"/>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Continuing Unitholders on its consolidated balance sheet and statement of income. As further described herein, prior to the completion of this offering:</w:t>
      </w:r>
    </w:p>
    <w:p>
      <w:pPr>
        <w:spacing w:after="0" w:line="71" w:lineRule="exact"/>
        <w:rPr>
          <w:sz w:val="20"/>
          <w:szCs w:val="20"/>
          <w:color w:val="auto"/>
        </w:rPr>
      </w:pPr>
    </w:p>
    <w:p>
      <w:pPr>
        <w:ind w:left="1600" w:right="200" w:hanging="479"/>
        <w:spacing w:after="0" w:line="281" w:lineRule="auto"/>
        <w:tabs>
          <w:tab w:leader="none" w:pos="1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will receive shares of Class A common stock of Medline Inc. pursuant to the Blocker Transfers as defined and described in “Organizational Structure—Blocker Transfers”;</w:t>
      </w:r>
    </w:p>
    <w:p>
      <w:pPr>
        <w:spacing w:after="0" w:line="60" w:lineRule="exact"/>
        <w:rPr>
          <w:rFonts w:ascii="Times New Roman" w:cs="Times New Roman" w:eastAsia="Times New Roman" w:hAnsi="Times New Roman"/>
          <w:sz w:val="16"/>
          <w:szCs w:val="16"/>
          <w:color w:val="auto"/>
        </w:rPr>
      </w:pPr>
    </w:p>
    <w:p>
      <w:pPr>
        <w:ind w:left="1600" w:hanging="479"/>
        <w:spacing w:after="0" w:line="260" w:lineRule="auto"/>
        <w:tabs>
          <w:tab w:leader="none" w:pos="16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limited partnership agreement of Medline Holdings will be amended and restated to, among other things, modify its capital structure by reclassifying its interests as follows (as further described under “Organizational Structure—Reclassification and Amendment and Restatement of the Limited Partnership Agreement of Medline Holdings” and “Management—Compensation Arrangements to be Adopted in Connection with this Offering—Treatment of Existing Equity Interests”):</w:t>
      </w:r>
    </w:p>
    <w:p>
      <w:pPr>
        <w:spacing w:after="0" w:line="76" w:lineRule="exact"/>
        <w:rPr>
          <w:rFonts w:ascii="Times New Roman" w:cs="Times New Roman" w:eastAsia="Times New Roman" w:hAnsi="Times New Roman"/>
          <w:sz w:val="16"/>
          <w:szCs w:val="16"/>
          <w:color w:val="auto"/>
        </w:rPr>
      </w:pPr>
    </w:p>
    <w:p>
      <w:pPr>
        <w:ind w:left="2000" w:hanging="292"/>
        <w:spacing w:after="0"/>
        <w:tabs>
          <w:tab w:leader="none" w:pos="20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held by Continuing Common Unitholders will be converted into Common Units;</w:t>
      </w:r>
    </w:p>
    <w:p>
      <w:pPr>
        <w:spacing w:after="0" w:line="115" w:lineRule="exact"/>
        <w:rPr>
          <w:rFonts w:ascii="Times New Roman" w:cs="Times New Roman" w:eastAsia="Times New Roman" w:hAnsi="Times New Roman"/>
          <w:sz w:val="16"/>
          <w:szCs w:val="16"/>
          <w:color w:val="auto"/>
        </w:rPr>
      </w:pPr>
    </w:p>
    <w:p>
      <w:pPr>
        <w:ind w:left="2000" w:hanging="292"/>
        <w:spacing w:after="0"/>
        <w:tabs>
          <w:tab w:leader="none" w:pos="20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CUPI Units held by Continuing Common Unitholders will be converted into Common Units; and</w:t>
      </w:r>
    </w:p>
    <w:p>
      <w:pPr>
        <w:spacing w:after="0" w:line="24" w:lineRule="exact"/>
        <w:rPr>
          <w:rFonts w:ascii="Times New Roman" w:cs="Times New Roman" w:eastAsia="Times New Roman" w:hAnsi="Times New Roman"/>
          <w:sz w:val="16"/>
          <w:szCs w:val="16"/>
          <w:color w:val="auto"/>
        </w:rPr>
      </w:pPr>
    </w:p>
    <w:p>
      <w:pPr>
        <w:ind w:left="2000" w:hanging="292"/>
        <w:spacing w:after="0"/>
        <w:tabs>
          <w:tab w:leader="none" w:pos="200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Units held by Continuing Incentive Unitholders will be converted into Incentive Units;</w:t>
      </w:r>
    </w:p>
    <w:p>
      <w:pPr>
        <w:spacing w:after="0" w:line="1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73</w:t>
      </w:r>
    </w:p>
    <w:p>
      <w:pPr>
        <w:sectPr>
          <w:pgSz w:w="11900" w:h="16838" w:orient="portrait"/>
          <w:cols w:equalWidth="0" w:num="1">
            <w:col w:w="10500"/>
          </w:cols>
          <w:pgMar w:left="320" w:top="420" w:right="10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20" w:hanging="479"/>
        <w:spacing w:after="0" w:line="281" w:lineRule="auto"/>
        <w:tabs>
          <w:tab w:leader="none" w:pos="1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Common Unitholders will receive the number of shares of Class B common stock of Medline Inc. equivalent to the number of Common Units held by each such Continuing Common Unitholder; and</w:t>
      </w:r>
    </w:p>
    <w:p>
      <w:pPr>
        <w:spacing w:after="0" w:line="60" w:lineRule="exact"/>
        <w:rPr>
          <w:rFonts w:ascii="Times New Roman" w:cs="Times New Roman" w:eastAsia="Times New Roman" w:hAnsi="Times New Roman"/>
          <w:sz w:val="16"/>
          <w:szCs w:val="16"/>
          <w:color w:val="auto"/>
        </w:rPr>
      </w:pPr>
    </w:p>
    <w:p>
      <w:pPr>
        <w:ind w:left="1600" w:hanging="479"/>
        <w:spacing w:after="0"/>
        <w:tabs>
          <w:tab w:leader="none" w:pos="16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Units, CUPI Units, and Class B Units that are not reclassified as set forth in (2) above, will be treated as follows:</w:t>
      </w:r>
    </w:p>
    <w:p>
      <w:pPr>
        <w:spacing w:after="0" w:line="115" w:lineRule="exact"/>
        <w:rPr>
          <w:rFonts w:ascii="Times New Roman" w:cs="Times New Roman" w:eastAsia="Times New Roman" w:hAnsi="Times New Roman"/>
          <w:sz w:val="16"/>
          <w:szCs w:val="16"/>
          <w:color w:val="auto"/>
        </w:rPr>
      </w:pPr>
    </w:p>
    <w:p>
      <w:pPr>
        <w:ind w:left="2000" w:hanging="292"/>
        <w:spacing w:after="0"/>
        <w:tabs>
          <w:tab w:leader="none" w:pos="2000"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Units held by Exchanging Class A Unitholders will be directly or indirectly exchanged for shares of Class A common stock;</w:t>
      </w:r>
    </w:p>
    <w:p>
      <w:pPr>
        <w:spacing w:after="0" w:line="126" w:lineRule="exact"/>
        <w:rPr>
          <w:rFonts w:ascii="Times New Roman" w:cs="Times New Roman" w:eastAsia="Times New Roman" w:hAnsi="Times New Roman"/>
          <w:sz w:val="15"/>
          <w:szCs w:val="15"/>
          <w:color w:val="auto"/>
        </w:rPr>
      </w:pPr>
    </w:p>
    <w:p>
      <w:pPr>
        <w:ind w:left="2000" w:hanging="292"/>
        <w:spacing w:after="0"/>
        <w:tabs>
          <w:tab w:leader="none" w:pos="2000"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CUPI Units held by Exchanging CUPI Unitholders will be directly or indirectly exchanged for shares of Class A common stock; and</w:t>
      </w:r>
    </w:p>
    <w:p>
      <w:pPr>
        <w:spacing w:after="0" w:line="126" w:lineRule="exact"/>
        <w:rPr>
          <w:rFonts w:ascii="Times New Roman" w:cs="Times New Roman" w:eastAsia="Times New Roman" w:hAnsi="Times New Roman"/>
          <w:sz w:val="15"/>
          <w:szCs w:val="15"/>
          <w:color w:val="auto"/>
        </w:rPr>
      </w:pPr>
    </w:p>
    <w:p>
      <w:pPr>
        <w:ind w:left="2000" w:right="80" w:hanging="292"/>
        <w:spacing w:after="0" w:line="316" w:lineRule="auto"/>
        <w:tabs>
          <w:tab w:leader="none" w:pos="2000" w:val="left"/>
        </w:tabs>
        <w:numPr>
          <w:ilvl w:val="1"/>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21" w:lineRule="exact"/>
        <w:rPr>
          <w:sz w:val="20"/>
          <w:szCs w:val="20"/>
          <w:color w:val="auto"/>
        </w:rPr>
      </w:pPr>
    </w:p>
    <w:p>
      <w:pPr>
        <w:jc w:val="both"/>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65" w:lineRule="exact"/>
        <w:rPr>
          <w:sz w:val="20"/>
          <w:szCs w:val="20"/>
          <w:color w:val="auto"/>
        </w:rPr>
      </w:pPr>
    </w:p>
    <w:p>
      <w:pPr>
        <w:ind w:left="740" w:right="60" w:firstLine="391"/>
        <w:spacing w:after="0" w:line="253"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70"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70" w:lineRule="exact"/>
        <w:rPr>
          <w:sz w:val="20"/>
          <w:szCs w:val="20"/>
          <w:color w:val="auto"/>
        </w:rPr>
      </w:pPr>
    </w:p>
    <w:p>
      <w:pPr>
        <w:jc w:val="both"/>
        <w:ind w:left="740" w:right="360" w:firstLine="391"/>
        <w:spacing w:after="0" w:line="265" w:lineRule="auto"/>
        <w:rPr>
          <w:sz w:val="20"/>
          <w:szCs w:val="20"/>
          <w:color w:val="auto"/>
        </w:rPr>
      </w:pPr>
      <w:r>
        <w:rPr>
          <w:rFonts w:ascii="Times New Roman" w:cs="Times New Roman" w:eastAsia="Times New Roman" w:hAnsi="Times New Roman"/>
          <w:sz w:val="16"/>
          <w:szCs w:val="16"/>
          <w:color w:val="auto"/>
        </w:rPr>
        <w:t>Our post-offering organizational structure, as described above, is commonly referred to as an umbrella partnership-C-corporation (or UP-C) structure. This organizational structure will allow the Continuing Unitholders to retain their equity ownership in Medline Holdings, an entity that is classified as a partnership for U.S. federal income tax purposes, in the form of Units. Investors in this offering, the Pre-IPO Stockholders, and</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74</w:t>
      </w:r>
    </w:p>
    <w:p>
      <w:pPr>
        <w:sectPr>
          <w:pgSz w:w="11900" w:h="16838" w:orient="portrait"/>
          <w:cols w:equalWidth="0" w:num="1">
            <w:col w:w="10500"/>
          </w:cols>
          <w:pgMar w:left="320" w:top="420" w:right="10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80"/>
        <w:spacing w:after="0" w:line="260" w:lineRule="auto"/>
        <w:rPr>
          <w:sz w:val="20"/>
          <w:szCs w:val="20"/>
          <w:color w:val="auto"/>
        </w:rPr>
      </w:pPr>
      <w:r>
        <w:rPr>
          <w:rFonts w:ascii="Times New Roman" w:cs="Times New Roman" w:eastAsia="Times New Roman" w:hAnsi="Times New Roman"/>
          <w:sz w:val="16"/>
          <w:szCs w:val="16"/>
          <w:color w:val="auto"/>
        </w:rPr>
        <w:t>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diagram below depicts our organizational structure immediately following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205105</wp:posOffset>
            </wp:positionV>
            <wp:extent cx="5383530" cy="2957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8353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40"/>
        <w:spacing w:after="0"/>
        <w:tabs>
          <w:tab w:leader="none" w:pos="1100" w:val="left"/>
        </w:tabs>
        <w:rPr>
          <w:sz w:val="20"/>
          <w:szCs w:val="20"/>
          <w:color w:val="auto"/>
        </w:rPr>
      </w:pPr>
      <w:r>
        <w:rPr>
          <w:rFonts w:ascii="Times New Roman" w:cs="Times New Roman" w:eastAsia="Times New Roman" w:hAnsi="Times New Roman"/>
          <w:sz w:val="13"/>
          <w:szCs w:val="13"/>
          <w:i w:val="1"/>
          <w:iCs w:val="1"/>
          <w:color w:val="auto"/>
        </w:rPr>
        <w:t>Note:</w:t>
      </w:r>
      <w:r>
        <w:rPr>
          <w:sz w:val="20"/>
          <w:szCs w:val="20"/>
          <w:color w:val="auto"/>
        </w:rPr>
        <w:tab/>
      </w:r>
      <w:r>
        <w:rPr>
          <w:rFonts w:ascii="Times New Roman" w:cs="Times New Roman" w:eastAsia="Times New Roman" w:hAnsi="Times New Roman"/>
          <w:sz w:val="12"/>
          <w:szCs w:val="12"/>
          <w:i w:val="1"/>
          <w:iCs w:val="1"/>
          <w:color w:val="auto"/>
        </w:rPr>
        <w:t>Certain intermediate holding companies that are not material to this offering have been omitted from the structure chart.</w:t>
      </w:r>
    </w:p>
    <w:p>
      <w:pPr>
        <w:ind w:left="1120" w:right="540" w:hanging="382"/>
        <w:spacing w:after="0" w:line="211" w:lineRule="auto"/>
        <w:tabs>
          <w:tab w:leader="none" w:pos="11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For additional information, see “Description of Capital Stock—Common Stock.”</w:t>
      </w:r>
    </w:p>
    <w:p>
      <w:pPr>
        <w:ind w:left="1120" w:right="100" w:hanging="382"/>
        <w:spacing w:after="0" w:line="219" w:lineRule="auto"/>
        <w:tabs>
          <w:tab w:leader="none" w:pos="11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time of this offering, 18,084,823 shares of Class A common stock would be issuable upon the exchange of an equivalent number of Common Units into which Incentive Units held by the Continuing Incentive Unitholders may be converted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162" w:lineRule="exact"/>
        <w:rPr>
          <w:sz w:val="20"/>
          <w:szCs w:val="20"/>
          <w:color w:val="auto"/>
        </w:rPr>
      </w:pPr>
    </w:p>
    <w:p>
      <w:pPr>
        <w:ind w:left="740" w:right="60" w:firstLine="391"/>
        <w:spacing w:after="0" w:line="274" w:lineRule="auto"/>
        <w:rPr>
          <w:sz w:val="20"/>
          <w:szCs w:val="20"/>
          <w:color w:val="auto"/>
        </w:rPr>
      </w:pPr>
      <w:r>
        <w:rPr>
          <w:rFonts w:ascii="Times New Roman" w:cs="Times New Roman" w:eastAsia="Times New Roman" w:hAnsi="Times New Roman"/>
          <w:sz w:val="15"/>
          <w:szCs w:val="15"/>
          <w:color w:val="auto"/>
        </w:rPr>
        <w:t>Upon consummation of the Reorganization Transactions and immediately prior to this offering, our pre-IPO owners will hold shares and interests that may be exchanged or settled for an aggregate of 1,153,325,829 shares of Class A common stock, which we refer to as the “diluted pre-IPO shares outstanding,” consisting of (i) issued and outstanding shares of Class A common stock held by our Pre-IPO Stockholders and Exchanging Unitholders;</w:t>
      </w:r>
    </w:p>
    <w:p>
      <w:pPr>
        <w:spacing w:after="0" w:line="1" w:lineRule="exact"/>
        <w:rPr>
          <w:sz w:val="20"/>
          <w:szCs w:val="20"/>
          <w:color w:val="auto"/>
        </w:rPr>
      </w:pPr>
    </w:p>
    <w:p>
      <w:pPr>
        <w:ind w:left="980" w:hanging="242"/>
        <w:spacing w:after="0"/>
        <w:tabs>
          <w:tab w:leader="none" w:pos="9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a one-for-one basis in exchange for Common Units held by our Continuing Common Unitholders;</w:t>
      </w:r>
    </w:p>
    <w:p>
      <w:pPr>
        <w:spacing w:after="0" w:line="7" w:lineRule="exact"/>
        <w:rPr>
          <w:rFonts w:ascii="Times New Roman" w:cs="Times New Roman" w:eastAsia="Times New Roman" w:hAnsi="Times New Roman"/>
          <w:sz w:val="16"/>
          <w:szCs w:val="16"/>
          <w:color w:val="auto"/>
        </w:rPr>
      </w:pPr>
    </w:p>
    <w:p>
      <w:pPr>
        <w:ind w:left="740" w:hanging="2"/>
        <w:spacing w:after="0" w:line="252" w:lineRule="auto"/>
        <w:tabs>
          <w:tab w:leader="none" w:pos="1019"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on a one-for-one basis in exchange for Common Units into which outstanding Incentive Units that will be held by the Continuing Incentive Unitholders may be converted; (iv) shares of Class A common stock in respect of RSUs to be granted to certain Exchanging Unitholders to compensate them for the loss of the opportunity to participate in the tax receivable agreement; (v) shares of Class A common stock underlying RSUs to be held by certain independent non-employee members of our board of directors with respect to RSUs covering Class A Units; and (vi) shares of</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75</w:t>
      </w:r>
    </w:p>
    <w:p>
      <w:pPr>
        <w:sectPr>
          <w:pgSz w:w="11900" w:h="16838" w:orient="portrait"/>
          <w:cols w:equalWidth="0" w:num="1">
            <w:col w:w="10480"/>
          </w:cols>
          <w:pgMar w:left="320" w:top="420" w:right="10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20"/>
        <w:spacing w:after="0" w:line="265" w:lineRule="auto"/>
        <w:rPr>
          <w:sz w:val="20"/>
          <w:szCs w:val="20"/>
          <w:color w:val="auto"/>
        </w:rPr>
      </w:pPr>
      <w:r>
        <w:rPr>
          <w:rFonts w:ascii="Times New Roman" w:cs="Times New Roman" w:eastAsia="Times New Roman" w:hAnsi="Times New Roman"/>
          <w:sz w:val="16"/>
          <w:szCs w:val="16"/>
          <w:color w:val="auto"/>
        </w:rPr>
        <w:t>Class A common stock underlying RSUs having a value of $300,000 based on the initial public offering price per share of Class A common stock in this offering to be granted to an independent non-employee member of our board of directors upon appointment to the board of directors in connection with this offering.</w:t>
      </w:r>
    </w:p>
    <w:p>
      <w:pPr>
        <w:spacing w:after="0" w:line="157" w:lineRule="exact"/>
        <w:rPr>
          <w:sz w:val="20"/>
          <w:szCs w:val="20"/>
          <w:color w:val="auto"/>
        </w:rPr>
      </w:pPr>
    </w:p>
    <w:tbl>
      <w:tblPr>
        <w:tblLayout w:type="fixed"/>
        <w:tblInd w:w="74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4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table below sets forth the relative ownership of the diluted pre-IPO shares outstanding among our pre-IPO owners.</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of Class A common stock held by Pre-IPO Stockholders and Exchanging Unitholders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607,521,662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Shares of Class A common stock issuable upon exchange of Common Units held by our Continuing Common Unitholders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527,195,560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issuable upon exchange of as-converted Incentive Units held by Continuing Incentive</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shd w:val="clear" w:color="auto" w:fill="CCEEFF"/>
          </w:tcPr>
          <w:p>
            <w:pPr>
              <w:ind w:left="140"/>
              <w:spacing w:after="0" w:line="208" w:lineRule="exact"/>
              <w:rPr>
                <w:sz w:val="20"/>
                <w:szCs w:val="20"/>
                <w:color w:val="auto"/>
              </w:rPr>
            </w:pPr>
            <w:r>
              <w:rPr>
                <w:rFonts w:ascii="Times New Roman" w:cs="Times New Roman" w:eastAsia="Times New Roman" w:hAnsi="Times New Roman"/>
                <w:sz w:val="16"/>
                <w:szCs w:val="16"/>
                <w:color w:val="auto"/>
              </w:rPr>
              <w:t>Unitholders</w:t>
            </w:r>
            <w:r>
              <w:rPr>
                <w:rFonts w:ascii="Times New Roman" w:cs="Times New Roman" w:eastAsia="Times New Roman" w:hAnsi="Times New Roman"/>
                <w:sz w:val="23"/>
                <w:szCs w:val="23"/>
                <w:color w:val="auto"/>
                <w:vertAlign w:val="superscript"/>
              </w:rPr>
              <w:t>(1)</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18,084,823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tcPr>
          <w:p>
            <w:pPr>
              <w:spacing w:after="0"/>
              <w:rPr>
                <w:sz w:val="20"/>
                <w:szCs w:val="20"/>
                <w:color w:val="auto"/>
              </w:rPr>
            </w:pPr>
            <w:r>
              <w:rPr>
                <w:rFonts w:ascii="Times New Roman" w:cs="Times New Roman" w:eastAsia="Times New Roman" w:hAnsi="Times New Roman"/>
                <w:sz w:val="16"/>
                <w:szCs w:val="16"/>
                <w:color w:val="auto"/>
              </w:rPr>
              <w:t>Shares of Class A common stock in respect of RSUs to be granted to certain Exchanging Unitholders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with respect to RSUs to be held by certain independent non-employee members of our board of</w:t>
            </w:r>
          </w:p>
        </w:tc>
        <w:tc>
          <w:tcPr>
            <w:tcW w:w="1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directors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23,418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4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Shares of Class A common stock with respect to RSUs to be granted to an independent non-employee member of our board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6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directors upon appointment to our board of directors in connection with this offering</w:t>
            </w:r>
          </w:p>
        </w:tc>
        <w:tc>
          <w:tcPr>
            <w:tcW w:w="12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1,153,325,829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hanging="382"/>
        <w:spacing w:after="0"/>
        <w:tabs>
          <w:tab w:leader="none" w:pos="112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Incentive Unitholders will hold an aggregate 42,197,933 participating Incentive Units with a weighted-average participation threshold of $16.57 per Incentive Unit.</w:t>
      </w:r>
    </w:p>
    <w:p>
      <w:pPr>
        <w:spacing w:after="0" w:line="17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diluted pre-IPO shares outstanding presented in the foregoing table do not reflect shares of</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Class A common stock issuable:</w:t>
      </w:r>
    </w:p>
    <w:p>
      <w:pPr>
        <w:spacing w:after="0" w:line="99" w:lineRule="exact"/>
        <w:rPr>
          <w:sz w:val="20"/>
          <w:szCs w:val="20"/>
          <w:color w:val="auto"/>
        </w:rPr>
      </w:pPr>
    </w:p>
    <w:p>
      <w:pPr>
        <w:ind w:left="1600" w:right="60" w:hanging="383"/>
        <w:spacing w:after="0" w:line="260" w:lineRule="auto"/>
        <w:tabs>
          <w:tab w:leader="none" w:pos="1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exercise of stock options to purchase 6,770,442 shares of Class A common stock. These stock options will have an exercise price per share that is equal to or greater than the initial public offering price per share of Class A common stock in this offering, and the shares of Class A common stock underlying such options are not reflected in the foregoing table because they are not “in the money.” See “Management—Compensation Arrangements to be Adopted in Connection with this Offering—Equity Award Grants”; or</w:t>
      </w:r>
    </w:p>
    <w:p>
      <w:pPr>
        <w:spacing w:after="0" w:line="76" w:lineRule="exact"/>
        <w:rPr>
          <w:rFonts w:ascii="Times New Roman" w:cs="Times New Roman" w:eastAsia="Times New Roman" w:hAnsi="Times New Roman"/>
          <w:sz w:val="16"/>
          <w:szCs w:val="16"/>
          <w:color w:val="auto"/>
        </w:rPr>
      </w:pPr>
    </w:p>
    <w:p>
      <w:pPr>
        <w:ind w:left="1600" w:right="260" w:hanging="383"/>
        <w:spacing w:after="0" w:line="257" w:lineRule="auto"/>
        <w:tabs>
          <w:tab w:leader="none" w:pos="16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Compensation—Liability-classified units” of our unaudited condensed consolidated financial statements.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Incorporation of Medline Inc.</w:t>
      </w:r>
    </w:p>
    <w:p>
      <w:pPr>
        <w:spacing w:after="0" w:line="105"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Medline Inc. was incorporated as a Delaware corporation on November 6, 2024. Medline Inc. has not engaged in any business or other activities except in connection with its formation and this offering. The amended and restated certificate of incorporation of Medline Inc. authorizes two classes of common stock, Class A common stock and Class B common stock, each having the terms described in “Description of Capital Stock.”</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76</w:t>
      </w:r>
    </w:p>
    <w:p>
      <w:pPr>
        <w:sectPr>
          <w:pgSz w:w="11900" w:h="16838" w:orient="portrait"/>
          <w:cols w:equalWidth="0" w:num="1">
            <w:col w:w="10500"/>
          </w:cols>
          <w:pgMar w:left="320" w:top="420" w:right="10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Blocker Transfers</w:t>
      </w:r>
    </w:p>
    <w:p>
      <w:pPr>
        <w:spacing w:after="0" w:line="105"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Prior to this offering, our Pre-IPO Stockholders hold their interests in Medline Holdings through Blocker Companies that are taxable as corporations for U.S. federal income tax purposes. At the time of this offering, we will enter into certain restructuring transactions (such transactions, the “Blocker Transfers”) that will result in the Pre-IPO Stockholders acquiring 592,432,613 shares of newly issued Class A common stock in exchange for the acquisition by Medline Inc. of the Blocker Companies and, indirectly, the equivalent number of Common Units held by the Blocker Companies. Each of the Blocker Companies will initially become a wholly owned subsidiary of Medline Inc. and will either be merged into Medline Inc. or will remain a wholly owned subsidiary that is part of the same consolidated group for U.S. federal income tax purposes.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Reclassification and Amendment and Restatement of the Limited Partnership Agreement of Medline Holdings</w:t>
      </w:r>
    </w:p>
    <w:p>
      <w:pPr>
        <w:spacing w:after="0" w:line="105" w:lineRule="exact"/>
        <w:rPr>
          <w:sz w:val="20"/>
          <w:szCs w:val="20"/>
          <w:color w:val="auto"/>
        </w:rPr>
      </w:pPr>
    </w:p>
    <w:p>
      <w:pPr>
        <w:ind w:left="740" w:right="100" w:firstLine="391"/>
        <w:spacing w:after="0" w:line="253" w:lineRule="auto"/>
        <w:rPr>
          <w:sz w:val="20"/>
          <w:szCs w:val="20"/>
          <w:color w:val="auto"/>
        </w:rPr>
      </w:pPr>
      <w:r>
        <w:rPr>
          <w:rFonts w:ascii="Times New Roman" w:cs="Times New Roman" w:eastAsia="Times New Roman" w:hAnsi="Times New Roman"/>
          <w:sz w:val="16"/>
          <w:szCs w:val="16"/>
          <w:color w:val="auto"/>
        </w:rPr>
        <w:t>Prior to the completion of this offering,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will hold their ownership interests directly in Medline Holdings (in the case of the Continuing Unitholders) or Medline Inc. (in the case of the Pre-IPO Stockholders and the Exchanging Unitholders). Immediately following the Reorganization Transactions but prior to the other Offering Transactions described below, there will be 1,134,717,222 Common Units issued and outstanding.</w:t>
      </w:r>
    </w:p>
    <w:p>
      <w:pPr>
        <w:spacing w:after="0" w:line="170" w:lineRule="exact"/>
        <w:rPr>
          <w:sz w:val="20"/>
          <w:szCs w:val="20"/>
          <w:color w:val="auto"/>
        </w:rPr>
      </w:pPr>
    </w:p>
    <w:p>
      <w:pPr>
        <w:ind w:left="740" w:right="80" w:firstLine="391"/>
        <w:spacing w:after="0" w:line="252" w:lineRule="auto"/>
        <w:rPr>
          <w:sz w:val="20"/>
          <w:szCs w:val="20"/>
          <w:color w:val="auto"/>
        </w:rPr>
      </w:pPr>
      <w:r>
        <w:rPr>
          <w:rFonts w:ascii="Times New Roman" w:cs="Times New Roman" w:eastAsia="Times New Roman" w:hAnsi="Times New Roman"/>
          <w:sz w:val="16"/>
          <w:szCs w:val="16"/>
          <w:color w:val="auto"/>
        </w:rPr>
        <w:t>In connection with the Reclassification, Class A Units, CUPI Units, and all vested and unvested Class B Units held by the Exchanging Unitholders that are not reclassified into Units of Medline Holdings will be 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such unit would have received. Such shares of Class A common stock shall be restricted shares of Class A common stock, to the extent such shares related to unvested Class B Units, or vested shares of Class A common stock, to the extent such shares related to Class A Units, CUPI Units, or vested Class B Units. The aggregate number of restricted shares of Class A common stock delivered in respect of the unvested Class B Units that are exchanged for restricted shares of Class A common stock in the Reclassification will be 1,982,467 and the aggregate number of vested shares of Class A common stock delivered in respect of the Class A Units, CUPI Units, and vested Class B Units that are exchanged for shares of Class A common stock in the Reclassification will be 13,028,996.</w:t>
      </w:r>
    </w:p>
    <w:p>
      <w:pPr>
        <w:spacing w:after="0" w:line="173"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In addition, we intend to (i)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and (ii) grant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The precise number of options we grant in respect of the Class B Units held by certain Exchanging Class B Unitholders will be determined based on the initial public offering price. The aggregate</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77</w:t>
      </w:r>
    </w:p>
    <w:p>
      <w:pPr>
        <w:sectPr>
          <w:pgSz w:w="11900" w:h="16838" w:orient="portrait"/>
          <w:cols w:equalWidth="0" w:num="1">
            <w:col w:w="10500"/>
          </w:cols>
          <w:pgMar w:left="320" w:top="420" w:right="10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number of such options granted to such Exchanging Class B Unitholders will be 6,770,442. The aggregate number of RSUs granted to such Exchanging Unitholders will be 490,021. For additional information, see “Management—Compensation Arrangements to be Adopted in Connection with this Offering—Treatment of Existing Equity Interests” and “Management—Compensation Arrangements to be Adopted in Connection with this Offering— Equity Award Grants.”</w:t>
      </w:r>
    </w:p>
    <w:p>
      <w:pPr>
        <w:spacing w:after="0" w:line="16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Pursuant to the amended and restated limited partnership agreement of Medline Holdings, Medline Inc. will become the sole general partner of Medline Holdings. Accordingly, Medline Inc. will have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70"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Continuing Unitholders, including Medline Inc., will incur U.S. federal, state, and local income taxes on their allocable share of any taxable income of Medline Holdings. Net profits and net losses of Medline Holdings will generally be allocated to its owners (including Medline Inc.) pro rata in accordance with the percentages of their respective Units held, except as otherwise required by law. The amended and restated limited partnership agreement will provide for cash distributions to the Continuing Unitholders if Medline Inc. 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66" w:lineRule="exact"/>
        <w:rPr>
          <w:sz w:val="20"/>
          <w:szCs w:val="20"/>
          <w:color w:val="auto"/>
        </w:rPr>
      </w:pPr>
    </w:p>
    <w:p>
      <w:pPr>
        <w:ind w:left="740" w:right="60" w:firstLine="391"/>
        <w:spacing w:after="0" w:line="254"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will not be exchangeable unless and until such Incentive Unit vests.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78</w:t>
      </w:r>
    </w:p>
    <w:p>
      <w:pPr>
        <w:sectPr>
          <w:pgSz w:w="11900" w:h="16838" w:orient="portrait"/>
          <w:cols w:equalWidth="0" w:num="1">
            <w:col w:w="10500"/>
          </w:cols>
          <w:pgMar w:left="320" w:top="420" w:right="10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105"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We and the Continuing Unitholders will enter into an exchange agreement at the time of this offering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See “Certain Relationships and Related Person Transactions— Exchange Agreement.”</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105" w:lineRule="exact"/>
        <w:rPr>
          <w:sz w:val="20"/>
          <w:szCs w:val="20"/>
          <w:color w:val="auto"/>
        </w:rPr>
      </w:pPr>
    </w:p>
    <w:p>
      <w:pPr>
        <w:ind w:left="740" w:firstLine="391"/>
        <w:spacing w:after="0" w:line="270" w:lineRule="auto"/>
        <w:rPr>
          <w:sz w:val="20"/>
          <w:szCs w:val="20"/>
          <w:color w:val="auto"/>
        </w:rPr>
      </w:pPr>
      <w:r>
        <w:rPr>
          <w:rFonts w:ascii="Times New Roman" w:cs="Times New Roman" w:eastAsia="Times New Roman" w:hAnsi="Times New Roman"/>
          <w:sz w:val="15"/>
          <w:szCs w:val="15"/>
          <w:color w:val="auto"/>
        </w:rPr>
        <w:t>Prior to the completion of this offering,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Offering Transactions</w:t>
      </w:r>
    </w:p>
    <w:p>
      <w:pPr>
        <w:spacing w:after="0" w:line="105" w:lineRule="exact"/>
        <w:rPr>
          <w:sz w:val="20"/>
          <w:szCs w:val="20"/>
          <w:color w:val="auto"/>
        </w:rPr>
      </w:pPr>
    </w:p>
    <w:p>
      <w:pPr>
        <w:ind w:left="740" w:right="260" w:firstLine="391"/>
        <w:spacing w:after="0" w:line="291" w:lineRule="auto"/>
        <w:rPr>
          <w:sz w:val="20"/>
          <w:szCs w:val="20"/>
          <w:color w:val="auto"/>
        </w:rPr>
      </w:pPr>
      <w:r>
        <w:rPr>
          <w:rFonts w:ascii="Times New Roman" w:cs="Times New Roman" w:eastAsia="Times New Roman" w:hAnsi="Times New Roman"/>
          <w:sz w:val="15"/>
          <w:szCs w:val="15"/>
          <w:color w:val="auto"/>
        </w:rPr>
        <w:t>Medline Inc. intends to use the proceeds (net of underwriting discounts and commissions) from the issuance by it of 179,000,000 shares of Class A common stock in this offering to acquire an equivalent number of newly issued Common Units from Medline Holdings at a purchase price equal to the initial public offering price of $29.00 per share for an aggregate of $5,078 million. The issuance of such newly issued Common Units by</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79</w:t>
      </w:r>
    </w:p>
    <w:p>
      <w:pPr>
        <w:sectPr>
          <w:pgSz w:w="11900" w:h="16838" w:orient="portrait"/>
          <w:cols w:equalWidth="0" w:num="1">
            <w:col w:w="10500"/>
          </w:cols>
          <w:pgMar w:left="320" w:top="420" w:right="10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80"/>
        <w:spacing w:after="0" w:line="260" w:lineRule="auto"/>
        <w:rPr>
          <w:sz w:val="20"/>
          <w:szCs w:val="20"/>
          <w:color w:val="auto"/>
        </w:rPr>
      </w:pPr>
      <w:r>
        <w:rPr>
          <w:rFonts w:ascii="Times New Roman" w:cs="Times New Roman" w:eastAsia="Times New Roman" w:hAnsi="Times New Roman"/>
          <w:sz w:val="16"/>
          <w:szCs w:val="16"/>
          <w:color w:val="auto"/>
        </w:rPr>
        <w:t>Medline Holdings to Medline Inc. will correspondingly dilute the ownership interests of the Continuing Common Unitholders in Medline Holdings. Medline Inc. intends to cause Medline Holdings, in turn, to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See “Use of Proceeds.”</w:t>
      </w:r>
    </w:p>
    <w:p>
      <w:pPr>
        <w:spacing w:after="0" w:line="16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Medline Inc. will use the proceeds (net of underwriting discounts and commissions) from the issuance by it of 37,034,482 shares of Class A common stock (which we estimate will be approximately $1,051 million) and from any issuance of shares pursuant to any exercise by the underwriters of their option to purchase up to 32,405,172 additional shares of Class A common stock (which we estimate will be approximately $919 million) to purchase or redeem outstanding Common Units and shares of Class A common stock from our pre-IPO owners at a price per equity interest equal to the initial public offering price per share of our Class A common stock less the underwriting discounts and commissions. Accordingly, we will not retain any of these proceeds. Assuming that the underwriters exercise their option to purchase 32,405,172 additional shares of Class A common stock in full, at the time of this offering, Medline Inc. will purchase or redeem from our pre-IPO owners an equivalent number of outstanding equity interests for an aggregate of $1,970 million. See “Principal Stockholders” for additional information regarding the proceeds from this offering that will be paid to certain of our pre-IPO owners.</w:t>
      </w:r>
    </w:p>
    <w:p>
      <w:pPr>
        <w:spacing w:after="0" w:line="170"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Accordingly, following this offering Medline Inc. will directly or indirectly hold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 in Medline Holdings as a single Common Unit.</w:t>
      </w:r>
    </w:p>
    <w:p>
      <w:pPr>
        <w:spacing w:after="0" w:line="15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As a result of the transactions described herein:</w:t>
      </w:r>
    </w:p>
    <w:p>
      <w:pPr>
        <w:spacing w:after="0" w:line="115" w:lineRule="exact"/>
        <w:rPr>
          <w:sz w:val="20"/>
          <w:szCs w:val="20"/>
          <w:color w:val="auto"/>
        </w:rPr>
      </w:pPr>
    </w:p>
    <w:p>
      <w:pPr>
        <w:ind w:left="1600" w:right="300" w:hanging="383"/>
        <w:spacing w:after="0" w:line="281"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investors in this offering will collectively own 216,034,482 shares of our Class A common stock (or 248,439,654 shares of Class A common stock if the underwriters exercise in full their option to purchase additional shares of Class A common stock);</w:t>
      </w:r>
    </w:p>
    <w:p>
      <w:pPr>
        <w:spacing w:after="0" w:line="60" w:lineRule="exact"/>
        <w:rPr>
          <w:rFonts w:ascii="Times New Roman" w:cs="Times New Roman" w:eastAsia="Times New Roman" w:hAnsi="Times New Roman"/>
          <w:sz w:val="16"/>
          <w:szCs w:val="16"/>
          <w:color w:val="auto"/>
        </w:rPr>
      </w:pPr>
    </w:p>
    <w:p>
      <w:pPr>
        <w:ind w:left="1600" w:right="340" w:hanging="383"/>
        <w:spacing w:after="0" w:line="265"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and the Exchanging Unitholders collectively will hold 579,825,840 shares of our Class A common stock (or 555,591,996 shares of Class A common stock if the underwriters exercise in full their option to purchase additional shares of Class A common stock);</w:t>
      </w:r>
    </w:p>
    <w:p>
      <w:pPr>
        <w:spacing w:after="0" w:line="73"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Common Unitholders will hold 513,917,418 Common Units (or 502,299,043 Common Units if the underwriters exercise in full their option to purchase additional shares of Class A common stock);</w:t>
      </w:r>
    </w:p>
    <w:p>
      <w:pPr>
        <w:spacing w:after="0" w:line="60" w:lineRule="exact"/>
        <w:rPr>
          <w:rFonts w:ascii="Times New Roman" w:cs="Times New Roman" w:eastAsia="Times New Roman" w:hAnsi="Times New Roman"/>
          <w:sz w:val="16"/>
          <w:szCs w:val="16"/>
          <w:color w:val="auto"/>
        </w:rPr>
      </w:pPr>
    </w:p>
    <w:p>
      <w:pPr>
        <w:ind w:left="1600" w:right="300" w:hanging="383"/>
        <w:spacing w:after="0" w:line="281"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Incentive Unitholders will hold 42,197,933 participating Incentive Units with a weighted-average per unit participation threshold of $16.57 per Incentive Unit;</w:t>
      </w:r>
    </w:p>
    <w:p>
      <w:pPr>
        <w:spacing w:after="0" w:line="60" w:lineRule="exact"/>
        <w:rPr>
          <w:rFonts w:ascii="Times New Roman" w:cs="Times New Roman" w:eastAsia="Times New Roman" w:hAnsi="Times New Roman"/>
          <w:sz w:val="16"/>
          <w:szCs w:val="16"/>
          <w:color w:val="auto"/>
        </w:rPr>
      </w:pPr>
    </w:p>
    <w:p>
      <w:pPr>
        <w:ind w:left="1600" w:right="240" w:hanging="383"/>
        <w:spacing w:after="0" w:line="281"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Inc. will directly or indirectly hold 799,799,804 Common Units (or 811,418,179 Common Units if the underwriters exercise in full their option to purchase additional shares of Class A common stock);</w:t>
      </w:r>
    </w:p>
    <w:p>
      <w:pPr>
        <w:spacing w:after="0" w:line="60" w:lineRule="exact"/>
        <w:rPr>
          <w:rFonts w:ascii="Times New Roman" w:cs="Times New Roman" w:eastAsia="Times New Roman" w:hAnsi="Times New Roman"/>
          <w:sz w:val="16"/>
          <w:szCs w:val="16"/>
          <w:color w:val="auto"/>
        </w:rPr>
      </w:pPr>
    </w:p>
    <w:p>
      <w:pPr>
        <w:ind w:left="1600" w:right="40" w:hanging="383"/>
        <w:spacing w:after="0" w:line="281"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investors in this offering will collectively have 16.4% of the voting power in Medline Inc. (or 18.9% if the underwriters exercise in full their option to purchase additional shares of Class A common stock); and</w:t>
      </w:r>
    </w:p>
    <w:p>
      <w:pPr>
        <w:spacing w:after="0" w:line="60" w:lineRule="exact"/>
        <w:rPr>
          <w:rFonts w:ascii="Times New Roman" w:cs="Times New Roman" w:eastAsia="Times New Roman" w:hAnsi="Times New Roman"/>
          <w:sz w:val="16"/>
          <w:szCs w:val="16"/>
          <w:color w:val="auto"/>
        </w:rPr>
      </w:pPr>
    </w:p>
    <w:p>
      <w:pPr>
        <w:ind w:left="1600" w:right="80" w:hanging="383"/>
        <w:spacing w:after="0" w:line="260" w:lineRule="auto"/>
        <w:tabs>
          <w:tab w:leader="none" w:pos="16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Pre-IPO Stockholders and the Exchanging Unitholders collectively will have 44.5% of the voting power in Medline Inc. (or 42.9% if the underwriters exercise in full their option to purchase additional shares of Class A common stock) and the Continuing Common Unitholders, as holders of all of the outstanding shares of Class B common stock, will have 39.1% of the voting power in Medline Inc. (or 38.2% if the underwriters exercise in full their option to purchase additional shares of Class A common stock).</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80</w:t>
      </w:r>
    </w:p>
    <w:p>
      <w:pPr>
        <w:sectPr>
          <w:pgSz w:w="11900" w:h="16838" w:orient="portrait"/>
          <w:cols w:equalWidth="0" w:num="1">
            <w:col w:w="10500"/>
          </w:cols>
          <w:pgMar w:left="320" w:top="420" w:right="10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01" w:lineRule="exact"/>
        <w:rPr>
          <w:sz w:val="20"/>
          <w:szCs w:val="20"/>
          <w:color w:val="auto"/>
        </w:rPr>
      </w:pPr>
    </w:p>
    <w:p>
      <w:pPr>
        <w:ind w:left="740" w:right="160" w:firstLine="391"/>
        <w:spacing w:after="0" w:line="265" w:lineRule="auto"/>
        <w:rPr>
          <w:sz w:val="20"/>
          <w:szCs w:val="20"/>
          <w:color w:val="auto"/>
        </w:rPr>
      </w:pPr>
      <w:r>
        <w:rPr>
          <w:rFonts w:ascii="Times New Roman" w:cs="Times New Roman" w:eastAsia="Times New Roman" w:hAnsi="Times New Roman"/>
          <w:sz w:val="16"/>
          <w:szCs w:val="16"/>
          <w:color w:val="auto"/>
        </w:rPr>
        <w:t>We estimate that the proceeds to Medline Inc. from this offering at the initial public offering price of $29.00 per share, after deducting estimated underwriting discounts and commissions, will be approximately $6,129 million (or $7,048 million if the underwriters exercise in full their option to purchase additional shares of Class A common stock).</w:t>
      </w:r>
    </w:p>
    <w:p>
      <w:pPr>
        <w:spacing w:after="0" w:line="157" w:lineRule="exact"/>
        <w:rPr>
          <w:sz w:val="20"/>
          <w:szCs w:val="20"/>
          <w:color w:val="auto"/>
        </w:rPr>
      </w:pPr>
    </w:p>
    <w:p>
      <w:pPr>
        <w:ind w:left="740" w:right="40" w:firstLine="391"/>
        <w:spacing w:after="0" w:line="270" w:lineRule="auto"/>
        <w:rPr>
          <w:sz w:val="20"/>
          <w:szCs w:val="20"/>
          <w:color w:val="auto"/>
        </w:rPr>
      </w:pPr>
      <w:r>
        <w:rPr>
          <w:rFonts w:ascii="Times New Roman" w:cs="Times New Roman" w:eastAsia="Times New Roman" w:hAnsi="Times New Roman"/>
          <w:sz w:val="15"/>
          <w:szCs w:val="15"/>
          <w:color w:val="auto"/>
        </w:rPr>
        <w:t>Medline Inc. intends to use the proceeds (net of underwriting discounts and commissions) from the issuance of 179,000,000 shares in this offering (which we estimate will be approximately $5,078 million) to acquire an equivalent number of newly issued Common Units from Medline Holdings, as described under “Organizational Structure—Offering Transactions.” Medline Holdings will in turn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We estimate these offering expenses (excluding underwriting discounts and commissions) will be approximately $38 million. The New Euro Term Loan Facility matures on October 21, 2028. Borrowings under the New Euro Term Loan Facility bear interest at a variable interest rate of EURIBOR (as defined herein) plus an applicable spread ranging from 2.25% to 2.75% based on certain of our debt ratios. The 2028 Refinancing Term Loan Facility matures on October 21, 2028. Borrowings under the 2028 Refinancing Term Loan Facility bear interest, at Medline Borrower, LP’s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to a Term SOFR floor of 0.50%. See “Description of Certain Indebtedness.” The borrowings under the New Euro Term Loan Facility and the 2028 Refinancing Term Loan Facility were used to, among other things, refinance certain outstanding term loans under the Sponsor Acquisition Credit Agreement in order to reduce the applicable margin with respect thereto.</w:t>
      </w:r>
    </w:p>
    <w:p>
      <w:pPr>
        <w:spacing w:after="0" w:line="349"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Medline Inc. intends to use the proceeds (net of underwriting discounts and commissions) from the issuance of 37,034,482 shares (which we estimate will be approximately $1,051 million) and from any issuance of shares pursuant to any exercise by the underwriters of their option to purchase up to 32,405,172 additional shares of Class A common stock (which we estimate will be approximately $919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81</w:t>
      </w:r>
    </w:p>
    <w:p>
      <w:pPr>
        <w:sectPr>
          <w:pgSz w:w="11900" w:h="16838" w:orient="portrait"/>
          <w:cols w:equalWidth="0" w:num="1">
            <w:col w:w="10500"/>
          </w:cols>
          <w:pgMar w:left="320" w:top="420" w:right="10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0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We have no current plans to pay dividends on our Class A common stock following this offering.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will provide that holders of Class B common stock shall not be entitled to any dividends on their shares of Class B common stock (other than dividends payable in the form of additional shares of Class B common stock).</w:t>
      </w:r>
    </w:p>
    <w:p>
      <w:pPr>
        <w:spacing w:after="0" w:line="170"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73" w:lineRule="exact"/>
        <w:rPr>
          <w:sz w:val="20"/>
          <w:szCs w:val="20"/>
          <w:color w:val="auto"/>
        </w:rPr>
      </w:pPr>
    </w:p>
    <w:p>
      <w:pPr>
        <w:ind w:left="740" w:right="100" w:firstLine="391"/>
        <w:spacing w:after="0" w:line="252" w:lineRule="auto"/>
        <w:rPr>
          <w:sz w:val="20"/>
          <w:szCs w:val="20"/>
          <w:color w:val="auto"/>
        </w:rPr>
      </w:pPr>
      <w:r>
        <w:rPr>
          <w:rFonts w:ascii="Times New Roman" w:cs="Times New Roman" w:eastAsia="Times New Roman" w:hAnsi="Times New Roman"/>
          <w:sz w:val="16"/>
          <w:szCs w:val="16"/>
          <w:color w:val="auto"/>
        </w:rPr>
        <w:t>The amended and restated limited partnership agreement of Medline Holdings will provide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dividends.”</w:t>
      </w:r>
    </w:p>
    <w:p>
      <w:pPr>
        <w:spacing w:after="0" w:line="171"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82</w:t>
      </w:r>
    </w:p>
    <w:p>
      <w:pPr>
        <w:sectPr>
          <w:pgSz w:w="11900" w:h="16838" w:orient="portrait"/>
          <w:cols w:equalWidth="0" w:num="1">
            <w:col w:w="10520"/>
          </w:cols>
          <w:pgMar w:left="320" w:top="420" w:right="10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83</w:t>
      </w:r>
    </w:p>
    <w:p>
      <w:pPr>
        <w:sectPr>
          <w:pgSz w:w="11900" w:h="16838" w:orient="portrait"/>
          <w:cols w:equalWidth="0" w:num="1">
            <w:col w:w="10460"/>
          </w:cols>
          <w:pgMar w:left="320" w:top="420" w:right="11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CAPITALIZATION</w:t>
      </w:r>
    </w:p>
    <w:p>
      <w:pPr>
        <w:spacing w:after="0" w:line="20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following table sets forth our consolidated cash and cash equivalents and capitalization as of September 27, 2025:</w:t>
      </w:r>
    </w:p>
    <w:p>
      <w:pPr>
        <w:spacing w:after="0" w:line="115" w:lineRule="exact"/>
        <w:rPr>
          <w:sz w:val="20"/>
          <w:szCs w:val="20"/>
          <w:color w:val="auto"/>
        </w:rPr>
      </w:pPr>
    </w:p>
    <w:p>
      <w:pPr>
        <w:ind w:left="1600" w:hanging="383"/>
        <w:spacing w:after="0"/>
        <w:tabs>
          <w:tab w:leader="none" w:pos="1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historical basis; and</w:t>
      </w:r>
    </w:p>
    <w:p>
      <w:pPr>
        <w:spacing w:after="0" w:line="115" w:lineRule="exact"/>
        <w:rPr>
          <w:rFonts w:ascii="Times New Roman" w:cs="Times New Roman" w:eastAsia="Times New Roman" w:hAnsi="Times New Roman"/>
          <w:sz w:val="16"/>
          <w:szCs w:val="16"/>
          <w:color w:val="auto"/>
        </w:rPr>
      </w:pPr>
    </w:p>
    <w:p>
      <w:pPr>
        <w:ind w:left="1600" w:hanging="383"/>
        <w:spacing w:after="0" w:line="260" w:lineRule="auto"/>
        <w:tabs>
          <w:tab w:leader="none" w:pos="16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prepared in accordance with Article 11 of Regulation S-X giving effect to the transactions described under “Unaudited Pro Forma Condensed Consolidated Financial Information,” included elsewhere in the prospectus, which reflects the sale by us of 216,034,482 shares of Class A common stock in this offering at the initial public offering price of $29.00 per share and the application of the proceeds therefrom as described in “Use of Proceeds.”</w:t>
      </w:r>
    </w:p>
    <w:p>
      <w:pPr>
        <w:spacing w:after="0" w:line="161"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Cash and cash equivalents are not components of our total capitalization. You should read this table together with the other information contained in this prospectus, including “Organizational Structure,” “Use of Proceeds,” “Unaudited Pro Forma Condensed Consolidated Financial Information,” “Management’s Discussion and Analysis of Financial Condition and Results of Operations,” and the historical financial statements and related notes thereto included elsewhere in this prospectus.</w:t>
      </w:r>
    </w:p>
    <w:p>
      <w:pPr>
        <w:sectPr>
          <w:pgSz w:w="11900" w:h="16838" w:orient="portrait"/>
          <w:cols w:equalWidth="0" w:num="1">
            <w:col w:w="10500"/>
          </w:cols>
          <w:pgMar w:left="320" w:top="42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-105410</wp:posOffset>
            </wp:positionV>
            <wp:extent cx="6205220" cy="1295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05220" cy="129540"/>
                    </a:xfrm>
                    <a:prstGeom prst="rect">
                      <a:avLst/>
                    </a:prstGeom>
                    <a:noFill/>
                  </pic:spPr>
                </pic:pic>
              </a:graphicData>
            </a:graphic>
          </wp:anchor>
        </w:drawing>
      </w:r>
    </w:p>
    <w:p>
      <w:pPr>
        <w:spacing w:after="0" w:line="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Total debt (including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15240</wp:posOffset>
            </wp:positionV>
            <wp:extent cx="6205220" cy="1219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spacing w:after="0" w:line="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Senior Secured Credit Facilities</w:t>
      </w:r>
    </w:p>
    <w:p>
      <w:pPr>
        <w:ind w:left="1380"/>
        <w:spacing w:after="0" w:line="181" w:lineRule="auto"/>
        <w:rPr>
          <w:sz w:val="20"/>
          <w:szCs w:val="20"/>
          <w:color w:val="auto"/>
        </w:rPr>
      </w:pPr>
      <w:r>
        <w:rPr>
          <w:rFonts w:ascii="Times New Roman" w:cs="Times New Roman" w:eastAsia="Times New Roman" w:hAnsi="Times New Roman"/>
          <w:sz w:val="16"/>
          <w:szCs w:val="16"/>
          <w:color w:val="auto"/>
        </w:rPr>
        <w:t>New Dollar Term Loan Facility</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0</wp:posOffset>
            </wp:positionV>
            <wp:extent cx="6205220" cy="121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380"/>
        <w:spacing w:after="0" w:line="182" w:lineRule="auto"/>
        <w:rPr>
          <w:sz w:val="20"/>
          <w:szCs w:val="20"/>
          <w:color w:val="auto"/>
        </w:rPr>
      </w:pPr>
      <w:r>
        <w:rPr>
          <w:rFonts w:ascii="Times New Roman" w:cs="Times New Roman" w:eastAsia="Times New Roman" w:hAnsi="Times New Roman"/>
          <w:sz w:val="15"/>
          <w:szCs w:val="15"/>
          <w:color w:val="auto"/>
        </w:rPr>
        <w:t>New Euro Term Loan Facility</w:t>
      </w:r>
      <w:r>
        <w:rPr>
          <w:rFonts w:ascii="Times New Roman" w:cs="Times New Roman" w:eastAsia="Times New Roman" w:hAnsi="Times New Roman"/>
          <w:sz w:val="22"/>
          <w:szCs w:val="22"/>
          <w:color w:val="auto"/>
          <w:vertAlign w:val="superscript"/>
        </w:rPr>
        <w:t>(2)</w:t>
      </w:r>
    </w:p>
    <w:p>
      <w:pPr>
        <w:spacing w:after="0" w:line="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3.875%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3810</wp:posOffset>
            </wp:positionV>
            <wp:extent cx="6205220" cy="1219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5.250% Senior Notes due 2029</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6.250% Senior Secured Notes due 2029</w:t>
      </w:r>
    </w:p>
    <w:p>
      <w:pPr>
        <w:ind w:left="740"/>
        <w:spacing w:after="0" w:line="203" w:lineRule="auto"/>
        <w:rPr>
          <w:sz w:val="20"/>
          <w:szCs w:val="20"/>
          <w:color w:val="auto"/>
        </w:rPr>
      </w:pPr>
      <w:r>
        <w:rPr>
          <w:rFonts w:ascii="Times New Roman" w:cs="Times New Roman" w:eastAsia="Times New Roman" w:hAnsi="Times New Roman"/>
          <w:sz w:val="16"/>
          <w:szCs w:val="16"/>
          <w:color w:val="auto"/>
        </w:rPr>
        <w:t>Total debt (including current maturities)</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-121285</wp:posOffset>
            </wp:positionV>
            <wp:extent cx="6205220" cy="1219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6"/>
          <w:szCs w:val="16"/>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3810</wp:posOffset>
            </wp:positionV>
            <wp:extent cx="6205220" cy="121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right="200"/>
        <w:spacing w:after="0" w:line="271" w:lineRule="auto"/>
        <w:rPr>
          <w:sz w:val="20"/>
          <w:szCs w:val="20"/>
          <w:color w:val="auto"/>
        </w:rPr>
      </w:pPr>
      <w:r>
        <w:rPr>
          <w:rFonts w:ascii="Times New Roman" w:cs="Times New Roman" w:eastAsia="Times New Roman" w:hAnsi="Times New Roman"/>
          <w:sz w:val="15"/>
          <w:szCs w:val="15"/>
          <w:color w:val="auto"/>
        </w:rPr>
        <w:t>Class A Units, no par value; 127,967,620 units issued and outstanding as of September 27, 2025 Stock-based compensation, no par value; 100,992,339 units outstanding as of September 27, 2025</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-105410</wp:posOffset>
            </wp:positionV>
            <wp:extent cx="6205220" cy="1219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spacing w:after="0" w:line="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Partners’ capital/shareholders’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5080</wp:posOffset>
            </wp:positionV>
            <wp:extent cx="6205220" cy="1219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Class A Units, no par value, 16,722,723,899 units issued and outstanding as of September 27, 2025</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Class B Units, no par value, 734,395,148 units issued and outstanding as of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5080</wp:posOffset>
            </wp:positionV>
            <wp:extent cx="6205220" cy="1219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5"/>
          <w:szCs w:val="15"/>
          <w:color w:val="auto"/>
        </w:rPr>
        <w:t>Class B CUPI Units, no par value, 23,130,426 units issued and outstanding as of September 27, 2025</w:t>
      </w:r>
    </w:p>
    <w:p>
      <w:pPr>
        <w:spacing w:after="0" w:line="1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Accumulated other comprehensive income</w:t>
      </w:r>
    </w:p>
    <w:p>
      <w:pPr>
        <w:spacing w:after="0" w:line="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-105410</wp:posOffset>
            </wp:positionV>
            <wp:extent cx="6205220" cy="121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spacing w:after="0" w:line="1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2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September 27, 2025</w:t>
            </w:r>
          </w:p>
        </w:tc>
        <w:tc>
          <w:tcPr>
            <w:tcW w:w="0" w:type="dxa"/>
            <w:vAlign w:val="bottom"/>
          </w:tcPr>
          <w:p>
            <w:pPr>
              <w:spacing w:after="0"/>
              <w:rPr>
                <w:sz w:val="1"/>
                <w:szCs w:val="1"/>
                <w:color w:val="auto"/>
              </w:rPr>
            </w:pPr>
          </w:p>
        </w:tc>
      </w:tr>
      <w:tr>
        <w:trPr>
          <w:trHeight w:val="124"/>
        </w:trPr>
        <w:tc>
          <w:tcPr>
            <w:tcW w:w="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gridSpan w:val="2"/>
          </w:tcPr>
          <w:p>
            <w:pPr>
              <w:jc w:val="center"/>
              <w:ind w:left="71"/>
              <w:spacing w:after="0" w:line="124" w:lineRule="exact"/>
              <w:rPr>
                <w:sz w:val="20"/>
                <w:szCs w:val="20"/>
                <w:color w:val="auto"/>
              </w:rPr>
            </w:pPr>
            <w:r>
              <w:rPr>
                <w:rFonts w:ascii="Times New Roman" w:cs="Times New Roman" w:eastAsia="Times New Roman" w:hAnsi="Times New Roman"/>
                <w:sz w:val="13"/>
                <w:szCs w:val="13"/>
                <w:b w:val="1"/>
                <w:bCs w:val="1"/>
                <w:color w:val="auto"/>
                <w:w w:val="99"/>
              </w:rPr>
              <w:t>Unaudited</w:t>
            </w:r>
          </w:p>
        </w:tc>
        <w:tc>
          <w:tcPr>
            <w:tcW w:w="800" w:type="dxa"/>
            <w:vAlign w:val="bottom"/>
            <w:tcBorders>
              <w:top w:val="single" w:sz="8" w:color="auto"/>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tcPr>
          <w:p>
            <w:pPr>
              <w:spacing w:after="0"/>
              <w:rPr>
                <w:sz w:val="8"/>
                <w:szCs w:val="8"/>
                <w:color w:val="auto"/>
              </w:rPr>
            </w:pPr>
          </w:p>
        </w:tc>
        <w:tc>
          <w:tcPr>
            <w:tcW w:w="580" w:type="dxa"/>
            <w:vAlign w:val="bottom"/>
          </w:tcPr>
          <w:p>
            <w:pPr>
              <w:jc w:val="center"/>
              <w:ind w:right="6"/>
              <w:spacing w:after="0" w:line="102" w:lineRule="exact"/>
              <w:rPr>
                <w:sz w:val="20"/>
                <w:szCs w:val="20"/>
                <w:color w:val="auto"/>
              </w:rPr>
            </w:pPr>
            <w:r>
              <w:rPr>
                <w:rFonts w:ascii="Times New Roman" w:cs="Times New Roman" w:eastAsia="Times New Roman" w:hAnsi="Times New Roman"/>
                <w:sz w:val="11"/>
                <w:szCs w:val="11"/>
                <w:b w:val="1"/>
                <w:bCs w:val="1"/>
                <w:color w:val="auto"/>
              </w:rPr>
              <w:t>Medline</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6"/>
              </w:rPr>
              <w:t>Medline Inc.</w:t>
            </w: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580" w:type="dxa"/>
            <w:vAlign w:val="bottom"/>
          </w:tcPr>
          <w:p>
            <w:pPr>
              <w:jc w:val="center"/>
              <w:ind w:right="6"/>
              <w:spacing w:after="0" w:line="132" w:lineRule="exact"/>
              <w:rPr>
                <w:sz w:val="20"/>
                <w:szCs w:val="20"/>
                <w:color w:val="auto"/>
              </w:rPr>
            </w:pPr>
            <w:r>
              <w:rPr>
                <w:rFonts w:ascii="Times New Roman" w:cs="Times New Roman" w:eastAsia="Times New Roman" w:hAnsi="Times New Roman"/>
                <w:sz w:val="13"/>
                <w:szCs w:val="13"/>
                <w:b w:val="1"/>
                <w:bCs w:val="1"/>
                <w:color w:val="auto"/>
              </w:rPr>
              <w:t>Holdings</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5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02"/>
        </w:trPr>
        <w:tc>
          <w:tcPr>
            <w:tcW w:w="80" w:type="dxa"/>
            <w:vAlign w:val="bottom"/>
            <w:tcBorders>
              <w:top w:val="single" w:sz="8" w:color="auto"/>
            </w:tcBorders>
          </w:tcPr>
          <w:p>
            <w:pPr>
              <w:spacing w:after="0"/>
              <w:rPr>
                <w:sz w:val="8"/>
                <w:szCs w:val="8"/>
                <w:color w:val="auto"/>
              </w:rPr>
            </w:pPr>
          </w:p>
        </w:tc>
        <w:tc>
          <w:tcPr>
            <w:tcW w:w="2140" w:type="dxa"/>
            <w:vAlign w:val="bottom"/>
            <w:tcBorders>
              <w:top w:val="single" w:sz="8" w:color="auto"/>
            </w:tcBorders>
            <w:gridSpan w:val="4"/>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rPr>
              <w:t>(Dollars in millions, except par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rPr>
                <w:sz w:val="11"/>
                <w:szCs w:val="11"/>
                <w:color w:val="auto"/>
              </w:rPr>
            </w:pPr>
          </w:p>
        </w:tc>
        <w:tc>
          <w:tcPr>
            <w:tcW w:w="2160" w:type="dxa"/>
            <w:vAlign w:val="bottom"/>
            <w:gridSpan w:val="5"/>
          </w:tcPr>
          <w:p>
            <w:pPr>
              <w:jc w:val="center"/>
              <w:ind w:right="100"/>
              <w:spacing w:after="0" w:line="132" w:lineRule="exact"/>
              <w:rPr>
                <w:sz w:val="20"/>
                <w:szCs w:val="20"/>
                <w:color w:val="auto"/>
              </w:rPr>
            </w:pPr>
            <w:r>
              <w:rPr>
                <w:rFonts w:ascii="Times New Roman" w:cs="Times New Roman" w:eastAsia="Times New Roman" w:hAnsi="Times New Roman"/>
                <w:sz w:val="13"/>
                <w:szCs w:val="13"/>
                <w:b w:val="1"/>
                <w:bCs w:val="1"/>
                <w:color w:val="auto"/>
                <w:w w:val="98"/>
              </w:rPr>
              <w:t>value, unit, and share</w:t>
            </w:r>
          </w:p>
        </w:tc>
        <w:tc>
          <w:tcPr>
            <w:tcW w:w="0" w:type="dxa"/>
            <w:vAlign w:val="bottom"/>
          </w:tcPr>
          <w:p>
            <w:pPr>
              <w:spacing w:after="0"/>
              <w:rPr>
                <w:sz w:val="1"/>
                <w:szCs w:val="1"/>
                <w:color w:val="auto"/>
              </w:rPr>
            </w:pPr>
          </w:p>
        </w:tc>
      </w:tr>
      <w:tr>
        <w:trPr>
          <w:trHeight w:val="154"/>
        </w:trPr>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center"/>
              <w:ind w:left="71"/>
              <w:spacing w:after="0"/>
              <w:rPr>
                <w:sz w:val="20"/>
                <w:szCs w:val="20"/>
                <w:color w:val="auto"/>
              </w:rPr>
            </w:pPr>
            <w:r>
              <w:rPr>
                <w:rFonts w:ascii="Times New Roman" w:cs="Times New Roman" w:eastAsia="Times New Roman" w:hAnsi="Times New Roman"/>
                <w:sz w:val="13"/>
                <w:szCs w:val="13"/>
                <w:b w:val="1"/>
                <w:bCs w:val="1"/>
                <w:color w:val="auto"/>
                <w:w w:val="96"/>
              </w:rPr>
              <w:t>amounts)</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4,294</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1,500</w:t>
            </w:r>
          </w:p>
        </w:tc>
        <w:tc>
          <w:tcPr>
            <w:tcW w:w="0" w:type="dxa"/>
            <w:vAlign w:val="bottom"/>
          </w:tcPr>
          <w:p>
            <w:pPr>
              <w:spacing w:after="0"/>
              <w:rPr>
                <w:sz w:val="1"/>
                <w:szCs w:val="1"/>
                <w:color w:val="auto"/>
              </w:rPr>
            </w:pPr>
          </w:p>
        </w:tc>
      </w:tr>
      <w:tr>
        <w:trPr>
          <w:trHeight w:val="200"/>
        </w:trPr>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0"/>
        </w:trPr>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16,524</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2">
            <w:col w:w="7520" w:space="720"/>
            <w:col w:w="2260"/>
          </w:cols>
          <w:pgMar w:left="320" w:top="420" w:right="107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5"/>
          <w:szCs w:val="15"/>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ectPr>
          <w:pgSz w:w="11900" w:h="16838" w:orient="portrait"/>
          <w:cols w:equalWidth="0" w:num="1">
            <w:col w:w="10500"/>
          </w:cols>
          <w:pgMar w:left="320" w:top="420"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20" w:right="20" w:hanging="159"/>
        <w:spacing w:after="0" w:line="257" w:lineRule="auto"/>
        <w:rPr>
          <w:sz w:val="20"/>
          <w:szCs w:val="20"/>
          <w:color w:val="auto"/>
        </w:rPr>
      </w:pPr>
      <w:r>
        <w:rPr>
          <w:rFonts w:ascii="Times New Roman" w:cs="Times New Roman" w:eastAsia="Times New Roman" w:hAnsi="Times New Roman"/>
          <w:sz w:val="16"/>
          <w:szCs w:val="16"/>
          <w:color w:val="auto"/>
        </w:rPr>
        <w:t>Class A common stock, par value $0.0001 per share, 100,000 shares authorized and no shares issued and outstanding, actual; and 50,000,000,000 shares authorized and 799,799,804 shares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-364490</wp:posOffset>
            </wp:positionV>
            <wp:extent cx="6205220" cy="365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05220" cy="365125"/>
                    </a:xfrm>
                    <a:prstGeom prst="rect">
                      <a:avLst/>
                    </a:prstGeom>
                    <a:noFill/>
                  </pic:spPr>
                </pic:pic>
              </a:graphicData>
            </a:graphic>
          </wp:anchor>
        </w:drawing>
      </w:r>
    </w:p>
    <w:p>
      <w:pPr>
        <w:ind w:left="1220" w:hanging="159"/>
        <w:spacing w:after="0" w:line="249" w:lineRule="auto"/>
        <w:rPr>
          <w:sz w:val="20"/>
          <w:szCs w:val="20"/>
          <w:color w:val="auto"/>
        </w:rPr>
      </w:pPr>
      <w:r>
        <w:rPr>
          <w:rFonts w:ascii="Times New Roman" w:cs="Times New Roman" w:eastAsia="Times New Roman" w:hAnsi="Times New Roman"/>
          <w:sz w:val="16"/>
          <w:szCs w:val="16"/>
          <w:color w:val="auto"/>
        </w:rPr>
        <w:t>Class B common stock, par value $0.0001 per share, 100,000 shares authorized and 10,000 shares issued and outstanding, actual; and 50,000,000,000 shares authorized and 513,917,418 shares issued and outstanding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205220" cy="121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5080</wp:posOffset>
            </wp:positionV>
            <wp:extent cx="6205220" cy="1219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05220" cy="12192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0048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jc w:val="center"/>
        <w:ind w:right="80"/>
        <w:spacing w:after="0" w:line="237" w:lineRule="auto"/>
        <w:rPr>
          <w:sz w:val="20"/>
          <w:szCs w:val="20"/>
          <w:color w:val="auto"/>
        </w:rPr>
      </w:pPr>
      <w:r>
        <w:rPr>
          <w:rFonts w:ascii="Times New Roman" w:cs="Times New Roman" w:eastAsia="Times New Roman" w:hAnsi="Times New Roman"/>
          <w:sz w:val="13"/>
          <w:szCs w:val="13"/>
          <w:b w:val="1"/>
          <w:bCs w:val="1"/>
          <w:color w:val="auto"/>
        </w:rPr>
        <w:t>Unaudited</w:t>
      </w:r>
    </w:p>
    <w:tbl>
      <w:tblPr>
        <w:tblLayout w:type="fixed"/>
        <w:tblInd w:w="0" w:type="dxa"/>
        <w:tblCellMar>
          <w:top w:w="0" w:type="dxa"/>
          <w:left w:w="0" w:type="dxa"/>
          <w:bottom w:w="0" w:type="dxa"/>
          <w:right w:w="0" w:type="dxa"/>
        </w:tblCellMar>
      </w:tblPr>
      <w:tr>
        <w:trPr>
          <w:trHeight w:val="102"/>
        </w:trPr>
        <w:tc>
          <w:tcPr>
            <w:tcW w:w="920" w:type="dxa"/>
            <w:vAlign w:val="bottom"/>
            <w:tcBorders>
              <w:top w:val="single" w:sz="8" w:color="auto"/>
            </w:tcBorders>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Medline</w:t>
            </w:r>
          </w:p>
        </w:tc>
        <w:tc>
          <w:tcPr>
            <w:tcW w:w="1140" w:type="dxa"/>
            <w:vAlign w:val="bottom"/>
            <w:tcBorders>
              <w:top w:val="single" w:sz="8" w:color="auto"/>
            </w:tcBorders>
            <w:vMerge w:val="restart"/>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9"/>
              </w:rPr>
              <w:t>Medline Inc.</w:t>
            </w:r>
          </w:p>
        </w:tc>
        <w:tc>
          <w:tcPr>
            <w:tcW w:w="0" w:type="dxa"/>
            <w:vAlign w:val="bottom"/>
          </w:tcPr>
          <w:p>
            <w:pPr>
              <w:spacing w:after="0"/>
              <w:rPr>
                <w:sz w:val="1"/>
                <w:szCs w:val="1"/>
                <w:color w:val="auto"/>
              </w:rPr>
            </w:pPr>
          </w:p>
        </w:tc>
      </w:tr>
      <w:tr>
        <w:trPr>
          <w:trHeight w:val="132"/>
        </w:trPr>
        <w:tc>
          <w:tcPr>
            <w:tcW w:w="920" w:type="dxa"/>
            <w:vAlign w:val="bottom"/>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rPr>
              <w:t>Holdings</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20" w:type="dxa"/>
            <w:vAlign w:val="bottom"/>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1140" w:type="dxa"/>
            <w:vAlign w:val="bottom"/>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wp:posOffset>
            </wp:positionV>
            <wp:extent cx="13004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00480" cy="7620"/>
                    </a:xfrm>
                    <a:prstGeom prst="rect">
                      <a:avLst/>
                    </a:prstGeom>
                    <a:noFill/>
                  </pic:spPr>
                </pic:pic>
              </a:graphicData>
            </a:graphic>
          </wp:anchor>
        </w:drawing>
      </w:r>
    </w:p>
    <w:p>
      <w:pPr>
        <w:jc w:val="center"/>
        <w:ind w:left="200" w:right="80"/>
        <w:spacing w:after="0" w:line="222" w:lineRule="auto"/>
        <w:rPr>
          <w:sz w:val="20"/>
          <w:szCs w:val="20"/>
          <w:color w:val="auto"/>
        </w:rPr>
      </w:pPr>
      <w:r>
        <w:rPr>
          <w:rFonts w:ascii="Times New Roman" w:cs="Times New Roman" w:eastAsia="Times New Roman" w:hAnsi="Times New Roman"/>
          <w:sz w:val="13"/>
          <w:szCs w:val="13"/>
          <w:b w:val="1"/>
          <w:bCs w:val="1"/>
          <w:color w:val="auto"/>
        </w:rPr>
        <w:t>(Dollars in millions, except par value, unit, and share amounts)</w:t>
      </w:r>
    </w:p>
    <w:p>
      <w:pPr>
        <w:spacing w:after="0" w:line="353" w:lineRule="exact"/>
        <w:rPr>
          <w:sz w:val="20"/>
          <w:szCs w:val="20"/>
          <w:color w:val="auto"/>
        </w:rPr>
      </w:pPr>
    </w:p>
    <w:p>
      <w:pPr>
        <w:ind w:left="500"/>
        <w:spacing w:after="0"/>
        <w:tabs>
          <w:tab w:leader="none" w:pos="18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391" w:lineRule="exact"/>
        <w:rPr>
          <w:sz w:val="20"/>
          <w:szCs w:val="20"/>
          <w:color w:val="auto"/>
        </w:rPr>
      </w:pPr>
    </w:p>
    <w:p>
      <w:pPr>
        <w:ind w:left="500"/>
        <w:spacing w:after="0"/>
        <w:tabs>
          <w:tab w:leader="none" w:pos="188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—10,346</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(23)</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—8,919</w:t>
      </w:r>
    </w:p>
    <w:p>
      <w:pPr>
        <w:spacing w:after="0" w:line="8" w:lineRule="exact"/>
        <w:rPr>
          <w:sz w:val="20"/>
          <w:szCs w:val="20"/>
          <w:color w:val="auto"/>
        </w:rPr>
      </w:pPr>
    </w:p>
    <w:p>
      <w:pPr>
        <w:sectPr>
          <w:pgSz w:w="11900" w:h="16838" w:orient="portrait"/>
          <w:cols w:equalWidth="0" w:num="2">
            <w:col w:w="7760" w:space="600"/>
            <w:col w:w="2140"/>
          </w:cols>
          <w:pgMar w:left="320" w:top="420" w:right="1079" w:bottom="1440" w:gutter="0" w:footer="0" w:header="0"/>
          <w:type w:val="continuous"/>
        </w:sectPr>
      </w:pPr>
    </w:p>
    <w:tbl>
      <w:tblPr>
        <w:tblLayout w:type="fixed"/>
        <w:tblInd w:w="740" w:type="dxa"/>
        <w:tblCellMar>
          <w:top w:w="0" w:type="dxa"/>
          <w:left w:w="0" w:type="dxa"/>
          <w:bottom w:w="0" w:type="dxa"/>
          <w:right w:w="0" w:type="dxa"/>
        </w:tblCellMar>
      </w:tblPr>
      <w:tr>
        <w:trPr>
          <w:trHeight w:val="199"/>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partners’ capital/shareholders’ equity</w:t>
            </w:r>
          </w:p>
        </w:tc>
        <w:tc>
          <w:tcPr>
            <w:tcW w:w="24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16,774</w:t>
            </w:r>
          </w:p>
        </w:tc>
        <w:tc>
          <w:tcPr>
            <w:tcW w:w="5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19,273</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capitalization</w:t>
            </w:r>
          </w:p>
        </w:tc>
        <w:tc>
          <w:tcPr>
            <w:tcW w:w="3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33,944</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32,067</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36" w:lineRule="exact"/>
        <w:rPr>
          <w:sz w:val="20"/>
          <w:szCs w:val="20"/>
          <w:color w:val="auto"/>
        </w:rPr>
      </w:pPr>
    </w:p>
    <w:p>
      <w:pPr>
        <w:ind w:left="1120" w:hanging="382"/>
        <w:spacing w:after="0"/>
        <w:tabs>
          <w:tab w:leader="none" w:pos="11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July 31, 2025, the New Dollar Term Loan Facility was refinanced into the 2025 Refinancing Dollar Term Facility.</w:t>
      </w:r>
    </w:p>
    <w:p>
      <w:pPr>
        <w:ind w:left="1120" w:hanging="382"/>
        <w:spacing w:after="0" w:line="211" w:lineRule="auto"/>
        <w:tabs>
          <w:tab w:leader="none" w:pos="11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exchange rate adjustments.</w:t>
      </w:r>
    </w:p>
    <w:p>
      <w:pPr>
        <w:ind w:left="1120" w:hanging="382"/>
        <w:spacing w:after="0"/>
        <w:tabs>
          <w:tab w:leader="none" w:pos="11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unamortized discounts and deferred finance charges of $226 million as of September 27, 2025 and $162 million on a pro forma basis.</w:t>
      </w:r>
    </w:p>
    <w:p>
      <w:pPr>
        <w:spacing w:after="0" w:line="1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85</w:t>
      </w:r>
    </w:p>
    <w:p>
      <w:pPr>
        <w:sectPr>
          <w:pgSz w:w="11900" w:h="16838" w:orient="portrait"/>
          <w:cols w:equalWidth="0" w:num="1">
            <w:col w:w="10500"/>
          </w:cols>
          <w:pgMar w:left="320" w:top="420" w:right="107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DILUTION</w:t>
      </w:r>
    </w:p>
    <w:p>
      <w:pPr>
        <w:spacing w:after="0" w:line="201" w:lineRule="exact"/>
        <w:rPr>
          <w:sz w:val="20"/>
          <w:szCs w:val="20"/>
          <w:color w:val="auto"/>
        </w:rPr>
      </w:pPr>
    </w:p>
    <w:p>
      <w:pPr>
        <w:ind w:left="740" w:right="160" w:firstLine="391"/>
        <w:spacing w:after="0" w:line="260" w:lineRule="auto"/>
        <w:rPr>
          <w:sz w:val="20"/>
          <w:szCs w:val="20"/>
          <w:color w:val="auto"/>
        </w:rPr>
      </w:pPr>
      <w:r>
        <w:rPr>
          <w:rFonts w:ascii="Times New Roman" w:cs="Times New Roman" w:eastAsia="Times New Roman" w:hAnsi="Times New Roman"/>
          <w:sz w:val="16"/>
          <w:szCs w:val="16"/>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61"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Our pro forma net tangible book deficit as of September 27, 2025 was approximately $7,967 million, or $7.26 per share of Class A common stock. Pro forma net tangible book deficit represents the amount of total tangible assets less total liabilities, and pro forma net tangible book deficit per share of Class A common stock represents pro forma net tangible book deficit divided by the number of shares of Class A common stock outstanding, after giving effect to the Reorganization Transactions and assuming that all of the Continuing Common Unitholders in Medline Holdings (other than Medline Inc.) exchanged their Common Units for newly issued shares of Class A common stock on a one-for-one basis.</w:t>
      </w:r>
    </w:p>
    <w:p>
      <w:pPr>
        <w:spacing w:after="0" w:line="165" w:lineRule="exact"/>
        <w:rPr>
          <w:sz w:val="20"/>
          <w:szCs w:val="20"/>
          <w:color w:val="auto"/>
        </w:rPr>
      </w:pPr>
    </w:p>
    <w:p>
      <w:pPr>
        <w:ind w:left="740" w:right="120" w:firstLine="391"/>
        <w:spacing w:after="0" w:line="279" w:lineRule="auto"/>
        <w:rPr>
          <w:sz w:val="20"/>
          <w:szCs w:val="20"/>
          <w:color w:val="auto"/>
        </w:rPr>
      </w:pPr>
      <w:r>
        <w:rPr>
          <w:rFonts w:ascii="Times New Roman" w:cs="Times New Roman" w:eastAsia="Times New Roman" w:hAnsi="Times New Roman"/>
          <w:sz w:val="15"/>
          <w:szCs w:val="15"/>
          <w:color w:val="auto"/>
        </w:rPr>
        <w:t>After giving effect to the transactions described under “Unaudited Pro Forma Condensed Consolidated Financial Information,” including the application of the proceeds from this offering as described in “Use of Proceeds,” after deducting the underwriting discounts and commissions and estimated offering expenses payable by us, our pro forma net tangible book deficit as of September 27, 2025 would have been $3,012 million, or $2.29 per share of Class A common stock. This represents an immediate decrease in net tangible book deficit of $4.97 per share of Class A common stock to our pre-IPO owners and an immediate dilution in net tangible book deficit of $31.29 per share of Class A common stock to investors in this offering.</w:t>
      </w:r>
    </w:p>
    <w:p>
      <w:pPr>
        <w:spacing w:after="0" w:line="14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illustrates this dilution on a per share of Class A common stock basis assuming the underwriters do not exercise their option to purchase additional shares of Class A common stock:</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Initial public offering price per share of Class A common stock</w:t>
            </w:r>
          </w:p>
        </w:tc>
        <w:tc>
          <w:tcPr>
            <w:tcW w:w="1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4"/>
              </w:rPr>
              <w:t>29.00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tangible book deficit per share of Class A common stock as of September 27, 2025</w:t>
            </w:r>
          </w:p>
        </w:tc>
        <w:tc>
          <w:tcPr>
            <w:tcW w:w="116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$ 7.26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3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Decrease in pro forma net tangible book deficit per share of Class A common stock attributable to investors in</w:t>
            </w: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this offering</w:t>
            </w:r>
          </w:p>
        </w:tc>
        <w:tc>
          <w:tcPr>
            <w:tcW w:w="11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(4.97)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 forma net tangible book deficit per share of Class A common stock after the offering</w:t>
            </w: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in pro forma net tangible book deficit per share of Class A common stock to investors in this offering</w:t>
            </w:r>
          </w:p>
        </w:tc>
        <w:tc>
          <w:tcPr>
            <w:tcW w:w="1160" w:type="dxa"/>
            <w:vAlign w:val="bottom"/>
            <w:gridSpan w:val="3"/>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4"/>
              </w:rPr>
              <w:t>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Because the Continuing Common Unitholders will own direct economic interests in Medline Holdings that are not represented with economic interests in Medline Inc., we have presented dilution in pro forma net tangible book deficit per share of Class A common stock to investors in this offering assuming that all of the holders of Common Units in Medline Holdings (other than Medline Inc.) exchanged their Common Units for newly issued shares of Class A common stock on a one-for-one basis in order to more meaningfully present the dilutive impact on the investors in this offering. The above table does not reflect any shares of Class A common stock that would be issuable following the conversion of any vested Incentive Units into Common Units.</w:t>
      </w:r>
    </w:p>
    <w:p>
      <w:pPr>
        <w:spacing w:after="0" w:line="10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86</w:t>
      </w:r>
    </w:p>
    <w:p>
      <w:pPr>
        <w:sectPr>
          <w:pgSz w:w="11900" w:h="16838" w:orient="portrait"/>
          <w:cols w:equalWidth="0" w:num="1">
            <w:col w:w="10500"/>
          </w:cols>
          <w:pgMar w:left="320" w:top="420" w:right="10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color w:val="auto"/>
        </w:rPr>
        <w:t>The following table summarizes, on the same pro forma basis as of September 27, 2025,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Continuing Common Unitholders in Medline Holdings (other than Medline Inc.) exchanged their Common Units for newly issued shares of our Class A common stock on a one-for-one basis. The following table does not reflect any shares of Class A common stock that would be issuable following the conversion of any vested Incentive Units into Common Units.</w:t>
      </w:r>
    </w:p>
    <w:p>
      <w:pPr>
        <w:spacing w:after="0" w:line="17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460" w:type="dxa"/>
            <w:vAlign w:val="bottom"/>
            <w:gridSpan w:val="4"/>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7"/>
              </w:rPr>
              <w:t>Shares of Class A common</w:t>
            </w:r>
          </w:p>
        </w:tc>
        <w:tc>
          <w:tcPr>
            <w:tcW w:w="80" w:type="dxa"/>
            <w:vAlign w:val="bottom"/>
          </w:tcPr>
          <w:p>
            <w:pPr>
              <w:spacing w:after="0"/>
              <w:rPr>
                <w:sz w:val="12"/>
                <w:szCs w:val="12"/>
                <w:color w:val="auto"/>
              </w:rPr>
            </w:pP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540" w:type="dxa"/>
            <w:vAlign w:val="bottom"/>
            <w:vMerge w:val="restart"/>
          </w:tcPr>
          <w:p>
            <w:pPr>
              <w:spacing w:after="0"/>
              <w:rPr>
                <w:sz w:val="12"/>
                <w:szCs w:val="1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Average Price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920" w:type="dxa"/>
            <w:vAlign w:val="bottom"/>
            <w:tcBorders>
              <w:bottom w:val="single" w:sz="8" w:color="auto"/>
            </w:tcBorders>
            <w:gridSpan w:val="3"/>
          </w:tcPr>
          <w:p>
            <w:pPr>
              <w:jc w:val="center"/>
              <w:spacing w:after="0" w:line="144" w:lineRule="exact"/>
              <w:rPr>
                <w:sz w:val="20"/>
                <w:szCs w:val="20"/>
                <w:color w:val="auto"/>
              </w:rPr>
            </w:pPr>
            <w:r>
              <w:rPr>
                <w:rFonts w:ascii="Times New Roman" w:cs="Times New Roman" w:eastAsia="Times New Roman" w:hAnsi="Times New Roman"/>
                <w:sz w:val="13"/>
                <w:szCs w:val="13"/>
                <w:b w:val="1"/>
                <w:bCs w:val="1"/>
                <w:color w:val="auto"/>
                <w:w w:val="99"/>
              </w:rPr>
              <w:t>stock Purchased</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b w:val="1"/>
                <w:bCs w:val="1"/>
                <w:color w:val="auto"/>
              </w:rPr>
              <w:t>Per Share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   Number </w:t>
            </w:r>
          </w:p>
        </w:tc>
        <w:tc>
          <w:tcPr>
            <w:tcW w:w="540" w:type="dxa"/>
            <w:vAlign w:val="bottom"/>
          </w:tcPr>
          <w:p>
            <w:pPr>
              <w:jc w:val="center"/>
              <w:ind w:right="34"/>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3"/>
              </w:rPr>
              <w:t>Percent</w:t>
            </w:r>
          </w:p>
        </w:tc>
        <w:tc>
          <w:tcPr>
            <w:tcW w:w="120" w:type="dxa"/>
            <w:vAlign w:val="bottom"/>
          </w:tcPr>
          <w:p>
            <w:pPr>
              <w:spacing w:after="0"/>
              <w:rPr>
                <w:sz w:val="8"/>
                <w:szCs w:val="8"/>
                <w:color w:val="auto"/>
              </w:rPr>
            </w:pPr>
          </w:p>
        </w:tc>
        <w:tc>
          <w:tcPr>
            <w:tcW w:w="700" w:type="dxa"/>
            <w:vAlign w:val="bottom"/>
            <w:gridSpan w:val="2"/>
          </w:tcPr>
          <w:p>
            <w:pPr>
              <w:jc w:val="right"/>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8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b w:val="1"/>
                <w:bCs w:val="1"/>
                <w:color w:val="auto"/>
                <w:w w:val="79"/>
              </w:rPr>
              <w:t>Percent </w:t>
            </w: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w w:val="95"/>
              </w:rPr>
              <w:t>(in millions)</w:t>
            </w:r>
          </w:p>
        </w:tc>
        <w:tc>
          <w:tcPr>
            <w:tcW w:w="38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Pre-IPO owners</w:t>
            </w:r>
          </w:p>
        </w:tc>
        <w:tc>
          <w:tcPr>
            <w:tcW w:w="13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1,097,682,740</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83.6%</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17,141</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Investors in this offering</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216,034,482</w:t>
            </w:r>
          </w:p>
        </w:tc>
        <w:tc>
          <w:tcPr>
            <w:tcW w:w="40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16.4%</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6,265</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1,313,717,222</w:t>
            </w:r>
          </w:p>
        </w:tc>
        <w:tc>
          <w:tcPr>
            <w:tcW w:w="4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23,406</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hanging="382"/>
        <w:spacing w:after="0"/>
        <w:tabs>
          <w:tab w:leader="none" w:pos="11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consideration paid by our pre-IPO owners has not been adjusted for returns on such consideration arising from distributions.</w:t>
      </w:r>
    </w:p>
    <w:p>
      <w:pPr>
        <w:spacing w:after="0" w:line="177"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If the underwriters’ option to purchase additional shares is exercised in full, the number of shares held by new investors will be increased to 248,439,654, or approximately 18.9% of the total number of shares of Class A common stock, assuming that all of the Continuing Common Unitholders in Medline Holdings (other than Medline Inc.) exchanged their Common Units for newly issued shares of our Class A common stock on a one-for-one basis.</w:t>
      </w:r>
    </w:p>
    <w:p>
      <w:pPr>
        <w:spacing w:after="0" w:line="161"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In addition, subject to certain limitations and exceptions, the Continuing Incentive Unitholders, which will hold 42,197,933 Incentive Units, which have a weighted-average per unit participation threshold of $16.57 per Incentive Unit, will be able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At the time of this offering 18,084,823 shares of Class A common stock would be issuable upon the exchange of an equivalent number of Common Units into which Incentive Units that are held by the Continuing Incentive Unitholders may be converted (assuming such Incentive Units are fully vested and converted to Common Units).</w:t>
      </w:r>
    </w:p>
    <w:p>
      <w:pPr>
        <w:spacing w:after="0" w:line="1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87</w:t>
      </w:r>
    </w:p>
    <w:p>
      <w:pPr>
        <w:sectPr>
          <w:pgSz w:w="11900" w:h="16838" w:orient="portrait"/>
          <w:cols w:equalWidth="0" w:num="1">
            <w:col w:w="10500"/>
          </w:cols>
          <w:pgMar w:left="320" w:top="420" w:right="10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FINANCIAL INFORMATION</w:t>
      </w:r>
    </w:p>
    <w:p>
      <w:pPr>
        <w:spacing w:after="0" w:line="20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Medline Inc. was formed on November 6, 2024. Medline Inc. currently has no assets or liabilities and has conducted no operations to date other than in connection with its incorporation and this offering. The following unaudited pro forma condensed consolidated financial information reflects the impact of the Transactions (as defined herein).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Following the completion of the Transactions, Medline Inc. will be a holding company and its sole material assets will consist of</w:t>
      </w:r>
    </w:p>
    <w:p>
      <w:pPr>
        <w:spacing w:after="0" w:line="3" w:lineRule="exact"/>
        <w:rPr>
          <w:sz w:val="20"/>
          <w:szCs w:val="20"/>
          <w:color w:val="auto"/>
        </w:rPr>
      </w:pPr>
    </w:p>
    <w:p>
      <w:pPr>
        <w:ind w:left="740" w:right="120"/>
        <w:spacing w:after="0" w:line="252" w:lineRule="auto"/>
        <w:rPr>
          <w:sz w:val="20"/>
          <w:szCs w:val="20"/>
          <w:color w:val="auto"/>
        </w:rPr>
      </w:pPr>
      <w:r>
        <w:rPr>
          <w:rFonts w:ascii="Times New Roman" w:cs="Times New Roman" w:eastAsia="Times New Roman" w:hAnsi="Times New Roman"/>
          <w:sz w:val="16"/>
          <w:szCs w:val="16"/>
          <w:color w:val="auto"/>
        </w:rPr>
        <w:t>60.9% of the outstanding Common Units, which it will hold directly or indirectly through wholly owned subsidiaries and will acquire as described in “Organizational Structure—Offering Transactions.” The remaining Common Units will be held by the Continuing Common Unitholders. Medline Inc. will be the sole general partner of Medline Holdings. As the general partner of Medline Holdings, Medline Inc. will operate and control all of the business and affairs of Medline Holdings and its direct and indirect subsidiaries, and, through Medline Holdings, LP and its direct and indirect subsidiaries, conduct its business.</w:t>
      </w:r>
    </w:p>
    <w:p>
      <w:pPr>
        <w:spacing w:after="0" w:line="167"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The unaudited pro forma condensed consolidated balance sheet as of September 27, 2025 and the unaudited pro forma condensed consolidated statements of income for the nine months ended September 27, 2025 and for the year ended December 31, 2024 present our consolidated financial position and results of operations after giving effect to the following transactions (collectively, the “Transactions”):</w:t>
      </w:r>
    </w:p>
    <w:p>
      <w:pPr>
        <w:spacing w:after="0" w:line="73" w:lineRule="exact"/>
        <w:rPr>
          <w:sz w:val="20"/>
          <w:szCs w:val="20"/>
          <w:color w:val="auto"/>
        </w:rPr>
      </w:pPr>
    </w:p>
    <w:p>
      <w:pPr>
        <w:ind w:left="1600" w:hanging="383"/>
        <w:spacing w:after="0"/>
        <w:tabs>
          <w:tab w:leader="none" w:pos="1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Reorganization Transactions, as described and defined under “Organizational Structure”; and</w:t>
      </w:r>
    </w:p>
    <w:p>
      <w:pPr>
        <w:spacing w:after="0" w:line="115" w:lineRule="exact"/>
        <w:rPr>
          <w:rFonts w:ascii="Times New Roman" w:cs="Times New Roman" w:eastAsia="Times New Roman" w:hAnsi="Times New Roman"/>
          <w:sz w:val="16"/>
          <w:szCs w:val="16"/>
          <w:color w:val="auto"/>
        </w:rPr>
      </w:pPr>
    </w:p>
    <w:p>
      <w:pPr>
        <w:ind w:left="1600" w:right="180" w:hanging="383"/>
        <w:spacing w:after="0" w:line="265" w:lineRule="auto"/>
        <w:tabs>
          <w:tab w:leader="none" w:pos="16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by us of shares of Class A common stock pursuant to this offering and the application of the proceeds from this offering as described in “Use of Proceeds,” based on the initial public offering price of $29.00 per share, after deducting the underwriting discounts and commissions and estimated offering expenses payable by us in connection with this offering.</w:t>
      </w:r>
    </w:p>
    <w:p>
      <w:pPr>
        <w:spacing w:after="0" w:line="157"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44" w:lineRule="exact"/>
        <w:rPr>
          <w:sz w:val="20"/>
          <w:szCs w:val="20"/>
          <w:color w:val="auto"/>
        </w:rPr>
      </w:pPr>
    </w:p>
    <w:p>
      <w:pPr>
        <w:ind w:left="740" w:right="80" w:firstLine="391"/>
        <w:spacing w:after="0" w:line="283" w:lineRule="auto"/>
        <w:rPr>
          <w:sz w:val="20"/>
          <w:szCs w:val="20"/>
          <w:color w:val="auto"/>
        </w:rPr>
      </w:pPr>
      <w:r>
        <w:rPr>
          <w:rFonts w:ascii="Times New Roman" w:cs="Times New Roman" w:eastAsia="Times New Roman" w:hAnsi="Times New Roman"/>
          <w:sz w:val="15"/>
          <w:szCs w:val="15"/>
          <w:color w:val="auto"/>
        </w:rPr>
        <w:t>The following unaudited pro forma condensed consolidated financial information is derived from the historical consolidated financial statements of Medline Holdings. The unaudited pro forma condensed consolidated balance sheet as of September 27, 2025 gives effect to the Transactions as if they had occurred on September 27, 2025. The unaudited condensed pro forma consolidated statements of income for the nine months ended September 27, 2025 and the year ended December 31, 2024 gives pro forma effect to the Transactions as if they had occurred on January 1, 2024.</w:t>
      </w:r>
    </w:p>
    <w:p>
      <w:pPr>
        <w:spacing w:after="0" w:line="144"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was prepared in accordance with Article 11 of Regulation S-X, using the assumptions set forth in the notes to the unaudited pro forma condensed consolidated financial information. The unaudited pro forma condensed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61"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For purposes of the unaudited pro forma condensed consolidated financial information, we have assumed that shares of Class A common stock will be issued by us at the initial public offering price, the ownership percentage represented by Common Units not held by Medline Inc. will be 39.1%, and net earnings attributable to Common Units and participating Incentive Units not held indirectly by Medline Inc. will accordingly represent 40.3% of our net earnings. If the underwriters’ option to purchase additional shares is exercised in full, the ownership percentage represented by Common Units not held by Medline Inc. will be 38.2% and net earnings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88</w:t>
      </w:r>
    </w:p>
    <w:p>
      <w:pPr>
        <w:sectPr>
          <w:pgSz w:w="11900" w:h="16838" w:orient="portrait"/>
          <w:cols w:equalWidth="0" w:num="1">
            <w:col w:w="10460"/>
          </w:cols>
          <w:pgMar w:left="320" w:top="420" w:right="11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attributable to Common Units and participating Incentive Units not held by Medline Inc. will accordingly represent 38.8% of our net earnings.</w:t>
      </w:r>
    </w:p>
    <w:p>
      <w:pPr>
        <w:spacing w:after="0" w:line="199"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64"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61"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The unaudited pro forma condensed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89</w:t>
      </w:r>
    </w:p>
    <w:p>
      <w:pPr>
        <w:sectPr>
          <w:pgSz w:w="11900" w:h="16838" w:orient="portrait"/>
          <w:cols w:equalWidth="0" w:num="1">
            <w:col w:w="10500"/>
          </w:cols>
          <w:pgMar w:left="320" w:top="420" w:right="10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2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BALANCE SHEET</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As of September 27, 2025</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Medline</w:t>
            </w:r>
          </w:p>
        </w:tc>
        <w:tc>
          <w:tcPr>
            <w:tcW w:w="6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8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Reorganization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420" w:type="dxa"/>
            <w:vAlign w:val="bottom"/>
          </w:tcPr>
          <w:p>
            <w:pPr>
              <w:spacing w:after="0"/>
              <w:rPr>
                <w:sz w:val="11"/>
                <w:szCs w:val="11"/>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74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Holdings</w:t>
            </w:r>
          </w:p>
        </w:tc>
        <w:tc>
          <w:tcPr>
            <w:tcW w:w="60" w:type="dxa"/>
            <w:vAlign w:val="bottom"/>
          </w:tcPr>
          <w:p>
            <w:pPr>
              <w:spacing w:after="0"/>
              <w:rPr>
                <w:sz w:val="11"/>
                <w:szCs w:val="11"/>
                <w:color w:val="auto"/>
              </w:rPr>
            </w:pPr>
          </w:p>
        </w:tc>
        <w:tc>
          <w:tcPr>
            <w:tcW w:w="9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6"/>
              </w:rPr>
              <w:t>Transactions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Transactions</w:t>
            </w:r>
          </w:p>
        </w:tc>
        <w:tc>
          <w:tcPr>
            <w:tcW w:w="42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6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6"/>
              </w:rPr>
              <w:t>Adjustments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Borders>
              <w:top w:val="single" w:sz="8" w:color="CCEEFF"/>
            </w:tcBorders>
            <w:shd w:val="clear" w:color="auto" w:fill="CCEEFF"/>
          </w:tcPr>
          <w:p>
            <w:pPr>
              <w:spacing w:after="0" w:line="112" w:lineRule="exact"/>
              <w:rPr>
                <w:sz w:val="20"/>
                <w:szCs w:val="20"/>
                <w:color w:val="auto"/>
              </w:rPr>
            </w:pPr>
            <w:r>
              <w:rPr>
                <w:rFonts w:ascii="Times New Roman" w:cs="Times New Roman" w:eastAsia="Times New Roman" w:hAnsi="Times New Roman"/>
                <w:sz w:val="12"/>
                <w:szCs w:val="12"/>
                <w:b w:val="1"/>
                <w:bCs w:val="1"/>
                <w:color w:val="auto"/>
              </w:rPr>
              <w:t>ASSETS</w:t>
            </w: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952</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1,013</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w:t>
            </w:r>
          </w:p>
        </w:tc>
        <w:tc>
          <w:tcPr>
            <w:tcW w:w="2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1,965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Trade accounts receivable, net of allowance for credit losses of $152</w:t>
            </w:r>
          </w:p>
        </w:tc>
        <w:tc>
          <w:tcPr>
            <w:tcW w:w="12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3,425</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3,425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4,752</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4,752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429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(25)</w:t>
            </w: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(c)</w:t>
            </w: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404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3"/>
                <w:szCs w:val="13"/>
                <w:color w:val="auto"/>
              </w:rPr>
              <w:t>Total current assets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9,558</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988</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10,546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2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4,690</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4,690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non-current assets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Deferred tax asset</w:t>
            </w:r>
          </w:p>
        </w:tc>
        <w:tc>
          <w:tcPr>
            <w:tcW w:w="12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165</w:t>
            </w:r>
          </w:p>
        </w:tc>
        <w:tc>
          <w:tcPr>
            <w:tcW w:w="140" w:type="dxa"/>
            <w:vAlign w:val="bottom"/>
          </w:tcPr>
          <w:p>
            <w:pPr>
              <w:spacing w:after="0"/>
              <w:rPr>
                <w:sz w:val="11"/>
                <w:szCs w:val="11"/>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424</w:t>
            </w: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(d)</w:t>
            </w: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589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Goodwill</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8,069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8,069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Intangible assets, net</w:t>
            </w:r>
          </w:p>
        </w:tc>
        <w:tc>
          <w:tcPr>
            <w:tcW w:w="12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14,068</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14,068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Other long-term assets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498</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498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6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color w:val="auto"/>
              </w:rPr>
              <w:t>Total other non-current assets</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22,635</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165</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424</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23,224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36,883</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165</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gridSpan w:val="2"/>
            <w:shd w:val="clear" w:color="auto" w:fill="CCEEFF"/>
          </w:tcPr>
          <w:p>
            <w:pPr>
              <w:ind w:lef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1,412</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38,460</w:t>
            </w:r>
          </w:p>
        </w:tc>
        <w:tc>
          <w:tcPr>
            <w:tcW w:w="0" w:type="dxa"/>
            <w:vAlign w:val="bottom"/>
          </w:tcPr>
          <w:p>
            <w:pPr>
              <w:spacing w:after="0"/>
              <w:rPr>
                <w:sz w:val="1"/>
                <w:szCs w:val="1"/>
                <w:color w:val="auto"/>
              </w:rPr>
            </w:pPr>
          </w:p>
        </w:tc>
      </w:tr>
      <w:tr>
        <w:trPr>
          <w:trHeight w:val="114"/>
        </w:trPr>
        <w:tc>
          <w:tcPr>
            <w:tcW w:w="5580" w:type="dxa"/>
            <w:vAlign w:val="bottom"/>
            <w:gridSpan w:val="2"/>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LIABILITIES, MEZZANINE EQUITY AND PARTNERS’ CAPITAL / SHAREHOLDERS’</w:t>
            </w: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Current portion of long-term borrowings and other short-term borrowings</w:t>
            </w:r>
          </w:p>
        </w:tc>
        <w:tc>
          <w:tcPr>
            <w:tcW w:w="1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77</w:t>
            </w:r>
          </w:p>
        </w:tc>
        <w:tc>
          <w:tcPr>
            <w:tcW w:w="20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200" w:type="dxa"/>
            <w:vAlign w:val="bottom"/>
            <w:gridSpan w:val="2"/>
          </w:tcPr>
          <w:p>
            <w:pPr>
              <w:ind w:left="1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(33)</w:t>
            </w: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w:t>
            </w:r>
          </w:p>
        </w:tc>
        <w:tc>
          <w:tcPr>
            <w:tcW w:w="2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990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990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ind w:left="240"/>
              <w:spacing w:after="0" w:line="108"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12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1,514</w:t>
            </w:r>
          </w:p>
        </w:tc>
        <w:tc>
          <w:tcPr>
            <w:tcW w:w="6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w:t>
            </w:r>
          </w:p>
        </w:tc>
        <w:tc>
          <w:tcPr>
            <w:tcW w:w="42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w:t>
            </w:r>
          </w:p>
        </w:tc>
        <w:tc>
          <w:tcPr>
            <w:tcW w:w="20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w:t>
            </w:r>
          </w:p>
        </w:tc>
        <w:tc>
          <w:tcPr>
            <w:tcW w:w="2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Income taxes payable</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2,612</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(63)</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2,549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Long-term borrowings, less current portion</w:t>
            </w:r>
          </w:p>
        </w:tc>
        <w:tc>
          <w:tcPr>
            <w:tcW w:w="12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16,501</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(3,951)</w:t>
            </w: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w:t>
            </w: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12,550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TRA liability</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3,134</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325</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(d)</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Other long-term liabilities</w:t>
            </w:r>
          </w:p>
        </w:tc>
        <w:tc>
          <w:tcPr>
            <w:tcW w:w="12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629</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629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3"/>
                <w:szCs w:val="13"/>
                <w:color w:val="auto"/>
              </w:rPr>
              <w:t>Total other non-current liabilities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17,130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3,134</w:t>
            </w: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(3,626)</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16,638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56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19,742</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3,134</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(3,689)</w:t>
            </w: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19,187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Mezzanine equity</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Class A Units, no par value; 128 units issued and outstanding as of September 27, 2025</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240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(240)</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Stock-based compensation, no par value; 101 units outstanding as of September 27, 2025</w:t>
            </w:r>
          </w:p>
        </w:tc>
        <w:tc>
          <w:tcPr>
            <w:tcW w:w="12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127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(127)</w:t>
            </w:r>
          </w:p>
        </w:tc>
        <w:tc>
          <w:tcPr>
            <w:tcW w:w="3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3"/>
                <w:szCs w:val="13"/>
                <w:color w:val="auto"/>
              </w:rPr>
              <w:t>Total mezzanine equity</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367</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(367)</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Partners’ capital / Shareholders’ equity</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Class A Units, no par value, 16,723 units issued and outstanding as of September 27, 2025</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16,524</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(16,524)</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Class B Units, no par value, 734 units issued and outstanding as of September 27, 2025</w:t>
            </w:r>
          </w:p>
        </w:tc>
        <w:tc>
          <w:tcPr>
            <w:tcW w:w="12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147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(147)</w:t>
            </w:r>
          </w:p>
        </w:tc>
        <w:tc>
          <w:tcPr>
            <w:tcW w:w="3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Class B CUPI Units, no par value, 23 units issued and outstanding as of September 27, 2025</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(51)</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2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52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(24)</w:t>
            </w:r>
          </w:p>
        </w:tc>
        <w:tc>
          <w:tcPr>
            <w:tcW w:w="3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3</w:t>
            </w: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w:t>
            </w:r>
          </w:p>
        </w:tc>
        <w:tc>
          <w:tcPr>
            <w:tcW w:w="200" w:type="dxa"/>
            <w:vAlign w:val="bottom"/>
          </w:tcPr>
          <w:p>
            <w:pPr>
              <w:spacing w:after="0"/>
              <w:rPr>
                <w:sz w:val="11"/>
                <w:szCs w:val="11"/>
                <w:color w:val="auto"/>
              </w:rPr>
            </w:pPr>
          </w:p>
        </w:tc>
        <w:tc>
          <w:tcPr>
            <w:tcW w:w="5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3"/>
                <w:szCs w:val="13"/>
                <w:color w:val="auto"/>
              </w:rPr>
              <w:t>Total partners’ capital</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16,774</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(16,746)</w:t>
            </w: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3</w:t>
            </w: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tcPr>
          <w:p>
            <w:pPr>
              <w:ind w:left="240"/>
              <w:spacing w:after="0" w:line="112" w:lineRule="exact"/>
              <w:rPr>
                <w:sz w:val="20"/>
                <w:szCs w:val="20"/>
                <w:color w:val="auto"/>
              </w:rPr>
            </w:pPr>
            <w:r>
              <w:rPr>
                <w:rFonts w:ascii="Times New Roman" w:cs="Times New Roman" w:eastAsia="Times New Roman" w:hAnsi="Times New Roman"/>
                <w:sz w:val="12"/>
                <w:szCs w:val="12"/>
                <w:color w:val="auto"/>
              </w:rPr>
              <w:t>Class A common stock, par value $0.0001 per share; 800 shares issued and outstanding on a pro</w:t>
            </w:r>
          </w:p>
        </w:tc>
        <w:tc>
          <w:tcPr>
            <w:tcW w:w="12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forma basis</w:t>
            </w:r>
          </w:p>
        </w:tc>
        <w:tc>
          <w:tcPr>
            <w:tcW w:w="12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560" w:type="dxa"/>
            <w:vAlign w:val="bottom"/>
            <w:shd w:val="clear" w:color="auto" w:fill="CCEEFF"/>
          </w:tcPr>
          <w:p>
            <w:pPr>
              <w:ind w:left="240"/>
              <w:spacing w:after="0" w:line="112" w:lineRule="exact"/>
              <w:rPr>
                <w:sz w:val="20"/>
                <w:szCs w:val="20"/>
                <w:color w:val="auto"/>
              </w:rPr>
            </w:pPr>
            <w:r>
              <w:rPr>
                <w:rFonts w:ascii="Times New Roman" w:cs="Times New Roman" w:eastAsia="Times New Roman" w:hAnsi="Times New Roman"/>
                <w:sz w:val="12"/>
                <w:szCs w:val="12"/>
                <w:color w:val="auto"/>
              </w:rPr>
              <w:t>Class B common stock, par value $0.0001 per share; 514 shares issued and outstanding on a pro</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forma basis</w:t>
            </w:r>
          </w:p>
        </w:tc>
        <w:tc>
          <w:tcPr>
            <w:tcW w:w="120" w:type="dxa"/>
            <w:vAlign w:val="bottom"/>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ind w:left="240"/>
              <w:spacing w:after="0" w:line="108" w:lineRule="exact"/>
              <w:rPr>
                <w:sz w:val="20"/>
                <w:szCs w:val="20"/>
                <w:color w:val="auto"/>
              </w:rPr>
            </w:pPr>
            <w:r>
              <w:rPr>
                <w:rFonts w:ascii="Times New Roman" w:cs="Times New Roman" w:eastAsia="Times New Roman" w:hAnsi="Times New Roman"/>
                <w:sz w:val="12"/>
                <w:szCs w:val="12"/>
                <w:color w:val="auto"/>
              </w:rPr>
              <w:t>Accumulated deficit</w:t>
            </w:r>
          </w:p>
        </w:tc>
        <w:tc>
          <w:tcPr>
            <w:tcW w:w="120" w:type="dxa"/>
            <w:vAlign w:val="bottom"/>
          </w:tcPr>
          <w:p>
            <w:pPr>
              <w:spacing w:after="0"/>
              <w:rPr>
                <w:sz w:val="9"/>
                <w:szCs w:val="9"/>
                <w:color w:val="auto"/>
              </w:rPr>
            </w:pPr>
          </w:p>
        </w:tc>
        <w:tc>
          <w:tcPr>
            <w:tcW w:w="6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(23)</w:t>
            </w:r>
          </w:p>
        </w:tc>
        <w:tc>
          <w:tcPr>
            <w:tcW w:w="420" w:type="dxa"/>
            <w:vAlign w:val="bottom"/>
          </w:tcPr>
          <w:p>
            <w:pPr>
              <w:ind w:left="100"/>
              <w:spacing w:after="0" w:line="108" w:lineRule="exact"/>
              <w:rPr>
                <w:sz w:val="20"/>
                <w:szCs w:val="20"/>
                <w:color w:val="auto"/>
              </w:rPr>
            </w:pPr>
            <w:r>
              <w:rPr>
                <w:rFonts w:ascii="Times New Roman" w:cs="Times New Roman" w:eastAsia="Times New Roman" w:hAnsi="Times New Roman"/>
                <w:sz w:val="10"/>
                <w:szCs w:val="10"/>
                <w:color w:val="auto"/>
              </w:rPr>
              <w:t>(c)</w:t>
            </w:r>
          </w:p>
        </w:tc>
        <w:tc>
          <w:tcPr>
            <w:tcW w:w="200" w:type="dxa"/>
            <w:vAlign w:val="bottom"/>
          </w:tcPr>
          <w:p>
            <w:pPr>
              <w:spacing w:after="0"/>
              <w:rPr>
                <w:sz w:val="9"/>
                <w:szCs w:val="9"/>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(g)</w:t>
            </w:r>
          </w:p>
        </w:tc>
        <w:tc>
          <w:tcPr>
            <w:tcW w:w="20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2"/>
                <w:szCs w:val="12"/>
                <w:color w:val="auto"/>
              </w:rPr>
              <w:t>Additional paid-in capital</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9"/>
                <w:szCs w:val="9"/>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6,178</w:t>
            </w:r>
          </w:p>
        </w:tc>
        <w:tc>
          <w:tcPr>
            <w:tcW w:w="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4,168</w:t>
            </w:r>
          </w:p>
        </w:tc>
        <w:tc>
          <w:tcPr>
            <w:tcW w:w="42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0"/>
                <w:szCs w:val="10"/>
                <w:color w:val="auto"/>
              </w:rPr>
              <w:t>(f)</w:t>
            </w:r>
          </w:p>
        </w:tc>
        <w:tc>
          <w:tcPr>
            <w:tcW w:w="20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10,346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6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color w:val="auto"/>
              </w:rPr>
              <w:t>Total partners’ capital / shareholders’ equity attributable to Medline Holdings / Medline Inc.</w:t>
            </w:r>
            <w:r>
              <w:rPr>
                <w:rFonts w:ascii="Times New Roman" w:cs="Times New Roman" w:eastAsia="Times New Roman" w:hAnsi="Times New Roman"/>
                <w:sz w:val="9"/>
                <w:szCs w:val="9"/>
                <w:color w:val="auto"/>
              </w:rPr>
              <w:t>(1)</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16,774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(10,568)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4,148</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10,354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Noncontrolling interests</w:t>
            </w:r>
          </w:p>
        </w:tc>
        <w:tc>
          <w:tcPr>
            <w:tcW w:w="1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7,966</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(b)</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953</w:t>
            </w:r>
          </w:p>
        </w:tc>
        <w:tc>
          <w:tcPr>
            <w:tcW w:w="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(g)</w:t>
            </w:r>
          </w:p>
        </w:tc>
        <w:tc>
          <w:tcPr>
            <w:tcW w:w="2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8,919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560" w:type="dxa"/>
            <w:vAlign w:val="bottom"/>
          </w:tcPr>
          <w:p>
            <w:pPr>
              <w:ind w:left="480"/>
              <w:spacing w:after="0" w:line="136" w:lineRule="exact"/>
              <w:rPr>
                <w:sz w:val="20"/>
                <w:szCs w:val="20"/>
                <w:color w:val="auto"/>
              </w:rPr>
            </w:pPr>
            <w:r>
              <w:rPr>
                <w:rFonts w:ascii="Times New Roman" w:cs="Times New Roman" w:eastAsia="Times New Roman" w:hAnsi="Times New Roman"/>
                <w:sz w:val="13"/>
                <w:szCs w:val="13"/>
                <w:color w:val="auto"/>
              </w:rPr>
              <w:t>Total partners’ capital / shareholders’ equity</w:t>
            </w: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16,774</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(2,602)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5,101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19,273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mezzanine equity and partners’ capital / shareholders’ equity</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36,883</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1,412</w:t>
            </w:r>
          </w:p>
        </w:tc>
        <w:tc>
          <w:tcPr>
            <w:tcW w:w="4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right="400" w:hanging="382"/>
        <w:spacing w:after="0" w:line="238" w:lineRule="auto"/>
        <w:tabs>
          <w:tab w:leader="none" w:pos="112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historical amounts, represents total partners’ capital attributable to Medline Holdings. For Pro Forma amounts, represents total partners’/shareholders’ equity attributable to Medline Inc.</w:t>
      </w:r>
    </w:p>
    <w:p>
      <w:pPr>
        <w:spacing w:after="0" w:line="1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90</w:t>
      </w:r>
    </w:p>
    <w:p>
      <w:pPr>
        <w:sectPr>
          <w:pgSz w:w="11900" w:h="16838" w:orient="portrait"/>
          <w:cols w:equalWidth="0" w:num="1">
            <w:col w:w="10500"/>
          </w:cols>
          <w:pgMar w:left="320" w:top="420" w:right="10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2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UNAUDITED PRO FORMA CONDENSED CONSOLIDATED STATEMENT OF INCOME</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27, 2025</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Medline</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Pro Forma</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1000" w:type="dxa"/>
            <w:vAlign w:val="bottom"/>
            <w:gridSpan w:val="3"/>
          </w:tcPr>
          <w:p>
            <w:pPr>
              <w:jc w:val="center"/>
              <w:ind w:right="160"/>
              <w:spacing w:after="0" w:line="132" w:lineRule="exact"/>
              <w:rPr>
                <w:sz w:val="20"/>
                <w:szCs w:val="20"/>
                <w:color w:val="auto"/>
              </w:rPr>
            </w:pPr>
            <w:r>
              <w:rPr>
                <w:rFonts w:ascii="Times New Roman" w:cs="Times New Roman" w:eastAsia="Times New Roman" w:hAnsi="Times New Roman"/>
                <w:sz w:val="13"/>
                <w:szCs w:val="13"/>
                <w:b w:val="1"/>
                <w:bCs w:val="1"/>
                <w:color w:val="auto"/>
                <w:w w:val="98"/>
              </w:rPr>
              <w:t>Reorganization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80"/>
              <w:spacing w:after="0" w:line="13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3"/>
          </w:tcPr>
          <w:p>
            <w:pPr>
              <w:jc w:val="center"/>
              <w:ind w:right="2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Holdings</w:t>
            </w:r>
          </w:p>
        </w:tc>
        <w:tc>
          <w:tcPr>
            <w:tcW w:w="100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Transactions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Transactions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Historical</w:t>
            </w: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20,645</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15,041</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15,041</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5,604</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5,604</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3,259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(k)</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3,276</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1,770</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198</w:t>
            </w:r>
          </w:p>
        </w:tc>
        <w:tc>
          <w:tcPr>
            <w:tcW w:w="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exchange loss, net</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1,042</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181</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1,223</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Pr>
          <w:p>
            <w:pPr>
              <w:spacing w:after="0"/>
              <w:rPr>
                <w:sz w:val="17"/>
                <w:szCs w:val="17"/>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(h)</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(101)</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141</w:t>
            </w: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1,017</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60" w:type="dxa"/>
            <w:vAlign w:val="bottom"/>
          </w:tcPr>
          <w:p>
            <w:pPr>
              <w:spacing w:after="0"/>
              <w:rPr>
                <w:sz w:val="17"/>
                <w:szCs w:val="17"/>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w:t>
            </w: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 attributable to Medline Inc.</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(555)</w:t>
            </w:r>
          </w:p>
        </w:tc>
        <w:tc>
          <w:tcPr>
            <w:tcW w:w="3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551</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 Forma Net Income Per Share:</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0.68</w:t>
            </w:r>
          </w:p>
        </w:tc>
        <w:tc>
          <w:tcPr>
            <w:tcW w:w="16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4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Pro Forma Number of Shares Used in Computing Income Per</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798,168,619</w:t>
            </w:r>
          </w:p>
        </w:tc>
        <w:tc>
          <w:tcPr>
            <w:tcW w:w="2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line="180" w:lineRule="exact"/>
              <w:rPr>
                <w:sz w:val="20"/>
                <w:szCs w:val="20"/>
                <w:color w:val="auto"/>
              </w:rPr>
            </w:pPr>
            <w:r>
              <w:rPr>
                <w:rFonts w:ascii="Times New Roman" w:cs="Times New Roman" w:eastAsia="Times New Roman" w:hAnsi="Times New Roman"/>
                <w:sz w:val="16"/>
                <w:szCs w:val="16"/>
                <w:color w:val="auto"/>
                <w:w w:val="97"/>
              </w:rPr>
              <w:t>1,329,778,049</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w w:val="99"/>
              </w:rPr>
              <w:t>91</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Medline Inc.</w:t>
      </w:r>
    </w:p>
    <w:p>
      <w:pPr>
        <w:spacing w:after="0" w:line="26"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UNAUDITED PRO FORMA CONSOLIDATED STATEMENT OF INCOME</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For the Year Ended December 31, 2024</w:t>
      </w:r>
    </w:p>
    <w:p>
      <w:pPr>
        <w:spacing w:after="0" w:line="8"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(in millions, except share and per share data)</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Medline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Pro Forma</w:t>
            </w:r>
          </w:p>
        </w:tc>
        <w:tc>
          <w:tcPr>
            <w:tcW w:w="540" w:type="dxa"/>
            <w:vAlign w:val="bottom"/>
          </w:tcPr>
          <w:p>
            <w:pPr>
              <w:spacing w:after="0"/>
              <w:rPr>
                <w:sz w:val="12"/>
                <w:szCs w:val="12"/>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Reorganization</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Offering</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b w:val="1"/>
                <w:bCs w:val="1"/>
                <w:color w:val="auto"/>
              </w:rPr>
              <w:t>Holdings</w:t>
            </w:r>
          </w:p>
        </w:tc>
        <w:tc>
          <w:tcPr>
            <w:tcW w:w="200" w:type="dxa"/>
            <w:vAlign w:val="bottom"/>
          </w:tcPr>
          <w:p>
            <w:pPr>
              <w:spacing w:after="0"/>
              <w:rPr>
                <w:sz w:val="11"/>
                <w:szCs w:val="11"/>
                <w:color w:val="auto"/>
              </w:rPr>
            </w:pPr>
          </w:p>
        </w:tc>
        <w:tc>
          <w:tcPr>
            <w:tcW w:w="1000" w:type="dxa"/>
            <w:vAlign w:val="bottom"/>
            <w:gridSpan w:val="3"/>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Transactions</w:t>
            </w:r>
          </w:p>
        </w:tc>
        <w:tc>
          <w:tcPr>
            <w:tcW w:w="540" w:type="dxa"/>
            <w:vAlign w:val="bottom"/>
          </w:tcPr>
          <w:p>
            <w:pPr>
              <w:spacing w:after="0"/>
              <w:rPr>
                <w:sz w:val="11"/>
                <w:szCs w:val="11"/>
                <w:color w:val="auto"/>
              </w:rPr>
            </w:pPr>
          </w:p>
        </w:tc>
        <w:tc>
          <w:tcPr>
            <w:tcW w:w="88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Transactions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20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54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Medline Inc.</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25,507</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5"/>
              </w:rPr>
              <w:t>18,531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18,531</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6,976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6,976</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4,108</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167</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(j)(k)(m)</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4,275</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685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1"/>
              </w:rPr>
              <w:t>167</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4,997</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2,146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(167)</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1,979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366</w:t>
            </w:r>
          </w:p>
        </w:tc>
        <w:tc>
          <w:tcPr>
            <w:tcW w:w="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(498)</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expense, 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(l)</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1"/>
              </w:rPr>
              <w:t>— </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1"/>
              </w:rPr>
              <w:t>302</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1,246</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135</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1,381</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123</w:t>
            </w:r>
          </w:p>
        </w:tc>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(h)</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8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(h)</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(123)</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1,177</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6"/>
                <w:szCs w:val="16"/>
                <w:color w:val="auto"/>
                <w:w w:val="91"/>
              </w:rPr>
              <w:t>558</w:t>
            </w:r>
          </w:p>
        </w:tc>
        <w:tc>
          <w:tcPr>
            <w:tcW w:w="160" w:type="dxa"/>
            <w:vAlign w:val="bottom"/>
          </w:tcPr>
          <w:p>
            <w:pPr>
              <w:spacing w:after="0"/>
              <w:rPr>
                <w:sz w:val="17"/>
                <w:szCs w:val="17"/>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w:t>
            </w: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tcPr>
          <w:p>
            <w:pPr>
              <w:spacing w:after="0"/>
              <w:rPr>
                <w:sz w:val="17"/>
                <w:szCs w:val="17"/>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w:t>
            </w: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 attributable to Medline Inc.</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(681)</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120</w:t>
            </w:r>
          </w:p>
        </w:tc>
        <w:tc>
          <w:tcPr>
            <w:tcW w:w="8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Pro Forma Net Income Per Share:</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0.79</w:t>
            </w:r>
          </w:p>
        </w:tc>
        <w:tc>
          <w:tcPr>
            <w:tcW w:w="180" w:type="dxa"/>
            <w:vAlign w:val="bottom"/>
          </w:tcPr>
          <w:p>
            <w:pPr>
              <w:spacing w:after="0"/>
              <w:rPr>
                <w:sz w:val="15"/>
                <w:szCs w:val="15"/>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Pro Forma Number of Shares Used in Computing Income</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797,952,430</w:t>
            </w:r>
          </w:p>
        </w:tc>
        <w:tc>
          <w:tcPr>
            <w:tcW w:w="180" w:type="dxa"/>
            <w:vAlign w:val="bottom"/>
          </w:tcPr>
          <w:p>
            <w:pPr>
              <w:spacing w:after="0"/>
              <w:rPr>
                <w:sz w:val="16"/>
                <w:szCs w:val="16"/>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Diluted</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80"/>
              <w:spacing w:after="0" w:line="180" w:lineRule="exact"/>
              <w:rPr>
                <w:sz w:val="20"/>
                <w:szCs w:val="20"/>
                <w:color w:val="auto"/>
              </w:rPr>
            </w:pPr>
            <w:r>
              <w:rPr>
                <w:rFonts w:ascii="Times New Roman" w:cs="Times New Roman" w:eastAsia="Times New Roman" w:hAnsi="Times New Roman"/>
                <w:sz w:val="16"/>
                <w:szCs w:val="16"/>
                <w:color w:val="auto"/>
                <w:w w:val="99"/>
              </w:rPr>
              <w:t>1,327,322,578</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(n)</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7"/>
              </w:rPr>
              <w:t>92</w:t>
            </w: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NOTES TO THE UNAUDITED PRO FORMA CONSOLIDATED FINANCIAL INFORMATION</w:t>
      </w:r>
    </w:p>
    <w:p>
      <w:pPr>
        <w:spacing w:after="0" w:line="223" w:lineRule="exact"/>
        <w:rPr>
          <w:sz w:val="20"/>
          <w:szCs w:val="20"/>
          <w:color w:val="auto"/>
        </w:rPr>
      </w:pPr>
    </w:p>
    <w:p>
      <w:pPr>
        <w:ind w:left="1120" w:hanging="382"/>
        <w:spacing w:after="0"/>
        <w:tabs>
          <w:tab w:leader="none" w:pos="1120" w:val="left"/>
        </w:tabs>
        <w:numPr>
          <w:ilvl w:val="0"/>
          <w:numId w:val="4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Reorganization Transactions and Offering Transactions</w:t>
      </w:r>
    </w:p>
    <w:p>
      <w:pPr>
        <w:spacing w:after="0" w:line="105" w:lineRule="exact"/>
        <w:rPr>
          <w:sz w:val="20"/>
          <w:szCs w:val="20"/>
          <w:color w:val="auto"/>
        </w:rPr>
      </w:pPr>
    </w:p>
    <w:p>
      <w:pPr>
        <w:ind w:left="740" w:right="40"/>
        <w:spacing w:after="0" w:line="271" w:lineRule="auto"/>
        <w:rPr>
          <w:sz w:val="20"/>
          <w:szCs w:val="20"/>
          <w:color w:val="auto"/>
        </w:rPr>
      </w:pPr>
      <w:r>
        <w:rPr>
          <w:rFonts w:ascii="Times New Roman" w:cs="Times New Roman" w:eastAsia="Times New Roman" w:hAnsi="Times New Roman"/>
          <w:sz w:val="15"/>
          <w:szCs w:val="15"/>
          <w:color w:val="auto"/>
        </w:rPr>
        <w:t>The Company is offering shares of Class A common stock in this offering at the initial public offering price of $29.00 per share. Medline Inc. intends to use the proceeds (net of underwriting discounts) from the issuance of 179,000,000 shares (which we estimate will be approximately $5,078 million) to acquire an equivalent number of newly-issued Common Units from Medline Holdings L.P., which Medline Holdings L.P. will in turn use approximately $729 million to repay in full all outstanding indebtedness under our New Euro Term Loan Facility, approximately $3,280 million to repay a portion of the outstanding indebtedness under the 2028 Refinancing Term Loan Facility, and the remainder for general corporate purposes and to bear all of the expenses of this offering. We estimate these offering expenses (excluding underwriting discounts and commissions) will be approximately $38 million. Subsequently, Medline Inc. intends to use the proceeds (net of underwriting discounts) from the issuance of 37,034,482 shares (which we estimate will be approximately $1,051 million) and from any issuance of shares pursuant to any exercise by the underwriters of their option to purchase up to 32,405,172 additional shares of Class A common stock (which we estimate will be approximately $919 million if the underwriters exercise in full their option to purchase additional shares of Class A common stock) to purchase or redeem an equivalent aggregate number of shares of Class A common stock and Common Units from our pre-IPO owners, as described under “Organizational Structure—Offering Transactions.”</w:t>
      </w:r>
    </w:p>
    <w:p>
      <w:pPr>
        <w:spacing w:after="0" w:line="61"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Immediately following this offering, and as a result of the Reorganization Transactions, Medline Inc. will be a holding company, and its sole material asset will be a controlling equity interest in Medline Holdings. As a result of the Reorganization Transactions and Offering Transactions, Medline Inc. will own approximately 59.7% of the economic interest in Medline Holdings but will have 100.0% of the voting power and will control the management of Medline Holdings.</w:t>
      </w:r>
    </w:p>
    <w:p>
      <w:pPr>
        <w:spacing w:after="0" w:line="290" w:lineRule="exact"/>
        <w:rPr>
          <w:sz w:val="20"/>
          <w:szCs w:val="20"/>
          <w:color w:val="auto"/>
        </w:rPr>
      </w:pPr>
    </w:p>
    <w:p>
      <w:pPr>
        <w:ind w:left="1120" w:hanging="382"/>
        <w:spacing w:after="0"/>
        <w:tabs>
          <w:tab w:leader="none" w:pos="112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Notes to Unaudited Pro Forma Consolidated Balance Sheet</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Transaction accounting adjustments include the following adjustments related to the unaudited pro forma consolidated balance sheet as of September 27, 2025.</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Reorganization Adjustments</w:t>
      </w:r>
    </w:p>
    <w:p>
      <w:pPr>
        <w:spacing w:after="0" w:line="119" w:lineRule="exact"/>
        <w:rPr>
          <w:sz w:val="20"/>
          <w:szCs w:val="20"/>
          <w:color w:val="auto"/>
        </w:rPr>
      </w:pPr>
    </w:p>
    <w:p>
      <w:pPr>
        <w:ind w:left="1600" w:hanging="479"/>
        <w:spacing w:after="0" w:line="253" w:lineRule="auto"/>
        <w:tabs>
          <w:tab w:leader="none" w:pos="160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greater detail in “Organizational Structure,” prior to the completion of this offering, we will enter into the Reorganization Transactions, along with a tax receivable agreement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TRA, including tax benefits attributable to payments under the TRA. The TRA will be accounted for as a contingent liability, with amounts accrued when considered probable and reasonably estimable. The following are the adjustments associated with the Reorganization Transactions:</w:t>
      </w:r>
    </w:p>
    <w:p>
      <w:pPr>
        <w:spacing w:after="0" w:line="81" w:lineRule="exact"/>
        <w:rPr>
          <w:rFonts w:ascii="Times New Roman" w:cs="Times New Roman" w:eastAsia="Times New Roman" w:hAnsi="Times New Roman"/>
          <w:sz w:val="16"/>
          <w:szCs w:val="16"/>
          <w:color w:val="auto"/>
        </w:rPr>
      </w:pPr>
    </w:p>
    <w:p>
      <w:pPr>
        <w:ind w:left="2000" w:right="200" w:hanging="388"/>
        <w:spacing w:after="0" w:line="260" w:lineRule="auto"/>
        <w:tabs>
          <w:tab w:leader="none" w:pos="20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net deferred tax asset of $165 million. Following the Reorganization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w:t>
      </w:r>
    </w:p>
    <w:p>
      <w:pPr>
        <w:spacing w:after="0" w:line="10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93</w:t>
      </w:r>
    </w:p>
    <w:p>
      <w:pPr>
        <w:sectPr>
          <w:pgSz w:w="11900" w:h="16838" w:orient="portrait"/>
          <w:cols w:equalWidth="0" w:num="1">
            <w:col w:w="10500"/>
          </w:cols>
          <w:pgMar w:left="320" w:top="420" w:right="10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2000" w:right="280"/>
        <w:spacing w:after="0" w:line="291" w:lineRule="auto"/>
        <w:rPr>
          <w:sz w:val="20"/>
          <w:szCs w:val="20"/>
          <w:color w:val="auto"/>
        </w:rPr>
      </w:pPr>
      <w:r>
        <w:rPr>
          <w:rFonts w:ascii="Times New Roman" w:cs="Times New Roman" w:eastAsia="Times New Roman" w:hAnsi="Times New Roman"/>
          <w:sz w:val="15"/>
          <w:szCs w:val="15"/>
          <w:color w:val="auto"/>
        </w:rPr>
        <w:t>deferred tax asset is measured based on the following: (i) differences between financial reporting and tax basis associated with Medline Inc.’s investment in Medline Holdings; (ii) tax loss carryforwards and credits from the merged Blocker Companies; and (iii) tax benefits from future deductions attributable to payments under the TRA as a result of the Reorganization Transactions.</w:t>
      </w:r>
    </w:p>
    <w:p>
      <w:pPr>
        <w:spacing w:after="0" w:line="43" w:lineRule="exact"/>
        <w:rPr>
          <w:sz w:val="20"/>
          <w:szCs w:val="20"/>
          <w:color w:val="auto"/>
        </w:rPr>
      </w:pPr>
    </w:p>
    <w:p>
      <w:pPr>
        <w:ind w:left="2000" w:right="40"/>
        <w:spacing w:after="0" w:line="255" w:lineRule="auto"/>
        <w:rPr>
          <w:sz w:val="20"/>
          <w:szCs w:val="20"/>
          <w:color w:val="auto"/>
        </w:rPr>
      </w:pPr>
      <w:r>
        <w:rPr>
          <w:rFonts w:ascii="Times New Roman" w:cs="Times New Roman" w:eastAsia="Times New Roman" w:hAnsi="Times New Roman"/>
          <w:sz w:val="16"/>
          <w:szCs w:val="16"/>
          <w:color w:val="auto"/>
        </w:rPr>
        <w:t>The net deferred tax asset includes (i) a deferred tax liability of $423 million related to Medline Inc.’s investment in Medline Holdings, (ii) a deferred tax asset of $357 million related to the tax attributes acquired by Medline Inc. as part of the Reorganization Transactions, and (iii) a deferred tax asset of $231 million related to tax benefits from future deductions attributable to payments under the TRA. The deferred tax asset related to Medline Inc.’s investment in Medline Holdings is primarily due to differences between the purchase accounting and tax treatment of the Sponsors’ acquisition of Medline Holdings. To the extent we estimate that we will not realize either a portion or all of our deferred tax assets, based on an analysis of the available sources of taxable income, we will reduce our deferred tax assets with a valuation allowance.</w:t>
      </w:r>
    </w:p>
    <w:p>
      <w:pPr>
        <w:spacing w:after="0" w:line="81" w:lineRule="exact"/>
        <w:rPr>
          <w:sz w:val="20"/>
          <w:szCs w:val="20"/>
          <w:color w:val="auto"/>
        </w:rPr>
      </w:pPr>
    </w:p>
    <w:p>
      <w:pPr>
        <w:ind w:left="2000" w:hanging="388"/>
        <w:spacing w:after="0" w:line="257" w:lineRule="auto"/>
        <w:tabs>
          <w:tab w:leader="none" w:pos="20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$3,134 million liability under the TRA based on our estimate of the aggregate amount that we will pay to the pre-IPO owners under the TRA as a result of the Reorganization Transactions. This amount is equal to 90% of certain tax benefits that the Company estimates that Medline Inc. will realize as a result of (i) Medline Inc.’s utilization of $3,195 million of certain tax attributes (tax effected and including any existing tax basis) of the Blocker Companies and (ii) $231 million of certain other tax benefits related to entering into the TRA, including tax benefits attributable to payments under the TRA.</w:t>
      </w:r>
    </w:p>
    <w:p>
      <w:pPr>
        <w:spacing w:after="0" w:line="80" w:lineRule="exact"/>
        <w:rPr>
          <w:rFonts w:ascii="Times New Roman" w:cs="Times New Roman" w:eastAsia="Times New Roman" w:hAnsi="Times New Roman"/>
          <w:sz w:val="16"/>
          <w:szCs w:val="16"/>
          <w:color w:val="auto"/>
        </w:rPr>
      </w:pPr>
    </w:p>
    <w:p>
      <w:pPr>
        <w:ind w:left="2000" w:right="440" w:hanging="388"/>
        <w:spacing w:after="0" w:line="281" w:lineRule="auto"/>
        <w:tabs>
          <w:tab w:leader="none" w:pos="2000" w:val="left"/>
        </w:tabs>
        <w:numPr>
          <w:ilvl w:val="1"/>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an adjustment to additional paid-in capital of $(2,969) million, for the change in deferred tax assets and the increase in liabilities due to existing owners under the TRA as a result of the Reorganization Transactions.</w:t>
      </w:r>
    </w:p>
    <w:p>
      <w:pPr>
        <w:spacing w:after="0" w:line="167" w:lineRule="exact"/>
        <w:rPr>
          <w:rFonts w:ascii="Times New Roman" w:cs="Times New Roman" w:eastAsia="Times New Roman" w:hAnsi="Times New Roman"/>
          <w:sz w:val="16"/>
          <w:szCs w:val="16"/>
          <w:color w:val="auto"/>
        </w:rPr>
      </w:pPr>
    </w:p>
    <w:p>
      <w:pPr>
        <w:ind w:left="1600" w:right="20" w:hanging="479"/>
        <w:spacing w:after="0" w:line="253" w:lineRule="auto"/>
        <w:tabs>
          <w:tab w:leader="none" w:pos="160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upon completion of the Reorganization Transactions, Medline Inc. will be a holding company, and its sole material assets will be its equity interests held directly or indirectly through wholly owned subsidiaries in Medline Holdings. As the sole general partner of Medline Holdings, Medline Inc. will operate and control all the business and affairs of Medline Holdings. As a result of the Reorganization Transactions, Medline Inc. will directly or indirectly own approximately 53.5% of the economic interest in Medline Holdings but will have 100.0% of the voting power and will control the management of Medline Holdings. Immediately following the completion of the Reorganization Transactions, the ownership percentage held by noncontrolling interest will be approximately 46.5%.</w:t>
      </w:r>
    </w:p>
    <w:p>
      <w:pPr>
        <w:spacing w:after="0" w:line="74" w:lineRule="exact"/>
        <w:rPr>
          <w:rFonts w:ascii="Times New Roman" w:cs="Times New Roman" w:eastAsia="Times New Roman" w:hAnsi="Times New Roman"/>
          <w:sz w:val="16"/>
          <w:szCs w:val="16"/>
          <w:color w:val="auto"/>
        </w:rPr>
      </w:pPr>
    </w:p>
    <w:p>
      <w:pPr>
        <w:ind w:left="1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an adjustment to equity reflecting (i) par value for Class A common stock and Class B common stock, (ii) a decrease in</w:t>
      </w:r>
    </w:p>
    <w:p>
      <w:pPr>
        <w:spacing w:after="0" w:line="24" w:lineRule="exact"/>
        <w:rPr>
          <w:rFonts w:ascii="Times New Roman" w:cs="Times New Roman" w:eastAsia="Times New Roman" w:hAnsi="Times New Roman"/>
          <w:sz w:val="16"/>
          <w:szCs w:val="16"/>
          <w:color w:val="auto"/>
        </w:rPr>
      </w:pPr>
    </w:p>
    <w:p>
      <w:pPr>
        <w:ind w:left="1620" w:right="6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$7,942 million of partners’ interest to the noncontrolling interests related to the 46.5% economic interest held by the Continuing Common Unitholders and participating Incentive Unitholders, (iii) reclassification of partners’ interest of $9,147 million to additional paid-in capital, and (iv) reclassification of accumulated other comprehensive income of $24 million to noncontrolling interests.</w:t>
      </w:r>
    </w:p>
    <w:p>
      <w:pPr>
        <w:spacing w:after="0" w:line="69" w:lineRule="exact"/>
        <w:rPr>
          <w:rFonts w:ascii="Times New Roman" w:cs="Times New Roman" w:eastAsia="Times New Roman" w:hAnsi="Times New Roman"/>
          <w:sz w:val="16"/>
          <w:szCs w:val="16"/>
          <w:color w:val="auto"/>
        </w:rPr>
      </w:pPr>
    </w:p>
    <w:p>
      <w:pPr>
        <w:ind w:left="1620" w:right="12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this offering, the Mezzanine equity units will be recapitalized and converted into Common Units or Incentive Units in Medline Holdings. As a result, no Mezzanine equity units will be outstanding following this offering.</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Offering Adjustments</w:t>
      </w:r>
    </w:p>
    <w:p>
      <w:pPr>
        <w:spacing w:after="0" w:line="119" w:lineRule="exact"/>
        <w:rPr>
          <w:sz w:val="20"/>
          <w:szCs w:val="20"/>
          <w:color w:val="auto"/>
        </w:rPr>
      </w:pPr>
    </w:p>
    <w:p>
      <w:pPr>
        <w:ind w:left="1600" w:right="80" w:hanging="479"/>
        <w:spacing w:after="0" w:line="265" w:lineRule="auto"/>
        <w:tabs>
          <w:tab w:leader="none" w:pos="160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deferring certain costs which primarily represent legal, accounting and other costs directly associated with this offering. As of September 27, 2025, $25 million of these costs were recorded to “Other current assets,” and an additional $2 million of capitalizable costs are expected to be incurred</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94</w:t>
      </w:r>
    </w:p>
    <w:p>
      <w:pPr>
        <w:sectPr>
          <w:pgSz w:w="11900" w:h="16838" w:orient="portrait"/>
          <w:cols w:equalWidth="0" w:num="1">
            <w:col w:w="10500"/>
          </w:cols>
          <w:pgMar w:left="320" w:top="420" w:right="10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right="180"/>
        <w:spacing w:after="0" w:line="281" w:lineRule="auto"/>
        <w:rPr>
          <w:sz w:val="20"/>
          <w:szCs w:val="20"/>
          <w:color w:val="auto"/>
        </w:rPr>
      </w:pPr>
      <w:r>
        <w:rPr>
          <w:rFonts w:ascii="Times New Roman" w:cs="Times New Roman" w:eastAsia="Times New Roman" w:hAnsi="Times New Roman"/>
          <w:sz w:val="16"/>
          <w:szCs w:val="16"/>
          <w:color w:val="auto"/>
        </w:rPr>
        <w:t>subsequent to September 27, 2025. Upon completion of this offering, these deferred costs will be charged against the proceeds from this offering with a corresponding reduction to additional paid-in capital.</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Subsequent to September 27, 2025, we have accrued within Accrued expenses and other current liabilities an incremental amount of</w:t>
      </w:r>
    </w:p>
    <w:p>
      <w:pPr>
        <w:spacing w:after="0" w:line="24" w:lineRule="exact"/>
        <w:rPr>
          <w:sz w:val="20"/>
          <w:szCs w:val="20"/>
          <w:color w:val="auto"/>
        </w:rPr>
      </w:pPr>
    </w:p>
    <w:p>
      <w:pPr>
        <w:ind w:left="1620" w:right="240"/>
        <w:spacing w:after="0" w:line="259" w:lineRule="auto"/>
        <w:rPr>
          <w:sz w:val="20"/>
          <w:szCs w:val="20"/>
          <w:color w:val="auto"/>
        </w:rPr>
      </w:pPr>
      <w:r>
        <w:rPr>
          <w:rFonts w:ascii="Times New Roman" w:cs="Times New Roman" w:eastAsia="Times New Roman" w:hAnsi="Times New Roman"/>
          <w:sz w:val="16"/>
          <w:szCs w:val="16"/>
          <w:color w:val="auto"/>
        </w:rPr>
        <w:t>$13 million of costs in connection with this offering (that are expected to be expensed) that were not included in the historical financial statements.</w:t>
      </w:r>
    </w:p>
    <w:p>
      <w:pPr>
        <w:spacing w:after="0" w:line="77" w:lineRule="exact"/>
        <w:rPr>
          <w:sz w:val="20"/>
          <w:szCs w:val="20"/>
          <w:color w:val="auto"/>
        </w:rPr>
      </w:pPr>
    </w:p>
    <w:p>
      <w:pPr>
        <w:ind w:left="1600" w:hanging="479"/>
        <w:spacing w:after="0" w:line="253" w:lineRule="auto"/>
        <w:tabs>
          <w:tab w:leader="none" w:pos="160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note (a) above, we will enter into a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TRA, including tax benefits attributable to payments under the TRA. The TRA will be accounted for as a contingent liability, with amounts accrued when considered probable and reasonably estimable. The following are the adjustments associated with these Offering Transactions:</w:t>
      </w:r>
    </w:p>
    <w:p>
      <w:pPr>
        <w:spacing w:after="0" w:line="84" w:lineRule="exact"/>
        <w:rPr>
          <w:rFonts w:ascii="Times New Roman" w:cs="Times New Roman" w:eastAsia="Times New Roman" w:hAnsi="Times New Roman"/>
          <w:sz w:val="16"/>
          <w:szCs w:val="16"/>
          <w:color w:val="auto"/>
        </w:rPr>
      </w:pPr>
    </w:p>
    <w:p>
      <w:pPr>
        <w:ind w:left="2000" w:right="20" w:hanging="388"/>
        <w:spacing w:after="0" w:line="254" w:lineRule="auto"/>
        <w:tabs>
          <w:tab w:leader="none" w:pos="200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net deferred tax asset of $424 million (or $452 million if the underwriters exercise in full their option to purchase additional shares of Class A common stock). Following the Reorganization Transactions and Offering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 deferred tax asset is measured based on the following: (i) differences between financial reporting and tax basis associated with Medline Inc.’s investment in Medline Holdings; and (ii) tax benefits from future deductions attributable to payments under the TRA as a result of the Offering Transactions.</w:t>
      </w:r>
    </w:p>
    <w:p>
      <w:pPr>
        <w:spacing w:after="0" w:line="70" w:lineRule="exact"/>
        <w:rPr>
          <w:rFonts w:ascii="Times New Roman" w:cs="Times New Roman" w:eastAsia="Times New Roman" w:hAnsi="Times New Roman"/>
          <w:sz w:val="16"/>
          <w:szCs w:val="16"/>
          <w:color w:val="auto"/>
        </w:rPr>
      </w:pPr>
    </w:p>
    <w:p>
      <w:pPr>
        <w:ind w:left="20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deferred tax asset includes (i) a deferred tax asset of $356 million related to Medline Inc.’s investment in Medline Holdings and</w:t>
      </w:r>
    </w:p>
    <w:p>
      <w:pPr>
        <w:spacing w:after="0" w:line="24" w:lineRule="exact"/>
        <w:rPr>
          <w:rFonts w:ascii="Times New Roman" w:cs="Times New Roman" w:eastAsia="Times New Roman" w:hAnsi="Times New Roman"/>
          <w:sz w:val="16"/>
          <w:szCs w:val="16"/>
          <w:color w:val="auto"/>
        </w:rPr>
      </w:pPr>
    </w:p>
    <w:p>
      <w:pPr>
        <w:ind w:left="2000" w:firstLine="9"/>
        <w:spacing w:after="0" w:line="252" w:lineRule="auto"/>
        <w:tabs>
          <w:tab w:leader="none" w:pos="2235"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deferred tax asset of $68 million related to tax benefits from future deductions attributable to payments under the TRA. The deferred tax asset related to Medline Inc.’s investment in Medline Holdings is primarily due to differences between the purchase accounting and tax treatment of the Sponsor Acquisition. To the extent we estimate that we will not realize either a portion or all of our deferred tax assets, based on an analysis of the available sources of taxable income, we will reduce our deferred tax assets with a valuation allowance.</w:t>
      </w:r>
    </w:p>
    <w:p>
      <w:pPr>
        <w:spacing w:after="0" w:line="83" w:lineRule="exact"/>
        <w:rPr>
          <w:rFonts w:ascii="Times New Roman" w:cs="Times New Roman" w:eastAsia="Times New Roman" w:hAnsi="Times New Roman"/>
          <w:sz w:val="16"/>
          <w:szCs w:val="16"/>
          <w:color w:val="auto"/>
        </w:rPr>
      </w:pPr>
    </w:p>
    <w:p>
      <w:pPr>
        <w:ind w:left="2000" w:hanging="388"/>
        <w:spacing w:after="0" w:line="253" w:lineRule="auto"/>
        <w:tabs>
          <w:tab w:leader="none" w:pos="200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 $325 million liability under the TRA (or $444 million if the underwriters exercise in full their option to purchase additional shares of Class A common stock) based on our estimate of the aggregate amount that we will pay to the pre-IPO owners under the TRA as a result of the Offering Transactions. This amount is equal to 90% of certain tax benefits that the Company estimates that Medline Inc. will realize as a result of (i) Medline Inc.’s allocable share of $172 million of existing tax basis (tax effected) in Medline Holdings’ assets acquired in this Offering Transaction, (ii) $105 million of interests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Transaction, and (iii) $68 million of certain other tax benefits related to entering into the TRA, including tax benefits attributable to payments under the TRA as a result of the Offering Transaction.</w:t>
      </w:r>
    </w:p>
    <w:p>
      <w:pPr>
        <w:spacing w:after="0" w:line="11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95</w:t>
      </w:r>
    </w:p>
    <w:p>
      <w:pPr>
        <w:sectPr>
          <w:pgSz w:w="11900" w:h="16838" w:orient="portrait"/>
          <w:cols w:equalWidth="0" w:num="1">
            <w:col w:w="10480"/>
          </w:cols>
          <w:pgMar w:left="320" w:top="420" w:right="10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2000" w:right="120" w:hanging="388"/>
        <w:spacing w:after="0" w:line="281" w:lineRule="auto"/>
        <w:tabs>
          <w:tab w:leader="none" w:pos="20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an adjustment to additional paid-in capital of $99 million, for the change in deferred tax assets and the increase in liabilities due to existing owners under the TRA as a result of the Offering Transactions.</w:t>
      </w:r>
    </w:p>
    <w:p>
      <w:pPr>
        <w:spacing w:after="0" w:line="48" w:lineRule="exact"/>
        <w:rPr>
          <w:sz w:val="20"/>
          <w:szCs w:val="20"/>
          <w:color w:val="auto"/>
        </w:rPr>
      </w:pPr>
    </w:p>
    <w:p>
      <w:pPr>
        <w:ind w:left="1620"/>
        <w:spacing w:after="0" w:line="269" w:lineRule="auto"/>
        <w:rPr>
          <w:sz w:val="20"/>
          <w:szCs w:val="20"/>
          <w:color w:val="auto"/>
        </w:rPr>
      </w:pPr>
      <w:r>
        <w:rPr>
          <w:rFonts w:ascii="Times New Roman" w:cs="Times New Roman" w:eastAsia="Times New Roman" w:hAnsi="Times New Roman"/>
          <w:sz w:val="15"/>
          <w:szCs w:val="15"/>
          <w:color w:val="auto"/>
        </w:rPr>
        <w:t>As described in greater detail in “Organizational Structure,” the Continuing Common Unitholders will hold 513,917,418 Common Units (or 502,299,043 Common Units if the underwriters exercise in full their option to purchase additional shares of Class A common stock) immediately following this offering. Due to the uncertainty as to the amount and timing of future exchanges of Common Units by the Continuing Unitholders and as to the price per share of our Class A common stock at the time of any such exchanges, the unaudited pro forma consolidated financial information does not assume that exchanges of Common Units have occurred. However, if the Continuing Unitholders were to exchange all of the Common Units that they will hold immediately following this offering for shares of Class A common stock and all Incentive Units were converted to Common Units and subsequently exchanged for shares of Class A common stock (based on the initial public offering price of $29.00 per share) immediately following the completion of this offering, we would recognize an incremental deferred tax asset of approximately $2,987 million and a noncurrent liability of approximately $5,516 million based on the Company’s estimate of the aggregate amount that it will pay under the TRA as a result of such hypothetical exchange, assuming: (i) a price of $29.00 per share of our Class A common stock; (ii) a constant corporate tax rate of 25.7%; (iii) we will have sufficient taxable income to fully utilize the tax benefits; and (iv) no material changes in tax law. Accordingly, based upon the foregoing assumptions, if the Continuing Common Unitholders were to exchange all of the Common Units that they will hold immediately following this offering, the Company estimates that it would, as a result of the Offering Transactions and such hypothetical exchange, record a deferred tax asset of approximately $3,577 million and that the aggregate noncurrent liability it would record based on its estimate of the aggregate amount that it would pay under the TRA is approximately $8,975 million, generally payable over a 15-year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the Company’s deferred tax asset would increase (decrease) by approximately $268 million and the related liability for payments under the TRA would increase (decrease) by approximately</w:t>
      </w:r>
    </w:p>
    <w:p>
      <w:pPr>
        <w:spacing w:after="0" w:line="175" w:lineRule="exact"/>
        <w:rPr>
          <w:sz w:val="20"/>
          <w:szCs w:val="20"/>
          <w:color w:val="auto"/>
        </w:rPr>
      </w:pPr>
    </w:p>
    <w:p>
      <w:pPr>
        <w:ind w:left="1620" w:right="100"/>
        <w:spacing w:after="0" w:line="251" w:lineRule="auto"/>
        <w:rPr>
          <w:sz w:val="20"/>
          <w:szCs w:val="20"/>
          <w:color w:val="auto"/>
        </w:rPr>
      </w:pPr>
      <w:r>
        <w:rPr>
          <w:rFonts w:ascii="Times New Roman" w:cs="Times New Roman" w:eastAsia="Times New Roman" w:hAnsi="Times New Roman"/>
          <w:sz w:val="16"/>
          <w:szCs w:val="16"/>
          <w:color w:val="auto"/>
        </w:rPr>
        <w:t>$243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(including any Common Units issued upon conversion of vested Incentive Units), and the extent to which such exchanges are taxable; (ii) the price per share of our Class A common stock at the time of the exchanges; (iii) the amount and timing of future income against which to offset the tax benefits; and (iv) the tax rates then in effect.</w:t>
      </w:r>
    </w:p>
    <w:p>
      <w:pPr>
        <w:spacing w:after="0" w:line="86" w:lineRule="exact"/>
        <w:rPr>
          <w:sz w:val="20"/>
          <w:szCs w:val="20"/>
          <w:color w:val="auto"/>
        </w:rPr>
      </w:pPr>
    </w:p>
    <w:p>
      <w:pPr>
        <w:ind w:left="1600" w:right="40" w:hanging="479"/>
        <w:spacing w:after="0" w:line="253" w:lineRule="auto"/>
        <w:tabs>
          <w:tab w:leader="none" w:pos="16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the net primary proceeds of approximately $5,040 million from selling Class A common stock, based on the initial public offering price of $29.00 per share, after deducting assumed underwriting discounts and commissions and $38 million of estimated offering expenses; (ii) $25 million of cash proceeds related to capitalized direct offering costs previously paid; (iii) payment of approximately $729 million to repay in full our New Euro Term Loan Facility and $3 million of accrued interest; (iv) payment of approximately $3,280 million to partially repay our 2028 Refinancing Term Loan Facility and $40 million of accrued interest; and (v) $1,013 million of the proceeds remaining at the Company for general corporate purposes as described in “Use of Proceeds.” The repayment of our 2028 Refinancing Term Loan Facility was treated as a partial extinguishment with the related proportional value of $60 million of the unamortized debt issuance costs written-off, and the repayment in full of our New Euro Term Loan Facility was treated as a full extinguishment with the value of $4 million of unamortized debt issuance costs written-off, both of which are recognized as a loss on debt extinguishment and recorded to accumulated deficit.</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96</w:t>
      </w:r>
    </w:p>
    <w:p>
      <w:pPr>
        <w:sectPr>
          <w:pgSz w:w="11900" w:h="16838" w:orient="portrait"/>
          <w:cols w:equalWidth="0" w:num="1">
            <w:col w:w="10500"/>
          </w:cols>
          <w:pgMar w:left="320" w:top="420" w:right="10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color w:val="auto"/>
        </w:rPr>
        <w:t>The adjustment to cash and cash equivalents as of September 27, 2025 is comprised of the following:</w:t>
      </w:r>
    </w:p>
    <w:p>
      <w:pPr>
        <w:spacing w:after="0" w:line="112" w:lineRule="exact"/>
        <w:rPr>
          <w:sz w:val="20"/>
          <w:szCs w:val="20"/>
          <w:color w:val="auto"/>
        </w:rPr>
      </w:pPr>
    </w:p>
    <w:tbl>
      <w:tblPr>
        <w:tblLayout w:type="fixed"/>
        <w:tblInd w:w="2300" w:type="dxa"/>
        <w:tblCellMar>
          <w:top w:w="0" w:type="dxa"/>
          <w:left w:w="0" w:type="dxa"/>
          <w:bottom w:w="0" w:type="dxa"/>
          <w:right w:w="0" w:type="dxa"/>
        </w:tblCellMar>
      </w:tblPr>
      <w:tr>
        <w:trPr>
          <w:trHeight w:val="152"/>
        </w:trPr>
        <w:tc>
          <w:tcPr>
            <w:tcW w:w="6040" w:type="dxa"/>
            <w:vAlign w:val="bottom"/>
          </w:tcPr>
          <w:p>
            <w:pPr>
              <w:spacing w:after="0"/>
              <w:rPr>
                <w:sz w:val="20"/>
                <w:szCs w:val="20"/>
                <w:color w:val="auto"/>
              </w:rPr>
            </w:pPr>
            <w:r>
              <w:rPr>
                <w:rFonts w:ascii="Times New Roman" w:cs="Times New Roman" w:eastAsia="Times New Roman" w:hAnsi="Times New Roman"/>
                <w:sz w:val="13"/>
                <w:szCs w:val="13"/>
                <w:color w:val="auto"/>
              </w:rPr>
              <w:t>(in millions)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92"/>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to Medline Inc. from selling Class A common stock</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$ 5,040</w:t>
            </w:r>
          </w:p>
        </w:tc>
        <w:tc>
          <w:tcPr>
            <w:tcW w:w="80" w:type="dxa"/>
            <w:vAlign w:val="bottom"/>
            <w:shd w:val="clear" w:color="auto" w:fill="CCEEFF"/>
          </w:tcPr>
          <w:p>
            <w:pPr>
              <w:spacing w:after="0"/>
              <w:rPr>
                <w:sz w:val="16"/>
                <w:szCs w:val="16"/>
                <w:color w:val="auto"/>
              </w:rPr>
            </w:pP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Portion of cash proceeds related to capitalized direct offering expenses previously paid</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Payment of accrued interest (2028 Refinancing Term Loan Facility and New Euro</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Term Loan Facility)</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current portion of debt (2028 Refinancing Term Loan Facility)</w:t>
            </w: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r>
      <w:tr>
        <w:trPr>
          <w:trHeight w:val="175"/>
        </w:trPr>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Repayment of long-term borrowings, less current portion (2028 Refinancing Term</w:t>
            </w: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Loan Facility and New Euro Term Loan Facility)</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(3,976)</w:t>
            </w:r>
          </w:p>
        </w:tc>
      </w:tr>
      <w:tr>
        <w:trPr>
          <w:trHeight w:val="196"/>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Remaining proceeds at the Company to use for general corporate purposes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$ 1,013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The reduction to long-term borrowing, less current portion as of September 27, 2025 is comprised of the following:</w:t>
      </w:r>
    </w:p>
    <w:p>
      <w:pPr>
        <w:spacing w:after="0" w:line="1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3"/>
          <w:szCs w:val="13"/>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1464945</wp:posOffset>
            </wp:positionH>
            <wp:positionV relativeFrom="paragraph">
              <wp:posOffset>1270</wp:posOffset>
            </wp:positionV>
            <wp:extent cx="4212590" cy="2432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12590" cy="243205"/>
                    </a:xfrm>
                    <a:prstGeom prst="rect">
                      <a:avLst/>
                    </a:prstGeom>
                    <a:noFill/>
                  </pic:spPr>
                </pic:pic>
              </a:graphicData>
            </a:graphic>
          </wp:anchor>
        </w:drawing>
      </w:r>
    </w:p>
    <w:p>
      <w:pPr>
        <w:jc w:val="center"/>
        <w:ind w:right="-759"/>
        <w:spacing w:after="0"/>
        <w:rPr>
          <w:sz w:val="20"/>
          <w:szCs w:val="20"/>
          <w:color w:val="auto"/>
        </w:rPr>
      </w:pPr>
      <w:r>
        <w:rPr>
          <w:rFonts w:ascii="Times New Roman" w:cs="Times New Roman" w:eastAsia="Times New Roman" w:hAnsi="Times New Roman"/>
          <w:sz w:val="16"/>
          <w:szCs w:val="16"/>
          <w:color w:val="auto"/>
        </w:rPr>
        <w:t>Repayment of long-term borrowings, less current portion (2028 Refinancing Term Loan</w:t>
      </w:r>
    </w:p>
    <w:tbl>
      <w:tblPr>
        <w:tblLayout w:type="fixed"/>
        <w:tblInd w:w="2300" w:type="dxa"/>
        <w:tblCellMar>
          <w:top w:w="0" w:type="dxa"/>
          <w:left w:w="0" w:type="dxa"/>
          <w:bottom w:w="0" w:type="dxa"/>
          <w:right w:w="0" w:type="dxa"/>
        </w:tblCellMar>
      </w:tblPr>
      <w:tr>
        <w:trPr>
          <w:trHeight w:val="181"/>
        </w:trPr>
        <w:tc>
          <w:tcPr>
            <w:tcW w:w="60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Facility and New Euro Term Loan Facility)</w:t>
            </w:r>
          </w:p>
        </w:tc>
        <w:tc>
          <w:tcPr>
            <w:tcW w:w="60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color w:val="auto"/>
                <w:w w:val="98"/>
              </w:rPr>
              <w:t>$(3,976)</w:t>
            </w:r>
          </w:p>
        </w:tc>
      </w:tr>
      <w:tr>
        <w:trPr>
          <w:trHeight w:val="192"/>
        </w:trPr>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Recognition of the fair value of the embedded derivative related to the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6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indebtedness</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175"/>
        </w:trPr>
        <w:tc>
          <w:tcPr>
            <w:tcW w:w="60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Write-off of debt issuance costs related to repayment of indebtedness (2028 Refinancing</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8"/>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Term Loan Facility and New Euro Term Loan Facility)</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r>
      <w:tr>
        <w:trPr>
          <w:trHeight w:val="179"/>
        </w:trPr>
        <w:tc>
          <w:tcPr>
            <w:tcW w:w="60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Total adjustment to long-term borrowings, less current portion (2028 Refinancing Term</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8"/>
        </w:trPr>
        <w:tc>
          <w:tcPr>
            <w:tcW w:w="60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 Facility and New Euro Term Loan Facility)</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(3,951)</w:t>
            </w:r>
          </w:p>
        </w:tc>
      </w:tr>
      <w:tr>
        <w:trPr>
          <w:trHeight w:val="20"/>
        </w:trPr>
        <w:tc>
          <w:tcPr>
            <w:tcW w:w="6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-280670</wp:posOffset>
            </wp:positionV>
            <wp:extent cx="1524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-22225</wp:posOffset>
            </wp:positionV>
            <wp:extent cx="1524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240" cy="7620"/>
                    </a:xfrm>
                    <a:prstGeom prst="rect">
                      <a:avLst/>
                    </a:prstGeom>
                    <a:noFill/>
                  </pic:spPr>
                </pic:pic>
              </a:graphicData>
            </a:graphic>
          </wp:anchor>
        </w:drawing>
        <w:drawing>
          <wp:anchor simplePos="0" relativeHeight="251657728" behindDoc="1" locked="0" layoutInCell="0" allowOverlap="1">
            <wp:simplePos x="0" y="0"/>
            <wp:positionH relativeFrom="column">
              <wp:posOffset>5046345</wp:posOffset>
            </wp:positionH>
            <wp:positionV relativeFrom="paragraph">
              <wp:posOffset>-6985</wp:posOffset>
            </wp:positionV>
            <wp:extent cx="1524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240" cy="7620"/>
                    </a:xfrm>
                    <a:prstGeom prst="rect">
                      <a:avLst/>
                    </a:prstGeom>
                    <a:noFill/>
                  </pic:spPr>
                </pic:pic>
              </a:graphicData>
            </a:graphic>
          </wp:anchor>
        </w:drawing>
      </w:r>
    </w:p>
    <w:p>
      <w:pPr>
        <w:spacing w:after="0" w:line="167" w:lineRule="exact"/>
        <w:rPr>
          <w:sz w:val="20"/>
          <w:szCs w:val="20"/>
          <w:color w:val="auto"/>
        </w:rPr>
      </w:pPr>
    </w:p>
    <w:p>
      <w:pPr>
        <w:ind w:left="1620"/>
        <w:spacing w:after="0" w:line="255" w:lineRule="auto"/>
        <w:rPr>
          <w:sz w:val="20"/>
          <w:szCs w:val="20"/>
          <w:color w:val="auto"/>
        </w:rPr>
      </w:pPr>
      <w:r>
        <w:rPr>
          <w:rFonts w:ascii="Times New Roman" w:cs="Times New Roman" w:eastAsia="Times New Roman" w:hAnsi="Times New Roman"/>
          <w:sz w:val="16"/>
          <w:szCs w:val="16"/>
          <w:color w:val="auto"/>
        </w:rPr>
        <w:t>This adjustment is also related to the bifurcated embedded beneficial interest feature in the 2028 Refinancing Term Loan Facility, the 2030 Refinancing Term Loan Facility, and the New Euro Term Loan Facility. Pursuant to the terms of the Credit Agreement, the Applicable Rate on the Term Loans is contractually reduced by 0.25% per annum upon the consummation of a qualified initial public offering. This rate reduction gives rise to an embedded derivative that has been bifurcated from the host contract and recorded separately as a contra liability. The fair value of the embedded derivative is approximately $39 million in aggregate as of September 27, 2025, resulting in a reduction of long-term borrowings and a decrease of accumulated deficit. This liability will be subsequently measured at fair value, with changes in fair value recognized through interest expense in the statement of operations.</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97</w:t>
      </w:r>
    </w:p>
    <w:p>
      <w:pPr>
        <w:sectPr>
          <w:pgSz w:w="11900" w:h="16838" w:orient="portrait"/>
          <w:cols w:equalWidth="0" w:num="1">
            <w:col w:w="10480"/>
          </w:cols>
          <w:pgMar w:left="320" w:top="420" w:right="10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right="40"/>
        <w:spacing w:after="0" w:line="281" w:lineRule="auto"/>
        <w:rPr>
          <w:sz w:val="20"/>
          <w:szCs w:val="20"/>
          <w:color w:val="auto"/>
        </w:rPr>
      </w:pPr>
      <w:r>
        <w:rPr>
          <w:rFonts w:ascii="Times New Roman" w:cs="Times New Roman" w:eastAsia="Times New Roman" w:hAnsi="Times New Roman"/>
          <w:sz w:val="16"/>
          <w:szCs w:val="16"/>
          <w:color w:val="auto"/>
        </w:rPr>
        <w:t>The adjustment to pay off accrued interest of $43 million for both the New Euro Term Loan Facility and the 2028 Refinancing Term Loan Facility is within Accrued expenses and other current liabilities.</w:t>
      </w:r>
    </w:p>
    <w:p>
      <w:pPr>
        <w:spacing w:after="0" w:line="60" w:lineRule="exact"/>
        <w:rPr>
          <w:sz w:val="20"/>
          <w:szCs w:val="20"/>
          <w:color w:val="auto"/>
        </w:rPr>
      </w:pPr>
    </w:p>
    <w:p>
      <w:pPr>
        <w:ind w:left="1600" w:hanging="479"/>
        <w:spacing w:after="0"/>
        <w:tabs>
          <w:tab w:leader="none" w:pos="160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is a reconciliation of the adjustments impacting additional paid-in-capital:</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(in millions)</w:t>
            </w:r>
          </w:p>
        </w:tc>
        <w:tc>
          <w:tcPr>
            <w:tcW w:w="2640" w:type="dxa"/>
            <w:vAlign w:val="bottom"/>
            <w:gridSpan w:val="4"/>
          </w:tcPr>
          <w:p>
            <w:pPr>
              <w:ind w:left="1500"/>
              <w:spacing w:after="0" w:line="132"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Note</w:t>
            </w:r>
          </w:p>
        </w:tc>
        <w:tc>
          <w:tcPr>
            <w:tcW w:w="0" w:type="dxa"/>
            <w:vAlign w:val="bottom"/>
          </w:tcPr>
          <w:p>
            <w:pPr>
              <w:spacing w:after="0"/>
              <w:rPr>
                <w:sz w:val="1"/>
                <w:szCs w:val="1"/>
                <w:color w:val="auto"/>
              </w:rPr>
            </w:pPr>
          </w:p>
        </w:tc>
      </w:tr>
      <w:tr>
        <w:trPr>
          <w:trHeight w:val="154"/>
        </w:trPr>
        <w:tc>
          <w:tcPr>
            <w:tcW w:w="4940" w:type="dxa"/>
            <w:vAlign w:val="bottom"/>
            <w:gridSpan w:val="2"/>
            <w:vMerge w:val="continue"/>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85"/>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costs incurred in this offering</w:t>
            </w:r>
          </w:p>
        </w:tc>
        <w:tc>
          <w:tcPr>
            <w:tcW w:w="15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c</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DTA and TRA</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from offering of Class A common stock</w:t>
            </w: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5,066</w:t>
            </w: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noncontrolling interest</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(972)</w:t>
            </w:r>
          </w:p>
        </w:tc>
        <w:tc>
          <w:tcPr>
            <w:tcW w:w="34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g</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66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4,168</w:t>
            </w:r>
          </w:p>
        </w:tc>
        <w:tc>
          <w:tcPr>
            <w:tcW w:w="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600" w:right="140" w:hanging="479"/>
        <w:spacing w:after="0" w:line="265" w:lineRule="auto"/>
        <w:tabs>
          <w:tab w:leader="none" w:pos="160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the adjustments to additional paid-in-capital above in note (f), other accounts within shareholders’ equity, including accumulated deficit and accumulated other comprehensive income, are adjusted by $953 to reflect the approximately 40.3% of net assets attributable to the noncontrolling interests.</w:t>
      </w:r>
    </w:p>
    <w:p>
      <w:pPr>
        <w:spacing w:after="0" w:line="158"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2"/>
        </w:trPr>
        <w:tc>
          <w:tcPr>
            <w:tcW w:w="57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millions)</w:t>
            </w:r>
          </w:p>
        </w:tc>
        <w:tc>
          <w:tcPr>
            <w:tcW w:w="20" w:type="dxa"/>
            <w:vAlign w:val="bottom"/>
          </w:tcPr>
          <w:p>
            <w:pPr>
              <w:spacing w:after="0"/>
              <w:rPr>
                <w:sz w:val="11"/>
                <w:szCs w:val="11"/>
                <w:color w:val="auto"/>
              </w:rPr>
            </w:pPr>
          </w:p>
        </w:tc>
        <w:tc>
          <w:tcPr>
            <w:tcW w:w="86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0" w:type="dxa"/>
            <w:vAlign w:val="bottom"/>
          </w:tcPr>
          <w:p>
            <w:pPr>
              <w:spacing w:after="0"/>
              <w:rPr>
                <w:sz w:val="1"/>
                <w:szCs w:val="1"/>
                <w:color w:val="auto"/>
              </w:rPr>
            </w:pPr>
          </w:p>
        </w:tc>
      </w:tr>
      <w:tr>
        <w:trPr>
          <w:trHeight w:val="154"/>
        </w:trPr>
        <w:tc>
          <w:tcPr>
            <w:tcW w:w="576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noncontrolling interest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Reclassification of accumulated 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 of accumulated other comprehensive income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120" w:hanging="382"/>
        <w:spacing w:after="0"/>
        <w:tabs>
          <w:tab w:leader="none" w:pos="112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Notes to Unaudited Pro Forma Consolidated Statements of Income</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Transaction accounting adjustments include the following adjustments related to the unaudited pro forma consolidated statements of income for the nine months ended September 27, 2025 and the year ended December 31, 2024, as follows: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Reorganization Adjustments and Offering Adjustments</w:t>
      </w:r>
    </w:p>
    <w:p>
      <w:pPr>
        <w:spacing w:after="0" w:line="119" w:lineRule="exact"/>
        <w:rPr>
          <w:sz w:val="20"/>
          <w:szCs w:val="20"/>
          <w:color w:val="auto"/>
        </w:rPr>
      </w:pPr>
    </w:p>
    <w:p>
      <w:pPr>
        <w:ind w:left="1600" w:right="60" w:hanging="479"/>
        <w:spacing w:after="0" w:line="257" w:lineRule="auto"/>
        <w:tabs>
          <w:tab w:leader="none" w:pos="16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the Reorganization Transactions and Offering Transactions, Medline Inc. will be subject to U.S. federal income taxes, in addition to state and local taxes, as a corporation on its share of Medline Holdings’ taxable income. As a result, the unaudited pro forma consolidated statement of income reflects an adjustment to income tax expense to reflect an effective income tax rate of 25.5% and 25.5% for the nine months ended September 27, 2025 and the year ended December 31, 2024, respectively, which includes a provision for U.S. federal income taxes and assumes the highest statutory rates apportioned to each state and local jurisdiction.</w:t>
      </w:r>
    </w:p>
    <w:p>
      <w:pPr>
        <w:spacing w:after="0" w:line="80" w:lineRule="exact"/>
        <w:rPr>
          <w:rFonts w:ascii="Times New Roman" w:cs="Times New Roman" w:eastAsia="Times New Roman" w:hAnsi="Times New Roman"/>
          <w:sz w:val="16"/>
          <w:szCs w:val="16"/>
          <w:color w:val="auto"/>
        </w:rPr>
      </w:pPr>
    </w:p>
    <w:p>
      <w:pPr>
        <w:ind w:left="1600" w:right="100" w:hanging="479"/>
        <w:spacing w:after="0" w:line="255" w:lineRule="auto"/>
        <w:tabs>
          <w:tab w:leader="none" w:pos="16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“Organizational Structure,” upon completion of the Reorganization Transactions and Offering Transactions, Medline Inc. will become the sole general partner of Medline Holdings and its subsidiaries, and Medline Inc. will directly or indirectly own approximately 59.7% of the economic interest in Medline Holdings but will have 100% of the voting power and will control the management of Medline Holdings. Immediately following the completion of this offering, the ownership percentage held by noncontrolling interests will be approximately 39.1%. Net earnings attributable to the noncontrolling interests will represent 40.3% of net earnings before income taxes. These amounts have been determined based on an assumption that the underwriters’ option to purchase additional shares is not exercised.</w:t>
      </w:r>
    </w:p>
    <w:p>
      <w:pPr>
        <w:spacing w:after="0" w:line="1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98</w:t>
      </w:r>
    </w:p>
    <w:p>
      <w:pPr>
        <w:sectPr>
          <w:pgSz w:w="11900" w:h="16838" w:orient="portrait"/>
          <w:cols w:equalWidth="0" w:num="1">
            <w:col w:w="10480"/>
          </w:cols>
          <w:pgMar w:left="320" w:top="420" w:right="10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Offering Adjustments</w:t>
      </w:r>
    </w:p>
    <w:p>
      <w:pPr>
        <w:spacing w:after="0" w:line="119" w:lineRule="exact"/>
        <w:rPr>
          <w:sz w:val="20"/>
          <w:szCs w:val="20"/>
          <w:color w:val="auto"/>
        </w:rPr>
      </w:pPr>
    </w:p>
    <w:p>
      <w:pPr>
        <w:ind w:left="1600" w:hanging="479"/>
        <w:spacing w:after="0" w:line="260" w:lineRule="auto"/>
        <w:tabs>
          <w:tab w:leader="none" w:pos="16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non-recurring transaction-related costs of approximately $13 million in connection with the Offering Transactions that were not reflected in the historical consolidated statement of income. These non-recurring transaction-related costs were not eligible for capitalization and are reflected as if incurred on January 1, 2024, the date the Offering Transactions occurred for purposes of the unaudited pro forma consolidated statement of income.</w:t>
      </w:r>
    </w:p>
    <w:p>
      <w:pPr>
        <w:spacing w:after="0" w:line="76" w:lineRule="exact"/>
        <w:rPr>
          <w:rFonts w:ascii="Times New Roman" w:cs="Times New Roman" w:eastAsia="Times New Roman" w:hAnsi="Times New Roman"/>
          <w:sz w:val="16"/>
          <w:szCs w:val="16"/>
          <w:color w:val="auto"/>
        </w:rPr>
      </w:pPr>
    </w:p>
    <w:p>
      <w:pPr>
        <w:ind w:left="1600" w:right="400" w:hanging="479"/>
        <w:spacing w:after="0" w:line="281" w:lineRule="auto"/>
        <w:tabs>
          <w:tab w:leader="none" w:pos="16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adjustment relates to the compensation expense we expect to incur following the completion of this offering which relates to the following:</w:t>
      </w:r>
    </w:p>
    <w:p>
      <w:pPr>
        <w:spacing w:after="0" w:line="60" w:lineRule="exact"/>
        <w:rPr>
          <w:rFonts w:ascii="Times New Roman" w:cs="Times New Roman" w:eastAsia="Times New Roman" w:hAnsi="Times New Roman"/>
          <w:sz w:val="16"/>
          <w:szCs w:val="16"/>
          <w:color w:val="auto"/>
        </w:rPr>
      </w:pPr>
    </w:p>
    <w:p>
      <w:pPr>
        <w:ind w:left="2000" w:right="160" w:hanging="388"/>
        <w:spacing w:after="0" w:line="265" w:lineRule="auto"/>
        <w:tabs>
          <w:tab w:leader="none" w:pos="200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$2 million and $4 million of compensation expense for the nine months ended September 27, 2025 and for the year ended December 31, 2024, respectively, associated with awards which vest based on achievement of performance metrics tied to Sponsors’ invested capital in Medline Holdings (“MOIC”).</w:t>
      </w:r>
    </w:p>
    <w:p>
      <w:pPr>
        <w:spacing w:after="0" w:line="73" w:lineRule="exact"/>
        <w:rPr>
          <w:rFonts w:ascii="Times New Roman" w:cs="Times New Roman" w:eastAsia="Times New Roman" w:hAnsi="Times New Roman"/>
          <w:sz w:val="16"/>
          <w:szCs w:val="16"/>
          <w:color w:val="auto"/>
        </w:rPr>
      </w:pPr>
    </w:p>
    <w:p>
      <w:pPr>
        <w:ind w:left="2000" w:right="220" w:hanging="388"/>
        <w:spacing w:after="0" w:line="256" w:lineRule="auto"/>
        <w:tabs>
          <w:tab w:leader="none" w:pos="2000"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$15 million and $60 million of compensation expense for the nine months ended September 27, 2025 and the year ended December 31, 2024, respectively, associated with the grant of 6,770,442 stock options and 490,021 RSUs to certain employees we expect to make in connection with this offering. This amount was calculated assuming the stock options and RSUs were granted on January 1, 2024 at an exercise price equal to the initial public offering price of $29.00 per share of our Class A common stock. The grant date fair value of the stock options was determined using the Black-Scholes valuation model using the following assumptions:</w:t>
      </w:r>
    </w:p>
    <w:p>
      <w:pPr>
        <w:spacing w:after="0" w:line="204"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3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6.22  </w:t>
            </w: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35 - 48%</w:t>
            </w:r>
          </w:p>
        </w:tc>
      </w:tr>
    </w:tbl>
    <w:p>
      <w:pPr>
        <w:spacing w:after="0" w:line="182" w:lineRule="exact"/>
        <w:rPr>
          <w:sz w:val="20"/>
          <w:szCs w:val="20"/>
          <w:color w:val="auto"/>
        </w:rPr>
      </w:pPr>
    </w:p>
    <w:p>
      <w:pPr>
        <w:ind w:left="1600" w:hanging="479"/>
        <w:spacing w:after="0" w:line="254" w:lineRule="auto"/>
        <w:tabs>
          <w:tab w:leader="none" w:pos="16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 the reduction in contractual interest expense as a result of the repayment of a portion of the outstanding indebtedness under our 2028 Refinancing Term Loan Facility and repayment in full of the outstanding indebtedness under our New Euro Term Loan Facility, as described herein, as if such repayment occurred on January 1, 2024, (ii) the reduction in amortization expense associated with the unamortized debt issuance costs that were written-off as a result of the repayment of our 2028 Refinancing Term Loan Facility, and (iii) the reduction in interest expense from recognition of the bifurcated embedded derivative, and subsequent recognition of interest expense in the amortization of the bifurcated embedded derivative. The $64 million of unamortized debt issuance costs written-off was recognized as a loss on debt extinguishment and classified as other expense, net in the unaudited pro forma consolidated statement of income for the year ended December 31, 2024.</w:t>
      </w:r>
    </w:p>
    <w:p>
      <w:pPr>
        <w:spacing w:after="0" w:line="167"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gridSpan w:val="3"/>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Nine Months</w:t>
            </w:r>
          </w:p>
        </w:tc>
        <w:tc>
          <w:tcPr>
            <w:tcW w:w="420" w:type="dxa"/>
            <w:vAlign w:val="bottom"/>
          </w:tcPr>
          <w:p>
            <w:pPr>
              <w:spacing w:after="0"/>
              <w:rPr>
                <w:sz w:val="12"/>
                <w:szCs w:val="12"/>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Year Ended</w:t>
            </w:r>
          </w:p>
        </w:tc>
        <w:tc>
          <w:tcPr>
            <w:tcW w:w="0" w:type="dxa"/>
            <w:vAlign w:val="bottom"/>
          </w:tcPr>
          <w:p>
            <w:pPr>
              <w:spacing w:after="0"/>
              <w:rPr>
                <w:sz w:val="1"/>
                <w:szCs w:val="1"/>
                <w:color w:val="auto"/>
              </w:rPr>
            </w:pPr>
          </w:p>
        </w:tc>
      </w:tr>
      <w:tr>
        <w:trPr>
          <w:trHeight w:val="132"/>
        </w:trPr>
        <w:tc>
          <w:tcPr>
            <w:tcW w:w="5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600"/>
              <w:spacing w:after="0" w:line="132" w:lineRule="exact"/>
              <w:rPr>
                <w:sz w:val="20"/>
                <w:szCs w:val="20"/>
                <w:color w:val="auto"/>
              </w:rPr>
            </w:pPr>
            <w:r>
              <w:rPr>
                <w:rFonts w:ascii="Times New Roman" w:cs="Times New Roman" w:eastAsia="Times New Roman" w:hAnsi="Times New Roman"/>
                <w:sz w:val="13"/>
                <w:szCs w:val="13"/>
                <w:b w:val="1"/>
                <w:bCs w:val="1"/>
                <w:color w:val="auto"/>
                <w:w w:val="99"/>
              </w:rPr>
              <w:t>Ended</w:t>
            </w:r>
          </w:p>
        </w:tc>
        <w:tc>
          <w:tcPr>
            <w:tcW w:w="4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 millions)</w:t>
            </w:r>
          </w:p>
        </w:tc>
        <w:tc>
          <w:tcPr>
            <w:tcW w:w="1720" w:type="dxa"/>
            <w:vAlign w:val="bottom"/>
            <w:gridSpan w:val="4"/>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8"/>
              </w:rPr>
              <w:t>September 27,</w:t>
            </w:r>
          </w:p>
        </w:tc>
        <w:tc>
          <w:tcPr>
            <w:tcW w:w="1260" w:type="dxa"/>
            <w:vAlign w:val="bottom"/>
            <w:gridSpan w:val="4"/>
          </w:tcPr>
          <w:p>
            <w:pPr>
              <w:jc w:val="center"/>
              <w:ind w:left="208"/>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54"/>
        </w:trPr>
        <w:tc>
          <w:tcPr>
            <w:tcW w:w="5240" w:type="dxa"/>
            <w:vAlign w:val="bottom"/>
            <w:tcBorders>
              <w:bottom w:val="single" w:sz="8" w:color="CCEEFF"/>
            </w:tcBorders>
            <w:vMerge w:val="continue"/>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4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Reduction in contractual interest</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Reduction in amortization expense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Reduction in interest related to recognition of the bifurcated embedded</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Recognition of interest related to amortization of the bifurcated embedded</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4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600" w:hanging="479"/>
        <w:spacing w:after="0" w:line="265" w:lineRule="auto"/>
        <w:tabs>
          <w:tab w:leader="none" w:pos="160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recognition of $90 million of compensation expense for the year ended December 31, 2024, related to cash awards expected to be incurred following completion of this offering. The awards are payable to certain employees on the first anniversary of the IPO and are contingent on continued employment of the awardees through that date.</w:t>
      </w:r>
    </w:p>
    <w:p>
      <w:pPr>
        <w:spacing w:after="0" w:line="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99</w:t>
      </w:r>
    </w:p>
    <w:p>
      <w:pPr>
        <w:sectPr>
          <w:pgSz w:w="11900" w:h="16838" w:orient="portrait"/>
          <w:cols w:equalWidth="0" w:num="1">
            <w:col w:w="10500"/>
          </w:cols>
          <w:pgMar w:left="320" w:top="420" w:right="10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479"/>
        <w:spacing w:after="0" w:line="255" w:lineRule="auto"/>
        <w:tabs>
          <w:tab w:leader="none" w:pos="16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basic and diluted pro forma net income (loss) per share of Class A common stock represents pro forma net income (loss) attributable to Medline Inc. divided by the Class A common stock issued in the Reorganization Transactions and in this offering,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earnings per share of Class B common stock has not been presented. The table below presents the computation of pro forma basic and dilutive net income per share for Medline Inc. (in millions, except per share amounts):</w:t>
      </w:r>
    </w:p>
    <w:p>
      <w:pPr>
        <w:spacing w:after="0" w:line="167"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580" w:type="dxa"/>
            <w:vAlign w:val="bottom"/>
            <w:gridSpan w:val="3"/>
          </w:tcPr>
          <w:p>
            <w:pPr>
              <w:ind w:left="540"/>
              <w:spacing w:after="0"/>
              <w:rPr>
                <w:sz w:val="20"/>
                <w:szCs w:val="20"/>
                <w:color w:val="auto"/>
              </w:rPr>
            </w:pPr>
            <w:r>
              <w:rPr>
                <w:rFonts w:ascii="Times New Roman" w:cs="Times New Roman" w:eastAsia="Times New Roman" w:hAnsi="Times New Roman"/>
                <w:sz w:val="13"/>
                <w:szCs w:val="13"/>
                <w:color w:val="auto"/>
                <w:w w:val="97"/>
              </w:rPr>
              <w:t>Nine Months Ended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32"/>
        </w:trPr>
        <w:tc>
          <w:tcPr>
            <w:tcW w:w="4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ind w:right="82"/>
              <w:spacing w:after="0" w:line="132" w:lineRule="exact"/>
              <w:rPr>
                <w:sz w:val="20"/>
                <w:szCs w:val="20"/>
                <w:color w:val="auto"/>
              </w:rPr>
            </w:pPr>
            <w:r>
              <w:rPr>
                <w:rFonts w:ascii="Times New Roman" w:cs="Times New Roman" w:eastAsia="Times New Roman" w:hAnsi="Times New Roman"/>
                <w:sz w:val="13"/>
                <w:szCs w:val="13"/>
                <w:color w:val="auto"/>
              </w:rPr>
              <w:t>September 27,</w:t>
            </w: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color w:val="auto"/>
                <w:w w:val="98"/>
              </w:rPr>
              <w:t>December 31,</w:t>
            </w:r>
          </w:p>
        </w:tc>
      </w:tr>
      <w:tr>
        <w:trPr>
          <w:trHeight w:val="152"/>
        </w:trPr>
        <w:tc>
          <w:tcPr>
            <w:tcW w:w="460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3"/>
                <w:szCs w:val="13"/>
                <w:color w:val="auto"/>
              </w:rPr>
              <w:t>2025</w:t>
            </w:r>
          </w:p>
        </w:tc>
        <w:tc>
          <w:tcPr>
            <w:tcW w:w="9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3"/>
                <w:szCs w:val="13"/>
                <w:color w:val="auto"/>
                <w:w w:val="99"/>
              </w:rPr>
              <w:t>2024</w:t>
            </w:r>
          </w:p>
        </w:tc>
        <w:tc>
          <w:tcPr>
            <w:tcW w:w="60" w:type="dxa"/>
            <w:vAlign w:val="bottom"/>
            <w:tcBorders>
              <w:bottom w:val="single" w:sz="8" w:color="CCEEFF"/>
            </w:tcBorders>
          </w:tcPr>
          <w:p>
            <w:pPr>
              <w:spacing w:after="0"/>
              <w:rPr>
                <w:sz w:val="13"/>
                <w:szCs w:val="13"/>
                <w:color w:val="auto"/>
              </w:rPr>
            </w:pPr>
          </w:p>
        </w:tc>
      </w:tr>
      <w:tr>
        <w:trPr>
          <w:trHeight w:val="172"/>
        </w:trPr>
        <w:tc>
          <w:tcPr>
            <w:tcW w:w="46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Numerator:</w:t>
            </w: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92"/>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60" w:type="dxa"/>
            <w:vAlign w:val="bottom"/>
          </w:tcPr>
          <w:p>
            <w:pPr>
              <w:spacing w:after="0"/>
              <w:rPr>
                <w:sz w:val="16"/>
                <w:szCs w:val="16"/>
                <w:color w:val="auto"/>
              </w:rPr>
            </w:pPr>
          </w:p>
        </w:tc>
      </w:tr>
      <w:tr>
        <w:trPr>
          <w:trHeight w:val="19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5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9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60" w:type="dxa"/>
            <w:vAlign w:val="bottom"/>
            <w:shd w:val="clear" w:color="auto" w:fill="CCEEFF"/>
          </w:tcPr>
          <w:p>
            <w:pPr>
              <w:spacing w:after="0"/>
              <w:rPr>
                <w:sz w:val="16"/>
                <w:szCs w:val="16"/>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Medline Inc.</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60" w:type="dxa"/>
            <w:vAlign w:val="bottom"/>
          </w:tcPr>
          <w:p>
            <w:pPr>
              <w:spacing w:after="0"/>
              <w:rPr>
                <w:sz w:val="17"/>
                <w:szCs w:val="17"/>
                <w:color w:val="auto"/>
              </w:rPr>
            </w:pPr>
          </w:p>
        </w:tc>
      </w:tr>
      <w:tr>
        <w:trPr>
          <w:trHeight w:val="175"/>
        </w:trPr>
        <w:tc>
          <w:tcPr>
            <w:tcW w:w="46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Reallocation of net income attributable to vested but unissued</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4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60" w:type="dxa"/>
            <w:vAlign w:val="bottom"/>
            <w:shd w:val="clear" w:color="auto" w:fill="CCEEFF"/>
          </w:tcPr>
          <w:p>
            <w:pPr>
              <w:spacing w:after="0"/>
              <w:rPr>
                <w:sz w:val="18"/>
                <w:szCs w:val="18"/>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net income per share (Basic)</w:t>
            </w:r>
          </w:p>
        </w:tc>
        <w:tc>
          <w:tcPr>
            <w:tcW w:w="5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9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60" w:type="dxa"/>
            <w:vAlign w:val="bottom"/>
          </w:tcPr>
          <w:p>
            <w:pPr>
              <w:spacing w:after="0"/>
              <w:rPr>
                <w:sz w:val="17"/>
                <w:szCs w:val="17"/>
                <w:color w:val="auto"/>
              </w:rPr>
            </w:pPr>
          </w:p>
        </w:tc>
      </w:tr>
      <w:tr>
        <w:trPr>
          <w:trHeight w:val="192"/>
        </w:trPr>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income effect of dilutive securities: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4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Effect of stock compensation awards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6"/>
                <w:szCs w:val="16"/>
                <w:color w:val="auto"/>
              </w:rPr>
            </w:pPr>
          </w:p>
        </w:tc>
      </w:tr>
      <w:tr>
        <w:trPr>
          <w:trHeight w:val="175"/>
        </w:trPr>
        <w:tc>
          <w:tcPr>
            <w:tcW w:w="460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Effect of conversion of Class B common stock to Class 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4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common stock</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60" w:type="dxa"/>
            <w:vAlign w:val="bottom"/>
            <w:shd w:val="clear" w:color="auto" w:fill="CCEEFF"/>
          </w:tcPr>
          <w:p>
            <w:pPr>
              <w:spacing w:after="0"/>
              <w:rPr>
                <w:sz w:val="18"/>
                <w:szCs w:val="18"/>
                <w:color w:val="auto"/>
              </w:rPr>
            </w:pPr>
          </w:p>
        </w:tc>
      </w:tr>
      <w:tr>
        <w:trPr>
          <w:trHeight w:val="196"/>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Numerator for net income per share (Diluted)</w:t>
            </w:r>
          </w:p>
        </w:tc>
        <w:tc>
          <w:tcPr>
            <w:tcW w:w="5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9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60" w:type="dxa"/>
            <w:vAlign w:val="bottom"/>
          </w:tcPr>
          <w:p>
            <w:pPr>
              <w:spacing w:after="0"/>
              <w:rPr>
                <w:sz w:val="17"/>
                <w:szCs w:val="17"/>
                <w:color w:val="auto"/>
              </w:rPr>
            </w:pPr>
          </w:p>
        </w:tc>
      </w:tr>
      <w:tr>
        <w:trPr>
          <w:trHeight w:val="19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75"/>
        </w:trPr>
        <w:tc>
          <w:tcPr>
            <w:tcW w:w="4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798,168,619</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797,952,430</w:t>
            </w:r>
          </w:p>
        </w:tc>
        <w:tc>
          <w:tcPr>
            <w:tcW w:w="60" w:type="dxa"/>
            <w:vAlign w:val="bottom"/>
          </w:tcPr>
          <w:p>
            <w:pPr>
              <w:spacing w:after="0"/>
              <w:rPr>
                <w:sz w:val="18"/>
                <w:szCs w:val="18"/>
                <w:color w:val="auto"/>
              </w:rPr>
            </w:pPr>
          </w:p>
        </w:tc>
      </w:tr>
      <w:tr>
        <w:trPr>
          <w:trHeight w:val="192"/>
        </w:trPr>
        <w:tc>
          <w:tcPr>
            <w:tcW w:w="4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2"/>
        </w:trPr>
        <w:tc>
          <w:tcPr>
            <w:tcW w:w="460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Effect of stock compensation awards</w:t>
            </w:r>
            <w:r>
              <w:rPr>
                <w:rFonts w:ascii="Times New Roman" w:cs="Times New Roman" w:eastAsia="Times New Roman" w:hAnsi="Times New Roman"/>
                <w:sz w:val="22"/>
                <w:szCs w:val="22"/>
                <w:color w:val="auto"/>
                <w:vertAlign w:val="superscript"/>
              </w:rPr>
              <w:t>(1)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17,692,012</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15,452,730</w:t>
            </w:r>
          </w:p>
        </w:tc>
        <w:tc>
          <w:tcPr>
            <w:tcW w:w="60" w:type="dxa"/>
            <w:vAlign w:val="bottom"/>
          </w:tcPr>
          <w:p>
            <w:pPr>
              <w:spacing w:after="0"/>
              <w:rPr>
                <w:sz w:val="16"/>
                <w:szCs w:val="16"/>
                <w:color w:val="auto"/>
              </w:rPr>
            </w:pPr>
          </w:p>
        </w:tc>
      </w:tr>
      <w:tr>
        <w:trPr>
          <w:trHeight w:val="175"/>
        </w:trPr>
        <w:tc>
          <w:tcPr>
            <w:tcW w:w="460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Effect of conversion of Class B common stock to Class A</w:t>
            </w: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8"/>
        </w:trPr>
        <w:tc>
          <w:tcPr>
            <w:tcW w:w="4600" w:type="dxa"/>
            <w:vAlign w:val="bottom"/>
            <w:shd w:val="clear" w:color="auto" w:fill="CCEEFF"/>
          </w:tcPr>
          <w:p>
            <w:pPr>
              <w:ind w:left="480"/>
              <w:spacing w:after="0" w:line="208" w:lineRule="exact"/>
              <w:rPr>
                <w:sz w:val="20"/>
                <w:szCs w:val="20"/>
                <w:color w:val="auto"/>
              </w:rPr>
            </w:pPr>
            <w:r>
              <w:rPr>
                <w:rFonts w:ascii="Times New Roman" w:cs="Times New Roman" w:eastAsia="Times New Roman" w:hAnsi="Times New Roman"/>
                <w:sz w:val="16"/>
                <w:szCs w:val="16"/>
                <w:color w:val="auto"/>
              </w:rPr>
              <w:t>common stock</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513,917,418</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513,917,418</w:t>
            </w:r>
          </w:p>
        </w:tc>
        <w:tc>
          <w:tcPr>
            <w:tcW w:w="60" w:type="dxa"/>
            <w:vAlign w:val="bottom"/>
            <w:shd w:val="clear" w:color="auto" w:fill="CCEEFF"/>
          </w:tcPr>
          <w:p>
            <w:pPr>
              <w:spacing w:after="0"/>
              <w:rPr>
                <w:sz w:val="18"/>
                <w:szCs w:val="18"/>
                <w:color w:val="auto"/>
              </w:rPr>
            </w:pPr>
          </w:p>
        </w:tc>
      </w:tr>
      <w:tr>
        <w:trPr>
          <w:trHeight w:val="175"/>
        </w:trPr>
        <w:tc>
          <w:tcPr>
            <w:tcW w:w="460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Weighted-average shares of Class A common stock outstanding</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8"/>
        </w:trPr>
        <w:tc>
          <w:tcPr>
            <w:tcW w:w="46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1,329,778,049</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1,327,322,578</w:t>
            </w:r>
          </w:p>
        </w:tc>
        <w:tc>
          <w:tcPr>
            <w:tcW w:w="60" w:type="dxa"/>
            <w:vAlign w:val="bottom"/>
          </w:tcPr>
          <w:p>
            <w:pPr>
              <w:spacing w:after="0"/>
              <w:rPr>
                <w:sz w:val="18"/>
                <w:szCs w:val="18"/>
                <w:color w:val="auto"/>
              </w:rPr>
            </w:pPr>
          </w:p>
        </w:tc>
      </w:tr>
      <w:tr>
        <w:trPr>
          <w:trHeight w:val="192"/>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Basic net income per share</w:t>
            </w:r>
          </w:p>
        </w:tc>
        <w:tc>
          <w:tcPr>
            <w:tcW w:w="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60" w:type="dxa"/>
            <w:vAlign w:val="bottom"/>
            <w:shd w:val="clear" w:color="auto" w:fill="CCEEFF"/>
          </w:tcPr>
          <w:p>
            <w:pPr>
              <w:spacing w:after="0"/>
              <w:rPr>
                <w:sz w:val="16"/>
                <w:szCs w:val="16"/>
                <w:color w:val="auto"/>
              </w:rPr>
            </w:pPr>
          </w:p>
        </w:tc>
      </w:tr>
      <w:tr>
        <w:trPr>
          <w:trHeight w:val="20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Pro Forma Diluted net income per share</w:t>
            </w:r>
          </w:p>
        </w:tc>
        <w:tc>
          <w:tcPr>
            <w:tcW w:w="6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65405</wp:posOffset>
            </wp:positionV>
            <wp:extent cx="68453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11" w:lineRule="exact"/>
        <w:rPr>
          <w:sz w:val="20"/>
          <w:szCs w:val="20"/>
          <w:color w:val="auto"/>
        </w:rPr>
      </w:pPr>
    </w:p>
    <w:p>
      <w:pPr>
        <w:ind w:left="1900" w:right="40" w:hanging="288"/>
        <w:spacing w:after="0" w:line="229" w:lineRule="auto"/>
        <w:tabs>
          <w:tab w:leader="none" w:pos="19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shares of Class A common stock are excluded from the computation of diluted net income per share if their effect would have been anti-dilutive for the period presented or if the issuance of shares is contingent upon events that did not occur by the end of the period. The following table presents potentially dilutive securities excluded from the computation of diluted net income per share/unit for the period presented.</w:t>
      </w:r>
    </w:p>
    <w:p>
      <w:pPr>
        <w:spacing w:after="0" w:line="165"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2760" w:type="dxa"/>
            <w:vAlign w:val="bottom"/>
            <w:gridSpan w:val="2"/>
          </w:tcPr>
          <w:p>
            <w:pPr>
              <w:jc w:val="center"/>
              <w:ind w:left="1636"/>
              <w:spacing w:after="0"/>
              <w:rPr>
                <w:sz w:val="20"/>
                <w:szCs w:val="20"/>
                <w:color w:val="auto"/>
              </w:rPr>
            </w:pPr>
            <w:r>
              <w:rPr>
                <w:rFonts w:ascii="Times New Roman" w:cs="Times New Roman" w:eastAsia="Times New Roman" w:hAnsi="Times New Roman"/>
                <w:sz w:val="13"/>
                <w:szCs w:val="13"/>
                <w:color w:val="auto"/>
                <w:w w:val="97"/>
              </w:rPr>
              <w:t>Nine Months Ended</w:t>
            </w:r>
          </w:p>
        </w:tc>
        <w:tc>
          <w:tcPr>
            <w:tcW w:w="620" w:type="dxa"/>
            <w:vAlign w:val="bottom"/>
          </w:tcPr>
          <w:p>
            <w:pPr>
              <w:spacing w:after="0"/>
              <w:rPr>
                <w:sz w:val="12"/>
                <w:szCs w:val="12"/>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7"/>
              </w:rPr>
              <w:t>Year Ended</w:t>
            </w:r>
          </w:p>
        </w:tc>
      </w:tr>
      <w:tr>
        <w:trPr>
          <w:trHeight w:val="132"/>
        </w:trPr>
        <w:tc>
          <w:tcPr>
            <w:tcW w:w="30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40" w:type="dxa"/>
            <w:vAlign w:val="bottom"/>
          </w:tcPr>
          <w:p>
            <w:pPr>
              <w:jc w:val="center"/>
              <w:spacing w:after="0" w:line="132" w:lineRule="exact"/>
              <w:rPr>
                <w:sz w:val="20"/>
                <w:szCs w:val="20"/>
                <w:color w:val="auto"/>
              </w:rPr>
            </w:pPr>
            <w:r>
              <w:rPr>
                <w:rFonts w:ascii="Times New Roman" w:cs="Times New Roman" w:eastAsia="Times New Roman" w:hAnsi="Times New Roman"/>
                <w:sz w:val="13"/>
                <w:szCs w:val="13"/>
                <w:color w:val="auto"/>
                <w:w w:val="98"/>
              </w:rPr>
              <w:t>September 27,</w:t>
            </w:r>
          </w:p>
        </w:tc>
        <w:tc>
          <w:tcPr>
            <w:tcW w:w="1380" w:type="dxa"/>
            <w:vAlign w:val="bottom"/>
            <w:gridSpan w:val="3"/>
          </w:tcPr>
          <w:p>
            <w:pPr>
              <w:jc w:val="center"/>
              <w:ind w:left="516"/>
              <w:spacing w:after="0" w:line="132" w:lineRule="exact"/>
              <w:rPr>
                <w:sz w:val="20"/>
                <w:szCs w:val="20"/>
                <w:color w:val="auto"/>
              </w:rPr>
            </w:pPr>
            <w:r>
              <w:rPr>
                <w:rFonts w:ascii="Times New Roman" w:cs="Times New Roman" w:eastAsia="Times New Roman" w:hAnsi="Times New Roman"/>
                <w:sz w:val="13"/>
                <w:szCs w:val="13"/>
                <w:color w:val="auto"/>
                <w:w w:val="98"/>
              </w:rPr>
              <w:t>December 31,</w:t>
            </w:r>
          </w:p>
        </w:tc>
      </w:tr>
      <w:tr>
        <w:trPr>
          <w:trHeight w:val="152"/>
        </w:trPr>
        <w:tc>
          <w:tcPr>
            <w:tcW w:w="3080" w:type="dxa"/>
            <w:vAlign w:val="bottom"/>
          </w:tcPr>
          <w:p>
            <w:pPr>
              <w:spacing w:after="0"/>
              <w:rPr>
                <w:sz w:val="13"/>
                <w:szCs w:val="13"/>
                <w:color w:val="auto"/>
              </w:rPr>
            </w:pPr>
          </w:p>
        </w:tc>
        <w:tc>
          <w:tcPr>
            <w:tcW w:w="2760" w:type="dxa"/>
            <w:vAlign w:val="bottom"/>
            <w:gridSpan w:val="2"/>
          </w:tcPr>
          <w:p>
            <w:pPr>
              <w:jc w:val="center"/>
              <w:ind w:left="1636"/>
              <w:spacing w:after="0"/>
              <w:rPr>
                <w:sz w:val="20"/>
                <w:szCs w:val="20"/>
                <w:color w:val="auto"/>
              </w:rPr>
            </w:pPr>
            <w:r>
              <w:rPr>
                <w:rFonts w:ascii="Times New Roman" w:cs="Times New Roman" w:eastAsia="Times New Roman" w:hAnsi="Times New Roman"/>
                <w:sz w:val="13"/>
                <w:szCs w:val="13"/>
                <w:color w:val="auto"/>
                <w:w w:val="99"/>
              </w:rPr>
              <w:t>2025</w:t>
            </w:r>
          </w:p>
        </w:tc>
        <w:tc>
          <w:tcPr>
            <w:tcW w:w="1340" w:type="dxa"/>
            <w:vAlign w:val="bottom"/>
            <w:gridSpan w:val="2"/>
          </w:tcPr>
          <w:p>
            <w:pPr>
              <w:jc w:val="center"/>
              <w:ind w:left="556"/>
              <w:spacing w:after="0"/>
              <w:rPr>
                <w:sz w:val="20"/>
                <w:szCs w:val="20"/>
                <w:color w:val="auto"/>
              </w:rPr>
            </w:pPr>
            <w:r>
              <w:rPr>
                <w:rFonts w:ascii="Times New Roman" w:cs="Times New Roman" w:eastAsia="Times New Roman" w:hAnsi="Times New Roman"/>
                <w:sz w:val="13"/>
                <w:szCs w:val="13"/>
                <w:color w:val="auto"/>
                <w:w w:val="92"/>
              </w:rPr>
              <w:t>2024</w:t>
            </w:r>
          </w:p>
        </w:tc>
        <w:tc>
          <w:tcPr>
            <w:tcW w:w="40" w:type="dxa"/>
            <w:vAlign w:val="bottom"/>
          </w:tcPr>
          <w:p>
            <w:pPr>
              <w:spacing w:after="0"/>
              <w:rPr>
                <w:sz w:val="13"/>
                <w:szCs w:val="13"/>
                <w:color w:val="auto"/>
              </w:rPr>
            </w:pPr>
          </w:p>
        </w:tc>
      </w:tr>
      <w:tr>
        <w:trPr>
          <w:trHeight w:val="124"/>
        </w:trPr>
        <w:tc>
          <w:tcPr>
            <w:tcW w:w="30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Restricted stock awards</w:t>
            </w:r>
          </w:p>
        </w:tc>
        <w:tc>
          <w:tcPr>
            <w:tcW w:w="17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161,334</w:t>
            </w:r>
          </w:p>
        </w:tc>
        <w:tc>
          <w:tcPr>
            <w:tcW w:w="62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129,957</w:t>
            </w:r>
          </w:p>
        </w:tc>
        <w:tc>
          <w:tcPr>
            <w:tcW w:w="40" w:type="dxa"/>
            <w:vAlign w:val="bottom"/>
            <w:tcBorders>
              <w:top w:val="single" w:sz="8" w:color="CCEEFF"/>
            </w:tcBorders>
            <w:shd w:val="clear" w:color="auto" w:fill="CCEEFF"/>
          </w:tcPr>
          <w:p>
            <w:pPr>
              <w:spacing w:after="0"/>
              <w:rPr>
                <w:sz w:val="10"/>
                <w:szCs w:val="10"/>
                <w:color w:val="auto"/>
              </w:rPr>
            </w:pPr>
          </w:p>
        </w:tc>
      </w:tr>
      <w:tr>
        <w:trPr>
          <w:trHeight w:val="132"/>
        </w:trPr>
        <w:tc>
          <w:tcPr>
            <w:tcW w:w="30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Stock options</w:t>
            </w:r>
          </w:p>
        </w:tc>
        <w:tc>
          <w:tcPr>
            <w:tcW w:w="276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6,770,442</w:t>
            </w:r>
          </w:p>
        </w:tc>
        <w:tc>
          <w:tcPr>
            <w:tcW w:w="13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6,770,442</w:t>
            </w:r>
          </w:p>
        </w:tc>
        <w:tc>
          <w:tcPr>
            <w:tcW w:w="40" w:type="dxa"/>
            <w:vAlign w:val="bottom"/>
          </w:tcPr>
          <w:p>
            <w:pPr>
              <w:spacing w:after="0"/>
              <w:rPr>
                <w:sz w:val="11"/>
                <w:szCs w:val="11"/>
                <w:color w:val="auto"/>
              </w:rPr>
            </w:pPr>
          </w:p>
        </w:tc>
      </w:tr>
      <w:tr>
        <w:trPr>
          <w:trHeight w:val="132"/>
        </w:trPr>
        <w:tc>
          <w:tcPr>
            <w:tcW w:w="30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Incentive units</w:t>
            </w:r>
          </w:p>
        </w:tc>
        <w:tc>
          <w:tcPr>
            <w:tcW w:w="27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3,080,934</w:t>
            </w:r>
          </w:p>
        </w:tc>
        <w:tc>
          <w:tcPr>
            <w:tcW w:w="134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3,080,934</w:t>
            </w:r>
          </w:p>
        </w:tc>
        <w:tc>
          <w:tcPr>
            <w:tcW w:w="40" w:type="dxa"/>
            <w:vAlign w:val="bottom"/>
            <w:shd w:val="clear" w:color="auto" w:fill="CCEEFF"/>
          </w:tcPr>
          <w:p>
            <w:pPr>
              <w:spacing w:after="0"/>
              <w:rPr>
                <w:sz w:val="11"/>
                <w:szCs w:val="11"/>
                <w:color w:val="auto"/>
              </w:rPr>
            </w:pPr>
          </w:p>
        </w:tc>
      </w:tr>
      <w:tr>
        <w:trPr>
          <w:trHeight w:val="132"/>
        </w:trPr>
        <w:tc>
          <w:tcPr>
            <w:tcW w:w="30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Performance-based awards</w:t>
            </w:r>
          </w:p>
        </w:tc>
        <w:tc>
          <w:tcPr>
            <w:tcW w:w="276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1,769,184</w:t>
            </w:r>
          </w:p>
        </w:tc>
        <w:tc>
          <w:tcPr>
            <w:tcW w:w="134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1,769,184</w:t>
            </w:r>
          </w:p>
        </w:tc>
        <w:tc>
          <w:tcPr>
            <w:tcW w:w="40" w:type="dxa"/>
            <w:vAlign w:val="bottom"/>
          </w:tcPr>
          <w:p>
            <w:pPr>
              <w:spacing w:after="0"/>
              <w:rPr>
                <w:sz w:val="11"/>
                <w:szCs w:val="11"/>
                <w:color w:val="auto"/>
              </w:rPr>
            </w:pPr>
          </w:p>
        </w:tc>
      </w:tr>
      <w:tr>
        <w:trPr>
          <w:trHeight w:val="132"/>
        </w:trPr>
        <w:tc>
          <w:tcPr>
            <w:tcW w:w="30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Class B common stock</w:t>
            </w:r>
          </w:p>
        </w:tc>
        <w:tc>
          <w:tcPr>
            <w:tcW w:w="17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520"/>
              <w:spacing w:after="0" w:line="132" w:lineRule="exact"/>
              <w:rPr>
                <w:sz w:val="20"/>
                <w:szCs w:val="20"/>
                <w:color w:val="auto"/>
              </w:rPr>
            </w:pPr>
            <w:r>
              <w:rPr>
                <w:rFonts w:ascii="Times New Roman" w:cs="Times New Roman" w:eastAsia="Times New Roman" w:hAnsi="Times New Roman"/>
                <w:sz w:val="13"/>
                <w:szCs w:val="13"/>
                <w:color w:val="auto"/>
              </w:rPr>
              <w:t>— </w:t>
            </w:r>
          </w:p>
        </w:tc>
      </w:tr>
    </w:tbl>
    <w:p>
      <w:pPr>
        <w:spacing w:after="0" w:line="196" w:lineRule="exact"/>
        <w:rPr>
          <w:sz w:val="20"/>
          <w:szCs w:val="20"/>
          <w:color w:val="auto"/>
        </w:rPr>
      </w:pPr>
    </w:p>
    <w:p>
      <w:pPr>
        <w:ind w:left="1900" w:right="200" w:hanging="288"/>
        <w:spacing w:after="0" w:line="229" w:lineRule="auto"/>
        <w:tabs>
          <w:tab w:leader="none" w:pos="19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noncontrolling interest owners, which we refer to as Continuing Unitholders, have exchange rights which enable the noncontrolling interest owners to exchange Common Units for shares of Class A common stock on a one-for-one basis. The noncontrolling interest owners exchange rights cause the Common Units to be considered dilutive shares for purposes of dilutive income per share calculations.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100</w:t>
      </w:r>
    </w:p>
    <w:p>
      <w:pPr>
        <w:sectPr>
          <w:pgSz w:w="11900" w:h="16838" w:orient="portrait"/>
          <w:cols w:equalWidth="0" w:num="1">
            <w:col w:w="10500"/>
          </w:cols>
          <w:pgMar w:left="320" w:top="420" w:right="10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99"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results of operations and financial condition in conjunction with the “Unaudited Pro Forma Condensed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7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For the nine months ended September 27, 2025, our financial results were as follows:</w:t>
      </w:r>
    </w:p>
    <w:p>
      <w:pPr>
        <w:spacing w:after="0" w:line="115" w:lineRule="exact"/>
        <w:rPr>
          <w:sz w:val="20"/>
          <w:szCs w:val="20"/>
          <w:color w:val="auto"/>
        </w:rPr>
      </w:pPr>
    </w:p>
    <w:p>
      <w:pPr>
        <w:ind w:left="1600" w:right="460" w:hanging="383"/>
        <w:spacing w:after="0" w:line="281" w:lineRule="auto"/>
        <w:tabs>
          <w:tab w:leader="none" w:pos="1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generated net sales of $20.6 billion, net income of $1.0 billion, and Adjusted EBITDA of $2.7 billion, representing a net income margin of 4.7% and an Adjusted EBITDA Margin of 12.9%.</w:t>
      </w:r>
    </w:p>
    <w:p>
      <w:pPr>
        <w:spacing w:after="0" w:line="60"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that period, 48.4% of total net sales and 81.2% of Segment Adjusted EBITDA were generated from our Medline Brand segment, while 51.6% of total net sales and 18.8% of Segment Adjusted EBITDA were generated from Supply Chain Solutions.</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For the year ended December 31, 2024, our financial results were as follows:</w:t>
      </w:r>
    </w:p>
    <w:p>
      <w:pPr>
        <w:spacing w:after="0" w:line="115" w:lineRule="exact"/>
        <w:rPr>
          <w:sz w:val="20"/>
          <w:szCs w:val="20"/>
          <w:color w:val="auto"/>
        </w:rPr>
      </w:pPr>
    </w:p>
    <w:p>
      <w:pPr>
        <w:ind w:left="1600" w:right="460" w:hanging="383"/>
        <w:spacing w:after="0" w:line="281" w:lineRule="auto"/>
        <w:tabs>
          <w:tab w:leader="none" w:pos="16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generated net sales of $25.5 billion, net income of $1.2 billion, and Adjusted EBITDA of $3.4 billion, representing a net income margin of 4.7% and an Adjusted EBITDA Margin of 13.2%.</w:t>
      </w:r>
    </w:p>
    <w:p>
      <w:pPr>
        <w:spacing w:after="0" w:line="60"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that period, 49.1% of total net sales and 83.5% of Segment Adjusted EBITDA were generated from our Medline Brand segment, while 50.9% of total net sales and 16.5% of Segment Adjusted EBITDA were generated from Supply Chain Solutions.</w:t>
      </w:r>
    </w:p>
    <w:p>
      <w:pPr>
        <w:spacing w:after="0" w:line="144"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For a reconciliation of Adjusted EBITDA and Adjusted EBITDA Margin to the most directly comparable United States generally accepted accounting principles (“GAAP”) financial measures, information about why we consider Adjusted EBITDA and Adjusted EBITDA Margin useful, and a discussion of the material risks and limitations of these measures, see “—Non-GAAP Financial Information.”</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Segments</w:t>
      </w:r>
    </w:p>
    <w:p>
      <w:pPr>
        <w:spacing w:after="0" w:line="105" w:lineRule="exact"/>
        <w:rPr>
          <w:sz w:val="20"/>
          <w:szCs w:val="20"/>
          <w:color w:val="auto"/>
        </w:rPr>
      </w:pPr>
    </w:p>
    <w:p>
      <w:pPr>
        <w:ind w:left="740" w:right="400" w:firstLine="391"/>
        <w:spacing w:after="0" w:line="281" w:lineRule="auto"/>
        <w:rPr>
          <w:sz w:val="20"/>
          <w:szCs w:val="20"/>
          <w:color w:val="auto"/>
        </w:rPr>
      </w:pPr>
      <w:r>
        <w:rPr>
          <w:rFonts w:ascii="Times New Roman" w:cs="Times New Roman" w:eastAsia="Times New Roman" w:hAnsi="Times New Roman"/>
          <w:sz w:val="16"/>
          <w:szCs w:val="16"/>
          <w:color w:val="auto"/>
        </w:rPr>
        <w:t>We operate under two reportable segments, Medline Brand and Supply Chain Solutions. During the nine months ended September 27, 2025, Medline Brand segment net sales and Segment Adjusted EBITDA were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101</w:t>
      </w:r>
    </w:p>
    <w:p>
      <w:pPr>
        <w:sectPr>
          <w:pgSz w:w="11900" w:h="16838" w:orient="portrait"/>
          <w:cols w:equalWidth="0" w:num="1">
            <w:col w:w="10500"/>
          </w:cols>
          <w:pgMar w:left="320" w:top="420" w:right="10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$10.0 billion and $2.5 billion, respectively, while Supply Chain Solutions segment net sales and Segment Adjusted EBITDA were $10.6 billion and $0.6 billion, respectively. During the year ended December 31, 2024, Medline Brand segment net sales and Segment Adjusted EBITDA were $12.5 billion and $3.3 billion, respectively, while Supply Chain Solutions segment net sales and Segment Adjusted EBITDA were $13.0 billion and $0.6 billion, respectively.</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107"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We offer our customers approximately 190,000 med-surg products through our Medline Brand segment. We produce approximately one-third of these products, which are primarily Class I and II medical devices, through our 33 manufacturing facilities.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w:t>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three Medline Brand segment product categories are as follows:</w:t>
      </w:r>
    </w:p>
    <w:p>
      <w:pPr>
        <w:spacing w:after="0" w:line="113" w:lineRule="exact"/>
        <w:rPr>
          <w:sz w:val="20"/>
          <w:szCs w:val="20"/>
          <w:color w:val="auto"/>
        </w:rPr>
      </w:pPr>
    </w:p>
    <w:p>
      <w:pPr>
        <w:ind w:left="1600" w:right="60" w:hanging="383"/>
        <w:spacing w:after="0" w:line="267" w:lineRule="auto"/>
        <w:tabs>
          <w:tab w:leader="none" w:pos="16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Front Line Care </w:t>
      </w:r>
      <w:r>
        <w:rPr>
          <w:rFonts w:ascii="Times New Roman" w:cs="Times New Roman" w:eastAsia="Times New Roman" w:hAnsi="Times New Roman"/>
          <w:sz w:val="16"/>
          <w:szCs w:val="16"/>
          <w:color w:val="auto"/>
        </w:rPr>
        <w:t>offers mission-critical med-surg products for patient-facing needs, including wound care products, exam gloves, skin care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incontinence products, environment cleaning supplies, textiles, hand sanitizer, durable medical equipment, patient plastics, and decolonization and infection control products.</w:t>
      </w:r>
    </w:p>
    <w:p>
      <w:pPr>
        <w:spacing w:after="0" w:line="68" w:lineRule="exact"/>
        <w:rPr>
          <w:rFonts w:ascii="Times New Roman" w:cs="Times New Roman" w:eastAsia="Times New Roman" w:hAnsi="Times New Roman"/>
          <w:sz w:val="16"/>
          <w:szCs w:val="16"/>
          <w:color w:val="auto"/>
        </w:rPr>
      </w:pPr>
    </w:p>
    <w:p>
      <w:pPr>
        <w:ind w:left="1600" w:right="140" w:hanging="383"/>
        <w:spacing w:after="0" w:line="319" w:lineRule="auto"/>
        <w:tabs>
          <w:tab w:leader="none" w:pos="16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Surgical Solutions </w:t>
      </w:r>
      <w:r>
        <w:rPr>
          <w:rFonts w:ascii="Times New Roman" w:cs="Times New Roman" w:eastAsia="Times New Roman" w:hAnsi="Times New Roman"/>
          <w:sz w:val="15"/>
          <w:szCs w:val="15"/>
          <w:color w:val="auto"/>
        </w:rPr>
        <w:t>offers operating room and perioperative environment product solutions, including surgical procedure trays, drapes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gowns, personal protective equipment, sterile wraps, surgical instruments, surgeon’s gloves, procedure kits, and orthopedic implants.</w:t>
      </w:r>
    </w:p>
    <w:p>
      <w:pPr>
        <w:spacing w:after="0" w:line="32" w:lineRule="exact"/>
        <w:rPr>
          <w:rFonts w:ascii="Times New Roman" w:cs="Times New Roman" w:eastAsia="Times New Roman" w:hAnsi="Times New Roman"/>
          <w:sz w:val="15"/>
          <w:szCs w:val="15"/>
          <w:color w:val="auto"/>
        </w:rPr>
      </w:pPr>
    </w:p>
    <w:p>
      <w:pPr>
        <w:ind w:left="1600" w:right="260" w:hanging="383"/>
        <w:spacing w:after="0" w:line="267" w:lineRule="auto"/>
        <w:tabs>
          <w:tab w:leader="none" w:pos="160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Laboratory and Diagnostics </w:t>
      </w:r>
      <w:r>
        <w:rPr>
          <w:rFonts w:ascii="Times New Roman" w:cs="Times New Roman" w:eastAsia="Times New Roman" w:hAnsi="Times New Roman"/>
          <w:sz w:val="16"/>
          <w:szCs w:val="16"/>
          <w:color w:val="auto"/>
        </w:rPr>
        <w:t>offers a full range of laboratory and diagnostic product solutions, including point of care testing, analyzers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instrumentation, lab and diagnostic consumables, diagnostic instruments, vital signs monitors, and anatomic pathology and phlebotomy products.</w:t>
      </w:r>
    </w:p>
    <w:p>
      <w:pPr>
        <w:spacing w:after="0" w:line="154" w:lineRule="exact"/>
        <w:rPr>
          <w:sz w:val="20"/>
          <w:szCs w:val="20"/>
          <w:color w:val="auto"/>
        </w:rPr>
      </w:pPr>
    </w:p>
    <w:p>
      <w:pPr>
        <w:jc w:val="both"/>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107" w:lineRule="exact"/>
        <w:rPr>
          <w:sz w:val="20"/>
          <w:szCs w:val="20"/>
          <w:color w:val="auto"/>
        </w:rPr>
      </w:pPr>
    </w:p>
    <w:p>
      <w:pPr>
        <w:ind w:left="740" w:right="160" w:firstLine="391"/>
        <w:spacing w:after="0" w:line="256" w:lineRule="auto"/>
        <w:rPr>
          <w:sz w:val="20"/>
          <w:szCs w:val="20"/>
          <w:color w:val="auto"/>
        </w:rPr>
      </w:pPr>
      <w:r>
        <w:rPr>
          <w:rFonts w:ascii="Times New Roman" w:cs="Times New Roman" w:eastAsia="Times New Roman" w:hAnsi="Times New Roman"/>
          <w:sz w:val="16"/>
          <w:szCs w:val="16"/>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third-party suppliers are primarily responsible for costs related to import and inbound freight, whereas we are primarily responsible for costs related to outbound freight from our distribution centers.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Distribution Network</w:t>
      </w:r>
    </w:p>
    <w:p>
      <w:pPr>
        <w:spacing w:after="0" w:line="105" w:lineRule="exact"/>
        <w:rPr>
          <w:sz w:val="20"/>
          <w:szCs w:val="20"/>
          <w:color w:val="auto"/>
        </w:rPr>
      </w:pPr>
    </w:p>
    <w:p>
      <w:pPr>
        <w:ind w:left="740" w:right="40" w:firstLine="391"/>
        <w:spacing w:after="0" w:line="291" w:lineRule="auto"/>
        <w:rPr>
          <w:sz w:val="20"/>
          <w:szCs w:val="20"/>
          <w:color w:val="auto"/>
        </w:rPr>
      </w:pPr>
      <w:r>
        <w:rPr>
          <w:rFonts w:ascii="Times New Roman" w:cs="Times New Roman" w:eastAsia="Times New Roman" w:hAnsi="Times New Roman"/>
          <w:sz w:val="15"/>
          <w:szCs w:val="15"/>
          <w:color w:val="auto"/>
        </w:rPr>
        <w:t>We have a differentiated network of 69 global distribution centers, 45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102</w:t>
      </w:r>
    </w:p>
    <w:p>
      <w:pPr>
        <w:sectPr>
          <w:pgSz w:w="11900" w:h="16838" w:orient="portrait"/>
          <w:cols w:equalWidth="0" w:num="1">
            <w:col w:w="10500"/>
          </w:cols>
          <w:pgMar w:left="320" w:top="420" w:right="10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40"/>
        <w:spacing w:after="0" w:line="254" w:lineRule="auto"/>
        <w:rPr>
          <w:sz w:val="20"/>
          <w:szCs w:val="20"/>
          <w:color w:val="auto"/>
        </w:rPr>
      </w:pPr>
      <w:r>
        <w:rPr>
          <w:rFonts w:ascii="Times New Roman" w:cs="Times New Roman" w:eastAsia="Times New Roman" w:hAnsi="Times New Roman"/>
          <w:sz w:val="16"/>
          <w:szCs w:val="16"/>
          <w:color w:val="auto"/>
        </w:rPr>
        <w:t>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$4.5 billion of global on-hand inventory as of December 31, 2024, coupled with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 December 31, 2024, we had approximately 25% in excess capacity across our platform to support our long-term growth.</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Commercial Platform</w:t>
      </w:r>
    </w:p>
    <w:p>
      <w:pPr>
        <w:spacing w:after="0" w:line="10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Our deep connectivity to our customers is driven by the strength of our dedicated and tenured commercial team. 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2024.</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Key Factors and Trends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Aging Population and Increased Healthcare Utilization</w:t>
      </w:r>
    </w:p>
    <w:p>
      <w:pPr>
        <w:spacing w:after="0" w:line="107"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End Market Dynamics Including Shifting Sites of Care and Consolidation</w:t>
      </w:r>
    </w:p>
    <w:p>
      <w:pPr>
        <w:spacing w:after="0" w:line="107" w:lineRule="exact"/>
        <w:rPr>
          <w:sz w:val="20"/>
          <w:szCs w:val="20"/>
          <w:color w:val="auto"/>
        </w:rPr>
      </w:pPr>
    </w:p>
    <w:p>
      <w:pPr>
        <w:ind w:left="740" w:right="160" w:firstLine="391"/>
        <w:spacing w:after="0" w:line="279" w:lineRule="auto"/>
        <w:rPr>
          <w:sz w:val="20"/>
          <w:szCs w:val="20"/>
          <w:color w:val="auto"/>
        </w:rPr>
      </w:pPr>
      <w:r>
        <w:rPr>
          <w:rFonts w:ascii="Times New Roman" w:cs="Times New Roman" w:eastAsia="Times New Roman" w:hAnsi="Times New Roman"/>
          <w:sz w:val="15"/>
          <w:szCs w:val="15"/>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New Prime Vendor Growth</w:t>
      </w:r>
    </w:p>
    <w:p>
      <w:pPr>
        <w:spacing w:after="0" w:line="107"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103</w:t>
      </w:r>
    </w:p>
    <w:p>
      <w:pPr>
        <w:sectPr>
          <w:pgSz w:w="11900" w:h="16838" w:orient="portrait"/>
          <w:cols w:equalWidth="0" w:num="1">
            <w:col w:w="10500"/>
          </w:cols>
          <w:pgMar w:left="320" w:top="420" w:right="10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20" w:firstLine="391"/>
        <w:spacing w:after="0" w:line="260" w:lineRule="auto"/>
        <w:rPr>
          <w:sz w:val="20"/>
          <w:szCs w:val="20"/>
          <w:color w:val="auto"/>
        </w:rPr>
      </w:pPr>
      <w:r>
        <w:rPr>
          <w:rFonts w:ascii="Times New Roman" w:cs="Times New Roman" w:eastAsia="Times New Roman" w:hAnsi="Times New Roman"/>
          <w:sz w:val="16"/>
          <w:szCs w:val="16"/>
          <w:color w:val="auto"/>
        </w:rPr>
        <w:t>For example, in the acute care sector, at the beginning of a Prime Vendor relationship, Medline Brand products typically represent approximately 10% of a customer’s product mix but has the potential to reach approximately 60% Medline Brand over time. Based on our historical experience when offering new products, we expect this like-for-like product conversion opportunity to grow as we expand our product portfolio, either through new product development or acquisitions.</w:t>
      </w:r>
    </w:p>
    <w:p>
      <w:pPr>
        <w:spacing w:after="0" w:line="161"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Non-Prime Vendor Growth</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Medline Brand Growth</w:t>
      </w:r>
    </w:p>
    <w:p>
      <w:pPr>
        <w:spacing w:after="0" w:line="107"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Our ability to sell Medline Brand products has impacted and will continue to impact our financial performance. These products represent approximately 50% of our net sales today, or $12.5 billion for the fiscal year ending December 31, 2024. The product categories that comprise our Medline Brand offerings represent a $75 billion U.S. market opportunity, resulting in meaningful whitespace for future growth relative to our current net sales volume.</w:t>
      </w:r>
    </w:p>
    <w:p>
      <w:pPr>
        <w:spacing w:after="0" w:line="161"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We sell these Medline Brand products to both our Prime Vendor and non-Prime Vendor customers.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New Product Launches</w:t>
      </w:r>
    </w:p>
    <w:p>
      <w:pPr>
        <w:spacing w:after="0" w:line="107"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104</w:t>
      </w:r>
    </w:p>
    <w:p>
      <w:pPr>
        <w:sectPr>
          <w:pgSz w:w="11900" w:h="16838" w:orient="portrait"/>
          <w:cols w:equalWidth="0" w:num="1">
            <w:col w:w="10500"/>
          </w:cols>
          <w:pgMar w:left="320" w:top="420" w:right="10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57"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M&amp;A</w:t>
      </w:r>
    </w:p>
    <w:p>
      <w:pPr>
        <w:spacing w:after="0" w:line="10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Our disciplined, global M&amp;A strategy is focused on pursuing adjacent products and services as well as expanding 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recent notable acquisitions include:</w:t>
      </w:r>
    </w:p>
    <w:p>
      <w:pPr>
        <w:spacing w:after="0" w:line="115" w:lineRule="exact"/>
        <w:rPr>
          <w:sz w:val="20"/>
          <w:szCs w:val="20"/>
          <w:color w:val="auto"/>
        </w:rPr>
      </w:pPr>
    </w:p>
    <w:p>
      <w:pPr>
        <w:ind w:left="1600" w:right="40" w:hanging="383"/>
        <w:spacing w:after="0" w:line="265" w:lineRule="auto"/>
        <w:tabs>
          <w:tab w:leader="none" w:pos="1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we acquired the global surgical solutions business of Ecolab, Inc., including industry-leading Microtek product lines (“Microtek”). The acquisition provides us with innovative sterile drape solutions for surgeons, patients, and operating room equipment, as well as Ecolab’s fluid temperature management system. The purchase price for the acquisition was approximately $905 million.</w:t>
      </w:r>
    </w:p>
    <w:p>
      <w:pPr>
        <w:spacing w:after="0" w:line="73" w:lineRule="exact"/>
        <w:rPr>
          <w:rFonts w:ascii="Times New Roman" w:cs="Times New Roman" w:eastAsia="Times New Roman" w:hAnsi="Times New Roman"/>
          <w:sz w:val="16"/>
          <w:szCs w:val="16"/>
          <w:color w:val="auto"/>
        </w:rPr>
      </w:pPr>
    </w:p>
    <w:p>
      <w:pPr>
        <w:ind w:left="1600" w:hanging="383"/>
        <w:spacing w:after="0" w:line="260" w:lineRule="auto"/>
        <w:tabs>
          <w:tab w:leader="none" w:pos="16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61"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Trade Relations and Impacts of Tariffs on our Business</w:t>
      </w:r>
    </w:p>
    <w:p>
      <w:pPr>
        <w:spacing w:after="0" w:line="107"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In 2018, tariffs were enacted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75" w:lineRule="exact"/>
        <w:rPr>
          <w:sz w:val="20"/>
          <w:szCs w:val="20"/>
          <w:color w:val="auto"/>
        </w:rPr>
      </w:pPr>
    </w:p>
    <w:p>
      <w:pPr>
        <w:ind w:left="1600" w:right="80" w:hanging="383"/>
        <w:spacing w:after="0" w:line="261" w:lineRule="auto"/>
        <w:tabs>
          <w:tab w:leader="none" w:pos="16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Shifted Production Across Our Globally Diversified Network of Sourcing Partners: </w:t>
      </w:r>
      <w:r>
        <w:rPr>
          <w:rFonts w:ascii="Times New Roman" w:cs="Times New Roman" w:eastAsia="Times New Roman" w:hAnsi="Times New Roman"/>
          <w:sz w:val="16"/>
          <w:szCs w:val="16"/>
          <w:color w:val="auto"/>
        </w:rPr>
        <w:t>Our global network of more than 500 global sourcing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partners across a diversified set of approximately 40 countries enabled us to strategically shift which country our Medline Brand products are sourced from, and allowed us to manage costs while simultaneously maintaining the high quality our customers expect from our products;</w:t>
      </w:r>
    </w:p>
    <w:p>
      <w:pPr>
        <w:spacing w:after="0" w:line="73" w:lineRule="exact"/>
        <w:rPr>
          <w:rFonts w:ascii="Times New Roman" w:cs="Times New Roman" w:eastAsia="Times New Roman" w:hAnsi="Times New Roman"/>
          <w:sz w:val="16"/>
          <w:szCs w:val="16"/>
          <w:color w:val="auto"/>
        </w:rPr>
      </w:pPr>
    </w:p>
    <w:p>
      <w:pPr>
        <w:ind w:left="1600" w:hanging="383"/>
        <w:spacing w:after="0" w:line="284" w:lineRule="auto"/>
        <w:tabs>
          <w:tab w:leader="none" w:pos="160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Procured More Cost-Competitive Raw Materials: </w:t>
      </w:r>
      <w:r>
        <w:rPr>
          <w:rFonts w:ascii="Times New Roman" w:cs="Times New Roman" w:eastAsia="Times New Roman" w:hAnsi="Times New Roman"/>
          <w:sz w:val="16"/>
          <w:szCs w:val="16"/>
          <w:color w:val="auto"/>
        </w:rPr>
        <w:t>We focused on securing more cost-competitive raw materials, leveraging global supplier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relationships and tactical negotiating strategies to contain expenses without compromising quality;</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105</w:t>
      </w:r>
    </w:p>
    <w:p>
      <w:pPr>
        <w:sectPr>
          <w:pgSz w:w="11900" w:h="16838" w:orient="portrait"/>
          <w:cols w:equalWidth="0" w:num="1">
            <w:col w:w="10460"/>
          </w:cols>
          <w:pgMar w:left="320" w:top="420" w:right="11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1600" w:right="560" w:hanging="383"/>
        <w:spacing w:after="0" w:line="284" w:lineRule="auto"/>
        <w:tabs>
          <w:tab w:leader="none" w:pos="1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Optimized Production Processes: </w:t>
      </w:r>
      <w:r>
        <w:rPr>
          <w:rFonts w:ascii="Times New Roman" w:cs="Times New Roman" w:eastAsia="Times New Roman" w:hAnsi="Times New Roman"/>
          <w:sz w:val="16"/>
          <w:szCs w:val="16"/>
          <w:color w:val="auto"/>
        </w:rPr>
        <w:t>We implemented process improvements and enhanced existing automation capabilities to reduce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operational inefficiencies in our manufacturing facilities, driving sustainable cost savings; and</w:t>
      </w:r>
    </w:p>
    <w:p>
      <w:pPr>
        <w:spacing w:after="0" w:line="5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Policymaker Engagement: </w:t>
      </w:r>
      <w:r>
        <w:rPr>
          <w:rFonts w:ascii="Times New Roman" w:cs="Times New Roman" w:eastAsia="Times New Roman" w:hAnsi="Times New Roman"/>
          <w:sz w:val="16"/>
          <w:szCs w:val="16"/>
          <w:color w:val="auto"/>
        </w:rPr>
        <w:t>We engaged with external policy and advocacy partners on the need to produce and supply med-surg products.</w:t>
      </w:r>
    </w:p>
    <w:p>
      <w:pPr>
        <w:spacing w:after="0" w:line="115" w:lineRule="exact"/>
        <w:rPr>
          <w:rFonts w:ascii="Times New Roman" w:cs="Times New Roman" w:eastAsia="Times New Roman" w:hAnsi="Times New Roman"/>
          <w:sz w:val="16"/>
          <w:szCs w:val="16"/>
          <w:color w:val="auto"/>
        </w:rPr>
      </w:pPr>
    </w:p>
    <w:p>
      <w:pPr>
        <w:ind w:left="1600" w:right="140" w:hanging="383"/>
        <w:spacing w:after="0" w:line="284" w:lineRule="auto"/>
        <w:tabs>
          <w:tab w:leader="none" w:pos="160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Price Adjustments: </w:t>
      </w:r>
      <w:r>
        <w:rPr>
          <w:rFonts w:ascii="Times New Roman" w:cs="Times New Roman" w:eastAsia="Times New Roman" w:hAnsi="Times New Roman"/>
          <w:sz w:val="16"/>
          <w:szCs w:val="16"/>
          <w:color w:val="auto"/>
        </w:rPr>
        <w:t>For products where we were unable to offset these cost pressures, we enacted selective price increases, enabling us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make continued investment in the capabilities essential to enhance our customer value proposition.</w:t>
      </w:r>
    </w:p>
    <w:p>
      <w:pPr>
        <w:spacing w:after="0" w:line="141" w:lineRule="exact"/>
        <w:rPr>
          <w:sz w:val="20"/>
          <w:szCs w:val="20"/>
          <w:color w:val="auto"/>
        </w:rPr>
      </w:pPr>
    </w:p>
    <w:p>
      <w:pPr>
        <w:ind w:left="740" w:right="60" w:firstLine="391"/>
        <w:spacing w:after="0" w:line="253" w:lineRule="auto"/>
        <w:rPr>
          <w:sz w:val="20"/>
          <w:szCs w:val="20"/>
          <w:color w:val="auto"/>
        </w:rPr>
      </w:pPr>
      <w:r>
        <w:rPr>
          <w:rFonts w:ascii="Times New Roman" w:cs="Times New Roman" w:eastAsia="Times New Roman" w:hAnsi="Times New Roman"/>
          <w:sz w:val="16"/>
          <w:szCs w:val="16"/>
          <w:color w:val="auto"/>
        </w:rPr>
        <w:t>The current U.S. and international political environment, including existing and potential changes to U.S. policies related to global trade and tariffs, have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driving efficiencies and optimizing our own manufacturing footprint, qualified exclusions and, lastly, enacting price increases in a thoughtful and strategic way. We estimate a net adverse impact to our fiscal year 2025 income before taxes from tariffs and tariff-related developments (based upon the latest published tariffs in effect and tariff-related developments as of September 27, 2025, “tariff developments”) in the range of $325 million to $375 million. For fiscal year 2026, we estimate an incremental net adverse impact to income before taxes from tariff developments in the range of $150 million to $200 million. The actual impact may vary based on changes in tariff rates, duration of tariffs, scope of tariffs, and potential mitigation levers. For the nine months ended September 27, 2025, the net adverse impact to income before taxes from tariff developments was approximately $150 million.</w:t>
      </w:r>
    </w:p>
    <w:p>
      <w:pPr>
        <w:spacing w:after="0" w:line="166"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do not expect to be able to establish alternative sources of supply or otherwise mitigate the full financial impact of tariffs on all of the products that we source, manufacture or distribute.</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Supply Chain Disruption and Inflationary Pressures</w:t>
      </w:r>
    </w:p>
    <w:p>
      <w:pPr>
        <w:spacing w:after="0" w:line="107"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61" w:lineRule="exact"/>
        <w:rPr>
          <w:sz w:val="20"/>
          <w:szCs w:val="20"/>
          <w:color w:val="auto"/>
        </w:rPr>
      </w:pPr>
    </w:p>
    <w:p>
      <w:pPr>
        <w:ind w:left="740" w:right="280" w:firstLine="391"/>
        <w:spacing w:after="0" w:line="260" w:lineRule="auto"/>
        <w:rPr>
          <w:sz w:val="20"/>
          <w:szCs w:val="20"/>
          <w:color w:val="auto"/>
        </w:rPr>
      </w:pPr>
      <w:r>
        <w:rPr>
          <w:rFonts w:ascii="Times New Roman" w:cs="Times New Roman" w:eastAsia="Times New Roman" w:hAnsi="Times New Roman"/>
          <w:sz w:val="16"/>
          <w:szCs w:val="16"/>
          <w:color w:val="auto"/>
        </w:rPr>
        <w:t>This was evidenced during the COVID-19 pandemic, which caused widespread supply chain disruption and heightened demand for essential med-surg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Seasonality</w:t>
      </w:r>
    </w:p>
    <w:p>
      <w:pPr>
        <w:spacing w:after="0" w:line="107" w:lineRule="exact"/>
        <w:rPr>
          <w:sz w:val="20"/>
          <w:szCs w:val="20"/>
          <w:color w:val="auto"/>
        </w:rPr>
      </w:pPr>
    </w:p>
    <w:p>
      <w:pPr>
        <w:jc w:val="center"/>
        <w:ind w:left="1060"/>
        <w:spacing w:after="0" w:line="316" w:lineRule="auto"/>
        <w:rPr>
          <w:sz w:val="20"/>
          <w:szCs w:val="20"/>
          <w:color w:val="auto"/>
        </w:rPr>
      </w:pPr>
      <w:r>
        <w:rPr>
          <w:rFonts w:ascii="Times New Roman" w:cs="Times New Roman" w:eastAsia="Times New Roman" w:hAnsi="Times New Roman"/>
          <w:sz w:val="15"/>
          <w:szCs w:val="15"/>
          <w:color w:val="auto"/>
        </w:rPr>
        <w:t>Seasonal factors inherent in our business change the demand for products, including illness or disease patterns, the timing of elective medical procedures, and customer spending patterns. Historically, we have experienced higher net sales in the fourth quarter as a result of certain of these factors.</w:t>
      </w:r>
    </w:p>
    <w:p>
      <w:pPr>
        <w:spacing w:after="0" w:line="6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106</w:t>
      </w:r>
    </w:p>
    <w:p>
      <w:pPr>
        <w:sectPr>
          <w:pgSz w:w="11900" w:h="16838" w:orient="portrait"/>
          <w:cols w:equalWidth="0" w:num="1">
            <w:col w:w="10500"/>
          </w:cols>
          <w:pgMar w:left="320" w:top="420" w:right="10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Impact of the Reorganization Transactions</w:t>
      </w:r>
    </w:p>
    <w:p>
      <w:pPr>
        <w:spacing w:after="0" w:line="107" w:lineRule="exact"/>
        <w:rPr>
          <w:sz w:val="20"/>
          <w:szCs w:val="20"/>
          <w:color w:val="auto"/>
        </w:rPr>
      </w:pPr>
    </w:p>
    <w:p>
      <w:pPr>
        <w:ind w:left="740" w:right="20" w:firstLine="391"/>
        <w:spacing w:after="0" w:line="271" w:lineRule="auto"/>
        <w:rPr>
          <w:sz w:val="20"/>
          <w:szCs w:val="20"/>
          <w:color w:val="auto"/>
        </w:rPr>
      </w:pPr>
      <w:r>
        <w:rPr>
          <w:rFonts w:ascii="Times New Roman" w:cs="Times New Roman" w:eastAsia="Times New Roman" w:hAnsi="Times New Roman"/>
          <w:sz w:val="15"/>
          <w:szCs w:val="15"/>
          <w:color w:val="auto"/>
        </w:rPr>
        <w:t>Medline Inc. was incorporated in November 2024 in contemplation of an initial public offering. Prior to the completion of this offering, we will execute several reorganization transactions described in “Organizational Structure—Blocker Transfers” and “Organizational Structure—Reclassification and Amendment and Restatement of the Limited Partnership Agreement of Medline Holdings,” as a result of which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In addition, Class A Units, CUPI Units, and all vested and unvested Class B Units that are not reclassified into Units will be directly or indirectly exchanged for shares of Class A common stock, in each case, as described under “Organizational Structure—Reclassification and Amendment and Restatement of the Limited Partnership Agreement of Medline Holdings” and “Executive Compensation—Compensation Arrangements to be Adopted in Connection with this Offering—Treatment of Existing Equity Interests.” Pursuant to the amended and restated limited partnership agreement of Medline Holdings, Medline Inc. will be the general partner of Medline Holdings.</w:t>
      </w:r>
    </w:p>
    <w:p>
      <w:pPr>
        <w:spacing w:after="0" w:line="157"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Medline Inc. will pay U.S. federal and state income taxes as a corporation on its share of Medline Holdings’ taxable income.</w:t>
      </w:r>
    </w:p>
    <w:p>
      <w:pPr>
        <w:spacing w:after="0" w:line="16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w:t>
      </w:r>
    </w:p>
    <w:p>
      <w:pPr>
        <w:spacing w:after="0" w:line="161" w:lineRule="exact"/>
        <w:rPr>
          <w:sz w:val="20"/>
          <w:szCs w:val="20"/>
          <w:color w:val="auto"/>
        </w:rPr>
      </w:pPr>
    </w:p>
    <w:p>
      <w:pPr>
        <w:ind w:left="740" w:right="320" w:firstLine="391"/>
        <w:spacing w:after="0" w:line="281" w:lineRule="auto"/>
        <w:rPr>
          <w:sz w:val="20"/>
          <w:szCs w:val="20"/>
          <w:color w:val="auto"/>
        </w:rPr>
      </w:pPr>
      <w:r>
        <w:rPr>
          <w:rFonts w:ascii="Times New Roman" w:cs="Times New Roman" w:eastAsia="Times New Roman" w:hAnsi="Times New Roman"/>
          <w:sz w:val="16"/>
          <w:szCs w:val="16"/>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44"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such Continuing Unitholder will be automatically transferred to us and cancelled and retired upon any such exchange. See “Organizational Structure” and “Certain Relationships and Related Person Transactions.”</w:t>
      </w:r>
    </w:p>
    <w:p>
      <w:pPr>
        <w:spacing w:after="0" w:line="164"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Following this offering, the Continuing Common Unitholders will hold all of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such Continuing Unitholder.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0500"/>
          </w:cols>
          <w:pgMar w:left="320" w:top="420" w:right="10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spacing w:after="0" w:line="281" w:lineRule="auto"/>
        <w:rPr>
          <w:sz w:val="20"/>
          <w:szCs w:val="20"/>
          <w:color w:val="auto"/>
        </w:rPr>
      </w:pPr>
      <w:r>
        <w:rPr>
          <w:rFonts w:ascii="Times New Roman" w:cs="Times New Roman" w:eastAsia="Times New Roman" w:hAnsi="Times New Roman"/>
          <w:sz w:val="16"/>
          <w:szCs w:val="16"/>
          <w:color w:val="auto"/>
        </w:rPr>
        <w:t>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Public Company Costs</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We incurred costs associated with preparing to become a public company during the nine months ended September 27, 2025 and the year ended December 31, 2024, and following the completion of this offering, we will continue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0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w:t>
      </w:r>
    </w:p>
    <w:p>
      <w:pPr>
        <w:spacing w:after="0" w:line="107" w:lineRule="exact"/>
        <w:rPr>
          <w:sz w:val="20"/>
          <w:szCs w:val="20"/>
          <w:color w:val="auto"/>
        </w:rPr>
      </w:pPr>
    </w:p>
    <w:p>
      <w:pPr>
        <w:ind w:left="740" w:right="880" w:firstLine="391"/>
        <w:spacing w:after="0" w:line="281" w:lineRule="auto"/>
        <w:rPr>
          <w:sz w:val="20"/>
          <w:szCs w:val="20"/>
          <w:color w:val="auto"/>
        </w:rPr>
      </w:pPr>
      <w:r>
        <w:rPr>
          <w:rFonts w:ascii="Times New Roman" w:cs="Times New Roman" w:eastAsia="Times New Roman" w:hAnsi="Times New Roman"/>
          <w:sz w:val="16"/>
          <w:szCs w:val="16"/>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 Expenses</w:t>
      </w:r>
    </w:p>
    <w:p>
      <w:pPr>
        <w:spacing w:after="0" w:line="107" w:lineRule="exact"/>
        <w:rPr>
          <w:sz w:val="20"/>
          <w:szCs w:val="20"/>
          <w:color w:val="auto"/>
        </w:rPr>
      </w:pPr>
    </w:p>
    <w:p>
      <w:pPr>
        <w:ind w:left="740" w:right="300" w:firstLine="391"/>
        <w:spacing w:after="0" w:line="260" w:lineRule="auto"/>
        <w:rPr>
          <w:sz w:val="20"/>
          <w:szCs w:val="20"/>
          <w:color w:val="auto"/>
        </w:rPr>
      </w:pPr>
      <w:r>
        <w:rPr>
          <w:rFonts w:ascii="Times New Roman" w:cs="Times New Roman" w:eastAsia="Times New Roman" w:hAnsi="Times New Roman"/>
          <w:sz w:val="16"/>
          <w:szCs w:val="16"/>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07" w:lineRule="exact"/>
        <w:rPr>
          <w:sz w:val="20"/>
          <w:szCs w:val="20"/>
          <w:color w:val="auto"/>
        </w:rPr>
      </w:pPr>
    </w:p>
    <w:p>
      <w:pPr>
        <w:ind w:left="740" w:right="720" w:firstLine="391"/>
        <w:spacing w:after="0" w:line="281" w:lineRule="auto"/>
        <w:rPr>
          <w:sz w:val="20"/>
          <w:szCs w:val="20"/>
          <w:color w:val="auto"/>
        </w:rPr>
      </w:pPr>
      <w:r>
        <w:rPr>
          <w:rFonts w:ascii="Times New Roman" w:cs="Times New Roman" w:eastAsia="Times New Roman" w:hAnsi="Times New Roman"/>
          <w:sz w:val="16"/>
          <w:szCs w:val="16"/>
          <w:color w:val="auto"/>
        </w:rPr>
        <w:t>Intangible assets are initially measured at fair value and consist of trade names, customer relationships, and developed technology from acquisitions. The definite-lived intangible assets are amortized using the straight-line method over their estimated useful lives.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107" w:lineRule="exact"/>
        <w:rPr>
          <w:sz w:val="20"/>
          <w:szCs w:val="20"/>
          <w:color w:val="auto"/>
        </w:rPr>
      </w:pPr>
    </w:p>
    <w:p>
      <w:pPr>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Other operating expenses includes restructuring costs, impairment, litigation settlement charges, loss (gain) on sale of assets, acquisition-related costs, costs incurred in contemplation of this offering, and a one-time gain due to a change in valuation estimate resulting from cash collected on accounts receivable in excess of their acquisition-date fair value.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108</w:t>
      </w:r>
    </w:p>
    <w:p>
      <w:pPr>
        <w:sectPr>
          <w:pgSz w:w="11900" w:h="16838" w:orient="portrait"/>
          <w:cols w:equalWidth="0" w:num="1">
            <w:col w:w="10500"/>
          </w:cols>
          <w:pgMar w:left="320" w:top="420" w:right="10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07"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Other (Expense) Income, net</w:t>
      </w:r>
    </w:p>
    <w:p>
      <w:pPr>
        <w:spacing w:after="0" w:line="107" w:lineRule="exact"/>
        <w:rPr>
          <w:sz w:val="20"/>
          <w:szCs w:val="20"/>
          <w:color w:val="auto"/>
        </w:rPr>
      </w:pPr>
    </w:p>
    <w:p>
      <w:pPr>
        <w:ind w:left="740" w:right="220" w:firstLine="391"/>
        <w:spacing w:after="0" w:line="265" w:lineRule="auto"/>
        <w:rPr>
          <w:sz w:val="20"/>
          <w:szCs w:val="20"/>
          <w:color w:val="auto"/>
        </w:rPr>
      </w:pPr>
      <w:r>
        <w:rPr>
          <w:rFonts w:ascii="Times New Roman" w:cs="Times New Roman" w:eastAsia="Times New Roman" w:hAnsi="Times New Roman"/>
          <w:sz w:val="16"/>
          <w:szCs w:val="16"/>
          <w:color w:val="auto"/>
        </w:rPr>
        <w:t>Other (expense)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Gain (Loss), net</w:t>
      </w:r>
    </w:p>
    <w:p>
      <w:pPr>
        <w:spacing w:after="0" w:line="107" w:lineRule="exact"/>
        <w:rPr>
          <w:sz w:val="20"/>
          <w:szCs w:val="20"/>
          <w:color w:val="auto"/>
        </w:rPr>
      </w:pPr>
    </w:p>
    <w:p>
      <w:pPr>
        <w:ind w:left="740" w:right="400" w:firstLine="391"/>
        <w:spacing w:after="0" w:line="281" w:lineRule="auto"/>
        <w:rPr>
          <w:sz w:val="20"/>
          <w:szCs w:val="20"/>
          <w:color w:val="auto"/>
        </w:rPr>
      </w:pPr>
      <w:r>
        <w:rPr>
          <w:rFonts w:ascii="Times New Roman" w:cs="Times New Roman" w:eastAsia="Times New Roman" w:hAnsi="Times New Roman"/>
          <w:sz w:val="16"/>
          <w:szCs w:val="16"/>
          <w:color w:val="auto"/>
        </w:rPr>
        <w:t>Foreign exchange gain (loss), net is generated by trade balances and loans denominated in currencies other than U.S. dollars, the reporting currency, as well as settlements of intercompany balances.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Provision for Income Taxes</w:t>
      </w:r>
    </w:p>
    <w:p>
      <w:pPr>
        <w:spacing w:after="0" w:line="203" w:lineRule="exact"/>
        <w:rPr>
          <w:sz w:val="20"/>
          <w:szCs w:val="20"/>
          <w:color w:val="auto"/>
        </w:rPr>
      </w:pPr>
    </w:p>
    <w:p>
      <w:pPr>
        <w:ind w:left="740" w:firstLine="391"/>
        <w:spacing w:after="0" w:line="283" w:lineRule="auto"/>
        <w:rPr>
          <w:sz w:val="20"/>
          <w:szCs w:val="20"/>
          <w:color w:val="auto"/>
        </w:rPr>
      </w:pPr>
      <w:r>
        <w:rPr>
          <w:rFonts w:ascii="Times New Roman" w:cs="Times New Roman" w:eastAsia="Times New Roman" w:hAnsi="Times New Roman"/>
          <w:sz w:val="15"/>
          <w:szCs w:val="15"/>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this offering, we will be subject to taxation as a corporation.</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Condensed Consolidated Results of Operations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For the nine months ended September 27, 2025 compared to the nine months ended September 28, 2024</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60" w:type="dxa"/>
            <w:vAlign w:val="bottom"/>
            <w:gridSpan w:val="5"/>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680" w:type="dxa"/>
            <w:vAlign w:val="bottom"/>
          </w:tcPr>
          <w:p>
            <w:pPr>
              <w:spacing w:after="0"/>
              <w:rPr>
                <w:sz w:val="8"/>
                <w:szCs w:val="8"/>
                <w:color w:val="auto"/>
              </w:rPr>
            </w:pPr>
          </w:p>
        </w:tc>
        <w:tc>
          <w:tcPr>
            <w:tcW w:w="1320" w:type="dxa"/>
            <w:vAlign w:val="bottom"/>
            <w:tcBorders>
              <w:top w:val="single" w:sz="8" w:color="auto"/>
            </w:tcBorders>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780" w:type="dxa"/>
            <w:vAlign w:val="bottom"/>
            <w:tcBorders>
              <w:top w:val="single" w:sz="8" w:color="auto"/>
            </w:tcBorders>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September 28,</w:t>
            </w:r>
          </w:p>
        </w:tc>
        <w:tc>
          <w:tcPr>
            <w:tcW w:w="54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w w:val="97"/>
              </w:rPr>
              <w:t>change</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4"/>
              </w:rPr>
              <w:t>% change</w:t>
            </w:r>
          </w:p>
        </w:tc>
        <w:tc>
          <w:tcPr>
            <w:tcW w:w="0" w:type="dxa"/>
            <w:vAlign w:val="bottom"/>
          </w:tcPr>
          <w:p>
            <w:pPr>
              <w:spacing w:after="0"/>
              <w:rPr>
                <w:sz w:val="1"/>
                <w:szCs w:val="1"/>
                <w:color w:val="auto"/>
              </w:rPr>
            </w:pPr>
          </w:p>
        </w:tc>
      </w:tr>
      <w:tr>
        <w:trPr>
          <w:trHeight w:val="154"/>
        </w:trPr>
        <w:tc>
          <w:tcPr>
            <w:tcW w:w="386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left="343"/>
              <w:spacing w:after="0" w:line="124"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20,645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18,723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1,922</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15,041</w:t>
            </w:r>
          </w:p>
        </w:tc>
        <w:tc>
          <w:tcPr>
            <w:tcW w:w="18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13,598</w:t>
            </w:r>
          </w:p>
        </w:tc>
        <w:tc>
          <w:tcPr>
            <w:tcW w:w="80" w:type="dxa"/>
            <w:vAlign w:val="bottom"/>
          </w:tcPr>
          <w:p>
            <w:pPr>
              <w:spacing w:after="0"/>
              <w:rPr>
                <w:sz w:val="16"/>
                <w:szCs w:val="16"/>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1,443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5,604</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5,125</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479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3,259</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2,944</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315</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528</w:t>
            </w:r>
          </w:p>
        </w:tc>
        <w:tc>
          <w:tcPr>
            <w:tcW w:w="180" w:type="dxa"/>
            <w:vAlign w:val="bottom"/>
          </w:tcPr>
          <w:p>
            <w:pPr>
              <w:spacing w:after="0"/>
              <w:rPr>
                <w:sz w:val="16"/>
                <w:szCs w:val="16"/>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6"/>
                <w:szCs w:val="16"/>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6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57.9%</w:t>
            </w:r>
          </w:p>
        </w:tc>
        <w:tc>
          <w:tcPr>
            <w:tcW w:w="0" w:type="dxa"/>
            <w:vAlign w:val="bottom"/>
          </w:tcPr>
          <w:p>
            <w:pPr>
              <w:spacing w:after="0"/>
              <w:rPr>
                <w:sz w:val="1"/>
                <w:szCs w:val="1"/>
                <w:color w:val="auto"/>
              </w:rPr>
            </w:pPr>
          </w:p>
        </w:tc>
      </w:tr>
      <w:tr>
        <w:trPr>
          <w:trHeight w:val="199"/>
        </w:trPr>
        <w:tc>
          <w:tcPr>
            <w:tcW w:w="3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346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1,787</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1,654</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expense, net</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(646)</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(655)</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expense, net</w:t>
            </w: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6"/>
                <w:szCs w:val="16"/>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exchange loss, net</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(93)</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(70)</w:t>
            </w:r>
          </w:p>
        </w:tc>
        <w:tc>
          <w:tcPr>
            <w:tcW w:w="7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expense</w:t>
            </w:r>
          </w:p>
        </w:tc>
        <w:tc>
          <w:tcPr>
            <w:tcW w:w="6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5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1,042</w:t>
            </w: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941</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6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35</w:t>
            </w:r>
          </w:p>
        </w:tc>
        <w:tc>
          <w:tcPr>
            <w:tcW w:w="780" w:type="dxa"/>
            <w:vAlign w:val="bottom"/>
            <w:gridSpan w:val="2"/>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66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hanging="382"/>
        <w:spacing w:after="0"/>
        <w:tabs>
          <w:tab w:leader="none" w:pos="11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1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109</w:t>
      </w:r>
    </w:p>
    <w:p>
      <w:pPr>
        <w:sectPr>
          <w:pgSz w:w="11900" w:h="16838" w:orient="portrait"/>
          <w:cols w:equalWidth="0" w:num="1">
            <w:col w:w="10360"/>
          </w:cols>
          <w:pgMar w:left="320" w:top="420" w:right="121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sales for the nine months ended September 27, 2025 increased $1,922 million, or 10.3%, to $20,645 million, compared to $18,723 million for</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respective period in 2024. Net sales for the nine months ended September 27, 2025 increased $1,700 million, or 9.1% from organic growth and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$227 million, or 1.2% from acquisitions with foreign currency having an immaterial impact on net sales. Organic net sales growth was substantially all</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related to increased volumes with pricing having an immaterial impact.</w:t>
      </w:r>
    </w:p>
    <w:p>
      <w:pPr>
        <w:spacing w:after="0" w:line="183" w:lineRule="exact"/>
        <w:rPr>
          <w:sz w:val="20"/>
          <w:szCs w:val="20"/>
          <w:color w:val="auto"/>
        </w:rPr>
      </w:pPr>
    </w:p>
    <w:p>
      <w:pPr>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Net sales for the U.S. business for the nine months ended September 27, 2025 increased $1,788 million, or 10.3%, to $19,229 million, compared to $17,441 million for the respective period in 2024, primarily driven by volume growth in Prime Vendor sales, which increased $1,411 million, or 12.1%, to $13,119 million, compared to $11,708 million for the respective period in 2024.</w:t>
      </w:r>
    </w:p>
    <w:p>
      <w:pPr>
        <w:spacing w:after="0" w:line="15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Net sales for the U.S. acute care business, which includes both Prime Vendor and non-Prime Vendor customers, increased $1,277 million, or 9.9%, to $14,168 million, compared to $12,891 million for the respective period in 2024, primarily driven by volume growth. Net sales for the U.S. non-acute care business increased $511 million, or 11.2%, to $5,061 million, compared to $4,550 million for the respective period in 2024, primarily driven by volume growth.</w:t>
      </w:r>
    </w:p>
    <w:p>
      <w:pPr>
        <w:spacing w:after="0" w:line="161" w:lineRule="exact"/>
        <w:rPr>
          <w:sz w:val="20"/>
          <w:szCs w:val="20"/>
          <w:color w:val="auto"/>
        </w:rPr>
      </w:pPr>
    </w:p>
    <w:p>
      <w:pPr>
        <w:ind w:left="740" w:right="340" w:firstLine="391"/>
        <w:spacing w:after="0" w:line="260" w:lineRule="auto"/>
        <w:rPr>
          <w:sz w:val="20"/>
          <w:szCs w:val="20"/>
          <w:color w:val="auto"/>
        </w:rPr>
      </w:pPr>
      <w:r>
        <w:rPr>
          <w:rFonts w:ascii="Times New Roman" w:cs="Times New Roman" w:eastAsia="Times New Roman" w:hAnsi="Times New Roman"/>
          <w:sz w:val="16"/>
          <w:szCs w:val="16"/>
          <w:color w:val="auto"/>
        </w:rPr>
        <w:t>Net sales for the international business for the nine months ended September 27, 2025 increased $134 million, or 10.5%, to $1,416 million, compared to $1,282 million for the respective period in 2024, primarily driven by volume growth. Organic growth and acquisitions contributed $93 million and $46 million incremental net sales for the nine months ended September 27, 2025, respectively, partially offset by unfavorable foreign currency impact.</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 and Gross Profit</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Cost of goods sold for the nine months ended September 27, 2025 increased $1,443 million, or 10.6%, to $15,041 million, compared to $13,598 million for the respective period in 2024, primarily driven by the growth in net sales, including the impact of acquisitions as noted above. Gross profit margin is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decreased from 27.4% for the nine months ended September 28, 2024 to 27.1% for the nine months ended September 27, 2025, primarily driven by 56 basis points from higher import costs due to tariffs, partially offset by 38 basis points from lower product costs, including sourcing savings and operating leverage.</w:t>
      </w:r>
    </w:p>
    <w:p>
      <w:pPr>
        <w:spacing w:after="0" w:line="2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SG&amp;A Expenses</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SG&amp;A expenses for the nine months ended September 27, 2025 increased $315 million, or 10.7%, to $3,259 million, compared to $2,944 million for the respective period in 2024, primarily due to $160 million related to higher compensation and benefit expenses related to investments in headcount, $68 million of incremental cost from acquisitions, $40 million related to higher distribution expenses, and $27 million related to credit loss expense, partially offset by $43 million related to a favorable settlement of an intellectual property dispute.</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Other Expense, net</w:t>
      </w:r>
    </w:p>
    <w:p>
      <w:pPr>
        <w:spacing w:after="0" w:line="107" w:lineRule="exact"/>
        <w:rPr>
          <w:sz w:val="20"/>
          <w:szCs w:val="20"/>
          <w:color w:val="auto"/>
        </w:rPr>
      </w:pPr>
    </w:p>
    <w:p>
      <w:pPr>
        <w:ind w:left="740" w:right="20" w:firstLine="391"/>
        <w:spacing w:after="0" w:line="281" w:lineRule="auto"/>
        <w:rPr>
          <w:sz w:val="20"/>
          <w:szCs w:val="20"/>
          <w:color w:val="auto"/>
        </w:rPr>
      </w:pPr>
      <w:r>
        <w:rPr>
          <w:rFonts w:ascii="Times New Roman" w:cs="Times New Roman" w:eastAsia="Times New Roman" w:hAnsi="Times New Roman"/>
          <w:sz w:val="16"/>
          <w:szCs w:val="16"/>
          <w:color w:val="auto"/>
        </w:rPr>
        <w:t>Other expense, net for the nine months ended September 27, 2025 decreased $29 million, or 82.9%, to $6 million, compared to $35 million for the respective period in 2024, primarily due to lower debt extinguishment and other refinancing costs and fees incurred in both periods.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110</w:t>
      </w:r>
    </w:p>
    <w:p>
      <w:pPr>
        <w:sectPr>
          <w:pgSz w:w="11900" w:h="16838" w:orient="portrait"/>
          <w:cols w:equalWidth="0" w:num="1">
            <w:col w:w="10500"/>
          </w:cols>
          <w:pgMar w:left="320" w:top="420" w:right="10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Loss, net</w:t>
      </w:r>
    </w:p>
    <w:p>
      <w:pPr>
        <w:spacing w:after="0" w:line="107"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Foreign exchange loss, net for the nine months ended September 27, 2025 increased $70 million to $93 million, compared to $23 million for the respective period in 2024, primarily driven by larger unfavorable foreign exchange rate movement on certain borrowings denominated in the euro in 2025.</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 2024 compared to the year ended December 31, 2023</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8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780" w:type="dxa"/>
            <w:vAlign w:val="bottom"/>
          </w:tcPr>
          <w:p>
            <w:pPr>
              <w:spacing w:after="0"/>
              <w:rPr>
                <w:sz w:val="8"/>
                <w:szCs w:val="8"/>
                <w:color w:val="auto"/>
              </w:rPr>
            </w:pPr>
          </w:p>
        </w:tc>
        <w:tc>
          <w:tcPr>
            <w:tcW w:w="102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8"/>
                <w:szCs w:val="8"/>
                <w:color w:val="auto"/>
              </w:rPr>
            </w:pPr>
          </w:p>
        </w:tc>
        <w:tc>
          <w:tcPr>
            <w:tcW w:w="74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20" w:type="dxa"/>
            <w:vAlign w:val="bottom"/>
          </w:tcPr>
          <w:p>
            <w:pPr>
              <w:spacing w:after="0"/>
              <w:rPr>
                <w:sz w:val="8"/>
                <w:szCs w:val="8"/>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4"/>
        </w:trPr>
        <w:tc>
          <w:tcPr>
            <w:tcW w:w="39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w:t>
            </w:r>
          </w:p>
        </w:tc>
        <w:tc>
          <w:tcPr>
            <w:tcW w:w="5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1,185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6,976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5,885</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1,091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4,108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3,867</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241</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685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662</w:t>
            </w:r>
          </w:p>
        </w:tc>
        <w:tc>
          <w:tcPr>
            <w:tcW w:w="8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(69)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(65.1)%</w:t>
            </w:r>
          </w:p>
        </w:tc>
        <w:tc>
          <w:tcPr>
            <w:tcW w:w="0" w:type="dxa"/>
            <w:vAlign w:val="bottom"/>
          </w:tcPr>
          <w:p>
            <w:pPr>
              <w:spacing w:after="0"/>
              <w:rPr>
                <w:sz w:val="1"/>
                <w:szCs w:val="1"/>
                <w:color w:val="auto"/>
              </w:rPr>
            </w:pPr>
          </w:p>
        </w:tc>
      </w:tr>
      <w:tr>
        <w:trPr>
          <w:trHeight w:val="19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195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2,146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1,250</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896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expense, net</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(976)</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112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6"/>
                <w:szCs w:val="16"/>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(44)</w:t>
            </w:r>
          </w:p>
        </w:tc>
        <w:tc>
          <w:tcPr>
            <w:tcW w:w="700" w:type="dxa"/>
            <w:vAlign w:val="bottom"/>
            <w:gridSpan w:val="2"/>
          </w:tcPr>
          <w:p>
            <w:pPr>
              <w:jc w:val="right"/>
              <w:ind w:right="6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exchange gain (loss), net</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18</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(163.6)%</w:t>
            </w:r>
          </w:p>
        </w:tc>
        <w:tc>
          <w:tcPr>
            <w:tcW w:w="0" w:type="dxa"/>
            <w:vAlign w:val="bottom"/>
          </w:tcPr>
          <w:p>
            <w:pPr>
              <w:spacing w:after="0"/>
              <w:rPr>
                <w:sz w:val="1"/>
                <w:szCs w:val="1"/>
                <w:color w:val="auto"/>
              </w:rPr>
            </w:pPr>
          </w:p>
        </w:tc>
      </w:tr>
      <w:tr>
        <w:trPr>
          <w:trHeight w:val="199"/>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other expense</w:t>
            </w:r>
          </w:p>
        </w:tc>
        <w:tc>
          <w:tcPr>
            <w:tcW w:w="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86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1,246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982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16</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1,200</w:t>
            </w:r>
          </w:p>
        </w:tc>
        <w:tc>
          <w:tcPr>
            <w:tcW w:w="4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234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966</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hanging="382"/>
        <w:spacing w:after="0"/>
        <w:tabs>
          <w:tab w:leader="none" w:pos="11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Net sales for the year ended December 31, 2024 increased $2,276 million, or 9.8%, to $25,507 million, compared to $23,231 million for the respective period in 2023. Net sales for the year ended December 31, 2024 increased $1,850 million, or 8.0% from organic growth and $442 million, or 1.9% from acquisitions with foreign currency having an immaterial impact on net sales. Organic net sales growth was substantially all related to increased volumes, with pricing having an immaterial impact.</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sales for the U.S. business for the year ended December 31, 2024 increased $1,947 million, or 8.9%, to $23,747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$21,800 million for the respective period in 2023, primarily driven by volume growth in Prime Vendor sales, which for the year ended December 31,</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2024 increased $1,532 million, or 10.6%, to $16,033 million, compared to $14,501 million for the respective period in 2023.</w:t>
      </w:r>
    </w:p>
    <w:p>
      <w:pPr>
        <w:spacing w:after="0" w:line="183"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The increase in Prime Vendor sales was a mix of $664 million related to new Prime Vendor relationships and $1,126 million related to existing Prime Vendor relationships, partially offset by a decrease of $258 million related to lost Prime Vendor relationships. Acquisitions also contributed $195 million incremental net sales in 2024. Net sales for the U.S. acute care business, which includes both Prime Vendor and non-Prime Vendor customers, increased $1,585 million, or 10.0%, to $17,491 million, compared to $15,906 million for the respective period in 2023, primarily driven by volume growth. Net sales for the U.S. non-acute care business</w:t>
      </w:r>
    </w:p>
    <w:p>
      <w:pPr>
        <w:spacing w:after="0" w:line="1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0420"/>
          </w:cols>
          <w:pgMar w:left="320" w:top="420" w:right="11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65" w:lineRule="auto"/>
        <w:rPr>
          <w:sz w:val="20"/>
          <w:szCs w:val="20"/>
          <w:color w:val="auto"/>
        </w:rPr>
      </w:pPr>
      <w:r>
        <w:rPr>
          <w:rFonts w:ascii="Times New Roman" w:cs="Times New Roman" w:eastAsia="Times New Roman" w:hAnsi="Times New Roman"/>
          <w:sz w:val="16"/>
          <w:szCs w:val="16"/>
          <w:color w:val="auto"/>
        </w:rPr>
        <w:t>increased $362 million, or 6.1%, to $6,256 million, compared to $5,894 million for the respective period in 2023, primarily driven by volume growth in post-acute care business of $219 million, physician offices of $185 million, and ambulatory surgical centers of $120 million, partially offset by the decrease in managed care of $276 million.</w:t>
      </w:r>
    </w:p>
    <w:p>
      <w:pPr>
        <w:spacing w:after="0" w:line="157" w:lineRule="exact"/>
        <w:rPr>
          <w:sz w:val="20"/>
          <w:szCs w:val="20"/>
          <w:color w:val="auto"/>
        </w:rPr>
      </w:pPr>
    </w:p>
    <w:p>
      <w:pPr>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Net sales for the international business for the year ended December 31, 2024 increased $329 million, or 23.0%, to $1,760 million, compared to $1,431 million for the respective period in 2023, primarily driven by volume growth. Acquisitions contributed $247 million incremental net sales in 2024, and the remaining increase of $82 million is due to organic growth.</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 and Gross Profit</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Cost of goods sold for the year ended December 31, 2024 increased $1,185 million, or 6.8%, to $18,531 million, compared to $17,346 million for the respective period in 2023. For the year ended December 31, 2024, the increase was primarily driven by the growth in net sales, including the impact of acquisitions as noted above.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increased from 25.3% for the year ended December 31, 2023 to 27.3% for the year ended December 31, 2024, primarily driven by 270 basis points from lower product costs, including sourcing savings, partially offset by 67 basis points from higher labor costs.</w:t>
      </w:r>
    </w:p>
    <w:p>
      <w:pPr>
        <w:spacing w:after="0" w:line="2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SG&amp;A Expenses</w:t>
      </w:r>
    </w:p>
    <w:p>
      <w:pPr>
        <w:spacing w:after="0" w:line="107"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SG&amp;A expenses for the year ended December 31, 2024 increased $241 million, or 6.2%, to $4,108 million, compared to $3,867 million for the respective period in 2023, primarily due to $97 million of incremental expenses related to acquisitions, an increase of $48 million in credit loss expense, and an increase of $40 million in operations expense.</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07" w:lineRule="exact"/>
        <w:rPr>
          <w:sz w:val="20"/>
          <w:szCs w:val="20"/>
          <w:color w:val="auto"/>
        </w:rPr>
      </w:pPr>
    </w:p>
    <w:p>
      <w:pPr>
        <w:ind w:left="740" w:right="780" w:firstLine="391"/>
        <w:spacing w:after="0" w:line="281" w:lineRule="auto"/>
        <w:rPr>
          <w:sz w:val="20"/>
          <w:szCs w:val="20"/>
          <w:color w:val="auto"/>
        </w:rPr>
      </w:pPr>
      <w:r>
        <w:rPr>
          <w:rFonts w:ascii="Times New Roman" w:cs="Times New Roman" w:eastAsia="Times New Roman" w:hAnsi="Times New Roman"/>
          <w:sz w:val="16"/>
          <w:szCs w:val="16"/>
          <w:color w:val="auto"/>
        </w:rPr>
        <w:t>Amortization of intangible assets for the year ended December 31, 2024 increased $23 million, or 3.5%, to $685 million, compared to $662 million for the respective period in 2023, primarily due to the addition of intangible assets related to 2024 acquisitions.</w:t>
      </w:r>
    </w:p>
    <w:p>
      <w:pPr>
        <w:spacing w:after="0" w:line="2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Other operating expenses for the year ended December 31, 2024 decreased $69 million, or 65.1%, to $37 million, compared to $106 million for the respective period in 2023. The combined impact in 2023 of the one-time EtO litigation charge of $163 million that was partially offset by a one-time gain of $75 million due to a change in valuation estimate resulting from cash collected on accounts receivable in excess of their acquisition-date fair value did not recur in 2024. Acquisition-related expenses of $20 million were recognized in 2024, further offsetting the year-over-year decrease.</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07" w:lineRule="exact"/>
        <w:rPr>
          <w:sz w:val="20"/>
          <w:szCs w:val="20"/>
          <w:color w:val="auto"/>
        </w:rPr>
      </w:pPr>
    </w:p>
    <w:p>
      <w:pPr>
        <w:ind w:left="740" w:right="100" w:firstLine="391"/>
        <w:spacing w:after="0" w:line="265" w:lineRule="auto"/>
        <w:rPr>
          <w:sz w:val="20"/>
          <w:szCs w:val="20"/>
          <w:color w:val="auto"/>
        </w:rPr>
      </w:pPr>
      <w:r>
        <w:rPr>
          <w:rFonts w:ascii="Times New Roman" w:cs="Times New Roman" w:eastAsia="Times New Roman" w:hAnsi="Times New Roman"/>
          <w:sz w:val="16"/>
          <w:szCs w:val="16"/>
          <w:color w:val="auto"/>
        </w:rPr>
        <w:t>Interest expense, net for the year ended December 31, 2024 decreased $112 million, or 11.5%, to $864 million, compared to $976 million for the respective period in 2023. The multiple refinancing activities in 2024 effectively lowered the interest rates in our borrowings, resulting in the lower interest expense.</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Other (Expense) Income, net</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Other (expense) income, net for the year ended December 31, 2024 decreased to a net expense of $43 million, compared to a net income of</w:t>
      </w:r>
    </w:p>
    <w:p>
      <w:pPr>
        <w:spacing w:after="0" w:line="24" w:lineRule="exact"/>
        <w:rPr>
          <w:sz w:val="20"/>
          <w:szCs w:val="20"/>
          <w:color w:val="auto"/>
        </w:rPr>
      </w:pPr>
    </w:p>
    <w:p>
      <w:pPr>
        <w:ind w:left="740" w:right="80"/>
        <w:spacing w:after="0" w:line="259" w:lineRule="auto"/>
        <w:rPr>
          <w:sz w:val="20"/>
          <w:szCs w:val="20"/>
          <w:color w:val="auto"/>
        </w:rPr>
      </w:pPr>
      <w:r>
        <w:rPr>
          <w:rFonts w:ascii="Times New Roman" w:cs="Times New Roman" w:eastAsia="Times New Roman" w:hAnsi="Times New Roman"/>
          <w:sz w:val="16"/>
          <w:szCs w:val="16"/>
          <w:color w:val="auto"/>
        </w:rPr>
        <w:t>$1 million for the respective period in 2023. The decrease is primarily due to loss on debt extinguishment and other refinancing costs and fees incurred in 2024.</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112</w:t>
      </w:r>
    </w:p>
    <w:p>
      <w:pPr>
        <w:sectPr>
          <w:pgSz w:w="11900" w:h="16838" w:orient="portrait"/>
          <w:cols w:equalWidth="0" w:num="1">
            <w:col w:w="10460"/>
          </w:cols>
          <w:pgMar w:left="320" w:top="420" w:right="11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For the year ended December 31, 2023 compared to the year ended December 31, 2022</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104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60" w:type="dxa"/>
            <w:vAlign w:val="bottom"/>
          </w:tcPr>
          <w:p>
            <w:pPr>
              <w:spacing w:after="0"/>
              <w:rPr>
                <w:sz w:val="8"/>
                <w:szCs w:val="8"/>
                <w:color w:val="auto"/>
              </w:rPr>
            </w:pPr>
          </w:p>
        </w:tc>
        <w:tc>
          <w:tcPr>
            <w:tcW w:w="74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54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w w:val="92"/>
              </w:rPr>
              <w:t>change</w:t>
            </w:r>
          </w:p>
        </w:tc>
        <w:tc>
          <w:tcPr>
            <w:tcW w:w="7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4"/>
              </w:rPr>
              <w:t>% change</w:t>
            </w:r>
          </w:p>
        </w:tc>
        <w:tc>
          <w:tcPr>
            <w:tcW w:w="0" w:type="dxa"/>
            <w:vAlign w:val="bottom"/>
          </w:tcPr>
          <w:p>
            <w:pPr>
              <w:spacing w:after="0"/>
              <w:rPr>
                <w:sz w:val="1"/>
                <w:szCs w:val="1"/>
                <w:color w:val="auto"/>
              </w:rPr>
            </w:pPr>
          </w:p>
        </w:tc>
      </w:tr>
      <w:tr>
        <w:trPr>
          <w:trHeight w:val="154"/>
        </w:trPr>
        <w:tc>
          <w:tcPr>
            <w:tcW w:w="4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5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30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1,783</w:t>
            </w:r>
          </w:p>
        </w:tc>
        <w:tc>
          <w:tcPr>
            <w:tcW w:w="56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17,346</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16,231</w:t>
            </w:r>
          </w:p>
        </w:tc>
        <w:tc>
          <w:tcPr>
            <w:tcW w:w="100" w:type="dxa"/>
            <w:vAlign w:val="bottom"/>
          </w:tcPr>
          <w:p>
            <w:pPr>
              <w:spacing w:after="0"/>
              <w:rPr>
                <w:sz w:val="16"/>
                <w:szCs w:val="16"/>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w w:val="99"/>
              </w:rPr>
              <w:t>1,115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5,885</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5,217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668</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3,867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3,676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191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tcPr>
          <w:p>
            <w:pPr>
              <w:spacing w:after="0"/>
              <w:rPr>
                <w:sz w:val="16"/>
                <w:szCs w:val="16"/>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86</w:t>
            </w:r>
          </w:p>
        </w:tc>
        <w:tc>
          <w:tcPr>
            <w:tcW w:w="7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9"/>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operating expense</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279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1,250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389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(976)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(104)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6"/>
                <w:szCs w:val="16"/>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(9)</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Foreign exchange (loss) gain, net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(22)</w:t>
            </w:r>
          </w:p>
        </w:tc>
        <w:tc>
          <w:tcPr>
            <w:tcW w:w="7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(135)</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264</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254</w:t>
            </w:r>
          </w:p>
        </w:tc>
        <w:tc>
          <w:tcPr>
            <w:tcW w:w="7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234</w:t>
            </w:r>
          </w:p>
        </w:tc>
        <w:tc>
          <w:tcPr>
            <w:tcW w:w="4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259</w:t>
            </w:r>
          </w:p>
        </w:tc>
        <w:tc>
          <w:tcPr>
            <w:tcW w:w="780" w:type="dxa"/>
            <w:vAlign w:val="bottom"/>
            <w:gridSpan w:val="2"/>
            <w:shd w:val="clear" w:color="auto" w:fill="CCEEFF"/>
          </w:tcPr>
          <w:p>
            <w:pPr>
              <w:jc w:val="right"/>
              <w:ind w:right="100"/>
              <w:spacing w:after="0" w:line="191" w:lineRule="exact"/>
              <w:rPr>
                <w:sz w:val="20"/>
                <w:szCs w:val="20"/>
                <w:color w:val="auto"/>
              </w:rPr>
            </w:pPr>
            <w:r>
              <w:rPr>
                <w:rFonts w:ascii="Times New Roman" w:cs="Times New Roman" w:eastAsia="Times New Roman" w:hAnsi="Times New Roman"/>
                <w:sz w:val="22"/>
                <w:szCs w:val="22"/>
                <w:color w:val="auto"/>
                <w:vertAlign w:val="subscript"/>
              </w:rPr>
              <w:t>NM</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hanging="382"/>
        <w:spacing w:after="0"/>
        <w:tabs>
          <w:tab w:leader="none" w:pos="11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Meaningful</w:t>
      </w:r>
    </w:p>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 Organic net sales growth was substantially all related to increased volumes, with pricing having an immaterial impact.</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sales for the U.S. business for the year ended December 31, 2023 increased $1,835 million, or 9.2%, to $21,800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$19,965 million for the respective period in 2022, primarily driven by volume growth in Prime Vendor sales, which for the year ended December 31,</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2023 increased $1,950 million, or 15.5%, to $14,501 million, compared to $12,551 million for the respective period in 2022.</w:t>
      </w:r>
    </w:p>
    <w:p>
      <w:pPr>
        <w:spacing w:after="0" w:line="183" w:lineRule="exact"/>
        <w:rPr>
          <w:sz w:val="20"/>
          <w:szCs w:val="20"/>
          <w:color w:val="auto"/>
        </w:rPr>
      </w:pPr>
    </w:p>
    <w:p>
      <w:pPr>
        <w:ind w:left="740" w:right="240" w:firstLine="391"/>
        <w:spacing w:after="0" w:line="256" w:lineRule="auto"/>
        <w:rPr>
          <w:sz w:val="20"/>
          <w:szCs w:val="20"/>
          <w:color w:val="auto"/>
        </w:rPr>
      </w:pPr>
      <w:r>
        <w:rPr>
          <w:rFonts w:ascii="Times New Roman" w:cs="Times New Roman" w:eastAsia="Times New Roman" w:hAnsi="Times New Roman"/>
          <w:sz w:val="16"/>
          <w:szCs w:val="16"/>
          <w:color w:val="auto"/>
        </w:rPr>
        <w:t>The increase in Prime Vendor sales was a mix of $1,157 million related to new Prime Vendor relationships and $861 million related to existing Prime Vendor relationships, partially offset by a decrease of $68 million related to lost Prime Vendor relationships. Net sales for the U.S. acute care business, which includes both Prime Vendor and non-Prime Vendor customers, increased $1,451 million, or 10.0%, to $15,906 million, compared to $14,455 million for the respective period in 2022, primarily driven by volume growth. Net sales for the U.S. non-acute care business increased $384 million, or 7.0%, to $5,894 million, compared to $5,510 million for the respective period in 2022, primarily driven by volume growth in ambulatory surgical centers of $144 million and physician offices of $147 million.</w:t>
      </w:r>
    </w:p>
    <w:p>
      <w:pPr>
        <w:spacing w:after="0" w:line="16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sales for the international business for the year ended December 31, 2023 decreased $52 million, or 3.5%, to $1,431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$1,483 million for the respective period in 2022, which was impacted by spot buys of personal protective equipment (“PPE”) products in response to the</w:t>
      </w:r>
    </w:p>
    <w:p>
      <w:pPr>
        <w:spacing w:after="0" w:line="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COVID-19 pandemic, partially offset by volume growth in ongoing sales activities in 2023.</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113</w:t>
      </w:r>
    </w:p>
    <w:p>
      <w:pPr>
        <w:sectPr>
          <w:pgSz w:w="11900" w:h="16838" w:orient="portrait"/>
          <w:cols w:equalWidth="0" w:num="1">
            <w:col w:w="10500"/>
          </w:cols>
          <w:pgMar w:left="320" w:top="420" w:right="10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Cost of Goods Sold and Gross Profit</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Cost of goods sold for the year ended December 31, 2023 increased $1,115 million, or 6.9%, to $17,346 million, compared to $16,231 million for the respective period in 2022. For the year ended December 31, 2023, the increase was primarily driven by the growth in net sales.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net sales increased from 24.3% for the year ended December 31, 2022 to 25.3% for the year ended December 31, 2023, primarily driven by 179 basis points from lower freight and import related costs, partially offset by 67 basis points from higher product costs.</w:t>
      </w:r>
    </w:p>
    <w:p>
      <w:pPr>
        <w:spacing w:after="0" w:line="25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SG&amp;A Expenses</w:t>
      </w:r>
    </w:p>
    <w:p>
      <w:pPr>
        <w:spacing w:after="0" w:line="107"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SG&amp;A expenses for the year ended December 31, 2023 increased $191 million, or 5.2%, to $3,867 million, compared to $3,676 million for the respective period in 2022, primarily due to an increase of $265 million in labor costs, including investment in our commercial team and distribution network. These were offset by decreases of $52 million for distribution costs.</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Expenses</w:t>
      </w:r>
    </w:p>
    <w:p>
      <w:pPr>
        <w:spacing w:after="0" w:line="107"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Other operating expenses for the year ended December 31, 2023 increased $86 million, to $106 million, compared to $20 million for the respective period in 2022, primarily due to a one-time EtO litigation charge of $163 million, partially offset by a one-time gain of $75 million due to a change in valuation estimate resulting from cash collected on accounts receivable in excess of its acquisition-date fair value.</w:t>
      </w:r>
    </w:p>
    <w:p>
      <w:pPr>
        <w:spacing w:after="0" w:line="2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net</w:t>
      </w:r>
    </w:p>
    <w:p>
      <w:pPr>
        <w:spacing w:after="0" w:line="107" w:lineRule="exact"/>
        <w:rPr>
          <w:sz w:val="20"/>
          <w:szCs w:val="20"/>
          <w:color w:val="auto"/>
        </w:rPr>
      </w:pPr>
    </w:p>
    <w:p>
      <w:pPr>
        <w:jc w:val="both"/>
        <w:ind w:left="740" w:right="100" w:firstLine="391"/>
        <w:spacing w:after="0" w:line="265" w:lineRule="auto"/>
        <w:rPr>
          <w:sz w:val="20"/>
          <w:szCs w:val="20"/>
          <w:color w:val="auto"/>
        </w:rPr>
      </w:pPr>
      <w:r>
        <w:rPr>
          <w:rFonts w:ascii="Times New Roman" w:cs="Times New Roman" w:eastAsia="Times New Roman" w:hAnsi="Times New Roman"/>
          <w:sz w:val="16"/>
          <w:szCs w:val="16"/>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Business Segment Results of Operations</w:t>
      </w:r>
    </w:p>
    <w:p>
      <w:pPr>
        <w:spacing w:after="0" w:line="105" w:lineRule="exact"/>
        <w:rPr>
          <w:sz w:val="20"/>
          <w:szCs w:val="20"/>
          <w:color w:val="auto"/>
        </w:rPr>
      </w:pPr>
    </w:p>
    <w:p>
      <w:pPr>
        <w:ind w:left="740" w:right="38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compares business segment net sales, Segment Adjusted EBITDA, and Segment Adjusted EBITDA Margin for the nine months ended September 27, 2025, and September 28, 2024.</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5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4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700" w:type="dxa"/>
            <w:vAlign w:val="bottom"/>
          </w:tcPr>
          <w:p>
            <w:pPr>
              <w:spacing w:after="0"/>
              <w:rPr>
                <w:sz w:val="8"/>
                <w:szCs w:val="8"/>
                <w:color w:val="auto"/>
              </w:rPr>
            </w:pPr>
          </w:p>
        </w:tc>
        <w:tc>
          <w:tcPr>
            <w:tcW w:w="146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800" w:type="dxa"/>
            <w:vAlign w:val="bottom"/>
            <w:gridSpan w:val="2"/>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September 28,</w:t>
            </w:r>
          </w:p>
        </w:tc>
        <w:tc>
          <w:tcPr>
            <w:tcW w:w="420" w:type="dxa"/>
            <w:vAlign w:val="bottom"/>
          </w:tcPr>
          <w:p>
            <w:pPr>
              <w:spacing w:after="0"/>
              <w:rPr>
                <w:sz w:val="8"/>
                <w:szCs w:val="8"/>
                <w:color w:val="auto"/>
              </w:rPr>
            </w:pPr>
          </w:p>
        </w:tc>
        <w:tc>
          <w:tcPr>
            <w:tcW w:w="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p>
        </w:tc>
        <w:tc>
          <w:tcPr>
            <w:tcW w:w="0" w:type="dxa"/>
            <w:vAlign w:val="bottom"/>
          </w:tcPr>
          <w:p>
            <w:pPr>
              <w:spacing w:after="0"/>
              <w:rPr>
                <w:sz w:val="1"/>
                <w:szCs w:val="1"/>
                <w:color w:val="auto"/>
              </w:rPr>
            </w:pPr>
          </w:p>
        </w:tc>
      </w:tr>
      <w:tr>
        <w:trPr>
          <w:trHeight w:val="154"/>
        </w:trPr>
        <w:tc>
          <w:tcPr>
            <w:tcW w:w="34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866"/>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5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2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Medline Brand</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88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606"/>
              <w:spacing w:after="0"/>
              <w:rPr>
                <w:sz w:val="20"/>
                <w:szCs w:val="20"/>
                <w:color w:val="auto"/>
              </w:rPr>
            </w:pPr>
            <w:r>
              <w:rPr>
                <w:rFonts w:ascii="Times New Roman" w:cs="Times New Roman" w:eastAsia="Times New Roman" w:hAnsi="Times New Roman"/>
                <w:sz w:val="16"/>
                <w:szCs w:val="16"/>
                <w:color w:val="auto"/>
              </w:rPr>
              <w:t>9,997</w:t>
            </w: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9,186</w:t>
            </w:r>
          </w:p>
        </w:tc>
        <w:tc>
          <w:tcPr>
            <w:tcW w:w="3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811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6"/>
                <w:szCs w:val="16"/>
                <w:color w:val="auto"/>
              </w:rPr>
              <w:t>2,541</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2,445</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Segment Adjusted EBITDA Margin</w:t>
            </w:r>
            <w:r>
              <w:rPr>
                <w:rFonts w:ascii="Times New Roman" w:cs="Times New Roman" w:eastAsia="Times New Roman" w:hAnsi="Times New Roman"/>
                <w:sz w:val="22"/>
                <w:szCs w:val="22"/>
                <w:color w:val="auto"/>
                <w:vertAlign w:val="superscript"/>
              </w:rPr>
              <w:t>(1)</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466"/>
              <w:spacing w:after="0"/>
              <w:rPr>
                <w:sz w:val="20"/>
                <w:szCs w:val="20"/>
                <w:color w:val="auto"/>
              </w:rPr>
            </w:pPr>
            <w:r>
              <w:rPr>
                <w:rFonts w:ascii="Times New Roman" w:cs="Times New Roman" w:eastAsia="Times New Roman" w:hAnsi="Times New Roman"/>
                <w:sz w:val="16"/>
                <w:szCs w:val="16"/>
                <w:color w:val="auto"/>
              </w:rPr>
              <w:t>25.4%</w:t>
            </w:r>
          </w:p>
        </w:tc>
        <w:tc>
          <w:tcPr>
            <w:tcW w:w="2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26.6%</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 Chain Solutions</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606"/>
              <w:spacing w:after="0"/>
              <w:rPr>
                <w:sz w:val="20"/>
                <w:szCs w:val="20"/>
                <w:color w:val="auto"/>
              </w:rPr>
            </w:pPr>
            <w:r>
              <w:rPr>
                <w:rFonts w:ascii="Times New Roman" w:cs="Times New Roman" w:eastAsia="Times New Roman" w:hAnsi="Times New Roman"/>
                <w:sz w:val="16"/>
                <w:szCs w:val="16"/>
                <w:color w:val="auto"/>
              </w:rPr>
              <w:t>10,648</w:t>
            </w:r>
          </w:p>
        </w:tc>
        <w:tc>
          <w:tcPr>
            <w:tcW w:w="240" w:type="dxa"/>
            <w:vAlign w:val="bottom"/>
          </w:tcPr>
          <w:p>
            <w:pPr>
              <w:spacing w:after="0"/>
              <w:rPr>
                <w:sz w:val="16"/>
                <w:szCs w:val="16"/>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9,537</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1,111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6"/>
              <w:spacing w:after="0"/>
              <w:rPr>
                <w:sz w:val="20"/>
                <w:szCs w:val="20"/>
                <w:color w:val="auto"/>
              </w:rPr>
            </w:pPr>
            <w:r>
              <w:rPr>
                <w:rFonts w:ascii="Times New Roman" w:cs="Times New Roman" w:eastAsia="Times New Roman" w:hAnsi="Times New Roman"/>
                <w:sz w:val="16"/>
                <w:szCs w:val="16"/>
                <w:color w:val="auto"/>
              </w:rPr>
              <w:t>588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479</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109</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315"/>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Adjusted EBITDA Margin</w:t>
            </w:r>
            <w:r>
              <w:rPr>
                <w:rFonts w:ascii="Times New Roman" w:cs="Times New Roman" w:eastAsia="Times New Roman" w:hAnsi="Times New Roman"/>
                <w:sz w:val="23"/>
                <w:szCs w:val="23"/>
                <w:color w:val="auto"/>
                <w:vertAlign w:val="superscript"/>
              </w:rPr>
              <w:t>(1)</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6"/>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8453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5" w:lineRule="exact"/>
        <w:rPr>
          <w:sz w:val="20"/>
          <w:szCs w:val="20"/>
          <w:color w:val="auto"/>
        </w:rPr>
      </w:pPr>
    </w:p>
    <w:p>
      <w:pPr>
        <w:ind w:left="1120" w:hanging="382"/>
        <w:spacing w:after="0"/>
        <w:tabs>
          <w:tab w:leader="none" w:pos="11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define Segment Adjusted EBITDA Margin as the Segment Adjusted EBITDA divided by segment net sales.</w:t>
      </w:r>
    </w:p>
    <w:p>
      <w:pPr>
        <w:spacing w:after="0" w:line="17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For more information regarding our segments please refer to “Note 15—Segment Information” of our unaudited condensed consolidated financial statements, included elsewhere in this prospectus.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114</w:t>
      </w:r>
    </w:p>
    <w:p>
      <w:pPr>
        <w:sectPr>
          <w:pgSz w:w="11900" w:h="16838" w:orient="portrait"/>
          <w:cols w:equalWidth="0" w:num="1">
            <w:col w:w="10460"/>
          </w:cols>
          <w:pgMar w:left="320" w:top="420" w:right="111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10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Medline Brand segment net sales for the nine months ended September 27, 2025 increased $811 million, or 8.8%, to $9,997 million, compared to $9,186 million for the respective period in 2024. The increase was primarily driven by volume growth in Prime Vendor sales of all Medline Brand product groups for the nine months ended September 27, 2025, which increased $460 million, or 11.8%, to $4,377 million, compared to $3,917 million for the respective period in 2024. Acquisitions also contributed $212 million in incremental net sales.</w:t>
      </w:r>
    </w:p>
    <w:p>
      <w:pPr>
        <w:spacing w:after="0" w:line="161"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Surgical Solutions net sales for the nine months ended September 27, 2025 increased $512 million, or 12.9%, to $4,494 million, compared to $3,982 million for the respective period in 2024, primarily driven by the increased volume of $296 million in kitting and $136 million from operating room products, including the impact of an acquisition. Front Line Care net sales for the nine months ended September 27, 2025 increased $247 million, or 5.5%, to $4,752 million, compared to $4,505 million for the respective period in 2024, primarily driven by volume growth, including $51 million from ReadyCare products, $29 million from environmental services products, $27 million from repositioning and offloading products, $26 million from personal care products, and $25 million from advanced wound care products. Laboratory and Diagnostics net sales for the nine months ended September 27, 2025 increased $52 million, or 7.4%, to $751 million, compared to $699 million for the respective period in 2024, primarily driven by volume growth in laboratory products of $43 million.</w:t>
      </w:r>
    </w:p>
    <w:p>
      <w:pPr>
        <w:spacing w:after="0" w:line="16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Medline Brand Segment Adjusted EBITDA for the nine months ended September 27, 2025 increased $96 million, or 3.9%, to $2,541 million, compared to $2,445 million for the respective period in 2024, primarily driven by net sales growth, including the impact of acquisitions as noted above. Medline Brand Segment Adjusted EBITDA Margin decreased to 25.4% from 26.6%, primarily driven by 115 basis points from higher import costs due to tariffs and 40 basis points from higher product costs, partially offset by 36 basis points from lower freight costs.</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107"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Supply Chain Solutions segment net sales for the nine months ended September 27, 2025 increased $1,111 million, or 11.6%, to $10,648 million, compared to $9,537 million for the respective period in 2024. The increase was primarily driven by volume growth in Prime Vendor sales for the nine months ended September 27, 2025, which increased $951 million, or 12.2%, to $8,742 million, compared to $7,791 million for the respective period in 2024, including growth with existing customers and implementation of new relationships.</w:t>
      </w:r>
    </w:p>
    <w:p>
      <w:pPr>
        <w:spacing w:after="0" w:line="161" w:lineRule="exact"/>
        <w:rPr>
          <w:sz w:val="20"/>
          <w:szCs w:val="20"/>
          <w:color w:val="auto"/>
        </w:rPr>
      </w:pPr>
    </w:p>
    <w:p>
      <w:pPr>
        <w:ind w:left="740" w:right="500" w:firstLine="391"/>
        <w:spacing w:after="0" w:line="265" w:lineRule="auto"/>
        <w:rPr>
          <w:sz w:val="20"/>
          <w:szCs w:val="20"/>
          <w:color w:val="auto"/>
        </w:rPr>
      </w:pPr>
      <w:r>
        <w:rPr>
          <w:rFonts w:ascii="Times New Roman" w:cs="Times New Roman" w:eastAsia="Times New Roman" w:hAnsi="Times New Roman"/>
          <w:sz w:val="16"/>
          <w:szCs w:val="16"/>
          <w:color w:val="auto"/>
        </w:rPr>
        <w:t>Supply Chain Solutions Segment Adjusted EBITDA for the nine months ended September 27, 2025 increased $109 million, or 22.8%, to $588 million, compared to $479 million for the respective period in 2024, primarily driven by net sales growth. Supply Chain Solutions Segment Adjusted EBITDA Margin increased to 5.5% from 5.0%, primarily due to operating leverage.</w:t>
      </w:r>
    </w:p>
    <w:p>
      <w:pPr>
        <w:spacing w:after="0" w:line="157" w:lineRule="exact"/>
        <w:rPr>
          <w:sz w:val="20"/>
          <w:szCs w:val="20"/>
          <w:color w:val="auto"/>
        </w:rPr>
      </w:pPr>
    </w:p>
    <w:p>
      <w:pPr>
        <w:ind w:left="740" w:right="34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compares business segment net sales, Segment Adjusted EBITDA, and Segment Adjusted EBITDA Margin for the years ended December 31, 2024 and 2023.</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3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800" w:type="dxa"/>
            <w:vAlign w:val="bottom"/>
          </w:tcPr>
          <w:p>
            <w:pPr>
              <w:spacing w:after="0"/>
              <w:rPr>
                <w:sz w:val="8"/>
                <w:szCs w:val="8"/>
                <w:color w:val="auto"/>
              </w:rPr>
            </w:pPr>
          </w:p>
        </w:tc>
        <w:tc>
          <w:tcPr>
            <w:tcW w:w="140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w w:val="92"/>
              </w:rPr>
              <w:t>change</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p>
        </w:tc>
        <w:tc>
          <w:tcPr>
            <w:tcW w:w="0" w:type="dxa"/>
            <w:vAlign w:val="bottom"/>
          </w:tcPr>
          <w:p>
            <w:pPr>
              <w:spacing w:after="0"/>
              <w:rPr>
                <w:sz w:val="1"/>
                <w:szCs w:val="1"/>
                <w:color w:val="auto"/>
              </w:rPr>
            </w:pPr>
          </w:p>
        </w:tc>
      </w:tr>
      <w:tr>
        <w:trPr>
          <w:trHeight w:val="154"/>
        </w:trPr>
        <w:tc>
          <w:tcPr>
            <w:tcW w:w="35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Medline Brand</w:t>
            </w:r>
          </w:p>
        </w:tc>
        <w:tc>
          <w:tcPr>
            <w:tcW w:w="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96"/>
              <w:spacing w:after="0"/>
              <w:rPr>
                <w:sz w:val="20"/>
                <w:szCs w:val="20"/>
                <w:color w:val="auto"/>
              </w:rPr>
            </w:pPr>
            <w:r>
              <w:rPr>
                <w:rFonts w:ascii="Times New Roman" w:cs="Times New Roman" w:eastAsia="Times New Roman" w:hAnsi="Times New Roman"/>
                <w:sz w:val="16"/>
                <w:szCs w:val="16"/>
                <w:color w:val="auto"/>
              </w:rPr>
              <w:t>12,515</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11,613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902</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6"/>
                <w:szCs w:val="16"/>
                <w:color w:val="auto"/>
              </w:rPr>
              <w:t>3,269</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2,704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565</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Segment Adjusted EBITDA Margin</w:t>
            </w:r>
            <w:r>
              <w:rPr>
                <w:rFonts w:ascii="Times New Roman" w:cs="Times New Roman" w:eastAsia="Times New Roman" w:hAnsi="Times New Roman"/>
                <w:sz w:val="22"/>
                <w:szCs w:val="22"/>
                <w:color w:val="auto"/>
                <w:vertAlign w:val="superscript"/>
              </w:rPr>
              <w:t>(1)</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color w:val="auto"/>
              </w:rPr>
              <w:t>26.1%</w:t>
            </w:r>
          </w:p>
        </w:tc>
        <w:tc>
          <w:tcPr>
            <w:tcW w:w="16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 Chain Solutions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96"/>
              <w:spacing w:after="0"/>
              <w:rPr>
                <w:sz w:val="20"/>
                <w:szCs w:val="20"/>
                <w:color w:val="auto"/>
              </w:rPr>
            </w:pPr>
            <w:r>
              <w:rPr>
                <w:rFonts w:ascii="Times New Roman" w:cs="Times New Roman" w:eastAsia="Times New Roman" w:hAnsi="Times New Roman"/>
                <w:sz w:val="16"/>
                <w:szCs w:val="16"/>
                <w:color w:val="auto"/>
              </w:rPr>
              <w:t>12,992</w:t>
            </w:r>
          </w:p>
        </w:tc>
        <w:tc>
          <w:tcPr>
            <w:tcW w:w="160" w:type="dxa"/>
            <w:vAlign w:val="bottom"/>
          </w:tcPr>
          <w:p>
            <w:pPr>
              <w:spacing w:after="0"/>
              <w:rPr>
                <w:sz w:val="16"/>
                <w:szCs w:val="16"/>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11,618</w:t>
            </w:r>
          </w:p>
        </w:tc>
        <w:tc>
          <w:tcPr>
            <w:tcW w:w="100" w:type="dxa"/>
            <w:vAlign w:val="bottom"/>
          </w:tcPr>
          <w:p>
            <w:pPr>
              <w:spacing w:after="0"/>
              <w:rPr>
                <w:sz w:val="16"/>
                <w:szCs w:val="16"/>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99"/>
              </w:rPr>
              <w:t>1,374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6"/>
                <w:szCs w:val="16"/>
                <w:color w:val="auto"/>
              </w:rPr>
              <w:t>647</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156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315"/>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Adjusted EBITDA Margin</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8453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5" w:lineRule="exact"/>
        <w:rPr>
          <w:sz w:val="20"/>
          <w:szCs w:val="20"/>
          <w:color w:val="auto"/>
        </w:rPr>
      </w:pPr>
    </w:p>
    <w:p>
      <w:pPr>
        <w:ind w:left="1120" w:hanging="382"/>
        <w:spacing w:after="0"/>
        <w:tabs>
          <w:tab w:leader="none" w:pos="11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define Segment Adjusted EBITDA Margin as the Segment Adjusted EBITDA divided by segment net sales.</w:t>
      </w:r>
    </w:p>
    <w:p>
      <w:pPr>
        <w:spacing w:after="0" w:line="1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0500"/>
          </w:cols>
          <w:pgMar w:left="320" w:top="420" w:right="10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60" w:firstLine="391"/>
        <w:spacing w:after="0" w:line="281" w:lineRule="auto"/>
        <w:rPr>
          <w:sz w:val="20"/>
          <w:szCs w:val="20"/>
          <w:color w:val="auto"/>
        </w:rPr>
      </w:pPr>
      <w:r>
        <w:rPr>
          <w:rFonts w:ascii="Times New Roman" w:cs="Times New Roman" w:eastAsia="Times New Roman" w:hAnsi="Times New Roman"/>
          <w:sz w:val="16"/>
          <w:szCs w:val="16"/>
          <w:color w:val="auto"/>
        </w:rPr>
        <w:t>For more information regarding our segments please refer to “Note 18—Segment Information” to our audited consolidated financial statements, included elsewhere in this prospectus.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Medline Brand segment net sales for the year ended December 31, 2024 increased $902 million, or 7.8%, to $12,515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$11,613 million for the respective period in 2023. The increase was primarily driven by volume growth in Prime Vendor sales of all Medline Brand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product groups for the year ended December 31, 2024, which increased $524 million, or 10.7%, to $5,410 million, compared to $4,886 million for the</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respective period in 2023. Acquisitions also contributed $177 million in incremental net sales in 2024.</w:t>
      </w:r>
    </w:p>
    <w:p>
      <w:pPr>
        <w:spacing w:after="0" w:line="1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Surgical Solutions net sales for the year ended December 31, 2024 increased $540 million, or 11.0%, to $5,471 million, compared to</w:t>
      </w:r>
    </w:p>
    <w:p>
      <w:pPr>
        <w:spacing w:after="0" w:line="24" w:lineRule="exact"/>
        <w:rPr>
          <w:sz w:val="20"/>
          <w:szCs w:val="20"/>
          <w:color w:val="auto"/>
        </w:rPr>
      </w:pPr>
    </w:p>
    <w:p>
      <w:pPr>
        <w:ind w:left="740" w:right="80"/>
        <w:spacing w:after="0" w:line="251" w:lineRule="auto"/>
        <w:rPr>
          <w:sz w:val="20"/>
          <w:szCs w:val="20"/>
          <w:color w:val="auto"/>
        </w:rPr>
      </w:pPr>
      <w:r>
        <w:rPr>
          <w:rFonts w:ascii="Times New Roman" w:cs="Times New Roman" w:eastAsia="Times New Roman" w:hAnsi="Times New Roman"/>
          <w:sz w:val="16"/>
          <w:szCs w:val="16"/>
          <w:color w:val="auto"/>
        </w:rPr>
        <w:t>$4,931 million for the respective period in 2023, primarily driven by $345 million from the increased volume in kitting products and incremental sales of $127 million from the acquired Microtek business. Front Line Care net sales for the year ended December 31, 2024 increased $243 million, or 4.2%, to $6,088 million, compared to $5,845 million for the respective period in 2023, primarily driven by volume growth of $86 million from incontinence products, $74 million from advanced and essential wound care products, and $44 million from repositioning products. Laboratory and Diagnostics net sales for the year ended December 31, 2024 increased $119 million, or 14.2%, to $956 million, compared to $837 million for the respective period in 2023, primarily driven by volume growth in laboratory products of $109 million.</w:t>
      </w:r>
    </w:p>
    <w:p>
      <w:pPr>
        <w:spacing w:after="0" w:line="170"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Medline Brand Segment Adjusted EBITDA for the year ended December 31, 2024 increased $565 million, or 20.9%, to $3,269 million, compared to $2,704 million for the respective period in 2023, primarily driven by net sales growth, including the impact of acquisitions as noted above. Medline Brand Segment Adjusted EBITDA Margin increased to 26.1% from 23.3%, primarily driven by 277 basis points from product-related costs substantially all coming from sourcing savings.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107"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Supply Chain Solutions segment net sales for the year ended December 31, 2024 increased $1,374 million, or 11.8%, to $12,992 million, compared to $11,618 million for the respective period in 2023. The increase was primarily driven by volume growth in Prime Vendor sales for the year ended December 31, 2024, which increased $1,008 million, or 10.5%, to $10,623 million, compared to $9,615 million for the respective period in 2023, including implementation of new relationships and growth with existing customers. Acquisitions also contributed $265 million incremental net sales in 2024.</w:t>
      </w:r>
    </w:p>
    <w:p>
      <w:pPr>
        <w:spacing w:after="0" w:line="16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Supply Chain Solutions Segment Adjusted EBITDA for the year ended December 31, 2024 increased $156 million, or 31.8%, to $647 million, compared to $491 million for the respective period in 2023. Supply Chain Solutions Segment Adjusted EBITDA Margin increased to 5.0% from 4.2%, primarily due to operating leverage, partially offset by a mix of both new customer signings and customer renewals which had lower distributor markups.</w:t>
      </w:r>
    </w:p>
    <w:p>
      <w:pPr>
        <w:spacing w:after="0" w:line="161" w:lineRule="exact"/>
        <w:rPr>
          <w:sz w:val="20"/>
          <w:szCs w:val="20"/>
          <w:color w:val="auto"/>
        </w:rPr>
      </w:pPr>
    </w:p>
    <w:p>
      <w:pPr>
        <w:ind w:left="740" w:right="38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compares business segment net sales, Segment Adjusted EBITDA and Segment Adjusted EBITDA Margin for the years ended December 31, 2023 and 2022.</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3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Year ended</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5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(in millions, except percentages)</w:t>
            </w:r>
          </w:p>
        </w:tc>
        <w:tc>
          <w:tcPr>
            <w:tcW w:w="800" w:type="dxa"/>
            <w:vAlign w:val="bottom"/>
          </w:tcPr>
          <w:p>
            <w:pPr>
              <w:spacing w:after="0"/>
              <w:rPr>
                <w:sz w:val="8"/>
                <w:szCs w:val="8"/>
                <w:color w:val="auto"/>
              </w:rPr>
            </w:pPr>
          </w:p>
        </w:tc>
        <w:tc>
          <w:tcPr>
            <w:tcW w:w="140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w w:val="92"/>
              </w:rPr>
              <w:t>change</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7"/>
              </w:rPr>
              <w:t>% change</w:t>
            </w:r>
          </w:p>
        </w:tc>
        <w:tc>
          <w:tcPr>
            <w:tcW w:w="0" w:type="dxa"/>
            <w:vAlign w:val="bottom"/>
          </w:tcPr>
          <w:p>
            <w:pPr>
              <w:spacing w:after="0"/>
              <w:rPr>
                <w:sz w:val="1"/>
                <w:szCs w:val="1"/>
                <w:color w:val="auto"/>
              </w:rPr>
            </w:pPr>
          </w:p>
        </w:tc>
      </w:tr>
      <w:tr>
        <w:trPr>
          <w:trHeight w:val="154"/>
        </w:trPr>
        <w:tc>
          <w:tcPr>
            <w:tcW w:w="35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2022</w:t>
            </w:r>
          </w:p>
        </w:tc>
        <w:tc>
          <w:tcPr>
            <w:tcW w:w="66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6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Medline Brand</w:t>
            </w:r>
          </w:p>
        </w:tc>
        <w:tc>
          <w:tcPr>
            <w:tcW w:w="8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596"/>
              <w:spacing w:after="0"/>
              <w:rPr>
                <w:sz w:val="20"/>
                <w:szCs w:val="20"/>
                <w:color w:val="auto"/>
              </w:rPr>
            </w:pPr>
            <w:r>
              <w:rPr>
                <w:rFonts w:ascii="Times New Roman" w:cs="Times New Roman" w:eastAsia="Times New Roman" w:hAnsi="Times New Roman"/>
                <w:sz w:val="16"/>
                <w:szCs w:val="16"/>
                <w:color w:val="auto"/>
              </w:rPr>
              <w:t>11,613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10,999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614</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4"/>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6"/>
                <w:szCs w:val="16"/>
                <w:color w:val="auto"/>
              </w:rPr>
              <w:t>2,704</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2,240</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464</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Segment Adjusted EBITDA Margin</w:t>
            </w:r>
            <w:r>
              <w:rPr>
                <w:rFonts w:ascii="Times New Roman" w:cs="Times New Roman" w:eastAsia="Times New Roman" w:hAnsi="Times New Roman"/>
                <w:sz w:val="22"/>
                <w:szCs w:val="22"/>
                <w:color w:val="auto"/>
                <w:vertAlign w:val="superscript"/>
              </w:rPr>
              <w:t>(1)</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color w:val="auto"/>
              </w:rPr>
              <w:t>23.3%</w:t>
            </w:r>
          </w:p>
        </w:tc>
        <w:tc>
          <w:tcPr>
            <w:tcW w:w="16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Supply Chain Solutions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sales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596"/>
              <w:spacing w:after="0"/>
              <w:rPr>
                <w:sz w:val="20"/>
                <w:szCs w:val="20"/>
                <w:color w:val="auto"/>
              </w:rPr>
            </w:pPr>
            <w:r>
              <w:rPr>
                <w:rFonts w:ascii="Times New Roman" w:cs="Times New Roman" w:eastAsia="Times New Roman" w:hAnsi="Times New Roman"/>
                <w:sz w:val="16"/>
                <w:szCs w:val="16"/>
                <w:color w:val="auto"/>
              </w:rPr>
              <w:t>11,618</w:t>
            </w:r>
          </w:p>
        </w:tc>
        <w:tc>
          <w:tcPr>
            <w:tcW w:w="160" w:type="dxa"/>
            <w:vAlign w:val="bottom"/>
          </w:tcPr>
          <w:p>
            <w:pPr>
              <w:spacing w:after="0"/>
              <w:rPr>
                <w:sz w:val="16"/>
                <w:szCs w:val="16"/>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10,449</w:t>
            </w:r>
          </w:p>
        </w:tc>
        <w:tc>
          <w:tcPr>
            <w:tcW w:w="100" w:type="dxa"/>
            <w:vAlign w:val="bottom"/>
          </w:tcPr>
          <w:p>
            <w:pPr>
              <w:spacing w:after="0"/>
              <w:rPr>
                <w:sz w:val="16"/>
                <w:szCs w:val="16"/>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w w:val="99"/>
              </w:rPr>
              <w:t>1,169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192"/>
        </w:trPr>
        <w:tc>
          <w:tcPr>
            <w:tcW w:w="3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Segment Adjusted EBITDA</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596"/>
              <w:spacing w:after="0"/>
              <w:rPr>
                <w:sz w:val="20"/>
                <w:szCs w:val="20"/>
                <w:color w:val="auto"/>
              </w:rPr>
            </w:pPr>
            <w:r>
              <w:rPr>
                <w:rFonts w:ascii="Times New Roman" w:cs="Times New Roman" w:eastAsia="Times New Roman" w:hAnsi="Times New Roman"/>
                <w:sz w:val="16"/>
                <w:szCs w:val="16"/>
                <w:color w:val="auto"/>
              </w:rPr>
              <w:t>491</w:t>
            </w: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315"/>
        </w:trPr>
        <w:tc>
          <w:tcPr>
            <w:tcW w:w="35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Segment Adjusted EBITDA Margin</w:t>
            </w:r>
            <w:r>
              <w:rPr>
                <w:rFonts w:ascii="Times New Roman" w:cs="Times New Roman" w:eastAsia="Times New Roman" w:hAnsi="Times New Roman"/>
                <w:sz w:val="23"/>
                <w:szCs w:val="23"/>
                <w:color w:val="auto"/>
                <w:vertAlign w:val="superscript"/>
              </w:rPr>
              <w:t>(1)</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456"/>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24"/>
                <w:szCs w:val="24"/>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8453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5" w:lineRule="exact"/>
        <w:rPr>
          <w:sz w:val="20"/>
          <w:szCs w:val="20"/>
          <w:color w:val="auto"/>
        </w:rPr>
      </w:pPr>
    </w:p>
    <w:p>
      <w:pPr>
        <w:ind w:left="1120" w:hanging="382"/>
        <w:spacing w:after="0"/>
        <w:tabs>
          <w:tab w:leader="none" w:pos="112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define Segment Adjusted EBITDA Margin as the Segment Adjusted EBITDA divided by segment net sales.</w:t>
      </w:r>
    </w:p>
    <w:p>
      <w:pPr>
        <w:spacing w:after="0" w:line="1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0500"/>
          </w:cols>
          <w:pgMar w:left="320" w:top="420" w:right="10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For more information regarding our segments please refer to “Note 18—Segment Information” to our audited consolidated financial statements, included elsewhere in this prospectus.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Medline Brand</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Medline Brand segment net sales for the year ended December 31, 2023 increased $614 million, or 5.6%, to $11,613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$10,999 million for the respective period in 2022. The increase was primarily driven by volume growth in Prime Vendor sales of all Medline Brand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product groups for the year ended December 31, 2023, which increased $634 million, or 14.9%, to $4,886 million, compared to $4,252 million for the</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respective period in 2022.</w:t>
      </w:r>
    </w:p>
    <w:p>
      <w:pPr>
        <w:spacing w:after="0" w:line="1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Surgical Solutions net sales for the year ended December 31, 2023 increased $485 million, or 10.9%, to $4,931 million, compared to</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$4,446 million for the respective period in 2022, largely driven by continued existing customer volume growth as surgery procedures recovered</w:t>
      </w:r>
    </w:p>
    <w:p>
      <w:pPr>
        <w:spacing w:after="0" w:line="8"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throughout 2023 from the prior year backlog. Front Line Care net sales for the year ended December 31, 2023 increased $136 million, or 2.4%, to $5,845 million, compared to $5,709 million for the respective period in 2022, primarily driven by volume growth of $105 million from primary care products and $49 million from wound care products. Laboratory and Diagnostics net sales for the year ended December 31, 2023 decreased $7 million, or 0.8%, to $837 million, compared to $844 million for the respective period in 2022 driven by a decrease in test kit volumes due to the normalization of COVID-19 and flu seasons.</w:t>
      </w:r>
    </w:p>
    <w:p>
      <w:pPr>
        <w:spacing w:after="0" w:line="167"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Medline Brand Segment Adjusted EBITDA for the year ended December 31, 2023 increased $464 million, or 20.7%, to $2,704 million, compared to $2,240 million for the respective period in 2022, primarily driven by net sales growth. Medline Brand Segment Adjusted EBITDA Margin increased to 23.3% from 20.4%, 300 basis points of which was driven by lower freight and import related costs due to fewer supply chain disruptions and decreases in global shipping costs, which had spiked during the COVID-19 pandemic. Freight and import related costs primarily impact the Medline Brand segment due to its vertically integrated model that requires sourcing materials globally.</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Supply Chain Solutions</w:t>
      </w:r>
    </w:p>
    <w:p>
      <w:pPr>
        <w:spacing w:after="0" w:line="10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Supply Chain Solutions segment net sales for the year ended December 31, 2023 increased $1,169 million, or 11.2%, to $11,618 million, compared to $10,449 million for the respective period in 2022. The increase was primarily driven by volume growth in Prime Vendor sales for the year ended December 31, 2023, which increased $1,315 million, or 15.8%, to $9,615 million, compared to $8,300 million for the respective period in 2022, including implementation of new relationships and growth with existing customers.</w:t>
      </w:r>
    </w:p>
    <w:p>
      <w:pPr>
        <w:spacing w:after="0" w:line="161"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Supply Chain Solutions Segment Adjusted EBITDA for the year ended December 31, 2023 increased $1 million, or 0.2%, to $491 million, compared to $490 million for the respective period in 2022. Supply Chain Solutions Segment Adjusted EBITDA Margin decreased to 4.2% from 4.7%, primarily driven by a mix of both new customer signings and customer renewals which had lower distributor markups.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Non-GAAP Financial Information</w:t>
      </w:r>
    </w:p>
    <w:p>
      <w:pPr>
        <w:spacing w:after="0" w:line="105"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117</w:t>
      </w:r>
    </w:p>
    <w:p>
      <w:pPr>
        <w:sectPr>
          <w:pgSz w:w="11900" w:h="16838" w:orient="portrait"/>
          <w:cols w:equalWidth="0" w:num="1">
            <w:col w:w="10480"/>
          </w:cols>
          <w:pgMar w:left="320" w:top="420" w:right="10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60"/>
        <w:spacing w:after="0" w:line="265" w:lineRule="auto"/>
        <w:rPr>
          <w:sz w:val="20"/>
          <w:szCs w:val="20"/>
          <w:color w:val="auto"/>
        </w:rPr>
      </w:pPr>
      <w:r>
        <w:rPr>
          <w:rFonts w:ascii="Times New Roman" w:cs="Times New Roman" w:eastAsia="Times New Roman" w:hAnsi="Times New Roman"/>
          <w:sz w:val="16"/>
          <w:szCs w:val="16"/>
          <w:color w:val="auto"/>
        </w:rPr>
        <w:t>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Adjusted EBITDA and Adjusted EBITDA Margin</w:t>
      </w:r>
    </w:p>
    <w:p>
      <w:pPr>
        <w:spacing w:after="0" w:line="107" w:lineRule="exact"/>
        <w:rPr>
          <w:sz w:val="20"/>
          <w:szCs w:val="20"/>
          <w:color w:val="auto"/>
        </w:rPr>
      </w:pPr>
    </w:p>
    <w:p>
      <w:pPr>
        <w:ind w:left="740" w:right="40" w:firstLine="391"/>
        <w:spacing w:after="0" w:line="276" w:lineRule="auto"/>
        <w:rPr>
          <w:sz w:val="20"/>
          <w:szCs w:val="20"/>
          <w:color w:val="auto"/>
        </w:rPr>
      </w:pPr>
      <w:r>
        <w:rPr>
          <w:rFonts w:ascii="Times New Roman" w:cs="Times New Roman" w:eastAsia="Times New Roman" w:hAnsi="Times New Roman"/>
          <w:sz w:val="15"/>
          <w:szCs w:val="15"/>
          <w:color w:val="auto"/>
        </w:rPr>
        <w:t>Adjusted EBITDA is defined as net income (loss) adjusted for (i) interest expense, net, (ii) provision for income taxes, (iii) depreciation and amortization, (iv) inventory-related adjustments, (v) stock-based compensation, (vi) change of control expenses, (vii) acquisition and integration-related adjustments, (viii) litigation (gains) charges, net, and (ix)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51" w:lineRule="exact"/>
        <w:rPr>
          <w:sz w:val="20"/>
          <w:szCs w:val="20"/>
          <w:color w:val="auto"/>
        </w:rPr>
      </w:pPr>
    </w:p>
    <w:p>
      <w:pPr>
        <w:ind w:left="740" w:right="36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sets forth a reconciliation of net income (loss), the most comparable GAAP measure, to Adjusted EBITDA and Adjusted EBITDA Margin:</w:t>
      </w:r>
    </w:p>
    <w:p>
      <w:pPr>
        <w:spacing w:after="0" w:line="162"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34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left="283"/>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5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 except percentages)</w:t>
            </w:r>
          </w:p>
        </w:tc>
        <w:tc>
          <w:tcPr>
            <w:tcW w:w="136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78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September 28,</w:t>
            </w:r>
          </w:p>
        </w:tc>
        <w:tc>
          <w:tcPr>
            <w:tcW w:w="560" w:type="dxa"/>
            <w:vAlign w:val="bottom"/>
          </w:tcPr>
          <w:p>
            <w:pPr>
              <w:spacing w:after="0"/>
              <w:rPr>
                <w:sz w:val="8"/>
                <w:szCs w:val="8"/>
                <w:color w:val="auto"/>
              </w:rPr>
            </w:pPr>
          </w:p>
        </w:tc>
        <w:tc>
          <w:tcPr>
            <w:tcW w:w="132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32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740" w:type="dxa"/>
            <w:vAlign w:val="bottom"/>
            <w:gridSpan w:val="2"/>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346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w w:val="84"/>
              </w:rPr>
              <w:t>2024</w:t>
            </w:r>
          </w:p>
        </w:tc>
        <w:tc>
          <w:tcPr>
            <w:tcW w:w="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3"/>
          </w:tcPr>
          <w:p>
            <w:pPr>
              <w:jc w:val="center"/>
              <w:ind w:left="283"/>
              <w:spacing w:after="0" w:line="124"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977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911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1,200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646</w:t>
            </w:r>
          </w:p>
        </w:tc>
        <w:tc>
          <w:tcPr>
            <w:tcW w:w="260" w:type="dxa"/>
            <w:vAlign w:val="bottom"/>
          </w:tcPr>
          <w:p>
            <w:pPr>
              <w:spacing w:after="0"/>
              <w:rPr>
                <w:sz w:val="16"/>
                <w:szCs w:val="16"/>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655</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864</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976</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65</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Depreciation and amortization</w:t>
            </w:r>
            <w:r>
              <w:rPr>
                <w:rFonts w:ascii="Times New Roman" w:cs="Times New Roman" w:eastAsia="Times New Roman" w:hAnsi="Times New Roman"/>
                <w:sz w:val="22"/>
                <w:szCs w:val="22"/>
                <w:color w:val="auto"/>
                <w:vertAlign w:val="superscript"/>
              </w:rPr>
              <w:t>(1)</w:t>
            </w:r>
          </w:p>
        </w:tc>
        <w:tc>
          <w:tcPr>
            <w:tcW w:w="16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750</w:t>
            </w:r>
          </w:p>
        </w:tc>
        <w:tc>
          <w:tcPr>
            <w:tcW w:w="260" w:type="dxa"/>
            <w:vAlign w:val="bottom"/>
          </w:tcPr>
          <w:p>
            <w:pPr>
              <w:spacing w:after="0"/>
              <w:rPr>
                <w:sz w:val="16"/>
                <w:szCs w:val="16"/>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724</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977</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951</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Inventory-related adjustments</w:t>
            </w:r>
            <w:r>
              <w:rPr>
                <w:rFonts w:ascii="Times New Roman" w:cs="Times New Roman" w:eastAsia="Times New Roman" w:hAnsi="Times New Roman"/>
                <w:sz w:val="22"/>
                <w:szCs w:val="22"/>
                <w:color w:val="auto"/>
                <w:vertAlign w:val="superscript"/>
              </w:rPr>
              <w:t>(2)</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38</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6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Pr>
          <w:p>
            <w:pPr>
              <w:spacing w:after="0"/>
              <w:rPr>
                <w:sz w:val="16"/>
                <w:szCs w:val="16"/>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Change of control expenses</w:t>
            </w:r>
            <w:r>
              <w:rPr>
                <w:rFonts w:ascii="Times New Roman" w:cs="Times New Roman" w:eastAsia="Times New Roman" w:hAnsi="Times New Roman"/>
                <w:sz w:val="22"/>
                <w:szCs w:val="22"/>
                <w:color w:val="auto"/>
                <w:vertAlign w:val="superscript"/>
              </w:rPr>
              <w:t>(3)</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217</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92"/>
        </w:trPr>
        <w:tc>
          <w:tcPr>
            <w:tcW w:w="3460" w:type="dxa"/>
            <w:vAlign w:val="bottom"/>
          </w:tcPr>
          <w:p>
            <w:pPr>
              <w:ind w:left="320"/>
              <w:spacing w:after="0" w:line="191" w:lineRule="exact"/>
              <w:rPr>
                <w:sz w:val="20"/>
                <w:szCs w:val="20"/>
                <w:color w:val="auto"/>
              </w:rPr>
            </w:pPr>
            <w:r>
              <w:rPr>
                <w:rFonts w:ascii="Times New Roman" w:cs="Times New Roman" w:eastAsia="Times New Roman" w:hAnsi="Times New Roman"/>
                <w:sz w:val="15"/>
                <w:szCs w:val="15"/>
                <w:color w:val="auto"/>
              </w:rPr>
              <w:t>Litigation (gains) charges, net</w:t>
            </w:r>
            <w:r>
              <w:rPr>
                <w:rFonts w:ascii="Times New Roman" w:cs="Times New Roman" w:eastAsia="Times New Roman" w:hAnsi="Times New Roman"/>
                <w:sz w:val="22"/>
                <w:szCs w:val="22"/>
                <w:color w:val="auto"/>
                <w:vertAlign w:val="superscript"/>
              </w:rPr>
              <w:t>(4)</w:t>
            </w:r>
          </w:p>
        </w:tc>
        <w:tc>
          <w:tcPr>
            <w:tcW w:w="160" w:type="dxa"/>
            <w:vAlign w:val="bottom"/>
          </w:tcPr>
          <w:p>
            <w:pPr>
              <w:spacing w:after="0"/>
              <w:rPr>
                <w:sz w:val="16"/>
                <w:szCs w:val="16"/>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tcPr>
          <w:p>
            <w:pPr>
              <w:spacing w:after="0"/>
              <w:rPr>
                <w:sz w:val="16"/>
                <w:szCs w:val="16"/>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6"/>
                <w:szCs w:val="16"/>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color w:val="auto"/>
              </w:rPr>
              <w:t>161</w:t>
            </w:r>
          </w:p>
        </w:tc>
        <w:tc>
          <w:tcPr>
            <w:tcW w:w="16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3460" w:type="dxa"/>
            <w:vAlign w:val="bottom"/>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Other non-core charges (gains)</w:t>
            </w:r>
            <w:r>
              <w:rPr>
                <w:rFonts w:ascii="Times New Roman" w:cs="Times New Roman" w:eastAsia="Times New Roman" w:hAnsi="Times New Roman"/>
                <w:sz w:val="22"/>
                <w:szCs w:val="22"/>
                <w:color w:val="auto"/>
                <w:vertAlign w:val="superscript"/>
              </w:rPr>
              <w:t>(5)</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181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112</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rPr>
              <w:t>133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5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2,551</w:t>
            </w:r>
          </w:p>
        </w:tc>
        <w:tc>
          <w:tcPr>
            <w:tcW w:w="5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2,768</w:t>
            </w:r>
          </w:p>
        </w:tc>
        <w:tc>
          <w:tcPr>
            <w:tcW w:w="5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Net income (loss) margin</w:t>
            </w:r>
            <w:r>
              <w:rPr>
                <w:rFonts w:ascii="Times New Roman" w:cs="Times New Roman" w:eastAsia="Times New Roman" w:hAnsi="Times New Roman"/>
                <w:sz w:val="20"/>
                <w:szCs w:val="20"/>
                <w:color w:val="auto"/>
                <w:vertAlign w:val="superscript"/>
              </w:rPr>
              <w:t>(6)</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line="220" w:lineRule="exact"/>
              <w:rPr>
                <w:sz w:val="20"/>
                <w:szCs w:val="20"/>
                <w:color w:val="auto"/>
              </w:rPr>
            </w:pPr>
            <w:r>
              <w:rPr>
                <w:rFonts w:ascii="Times New Roman" w:cs="Times New Roman" w:eastAsia="Times New Roman" w:hAnsi="Times New Roman"/>
                <w:sz w:val="16"/>
                <w:szCs w:val="16"/>
                <w:color w:val="auto"/>
              </w:rPr>
              <w:t>Adjusted EBITDA Margin</w:t>
            </w:r>
            <w:r>
              <w:rPr>
                <w:rFonts w:ascii="Times New Roman" w:cs="Times New Roman" w:eastAsia="Times New Roman" w:hAnsi="Times New Roman"/>
                <w:sz w:val="23"/>
                <w:szCs w:val="23"/>
                <w:color w:val="auto"/>
                <w:vertAlign w:val="superscript"/>
              </w:rPr>
              <w:t>(6)</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12.9%</w:t>
            </w:r>
          </w:p>
        </w:tc>
        <w:tc>
          <w:tcPr>
            <w:tcW w:w="260" w:type="dxa"/>
            <w:vAlign w:val="bottom"/>
          </w:tcPr>
          <w:p>
            <w:pPr>
              <w:spacing w:after="0"/>
              <w:rPr>
                <w:sz w:val="15"/>
                <w:szCs w:val="15"/>
                <w:color w:val="auto"/>
              </w:rPr>
            </w:pPr>
          </w:p>
        </w:tc>
        <w:tc>
          <w:tcPr>
            <w:tcW w:w="108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13.6%</w:t>
            </w:r>
          </w:p>
        </w:tc>
        <w:tc>
          <w:tcPr>
            <w:tcW w:w="160" w:type="dxa"/>
            <w:vAlign w:val="bottom"/>
          </w:tcPr>
          <w:p>
            <w:pPr>
              <w:spacing w:after="0"/>
              <w:rPr>
                <w:sz w:val="15"/>
                <w:szCs w:val="15"/>
                <w:color w:val="auto"/>
              </w:rPr>
            </w:pPr>
          </w:p>
        </w:tc>
        <w:tc>
          <w:tcPr>
            <w:tcW w:w="116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13.2%</w:t>
            </w:r>
          </w:p>
        </w:tc>
        <w:tc>
          <w:tcPr>
            <w:tcW w:w="160" w:type="dxa"/>
            <w:vAlign w:val="bottom"/>
          </w:tcPr>
          <w:p>
            <w:pPr>
              <w:spacing w:after="0"/>
              <w:rPr>
                <w:sz w:val="15"/>
                <w:szCs w:val="15"/>
                <w:color w:val="auto"/>
              </w:rPr>
            </w:pPr>
          </w:p>
        </w:tc>
        <w:tc>
          <w:tcPr>
            <w:tcW w:w="1160" w:type="dxa"/>
            <w:vAlign w:val="bottom"/>
            <w:gridSpan w:val="2"/>
          </w:tcPr>
          <w:p>
            <w:pPr>
              <w:jc w:val="right"/>
              <w:ind w:right="440"/>
              <w:spacing w:after="0" w:line="180" w:lineRule="exact"/>
              <w:rPr>
                <w:sz w:val="20"/>
                <w:szCs w:val="20"/>
                <w:color w:val="auto"/>
              </w:rPr>
            </w:pPr>
            <w:r>
              <w:rPr>
                <w:rFonts w:ascii="Times New Roman" w:cs="Times New Roman" w:eastAsia="Times New Roman" w:hAnsi="Times New Roman"/>
                <w:sz w:val="16"/>
                <w:szCs w:val="16"/>
                <w:color w:val="auto"/>
              </w:rPr>
              <w:t>11.9%</w:t>
            </w:r>
          </w:p>
        </w:tc>
        <w:tc>
          <w:tcPr>
            <w:tcW w:w="160" w:type="dxa"/>
            <w:vAlign w:val="bottom"/>
          </w:tcPr>
          <w:p>
            <w:pPr>
              <w:spacing w:after="0"/>
              <w:rPr>
                <w:sz w:val="15"/>
                <w:szCs w:val="15"/>
                <w:color w:val="auto"/>
              </w:rPr>
            </w:pPr>
          </w:p>
        </w:tc>
        <w:tc>
          <w:tcPr>
            <w:tcW w:w="80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right="140" w:hanging="382"/>
        <w:spacing w:after="0" w:line="222" w:lineRule="auto"/>
        <w:tabs>
          <w:tab w:leader="none" w:pos="11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1120" w:right="60" w:hanging="382"/>
        <w:spacing w:after="0" w:line="211" w:lineRule="auto"/>
        <w:tabs>
          <w:tab w:leader="none" w:pos="11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$38 million and $54 million of inventory adjustments associated with non-cash last-in, first-out (“LIFO”) reserves, which removes the entire impact of LIFO for the nine months ended September 27, 2025 and September 28, 2024, and $13 million of amortization of the inventory step-up resulting from acquisitions for the nine months ended September 28, 2024. Represents $53 million, $61 million, and $154 million of inventory adjustments associated with non-cash LIFO reserves for the years ended December 31, 2024, 2023, and 2022, respectively, and $25 million, $90 million, and $11 million of amortization of the inventory step-up resulting from acquisitions for the years ended December 31, 2024, 2023, and 2022, respectively.</w:t>
      </w:r>
    </w:p>
    <w:p>
      <w:pPr>
        <w:spacing w:after="0" w:line="1" w:lineRule="exact"/>
        <w:rPr>
          <w:rFonts w:ascii="Times New Roman" w:cs="Times New Roman" w:eastAsia="Times New Roman" w:hAnsi="Times New Roman"/>
          <w:sz w:val="13"/>
          <w:szCs w:val="13"/>
          <w:color w:val="auto"/>
        </w:rPr>
      </w:pPr>
    </w:p>
    <w:p>
      <w:pPr>
        <w:ind w:left="1120" w:hanging="382"/>
        <w:spacing w:after="0" w:line="215" w:lineRule="auto"/>
        <w:tabs>
          <w:tab w:leader="none" w:pos="112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118</w:t>
      </w:r>
    </w:p>
    <w:p>
      <w:pPr>
        <w:sectPr>
          <w:pgSz w:w="11900" w:h="16838" w:orient="portrait"/>
          <w:cols w:equalWidth="0" w:num="1">
            <w:col w:w="10500"/>
          </w:cols>
          <w:pgMar w:left="320" w:top="420" w:right="10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2" w:lineRule="exact"/>
        <w:rPr>
          <w:sz w:val="20"/>
          <w:szCs w:val="20"/>
          <w:color w:val="auto"/>
        </w:rPr>
      </w:pPr>
    </w:p>
    <w:p>
      <w:pPr>
        <w:ind w:left="1120" w:right="80" w:hanging="382"/>
        <w:spacing w:after="0" w:line="237" w:lineRule="auto"/>
        <w:tabs>
          <w:tab w:leader="none" w:pos="11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nine months ended September 27, 2025, represents a settlement adjustment of $(8) million related to the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ind w:left="1120" w:right="120" w:hanging="382"/>
        <w:spacing w:after="0" w:line="229" w:lineRule="auto"/>
        <w:tabs>
          <w:tab w:leader="none" w:pos="11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other non-core charges (gains), including $91 million and $25 million of realized and unrealized foreign exchange and investment losses (gains); $32 million and $16 million credit loss expense related to certain customer receivables; $23 million and $13 million of acquisition and integration related costs and adjustments; $15 million and $20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 $16 million of (gains) losses on disposal of assets and exits; $(6) million, $15 million, and $(10) million of realized and unrealized foreign exchange and investment losses (gains);</w:t>
      </w:r>
    </w:p>
    <w:p>
      <w:pPr>
        <w:ind w:left="1120" w:right="40"/>
        <w:spacing w:after="0" w:line="21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 w:lineRule="exact"/>
        <w:rPr>
          <w:rFonts w:ascii="Times New Roman" w:cs="Times New Roman" w:eastAsia="Times New Roman" w:hAnsi="Times New Roman"/>
          <w:sz w:val="12"/>
          <w:szCs w:val="12"/>
          <w:color w:val="auto"/>
        </w:rPr>
      </w:pPr>
    </w:p>
    <w:p>
      <w:pPr>
        <w:ind w:left="1120" w:hanging="382"/>
        <w:spacing w:after="0"/>
        <w:tabs>
          <w:tab w:leader="none" w:pos="112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(loss) margin represents net income (loss) divided by net sales and Adjusted EBITDA Margin represents Adjusted EBITDA divided by net sales.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0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Our primary sources of liquidity are our cash and cash equivalents, our cash flows from operations, and our Revolving Credit Facility (defined in “Description of Certain Indebtedness”). As of September 27, 2025, we had cash and cash equivalents of $952 million and available liquidity under our Revolving Credit Facility of $946 million. Medline Inc. intends to use the proceeds (net of underwriting discounts and commissions) from the issuance of 179,000,000 shares in this offering (which we estimate will be approximately $5,078 million) to acquire an equivalent number of newly issued Common Units from Medline Holdings, as described under “Organizational Structure—Offering Transactions.” Medline Holdings will in turn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We estimate these offering expenses (excluding underwriting discounts and commissions) will be approximately $38 million. Medline Inc. intends to use the proceeds (net of underwriting discounts and commissions) from the issuance of 37,034,482 shares (which we estimate will be approximately $1,051 million) and from any issuance of shares pursuant to any exercise by the underwriters of their option to purchase up to 32,405,172 additional shares of Class A common stock (which we estimate will be approximately $919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66"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Our primary uses of cash include product purchases, operating costs, personnel-related costs, capital expenditures related to property and equipment, acquisitions, payments of interest under our indebtedness, and distributions to partners. We also used a portion of our cash to make payments due under the Medline Industries, Inc. Managing Partner Program in connection with the Sponsor Acquisition. The second cash payment of</w:t>
      </w:r>
    </w:p>
    <w:p>
      <w:pPr>
        <w:ind w:left="740"/>
        <w:spacing w:after="0"/>
        <w:rPr>
          <w:sz w:val="20"/>
          <w:szCs w:val="20"/>
          <w:color w:val="auto"/>
        </w:rPr>
      </w:pPr>
      <w:r>
        <w:rPr>
          <w:rFonts w:ascii="Times New Roman" w:cs="Times New Roman" w:eastAsia="Times New Roman" w:hAnsi="Times New Roman"/>
          <w:sz w:val="16"/>
          <w:szCs w:val="16"/>
          <w:color w:val="auto"/>
        </w:rPr>
        <w:t>$501 million was made in the fourth quarter of 2022, and the third and final cash payment of $492 million was made in the fourth quarter of 2023.</w:t>
      </w:r>
    </w:p>
    <w:p>
      <w:pPr>
        <w:spacing w:after="0" w:line="183" w:lineRule="exact"/>
        <w:rPr>
          <w:sz w:val="20"/>
          <w:szCs w:val="20"/>
          <w:color w:val="auto"/>
        </w:rPr>
      </w:pPr>
    </w:p>
    <w:p>
      <w:pPr>
        <w:ind w:left="740" w:right="560" w:firstLine="391"/>
        <w:spacing w:after="0" w:line="281" w:lineRule="auto"/>
        <w:rPr>
          <w:sz w:val="20"/>
          <w:szCs w:val="20"/>
          <w:color w:val="auto"/>
        </w:rPr>
      </w:pPr>
      <w:r>
        <w:rPr>
          <w:rFonts w:ascii="Times New Roman" w:cs="Times New Roman" w:eastAsia="Times New Roman" w:hAnsi="Times New Roman"/>
          <w:sz w:val="16"/>
          <w:szCs w:val="16"/>
          <w:color w:val="auto"/>
        </w:rPr>
        <w:t>Our net capital expenditures were $309 million and $263 million for the nine months ended September 27, 2025 and September 28, 2024, respectively. Our net capital expenditures were $354 million, $275 million, and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119</w:t>
      </w:r>
    </w:p>
    <w:p>
      <w:pPr>
        <w:sectPr>
          <w:pgSz w:w="11900" w:h="16838" w:orient="portrait"/>
          <w:cols w:equalWidth="0" w:num="1">
            <w:col w:w="10500"/>
          </w:cols>
          <w:pgMar w:left="320" w:top="420" w:right="10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$254 million for the years ended December 31, 2024, December 31, 2023, and December 31, 2022, respectively. These include the continued investment in new production lines in our manufacturing facilities, automation in our distribution centers and expansion of our MedTrans fleet. We anticipate the range of net capital expenditures for the fiscal year ended December 31, 2025 to be between $450 million and $550 million, primarily related to the expansion of manufacturing facilities.</w:t>
      </w:r>
    </w:p>
    <w:p>
      <w:pPr>
        <w:spacing w:after="0" w:line="161" w:lineRule="exact"/>
        <w:rPr>
          <w:sz w:val="20"/>
          <w:szCs w:val="20"/>
          <w:color w:val="auto"/>
        </w:rPr>
      </w:pPr>
    </w:p>
    <w:p>
      <w:pPr>
        <w:ind w:left="740" w:right="140" w:firstLine="391"/>
        <w:spacing w:after="0" w:line="257" w:lineRule="auto"/>
        <w:rPr>
          <w:sz w:val="20"/>
          <w:szCs w:val="20"/>
          <w:color w:val="auto"/>
        </w:rPr>
      </w:pPr>
      <w:r>
        <w:rPr>
          <w:rFonts w:ascii="Times New Roman" w:cs="Times New Roman" w:eastAsia="Times New Roman" w:hAnsi="Times New Roman"/>
          <w:sz w:val="16"/>
          <w:szCs w:val="16"/>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65"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After completion of this offering, Medline Inc. will be a holding company and will have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69"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120</w:t>
      </w:r>
    </w:p>
    <w:p>
      <w:pPr>
        <w:sectPr>
          <w:pgSz w:w="11900" w:h="16838" w:orient="portrait"/>
          <w:cols w:equalWidth="0" w:num="1">
            <w:col w:w="10500"/>
          </w:cols>
          <w:pgMar w:left="320" w:top="420" w:right="10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The following table sets forth the major components of our unaudited condensed consolidated statements of cash flows for the periods presented:</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54"/>
        </w:trPr>
        <w:tc>
          <w:tcPr>
            <w:tcW w:w="49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center"/>
              <w:ind w:left="223"/>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9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tcBorders>
              <w:bottom w:val="single" w:sz="8" w:color="auto"/>
            </w:tcBorders>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September 27, 2025</w:t>
            </w:r>
          </w:p>
        </w:tc>
        <w:tc>
          <w:tcPr>
            <w:tcW w:w="2020" w:type="dxa"/>
            <w:vAlign w:val="bottom"/>
            <w:tcBorders>
              <w:bottom w:val="single" w:sz="8" w:color="auto"/>
            </w:tcBorders>
            <w:gridSpan w:val="3"/>
          </w:tcPr>
          <w:p>
            <w:pPr>
              <w:ind w:left="940"/>
              <w:spacing w:after="0" w:line="124" w:lineRule="exact"/>
              <w:rPr>
                <w:sz w:val="20"/>
                <w:szCs w:val="20"/>
                <w:color w:val="auto"/>
              </w:rPr>
            </w:pPr>
            <w:r>
              <w:rPr>
                <w:rFonts w:ascii="Times New Roman" w:cs="Times New Roman" w:eastAsia="Times New Roman" w:hAnsi="Times New Roman"/>
                <w:sz w:val="13"/>
                <w:szCs w:val="13"/>
                <w:b w:val="1"/>
                <w:bCs w:val="1"/>
                <w:color w:val="auto"/>
                <w:w w:val="97"/>
              </w:rPr>
              <w:t>September 28, 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9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Net cash and cash equivalents and restricted cash provided</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by (used in):</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Pr>
          <w:p>
            <w:pPr>
              <w:spacing w:after="0"/>
              <w:rPr>
                <w:sz w:val="16"/>
                <w:szCs w:val="16"/>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(336)</w:t>
            </w:r>
          </w:p>
        </w:tc>
        <w:tc>
          <w:tcPr>
            <w:tcW w:w="9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(1,396)</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(498)</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provided by Operating Activities</w:t>
      </w:r>
    </w:p>
    <w:p>
      <w:pPr>
        <w:spacing w:after="0" w:line="107" w:lineRule="exact"/>
        <w:rPr>
          <w:sz w:val="20"/>
          <w:szCs w:val="20"/>
          <w:color w:val="auto"/>
        </w:rPr>
      </w:pPr>
    </w:p>
    <w:p>
      <w:pPr>
        <w:ind w:left="740" w:right="120" w:firstLine="391"/>
        <w:spacing w:after="0" w:line="281" w:lineRule="auto"/>
        <w:rPr>
          <w:sz w:val="20"/>
          <w:szCs w:val="20"/>
          <w:color w:val="auto"/>
        </w:rPr>
      </w:pPr>
      <w:r>
        <w:rPr>
          <w:rFonts w:ascii="Times New Roman" w:cs="Times New Roman" w:eastAsia="Times New Roman" w:hAnsi="Times New Roman"/>
          <w:sz w:val="16"/>
          <w:szCs w:val="16"/>
          <w:color w:val="auto"/>
        </w:rPr>
        <w:t>Net cash provided by operating activities was $1,515 million and $1,842 million for the nine months ended September 27, 2025 and September 28, 2024, respectively.</w:t>
      </w:r>
    </w:p>
    <w:p>
      <w:pPr>
        <w:spacing w:after="0" w:line="144"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Net cash provided by operating activities for the nine months ended September 27, 2025 was primarily driven by net income excluding non-cash items, partially offset by changes in working capital. Changes in working capital resulted in net cash used of $501 million, which was primarily driven by an increase in inventories of $249 million, including tariff impacts, and an increase in trade accounts receivable of $239 million.</w:t>
      </w:r>
    </w:p>
    <w:p>
      <w:pPr>
        <w:spacing w:after="0" w:line="157" w:lineRule="exact"/>
        <w:rPr>
          <w:sz w:val="20"/>
          <w:szCs w:val="20"/>
          <w:color w:val="auto"/>
        </w:rPr>
      </w:pPr>
    </w:p>
    <w:p>
      <w:pPr>
        <w:jc w:val="both"/>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Net cash provided by operating activities for the nine months ended September 28, 2024 was primarily driven by net income excluding non-cash items and changes in working capital. Changes in working capital resulted in net cash provided of $5 million, which was primarily driven by increases in accounts payable of $181 million and accrued expenses and other current liabilities of $116 million, largely offset by the increases in inventories of $193 million and trade accounts receivable of $107 million.</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Investing Activities</w:t>
      </w:r>
    </w:p>
    <w:p>
      <w:pPr>
        <w:spacing w:after="0" w:line="107" w:lineRule="exact"/>
        <w:rPr>
          <w:sz w:val="20"/>
          <w:szCs w:val="20"/>
          <w:color w:val="auto"/>
        </w:rPr>
      </w:pPr>
    </w:p>
    <w:p>
      <w:pPr>
        <w:ind w:left="740" w:right="620" w:firstLine="391"/>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27, 2025, net cash used in investing activities was primarily driven by net capital expenditures of $309 million and payments for asset acquisitions of $33 million.</w:t>
      </w:r>
    </w:p>
    <w:p>
      <w:pPr>
        <w:spacing w:after="0" w:line="144" w:lineRule="exact"/>
        <w:rPr>
          <w:sz w:val="20"/>
          <w:szCs w:val="20"/>
          <w:color w:val="auto"/>
        </w:rPr>
      </w:pPr>
    </w:p>
    <w:p>
      <w:pPr>
        <w:ind w:left="740" w:right="280" w:firstLine="391"/>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28, 2024, net cash used in investing activities was driven by payments for acquisitions of business and assets of $1,130 million and net capital expenditures of $263 million.</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Financing Activities</w:t>
      </w:r>
    </w:p>
    <w:p>
      <w:pPr>
        <w:spacing w:after="0" w:line="107"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27, 2025, net cash used in financing activities was driven by distributions to partners of $422 million, net repayment for long-term borrowings of $43 million, and the repurchase of Class B units of $33 million.</w:t>
      </w:r>
    </w:p>
    <w:p>
      <w:pPr>
        <w:spacing w:after="0" w:line="144" w:lineRule="exact"/>
        <w:rPr>
          <w:sz w:val="20"/>
          <w:szCs w:val="20"/>
          <w:color w:val="auto"/>
        </w:rPr>
      </w:pPr>
    </w:p>
    <w:p>
      <w:pPr>
        <w:ind w:left="740" w:right="420" w:firstLine="391"/>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28, 2024, net cash used in financing activities was $219 million, primarily driven by distributions to partners of $159 million, net repayment of long-term borrowings of $42 million, and the repurchase of Class B units of $19 million.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121</w:t>
      </w:r>
    </w:p>
    <w:p>
      <w:pPr>
        <w:sectPr>
          <w:pgSz w:w="11900" w:h="16838" w:orient="portrait"/>
          <w:cols w:equalWidth="0" w:num="1">
            <w:col w:w="10400"/>
          </w:cols>
          <w:pgMar w:left="320" w:top="420" w:right="11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following table sets forth the major components of our consolidated statements of cash flows for the periods presented:</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54"/>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3"/>
              </w:rPr>
              <w:t>Year ended</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4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20" w:type="dxa"/>
            <w:vAlign w:val="bottom"/>
          </w:tcPr>
          <w:p>
            <w:pPr>
              <w:spacing w:after="0"/>
              <w:rPr>
                <w:sz w:val="8"/>
                <w:szCs w:val="8"/>
                <w:color w:val="auto"/>
              </w:rPr>
            </w:pPr>
          </w:p>
        </w:tc>
        <w:tc>
          <w:tcPr>
            <w:tcW w:w="1120" w:type="dxa"/>
            <w:vAlign w:val="bottom"/>
            <w:gridSpan w:val="3"/>
          </w:tcPr>
          <w:p>
            <w:pPr>
              <w:jc w:val="right"/>
              <w:ind w:right="360"/>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460" w:type="dxa"/>
            <w:vAlign w:val="bottom"/>
            <w:gridSpan w:val="4"/>
          </w:tcPr>
          <w:p>
            <w:pPr>
              <w:jc w:val="center"/>
              <w:ind w:right="80"/>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80" w:type="dxa"/>
            <w:vAlign w:val="bottom"/>
            <w:gridSpan w:val="3"/>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444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Net cash and cash equivalents and restricted cash provided</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by (used in):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3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380" w:type="dxa"/>
            <w:vAlign w:val="bottom"/>
          </w:tcPr>
          <w:p>
            <w:pPr>
              <w:spacing w:after="0"/>
              <w:rPr>
                <w:sz w:val="16"/>
                <w:szCs w:val="16"/>
                <w:color w:val="auto"/>
              </w:rPr>
            </w:pPr>
          </w:p>
        </w:tc>
        <w:tc>
          <w:tcPr>
            <w:tcW w:w="48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(1,493)</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(312)</w:t>
            </w: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(1,613)</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(191)</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92"/>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380" w:type="dxa"/>
            <w:vAlign w:val="bottom"/>
          </w:tcPr>
          <w:p>
            <w:pPr>
              <w:jc w:val="right"/>
              <w:ind w:right="30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provided by Operating Activities</w:t>
      </w:r>
    </w:p>
    <w:p>
      <w:pPr>
        <w:spacing w:after="0" w:line="107" w:lineRule="exact"/>
        <w:rPr>
          <w:sz w:val="20"/>
          <w:szCs w:val="20"/>
          <w:color w:val="auto"/>
        </w:rPr>
      </w:pPr>
    </w:p>
    <w:p>
      <w:pPr>
        <w:ind w:left="740" w:right="40" w:firstLine="391"/>
        <w:spacing w:after="0" w:line="281" w:lineRule="auto"/>
        <w:rPr>
          <w:sz w:val="20"/>
          <w:szCs w:val="20"/>
          <w:color w:val="auto"/>
        </w:rPr>
      </w:pPr>
      <w:r>
        <w:rPr>
          <w:rFonts w:ascii="Times New Roman" w:cs="Times New Roman" w:eastAsia="Times New Roman" w:hAnsi="Times New Roman"/>
          <w:sz w:val="16"/>
          <w:szCs w:val="16"/>
          <w:color w:val="auto"/>
        </w:rPr>
        <w:t>Net cash provided by operating activities was $1,769 million, $1,685 million, and $187 million for the years ended December 31, 2024, 2023, and 2022, respectively.</w:t>
      </w:r>
    </w:p>
    <w:p>
      <w:pPr>
        <w:spacing w:after="0" w:line="144"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61"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2023 was primarily from net income excluding non-cash items as well as changes in working capital. Optimization of our inventory from surplus levels in 2022 provided cash of $444 million and accounts payable contributed $136 million. These were offset by changes in trade accounts receivable of $153 million primarily due to an increase in net sales and accrued expenses and other current liabilities of $112 million due to change in control payments, partially offset by the EtO litigation accrual.</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 for the year ended December 31, 2022 was primarily from net income excluding non-cash items,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partially offset by changes in working capital. Trade accounts receivable used $376 million due to higher net sales than collections. Inventories used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$195 million as we built surplus to address global supply chain delays. Accrued expenses and other current liabilities and accounts payable used cash of</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$144 million and $103 million, respectively, due to the timing of payments.</w:t>
      </w: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Investing Activities</w:t>
      </w:r>
    </w:p>
    <w:p>
      <w:pPr>
        <w:spacing w:after="0" w:line="10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For the year ended December 31, 2024, net cash used in investing activities primarily relates to payments for acquisitions of business and assets of $1,136 million and net capital expenditures of $354 million.</w:t>
      </w:r>
    </w:p>
    <w:p>
      <w:pPr>
        <w:spacing w:after="0" w:line="144" w:lineRule="exact"/>
        <w:rPr>
          <w:sz w:val="20"/>
          <w:szCs w:val="20"/>
          <w:color w:val="auto"/>
        </w:rPr>
      </w:pPr>
    </w:p>
    <w:p>
      <w:pPr>
        <w:ind w:left="740" w:right="240" w:firstLine="391"/>
        <w:spacing w:after="0" w:line="281" w:lineRule="auto"/>
        <w:rPr>
          <w:sz w:val="20"/>
          <w:szCs w:val="20"/>
          <w:color w:val="auto"/>
        </w:rPr>
      </w:pPr>
      <w:r>
        <w:rPr>
          <w:rFonts w:ascii="Times New Roman" w:cs="Times New Roman" w:eastAsia="Times New Roman" w:hAnsi="Times New Roman"/>
          <w:sz w:val="16"/>
          <w:szCs w:val="16"/>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44"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For the year ended December 31, 2022, net cash used in investing activities was driven by net capital expenditures of $254 million and payments for acquisitions of business of $17 million.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122</w:t>
      </w:r>
    </w:p>
    <w:p>
      <w:pPr>
        <w:sectPr>
          <w:pgSz w:w="11900" w:h="16838" w:orient="portrait"/>
          <w:cols w:equalWidth="0" w:num="1">
            <w:col w:w="10500"/>
          </w:cols>
          <w:pgMar w:left="320" w:top="420" w:right="10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Flows used in Financing Activities</w:t>
      </w:r>
    </w:p>
    <w:p>
      <w:pPr>
        <w:spacing w:after="0" w:line="107"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For the year ended December 31, 2024, net cash used in financing activities primarily relates to a $1,210 million payment of additional tax distributions to certain partners to catch up on a pro-rata basis tax distribution previously paid to other partners, distributions to partners of $308 million, and $63 million net repayment of long-term borrowings.</w:t>
      </w:r>
    </w:p>
    <w:p>
      <w:pPr>
        <w:spacing w:after="0" w:line="157" w:lineRule="exact"/>
        <w:rPr>
          <w:sz w:val="20"/>
          <w:szCs w:val="20"/>
          <w:color w:val="auto"/>
        </w:rPr>
      </w:pPr>
    </w:p>
    <w:p>
      <w:pPr>
        <w:ind w:left="740" w:right="740" w:firstLine="391"/>
        <w:spacing w:after="0" w:line="281" w:lineRule="auto"/>
        <w:rPr>
          <w:sz w:val="20"/>
          <w:szCs w:val="20"/>
          <w:color w:val="auto"/>
        </w:rPr>
      </w:pPr>
      <w:r>
        <w:rPr>
          <w:rFonts w:ascii="Times New Roman" w:cs="Times New Roman" w:eastAsia="Times New Roman" w:hAnsi="Times New Roman"/>
          <w:sz w:val="16"/>
          <w:szCs w:val="16"/>
          <w:color w:val="auto"/>
        </w:rPr>
        <w:t>For the year ended December 31, 2023, net cash used in financing activities was driven by distributions to partners of $114 million and repayments for long-term borrowings of $77 million.</w:t>
      </w:r>
    </w:p>
    <w:p>
      <w:pPr>
        <w:spacing w:after="0" w:line="144" w:lineRule="exact"/>
        <w:rPr>
          <w:sz w:val="20"/>
          <w:szCs w:val="20"/>
          <w:color w:val="auto"/>
        </w:rPr>
      </w:pPr>
    </w:p>
    <w:p>
      <w:pPr>
        <w:ind w:left="740" w:right="200" w:firstLine="391"/>
        <w:spacing w:after="0" w:line="281" w:lineRule="auto"/>
        <w:rPr>
          <w:sz w:val="20"/>
          <w:szCs w:val="20"/>
          <w:color w:val="auto"/>
        </w:rPr>
      </w:pPr>
      <w:r>
        <w:rPr>
          <w:rFonts w:ascii="Times New Roman" w:cs="Times New Roman" w:eastAsia="Times New Roman" w:hAnsi="Times New Roman"/>
          <w:sz w:val="16"/>
          <w:szCs w:val="16"/>
          <w:color w:val="auto"/>
        </w:rPr>
        <w:t>For the year ended December 31, 2022, net cash used in financing activities was driven by repayments for long-term borrowings of $61 million and distributions to partners of $23 million.</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long-term borrowings and the effective interest rates as of September 27, 2025, are summarized as follows:</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3"/>
                <w:szCs w:val="13"/>
                <w:b w:val="1"/>
                <w:bCs w:val="1"/>
                <w:color w:val="auto"/>
                <w:w w:val="97"/>
              </w:rPr>
              <w:t>September 27, 2025</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4"/>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2"/>
          </w:tcPr>
          <w:p>
            <w:pPr>
              <w:jc w:val="center"/>
              <w:ind w:right="360"/>
              <w:spacing w:after="0" w:line="124" w:lineRule="exact"/>
              <w:rPr>
                <w:sz w:val="20"/>
                <w:szCs w:val="20"/>
                <w:color w:val="auto"/>
              </w:rPr>
            </w:pPr>
            <w:r>
              <w:rPr>
                <w:rFonts w:ascii="Times New Roman" w:cs="Times New Roman" w:eastAsia="Times New Roman" w:hAnsi="Times New Roman"/>
                <w:sz w:val="13"/>
                <w:szCs w:val="13"/>
                <w:b w:val="1"/>
                <w:bCs w:val="1"/>
                <w:color w:val="auto"/>
                <w:w w:val="98"/>
              </w:rPr>
              <w:t>(Unaudited)</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02"/>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6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Maturity dates</w:t>
            </w:r>
          </w:p>
        </w:tc>
        <w:tc>
          <w:tcPr>
            <w:tcW w:w="1660" w:type="dxa"/>
            <w:vAlign w:val="bottom"/>
            <w:gridSpan w:val="3"/>
          </w:tcPr>
          <w:p>
            <w:pPr>
              <w:jc w:val="center"/>
              <w:ind w:left="86"/>
              <w:spacing w:after="0" w:line="102" w:lineRule="exact"/>
              <w:rPr>
                <w:sz w:val="20"/>
                <w:szCs w:val="20"/>
                <w:color w:val="auto"/>
              </w:rPr>
            </w:pPr>
            <w:r>
              <w:rPr>
                <w:rFonts w:ascii="Times New Roman" w:cs="Times New Roman" w:eastAsia="Times New Roman" w:hAnsi="Times New Roman"/>
                <w:sz w:val="11"/>
                <w:szCs w:val="11"/>
                <w:b w:val="1"/>
                <w:bCs w:val="1"/>
                <w:color w:val="auto"/>
              </w:rPr>
              <w:t>Amount (In</w:t>
            </w:r>
          </w:p>
        </w:tc>
        <w:tc>
          <w:tcPr>
            <w:tcW w:w="1120" w:type="dxa"/>
            <w:vAlign w:val="bottom"/>
            <w:gridSpan w:val="2"/>
          </w:tcPr>
          <w:p>
            <w:pPr>
              <w:jc w:val="right"/>
              <w:spacing w:after="0" w:line="102" w:lineRule="exact"/>
              <w:rPr>
                <w:sz w:val="20"/>
                <w:szCs w:val="20"/>
                <w:color w:val="auto"/>
              </w:rPr>
            </w:pPr>
            <w:r>
              <w:rPr>
                <w:rFonts w:ascii="Times New Roman" w:cs="Times New Roman" w:eastAsia="Times New Roman" w:hAnsi="Times New Roman"/>
                <w:sz w:val="11"/>
                <w:szCs w:val="11"/>
                <w:b w:val="1"/>
                <w:bCs w:val="1"/>
                <w:color w:val="auto"/>
              </w:rPr>
              <w:t>Average effective</w:t>
            </w:r>
          </w:p>
        </w:tc>
        <w:tc>
          <w:tcPr>
            <w:tcW w:w="180" w:type="dxa"/>
            <w:vAlign w:val="bottom"/>
          </w:tcPr>
          <w:p>
            <w:pPr>
              <w:spacing w:after="0"/>
              <w:rPr>
                <w:sz w:val="8"/>
                <w:szCs w:val="8"/>
                <w:color w:val="auto"/>
              </w:rPr>
            </w:pPr>
          </w:p>
        </w:tc>
      </w:t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by fiscal year</w:t>
            </w:r>
          </w:p>
        </w:tc>
        <w:tc>
          <w:tcPr>
            <w:tcW w:w="600" w:type="dxa"/>
            <w:vAlign w:val="bottom"/>
          </w:tcPr>
          <w:p>
            <w:pPr>
              <w:spacing w:after="0"/>
              <w:rPr>
                <w:sz w:val="13"/>
                <w:szCs w:val="13"/>
                <w:color w:val="auto"/>
              </w:rPr>
            </w:pPr>
          </w:p>
        </w:tc>
        <w:tc>
          <w:tcPr>
            <w:tcW w:w="106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4"/>
              </w:rPr>
              <w:t>millions)</w:t>
            </w:r>
          </w:p>
        </w:tc>
        <w:tc>
          <w:tcPr>
            <w:tcW w:w="18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interest rate</w:t>
            </w:r>
          </w:p>
        </w:tc>
      </w:tr>
      <w:tr>
        <w:trPr>
          <w:trHeight w:val="172"/>
        </w:trPr>
        <w:tc>
          <w:tcPr>
            <w:tcW w:w="20" w:type="dxa"/>
            <w:vAlign w:val="bottom"/>
          </w:tcPr>
          <w:p>
            <w:pPr>
              <w:spacing w:after="0"/>
              <w:rPr>
                <w:sz w:val="14"/>
                <w:szCs w:val="14"/>
                <w:color w:val="auto"/>
              </w:rPr>
            </w:pPr>
          </w:p>
        </w:tc>
        <w:tc>
          <w:tcPr>
            <w:tcW w:w="438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Long-term borrowings</w:t>
            </w:r>
          </w:p>
        </w:tc>
        <w:tc>
          <w:tcPr>
            <w:tcW w:w="8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Unsecured debt</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5.61%</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Total unsecured debt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Secured debt</w:t>
            </w:r>
          </w:p>
        </w:tc>
        <w:tc>
          <w:tcPr>
            <w:tcW w:w="8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420" w:type="dxa"/>
            <w:vAlign w:val="bottom"/>
          </w:tcPr>
          <w:p>
            <w:pPr>
              <w:spacing w:after="0"/>
              <w:rPr>
                <w:sz w:val="16"/>
                <w:szCs w:val="16"/>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5"/>
                <w:szCs w:val="15"/>
                <w:color w:val="auto"/>
              </w:rPr>
              <w:t>Variable (euro-denominated)</w:t>
            </w:r>
            <w:r>
              <w:rPr>
                <w:rFonts w:ascii="Times New Roman" w:cs="Times New Roman" w:eastAsia="Times New Roman" w:hAnsi="Times New Roman"/>
                <w:sz w:val="22"/>
                <w:szCs w:val="22"/>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420" w:type="dxa"/>
            <w:vAlign w:val="bottom"/>
            <w:shd w:val="clear" w:color="auto" w:fill="CCEEFF"/>
          </w:tcPr>
          <w:p>
            <w:pPr>
              <w:spacing w:after="0"/>
              <w:rPr>
                <w:sz w:val="16"/>
                <w:szCs w:val="16"/>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5.16%</w:t>
            </w:r>
          </w:p>
        </w:tc>
      </w:tr>
      <w:tr>
        <w:trPr>
          <w:trHeight w:val="196"/>
        </w:trPr>
        <w:tc>
          <w:tcPr>
            <w:tcW w:w="20" w:type="dxa"/>
            <w:vAlign w:val="bottom"/>
          </w:tcPr>
          <w:p>
            <w:pPr>
              <w:spacing w:after="0"/>
              <w:rPr>
                <w:sz w:val="17"/>
                <w:szCs w:val="17"/>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Variable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 – 2030</w:t>
            </w:r>
          </w:p>
        </w:tc>
        <w:tc>
          <w:tcPr>
            <w:tcW w:w="60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420" w:type="dxa"/>
            <w:vAlign w:val="bottom"/>
          </w:tcPr>
          <w:p>
            <w:pPr>
              <w:spacing w:after="0"/>
              <w:rPr>
                <w:sz w:val="17"/>
                <w:szCs w:val="17"/>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7.15%</w:t>
            </w: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secured debt</w:t>
            </w:r>
          </w:p>
        </w:tc>
        <w:tc>
          <w:tcPr>
            <w:tcW w:w="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14,303</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debt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16,803</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amounts due within one year</w:t>
            </w:r>
          </w:p>
        </w:tc>
        <w:tc>
          <w:tcPr>
            <w:tcW w:w="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4380" w:type="dxa"/>
            <w:vAlign w:val="bottom"/>
          </w:tcPr>
          <w:p>
            <w:pPr>
              <w:ind w:left="300"/>
              <w:spacing w:after="0" w:line="191" w:lineRule="exact"/>
              <w:rPr>
                <w:sz w:val="20"/>
                <w:szCs w:val="20"/>
                <w:color w:val="auto"/>
              </w:rPr>
            </w:pPr>
            <w:r>
              <w:rPr>
                <w:rFonts w:ascii="Times New Roman" w:cs="Times New Roman" w:eastAsia="Times New Roman" w:hAnsi="Times New Roman"/>
                <w:sz w:val="15"/>
                <w:szCs w:val="15"/>
                <w:color w:val="auto"/>
              </w:rPr>
              <w:t>Total other</w:t>
            </w:r>
            <w:r>
              <w:rPr>
                <w:rFonts w:ascii="Times New Roman" w:cs="Times New Roman" w:eastAsia="Times New Roman" w:hAnsi="Times New Roman"/>
                <w:sz w:val="22"/>
                <w:szCs w:val="22"/>
                <w:color w:val="auto"/>
                <w:vertAlign w:val="superscript"/>
              </w:rPr>
              <w:t>(2)</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8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16,501</w:t>
            </w: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36" w:lineRule="exact"/>
        <w:rPr>
          <w:sz w:val="20"/>
          <w:szCs w:val="20"/>
          <w:color w:val="auto"/>
        </w:rPr>
      </w:pPr>
    </w:p>
    <w:p>
      <w:pPr>
        <w:ind w:left="1120" w:hanging="382"/>
        <w:spacing w:after="0"/>
        <w:tabs>
          <w:tab w:leader="none" w:pos="11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exchange rate adjustments.</w:t>
      </w:r>
    </w:p>
    <w:p>
      <w:pPr>
        <w:ind w:left="1120" w:hanging="382"/>
        <w:spacing w:after="0"/>
        <w:tabs>
          <w:tab w:leader="none" w:pos="11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deferred financing costs.</w:t>
      </w:r>
    </w:p>
    <w:p>
      <w:pPr>
        <w:spacing w:after="0" w:line="163" w:lineRule="exact"/>
        <w:rPr>
          <w:sz w:val="20"/>
          <w:szCs w:val="20"/>
          <w:color w:val="auto"/>
        </w:rPr>
      </w:pPr>
    </w:p>
    <w:p>
      <w:pPr>
        <w:ind w:left="740" w:right="920" w:firstLine="391"/>
        <w:spacing w:after="0" w:line="281" w:lineRule="auto"/>
        <w:rPr>
          <w:sz w:val="20"/>
          <w:szCs w:val="20"/>
          <w:color w:val="auto"/>
        </w:rPr>
      </w:pPr>
      <w:r>
        <w:rPr>
          <w:rFonts w:ascii="Times New Roman" w:cs="Times New Roman" w:eastAsia="Times New Roman" w:hAnsi="Times New Roman"/>
          <w:sz w:val="16"/>
          <w:szCs w:val="16"/>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60" w:lineRule="exact"/>
        <w:rPr>
          <w:sz w:val="20"/>
          <w:szCs w:val="20"/>
          <w:color w:val="auto"/>
        </w:rPr>
      </w:pPr>
    </w:p>
    <w:p>
      <w:pPr>
        <w:ind w:left="1600" w:right="20" w:hanging="383"/>
        <w:spacing w:after="0" w:line="260" w:lineRule="auto"/>
        <w:tabs>
          <w:tab w:leader="none" w:pos="16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76" w:lineRule="exact"/>
        <w:rPr>
          <w:rFonts w:ascii="Times New Roman" w:cs="Times New Roman" w:eastAsia="Times New Roman" w:hAnsi="Times New Roman"/>
          <w:sz w:val="16"/>
          <w:szCs w:val="16"/>
          <w:color w:val="auto"/>
        </w:rPr>
      </w:pPr>
    </w:p>
    <w:p>
      <w:pPr>
        <w:ind w:left="1600" w:right="20" w:hanging="383"/>
        <w:spacing w:after="0" w:line="281" w:lineRule="auto"/>
        <w:tabs>
          <w:tab w:leader="none" w:pos="16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borrowing of $2,230 million by MRE Propco, LP (a subsidiary of Medline Holdings, LP) in a mortgage loan (collectively, the “CMBS Loan”); and</w:t>
      </w:r>
    </w:p>
    <w:p>
      <w:pPr>
        <w:spacing w:after="0" w:line="60" w:lineRule="exact"/>
        <w:rPr>
          <w:rFonts w:ascii="Times New Roman" w:cs="Times New Roman" w:eastAsia="Times New Roman" w:hAnsi="Times New Roman"/>
          <w:sz w:val="16"/>
          <w:szCs w:val="16"/>
          <w:color w:val="auto"/>
        </w:rPr>
      </w:pPr>
    </w:p>
    <w:p>
      <w:pPr>
        <w:ind w:left="1600" w:hanging="383"/>
        <w:spacing w:after="0" w:line="265" w:lineRule="auto"/>
        <w:tabs>
          <w:tab w:leader="none" w:pos="16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123</w:t>
      </w:r>
    </w:p>
    <w:p>
      <w:pPr>
        <w:sectPr>
          <w:pgSz w:w="11900" w:h="16838" w:orient="portrait"/>
          <w:cols w:equalWidth="0" w:num="1">
            <w:col w:w="10500"/>
          </w:cols>
          <w:pgMar w:left="320" w:top="420" w:right="10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firstLine="391"/>
        <w:spacing w:after="0" w:line="265" w:lineRule="auto"/>
        <w:rPr>
          <w:sz w:val="20"/>
          <w:szCs w:val="20"/>
          <w:color w:val="auto"/>
        </w:rPr>
      </w:pPr>
      <w:r>
        <w:rPr>
          <w:rFonts w:ascii="Times New Roman" w:cs="Times New Roman" w:eastAsia="Times New Roman" w:hAnsi="Times New Roman"/>
          <w:sz w:val="16"/>
          <w:szCs w:val="16"/>
          <w:color w:val="auto"/>
        </w:rPr>
        <w:t>As of September 27, 2025, we had $16,803 million of total debt outstanding, including $8,500 million of Senior Notes (as defined herein), $7,574 million of New Dollar Term Loans (as defined herein) and $729 million of New Euro Term Loans (as defined herein) with $946 million available under our Revolving Credit Facility (after consideration of a letter of credit of $54 million).</w:t>
      </w:r>
    </w:p>
    <w:p>
      <w:pPr>
        <w:spacing w:after="0" w:line="157" w:lineRule="exact"/>
        <w:rPr>
          <w:sz w:val="20"/>
          <w:szCs w:val="20"/>
          <w:color w:val="auto"/>
        </w:rPr>
      </w:pPr>
    </w:p>
    <w:p>
      <w:pPr>
        <w:jc w:val="center"/>
        <w:ind w:left="920" w:right="140"/>
        <w:spacing w:after="0" w:line="278" w:lineRule="auto"/>
        <w:rPr>
          <w:sz w:val="20"/>
          <w:szCs w:val="20"/>
          <w:color w:val="auto"/>
        </w:rPr>
      </w:pPr>
      <w:r>
        <w:rPr>
          <w:rFonts w:ascii="Times New Roman" w:cs="Times New Roman" w:eastAsia="Times New Roman" w:hAnsi="Times New Roman"/>
          <w:sz w:val="15"/>
          <w:szCs w:val="15"/>
          <w:color w:val="auto"/>
        </w:rPr>
        <w:t>In addition, under the credit agreement governing our Senior Secured Credit Facilities, we have the right at any time, subject to customary conditions, to request incremental term loans or incremental revolving credit commitments in an aggregate principal amount of up to (a) the greater of</w:t>
      </w:r>
    </w:p>
    <w:p>
      <w:pPr>
        <w:ind w:left="740" w:right="120" w:hanging="2"/>
        <w:spacing w:after="0" w:line="279" w:lineRule="auto"/>
        <w:tabs>
          <w:tab w:leader="none" w:pos="96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48"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57"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On July 8, 2024 (the “Third Amendment Date”), we amended the credit agreement that governs the Senior Secured Credit Facilities to incur additional dollar-denominated term loans of a different class than the Initial Dollar Term Loans (the “Additional Dollar Term Loan Facility”; the term loans provided for thereunder, the “Additional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w:t>
      </w:r>
    </w:p>
    <w:p>
      <w:pPr>
        <w:spacing w:after="0" w:line="1" w:lineRule="exact"/>
        <w:rPr>
          <w:sz w:val="20"/>
          <w:szCs w:val="20"/>
          <w:color w:val="auto"/>
        </w:rPr>
      </w:pPr>
    </w:p>
    <w:p>
      <w:pPr>
        <w:ind w:left="740" w:right="20"/>
        <w:spacing w:after="0" w:line="251" w:lineRule="auto"/>
        <w:rPr>
          <w:sz w:val="20"/>
          <w:szCs w:val="20"/>
          <w:color w:val="auto"/>
        </w:rPr>
      </w:pPr>
      <w:r>
        <w:rPr>
          <w:rFonts w:ascii="Times New Roman" w:cs="Times New Roman" w:eastAsia="Times New Roman" w:hAnsi="Times New Roman"/>
          <w:sz w:val="16"/>
          <w:szCs w:val="16"/>
          <w:color w:val="auto"/>
        </w:rPr>
        <w:t>$1,503 million and U.S. Dollar equivalent of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68"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dollar-denominated term loans, the “New Dollar Term Loans”). Amortization payments equal to 0.25% of revised aggregate principal amount of $7,631 million of the Initial Dollar Term Loans are still due quarterly.</w:t>
      </w:r>
    </w:p>
    <w:p>
      <w:pPr>
        <w:spacing w:after="0" w:line="165"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On March 28, 2025 (the “Fifth Amendment Date”), we entered into an amendment to the credit agreement that governs the Senior Secured Credit Facilities to permit letter of credit issuers to issue letters of credit in excess of their respective letter of credit commitments and to obligate the other lenders under our Revolving Credit Facility to participate in such letters of credit, subject to other customary limitations.</w:t>
      </w:r>
    </w:p>
    <w:p>
      <w:pPr>
        <w:spacing w:after="0" w:line="157"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On July 31, 2025 (the “Sixth Amendment Date”), we entered into an amendment to the credit agreement that governs the Senior Secured Credit Facilities to (i) reduce the applicable margin for an aggregate principal</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124</w:t>
      </w:r>
    </w:p>
    <w:p>
      <w:pPr>
        <w:sectPr>
          <w:pgSz w:w="11900" w:h="16838" w:orient="portrait"/>
          <w:cols w:equalWidth="0" w:num="1">
            <w:col w:w="10460"/>
          </w:cols>
          <w:pgMar w:left="320" w:top="420" w:right="11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spacing w:after="0" w:line="260" w:lineRule="auto"/>
        <w:rPr>
          <w:sz w:val="20"/>
          <w:szCs w:val="20"/>
          <w:color w:val="auto"/>
        </w:rPr>
      </w:pPr>
      <w:r>
        <w:rPr>
          <w:rFonts w:ascii="Times New Roman" w:cs="Times New Roman" w:eastAsia="Times New Roman" w:hAnsi="Times New Roman"/>
          <w:sz w:val="16"/>
          <w:szCs w:val="16"/>
          <w:color w:val="auto"/>
        </w:rPr>
        <w:t>amount of New Dollar Term Loans equal to $4,074 million (the “2028 Refinancing Term Loan Facility”) by 0.25% overall, resulting in a margin spread of SOFR plus 2.00% per annum and (ii) reduce the applicable margin for an aggregate principal amount of New Dollar Term Loans equal to</w:t>
      </w:r>
    </w:p>
    <w:p>
      <w:pPr>
        <w:spacing w:after="0" w:line="1" w:lineRule="exact"/>
        <w:rPr>
          <w:sz w:val="20"/>
          <w:szCs w:val="20"/>
          <w:color w:val="auto"/>
        </w:rPr>
      </w:pPr>
    </w:p>
    <w:p>
      <w:pPr>
        <w:ind w:left="740" w:right="120"/>
        <w:spacing w:after="0" w:line="251" w:lineRule="auto"/>
        <w:rPr>
          <w:sz w:val="20"/>
          <w:szCs w:val="20"/>
          <w:color w:val="auto"/>
        </w:rPr>
      </w:pPr>
      <w:r>
        <w:rPr>
          <w:rFonts w:ascii="Times New Roman" w:cs="Times New Roman" w:eastAsia="Times New Roman" w:hAnsi="Times New Roman"/>
          <w:sz w:val="16"/>
          <w:szCs w:val="16"/>
          <w:color w:val="auto"/>
        </w:rPr>
        <w:t>$3,500 million (the “2030 Refinancing Term Loan Facility”) by 0.25% overall, resulting in a margin spread of SOFR plus 2.00% per annum. Except as set forth in the preceding sentence, the 2028 Refinancing Term Loan Facility has substantially the same terms as the New Dollar Term Loans outstanding under the Sponsor Acquisition Credit Agreement immediately prior to the Sixth Amendment Date. The 2030 Refinancing Term Loan Facility has the same terms as the 2028 Refinancing Term Loan Facility, except that the 2030 Refinancing Term Loan Facility will mature on October 23, 2030. Additionally, the applicable margin with respect to the 2025 Refinancing Dollar Term Loans is contractually reduced by 0.25% per annum upon the consummation of a qualified initial public offering.</w:t>
      </w:r>
    </w:p>
    <w:p>
      <w:pPr>
        <w:spacing w:after="0" w:line="170" w:lineRule="exact"/>
        <w:rPr>
          <w:sz w:val="20"/>
          <w:szCs w:val="20"/>
          <w:color w:val="auto"/>
        </w:rPr>
      </w:pPr>
    </w:p>
    <w:p>
      <w:pPr>
        <w:ind w:left="740" w:right="440" w:firstLine="391"/>
        <w:spacing w:after="0" w:line="281"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affirmative and negative covenants and customary events of default. For additional information, see “Description of Certain Indebtedness—Senior Secured Credit Facilities.”</w:t>
      </w:r>
    </w:p>
    <w:p>
      <w:pPr>
        <w:spacing w:after="0" w:line="14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Our springing financial covenant in the credit agreement governing our Senior Secured Credit Facilities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 determined at the Medline Borrower, LP (a fully-owned subsidiary of Medline Holdings, LP)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$237 million for the twelve months ended September 27, 2025 and $197 million, $70 million, and $189 million for the years ended December 31, 2024, 2023, and 2022, respectively. The springing financial covenant in the credit agreement governing our Senior Secured Credit Facilities requires compliance with a maximum ratio of consolidated first lien net indebtedness to Consolidated EBITDA (as defined in such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December 31, 2024 as we did not have any outstanding borrowings under the Revolving Credit Facility at such time, our ratio of consolidated first lien net indebtedness to consolidated EBITDA as of the last day of any fiscal quarter ending after the date of the Sponsor Acquisition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78"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64"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See “Description of Certain Indebtedness” for additional information regarding our Senior Secured Credit Facilities and Senior Notes, including a discussion of the material terms of the credit agreement that governs our Senior Secured Credit Facilities and the indentures that govern our Senior Notes, including the restrictive covenants contained therein.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125</w:t>
      </w:r>
    </w:p>
    <w:p>
      <w:pPr>
        <w:sectPr>
          <w:pgSz w:w="11900" w:h="16838" w:orient="portrait"/>
          <w:cols w:equalWidth="0" w:num="1">
            <w:col w:w="10500"/>
          </w:cols>
          <w:pgMar w:left="320" w:top="420" w:right="10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Cash Flow Hedges of Interest Rate Risk</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$2,950 million with maturity date of November 2025 to December 2026 and interest rate caps with a notional value of $2,500 million with maturity date of November 2025 to December 2026.</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07" w:lineRule="exact"/>
        <w:rPr>
          <w:sz w:val="20"/>
          <w:szCs w:val="20"/>
          <w:color w:val="auto"/>
        </w:rPr>
      </w:pPr>
    </w:p>
    <w:p>
      <w:pPr>
        <w:ind w:left="740" w:firstLine="391"/>
        <w:spacing w:after="0" w:line="268" w:lineRule="auto"/>
        <w:rPr>
          <w:sz w:val="20"/>
          <w:szCs w:val="20"/>
          <w:color w:val="auto"/>
        </w:rPr>
      </w:pPr>
      <w:r>
        <w:rPr>
          <w:rFonts w:ascii="Times New Roman" w:cs="Times New Roman" w:eastAsia="Times New Roman" w:hAnsi="Times New Roman"/>
          <w:sz w:val="15"/>
          <w:szCs w:val="15"/>
          <w:color w:val="auto"/>
        </w:rPr>
        <w:t>In connection with the Reorganization Transactions,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by Continuing Unitholders (including Common Units issued upon conversion of vested Incentive Units)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Late payments under the tax receivable agreement generally will accrue interest at an uncapped rate equal to one year SOFR plus 500 basis points. The payments under the tax receivable agreement are not conditioned upon continued ownership of us by the pre-IPO owners. Additionally, in the event of certain changes of control, certain material breaches of the tax receivable agreement by Medline Inc., or an insolvency event, the calculation of certain future payments made under the tax receivable agreement will utilize certain valuation</w:t>
      </w:r>
    </w:p>
    <w:p>
      <w:pPr>
        <w:spacing w:after="0" w:line="2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126</w:t>
      </w:r>
    </w:p>
    <w:p>
      <w:pPr>
        <w:sectPr>
          <w:pgSz w:w="11900" w:h="16838" w:orient="portrait"/>
          <w:cols w:equalWidth="0" w:num="1">
            <w:col w:w="10500"/>
          </w:cols>
          <w:pgMar w:left="320" w:top="420" w:right="10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5" w:lineRule="auto"/>
        <w:rPr>
          <w:sz w:val="20"/>
          <w:szCs w:val="20"/>
          <w:color w:val="auto"/>
        </w:rPr>
      </w:pPr>
      <w:r>
        <w:rPr>
          <w:rFonts w:ascii="Times New Roman" w:cs="Times New Roman" w:eastAsia="Times New Roman" w:hAnsi="Times New Roman"/>
          <w:sz w:val="16"/>
          <w:szCs w:val="16"/>
          <w:color w:val="auto"/>
        </w:rPr>
        <w:t>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164" w:lineRule="exact"/>
        <w:rPr>
          <w:sz w:val="20"/>
          <w:szCs w:val="20"/>
          <w:color w:val="auto"/>
        </w:rPr>
      </w:pPr>
    </w:p>
    <w:p>
      <w:pPr>
        <w:ind w:left="740" w:right="200" w:firstLine="391"/>
        <w:spacing w:after="0" w:line="279" w:lineRule="auto"/>
        <w:rPr>
          <w:sz w:val="20"/>
          <w:szCs w:val="20"/>
          <w:color w:val="auto"/>
        </w:rPr>
      </w:pPr>
      <w:r>
        <w:rPr>
          <w:rFonts w:ascii="Times New Roman" w:cs="Times New Roman" w:eastAsia="Times New Roman" w:hAnsi="Times New Roman"/>
          <w:sz w:val="15"/>
          <w:szCs w:val="15"/>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w:t>
      </w:r>
    </w:p>
    <w:p>
      <w:pPr>
        <w:spacing w:after="0" w:line="147"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Assuming: (i) a price of $29.00 per share of our Class A common stock; (ii) a constant corporate tax rate of 25.7%;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the initial public offering price of $29.00 per share of Class A common stock, we estimate that we would, as a result of the Reorganization Transactions and Offering Transactions and such hypothetical exchange, record a deferred tax asset of approximately $3,577 million and that the aggregate noncurrent liability we would record based on our estimate of the aggregate amount that Medline Inc. would pay under the tax receivable agreement is approximately $8,975 million, generally payable over a 15-year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our deferred tax asset would increase (decrease) by approximately $268 million and the related liability for payments under the tax receivable agreement would increase (decrease) by approximately $243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66"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Medline Inc. intends to fund the required payments under the tax receivable agreement from its pro rata share of distributions from Medline Holdings, and our payment obligations under the tax receivable agreement will not accelerate upon a change of control. However, 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127</w:t>
      </w:r>
    </w:p>
    <w:p>
      <w:pPr>
        <w:sectPr>
          <w:pgSz w:w="11900" w:h="16838" w:orient="portrait"/>
          <w:cols w:equalWidth="0" w:num="1">
            <w:col w:w="10500"/>
          </w:cols>
          <w:pgMar w:left="320" w:top="420" w:right="10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52" w:lineRule="auto"/>
        <w:rPr>
          <w:sz w:val="20"/>
          <w:szCs w:val="20"/>
          <w:color w:val="auto"/>
        </w:rPr>
      </w:pPr>
      <w:r>
        <w:rPr>
          <w:rFonts w:ascii="Times New Roman" w:cs="Times New Roman" w:eastAsia="Times New Roman" w:hAnsi="Times New Roman"/>
          <w:sz w:val="16"/>
          <w:szCs w:val="16"/>
          <w:color w:val="auto"/>
        </w:rPr>
        <w:t>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payments under the tax receivable agreement could be in excess of 90% of Medline Inc.’s actual cash tax benefits. 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 See “Certain Relationships and Related Person Transactions—Tax Receivable Agreement.”</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following table summarizes the approximate principal contractual obligations as of September 27, 2025:</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54"/>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gridSpan w:val="4"/>
          </w:tcPr>
          <w:p>
            <w:pPr>
              <w:ind w:left="44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Noncurrent</w:t>
            </w:r>
          </w:p>
        </w:tc>
      </w:tr>
      <w:tr>
        <w:trPr>
          <w:trHeight w:val="124"/>
        </w:trPr>
        <w:tc>
          <w:tcPr>
            <w:tcW w:w="56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200" w:type="dxa"/>
            <w:vAlign w:val="bottom"/>
            <w:tcBorders>
              <w:top w:val="single" w:sz="8" w:color="auto"/>
              <w:bottom w:val="single" w:sz="8" w:color="auto"/>
            </w:tcBorders>
            <w:gridSpan w:val="4"/>
          </w:tcPr>
          <w:p>
            <w:pPr>
              <w:ind w:left="400"/>
              <w:spacing w:after="0" w:line="124"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r>
      <w:tr>
        <w:trPr>
          <w:trHeight w:val="184"/>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$16,803</w:t>
            </w:r>
          </w:p>
        </w:tc>
        <w:tc>
          <w:tcPr>
            <w:tcW w:w="5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60" w:type="dxa"/>
            <w:vAlign w:val="bottom"/>
            <w:shd w:val="clear" w:color="auto" w:fill="CCEEFF"/>
          </w:tcPr>
          <w:p>
            <w:pPr>
              <w:spacing w:after="0"/>
              <w:rPr>
                <w:sz w:val="15"/>
                <w:szCs w:val="15"/>
                <w:color w:val="auto"/>
              </w:rPr>
            </w:pPr>
          </w:p>
        </w:tc>
      </w:tr>
      <w:tr>
        <w:trPr>
          <w:trHeight w:val="192"/>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Interest on borrowings</w:t>
            </w:r>
            <w:r>
              <w:rPr>
                <w:rFonts w:ascii="Times New Roman" w:cs="Times New Roman" w:eastAsia="Times New Roman" w:hAnsi="Times New Roman"/>
                <w:sz w:val="22"/>
                <w:szCs w:val="22"/>
                <w:color w:val="auto"/>
                <w:vertAlign w:val="superscript"/>
              </w:rPr>
              <w:t>(1)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60" w:type="dxa"/>
            <w:vAlign w:val="bottom"/>
          </w:tcPr>
          <w:p>
            <w:pPr>
              <w:spacing w:after="0"/>
              <w:rPr>
                <w:sz w:val="16"/>
                <w:szCs w:val="16"/>
                <w:color w:val="auto"/>
              </w:rPr>
            </w:pPr>
          </w:p>
        </w:tc>
      </w:tr>
      <w:tr>
        <w:trPr>
          <w:trHeight w:val="192"/>
        </w:trPr>
        <w:tc>
          <w:tcPr>
            <w:tcW w:w="56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Operating lease obligations</w:t>
            </w:r>
            <w:r>
              <w:rPr>
                <w:rFonts w:ascii="Times New Roman" w:cs="Times New Roman" w:eastAsia="Times New Roman" w:hAnsi="Times New Roman"/>
                <w:sz w:val="22"/>
                <w:szCs w:val="22"/>
                <w:color w:val="auto"/>
                <w:vertAlign w:val="superscript"/>
              </w:rPr>
              <w:t>(2)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60" w:type="dxa"/>
            <w:vAlign w:val="bottom"/>
            <w:shd w:val="clear" w:color="auto" w:fill="CCEEFF"/>
          </w:tcPr>
          <w:p>
            <w:pPr>
              <w:spacing w:after="0"/>
              <w:rPr>
                <w:sz w:val="16"/>
                <w:szCs w:val="16"/>
                <w:color w:val="auto"/>
              </w:rPr>
            </w:pPr>
          </w:p>
        </w:tc>
      </w:tr>
      <w:tr>
        <w:trPr>
          <w:trHeight w:val="192"/>
        </w:trPr>
        <w:tc>
          <w:tcPr>
            <w:tcW w:w="562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Unconditional purchase obligations</w:t>
            </w:r>
            <w:r>
              <w:rPr>
                <w:rFonts w:ascii="Times New Roman" w:cs="Times New Roman" w:eastAsia="Times New Roman" w:hAnsi="Times New Roman"/>
                <w:sz w:val="22"/>
                <w:szCs w:val="22"/>
                <w:color w:val="auto"/>
                <w:vertAlign w:val="superscript"/>
              </w:rPr>
              <w:t>(3)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898</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60" w:type="dxa"/>
            <w:vAlign w:val="bottom"/>
          </w:tcPr>
          <w:p>
            <w:pPr>
              <w:spacing w:after="0"/>
              <w:rPr>
                <w:sz w:val="16"/>
                <w:szCs w:val="16"/>
                <w:color w:val="auto"/>
              </w:rPr>
            </w:pPr>
          </w:p>
        </w:tc>
      </w:tr>
      <w:tr>
        <w:trPr>
          <w:trHeight w:val="192"/>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Pension obligations</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shd w:val="clear" w:color="auto" w:fill="CCEEFF"/>
          </w:tcPr>
          <w:p>
            <w:pPr>
              <w:spacing w:after="0"/>
              <w:rPr>
                <w:sz w:val="16"/>
                <w:szCs w:val="16"/>
                <w:color w:val="auto"/>
              </w:rPr>
            </w:pPr>
          </w:p>
        </w:tc>
      </w:tr>
      <w:tr>
        <w:trPr>
          <w:trHeight w:val="196"/>
        </w:trPr>
        <w:tc>
          <w:tcPr>
            <w:tcW w:w="5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contractual obligations</w:t>
            </w:r>
          </w:p>
        </w:tc>
        <w:tc>
          <w:tcPr>
            <w:tcW w:w="20" w:type="dxa"/>
            <w:vAlign w:val="bottom"/>
            <w:tcBorders>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2"/>
              </w:rPr>
              <w:t>$</w:t>
            </w:r>
            <w:r>
              <w:rPr>
                <w:rFonts w:ascii="Times New Roman" w:cs="Times New Roman" w:eastAsia="Times New Roman" w:hAnsi="Times New Roman"/>
                <w:sz w:val="16"/>
                <w:szCs w:val="16"/>
                <w:b w:val="1"/>
                <w:bCs w:val="1"/>
                <w:color w:val="auto"/>
                <w:w w:val="92"/>
              </w:rPr>
              <w:t>22,097</w:t>
            </w:r>
          </w:p>
        </w:tc>
        <w:tc>
          <w:tcPr>
            <w:tcW w:w="4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1,274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20,823</w:t>
            </w:r>
          </w:p>
        </w:tc>
        <w:tc>
          <w:tcPr>
            <w:tcW w:w="6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40" w:lineRule="exact"/>
        <w:rPr>
          <w:sz w:val="20"/>
          <w:szCs w:val="20"/>
          <w:color w:val="auto"/>
        </w:rPr>
      </w:pPr>
    </w:p>
    <w:p>
      <w:pPr>
        <w:ind w:left="1120" w:right="40" w:hanging="382"/>
        <w:spacing w:after="0" w:line="217"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payments on debt obligations are calculated for future periods using interest rates in effect as of September 27, 2025. Certain of these projected interest payments may differ in the future based on changes in reference rate index for variable debt, foreign currency fluctuations, or other factors or events. The projected interest payments only pertain to obligations and agreements outstanding at September 27, 2025. Refer to “Note 6—Credit Agreements and Borrowings” in the unaudited condensed consolidated financial statements included elsewhere in this prospectus for further discussion regarding our debt instruments outstanding at September 27, 2025.</w:t>
      </w:r>
    </w:p>
    <w:p>
      <w:pPr>
        <w:ind w:left="1120" w:hanging="382"/>
        <w:spacing w:after="0" w:line="211"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 reasonably certain and there is a significant economic incentive to exercise that option. As of September 27, 2025, our right-of-use assets related to operating leases were $445 million and our current and non-current operating lease liabilities were $72 million and $387 million, respectively. Also includes our future lease payments for executed operating lease agreements related to office spaces that have not yet commenced.</w:t>
      </w:r>
    </w:p>
    <w:p>
      <w:pPr>
        <w:spacing w:after="0" w:line="1" w:lineRule="exact"/>
        <w:rPr>
          <w:rFonts w:ascii="Times New Roman" w:cs="Times New Roman" w:eastAsia="Times New Roman" w:hAnsi="Times New Roman"/>
          <w:sz w:val="13"/>
          <w:szCs w:val="13"/>
          <w:color w:val="auto"/>
        </w:rPr>
      </w:pPr>
    </w:p>
    <w:p>
      <w:pPr>
        <w:ind w:left="1120" w:right="420" w:hanging="382"/>
        <w:spacing w:after="0" w:line="227" w:lineRule="auto"/>
        <w:tabs>
          <w:tab w:leader="none" w:pos="112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Off Balance Sheet Arrangements</w:t>
      </w:r>
    </w:p>
    <w:p>
      <w:pPr>
        <w:spacing w:after="0" w:line="107" w:lineRule="exact"/>
        <w:rPr>
          <w:sz w:val="20"/>
          <w:szCs w:val="20"/>
          <w:color w:val="auto"/>
        </w:rPr>
      </w:pPr>
    </w:p>
    <w:p>
      <w:pPr>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05" w:lineRule="exact"/>
        <w:rPr>
          <w:sz w:val="20"/>
          <w:szCs w:val="20"/>
          <w:color w:val="auto"/>
        </w:rPr>
      </w:pPr>
    </w:p>
    <w:p>
      <w:pPr>
        <w:ind w:left="740" w:right="720" w:firstLine="391"/>
        <w:spacing w:after="0" w:line="281" w:lineRule="auto"/>
        <w:rPr>
          <w:sz w:val="20"/>
          <w:szCs w:val="20"/>
          <w:color w:val="auto"/>
        </w:rPr>
      </w:pPr>
      <w:r>
        <w:rPr>
          <w:rFonts w:ascii="Times New Roman" w:cs="Times New Roman" w:eastAsia="Times New Roman" w:hAnsi="Times New Roman"/>
          <w:sz w:val="16"/>
          <w:szCs w:val="16"/>
          <w:color w:val="auto"/>
        </w:rPr>
        <w:t>Our consolidated financial statements have been prepared in accordance with U.S. GAAP, which often require us to make estimates and assumptions that affect the reported amounts of assets, liabilities, net sales,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128</w:t>
      </w:r>
    </w:p>
    <w:p>
      <w:pPr>
        <w:sectPr>
          <w:pgSz w:w="11900" w:h="16838" w:orient="portrait"/>
          <w:cols w:equalWidth="0" w:num="1">
            <w:col w:w="10520"/>
          </w:cols>
          <w:pgMar w:left="320" w:top="420" w:right="10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spacing w:after="0" w:line="265" w:lineRule="auto"/>
        <w:rPr>
          <w:sz w:val="20"/>
          <w:szCs w:val="20"/>
          <w:color w:val="auto"/>
        </w:rPr>
      </w:pPr>
      <w:r>
        <w:rPr>
          <w:rFonts w:ascii="Times New Roman" w:cs="Times New Roman" w:eastAsia="Times New Roman" w:hAnsi="Times New Roman"/>
          <w:sz w:val="16"/>
          <w:szCs w:val="16"/>
          <w:color w:val="auto"/>
        </w:rPr>
        <w:t>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57"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 — Nature of Business and Significant Accounting Policies” to our audited consolidated financial statements, included elsewhere in this prospectus.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 in this prospectus.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Allowances for Refunds and Credit Losses</w:t>
      </w:r>
    </w:p>
    <w:p>
      <w:pPr>
        <w:spacing w:after="0" w:line="105" w:lineRule="exact"/>
        <w:rPr>
          <w:sz w:val="20"/>
          <w:szCs w:val="20"/>
          <w:color w:val="auto"/>
        </w:rPr>
      </w:pPr>
    </w:p>
    <w:p>
      <w:pPr>
        <w:ind w:left="740" w:right="160" w:firstLine="391"/>
        <w:spacing w:after="0" w:line="256" w:lineRule="auto"/>
        <w:rPr>
          <w:sz w:val="20"/>
          <w:szCs w:val="20"/>
          <w:color w:val="auto"/>
        </w:rPr>
      </w:pPr>
      <w:r>
        <w:rPr>
          <w:rFonts w:ascii="Times New Roman" w:cs="Times New Roman" w:eastAsia="Times New Roman" w:hAnsi="Times New Roman"/>
          <w:sz w:val="16"/>
          <w:szCs w:val="16"/>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Inventories</w:t>
      </w:r>
    </w:p>
    <w:p>
      <w:pPr>
        <w:spacing w:after="0" w:line="105" w:lineRule="exact"/>
        <w:rPr>
          <w:sz w:val="20"/>
          <w:szCs w:val="20"/>
          <w:color w:val="auto"/>
        </w:rPr>
      </w:pPr>
    </w:p>
    <w:p>
      <w:pPr>
        <w:ind w:left="740" w:right="80" w:firstLine="391"/>
        <w:spacing w:after="0" w:line="255" w:lineRule="auto"/>
        <w:rPr>
          <w:sz w:val="20"/>
          <w:szCs w:val="20"/>
          <w:color w:val="auto"/>
        </w:rPr>
      </w:pPr>
      <w:r>
        <w:rPr>
          <w:rFonts w:ascii="Times New Roman" w:cs="Times New Roman" w:eastAsia="Times New Roman" w:hAnsi="Times New Roman"/>
          <w:sz w:val="16"/>
          <w:szCs w:val="16"/>
          <w:color w:val="auto"/>
        </w:rPr>
        <w:t>Inventories are stated at the lower of cost or net realizable value. Cost is determined primarily by the LIFO cost method. For certain foreign subsidiaries, cost is determined using the first-in, first-out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Impairment of Goodwill and Indefinite-Lived Intangible Assets</w:t>
      </w:r>
    </w:p>
    <w:p>
      <w:pPr>
        <w:spacing w:after="0" w:line="105" w:lineRule="exact"/>
        <w:rPr>
          <w:sz w:val="20"/>
          <w:szCs w:val="20"/>
          <w:color w:val="auto"/>
        </w:rPr>
      </w:pPr>
    </w:p>
    <w:p>
      <w:pPr>
        <w:ind w:left="740" w:right="220" w:firstLine="391"/>
        <w:spacing w:after="0" w:line="260" w:lineRule="auto"/>
        <w:rPr>
          <w:sz w:val="20"/>
          <w:szCs w:val="20"/>
          <w:color w:val="auto"/>
        </w:rPr>
      </w:pPr>
      <w:r>
        <w:rPr>
          <w:rFonts w:ascii="Times New Roman" w:cs="Times New Roman" w:eastAsia="Times New Roman" w:hAnsi="Times New Roman"/>
          <w:sz w:val="16"/>
          <w:szCs w:val="16"/>
          <w:color w:val="auto"/>
        </w:rPr>
        <w:t>We make certain estimates and judgments in impairment assessments of goodwill and indefinite-lived intangible assets. We perform our annual impairment tests in October and monitor for interim indicators of 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129</w:t>
      </w:r>
    </w:p>
    <w:p>
      <w:pPr>
        <w:sectPr>
          <w:pgSz w:w="11900" w:h="16838" w:orient="portrait"/>
          <w:cols w:equalWidth="0" w:num="1">
            <w:col w:w="10500"/>
          </w:cols>
          <w:pgMar w:left="320" w:top="420" w:right="10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70" w:lineRule="auto"/>
        <w:rPr>
          <w:sz w:val="20"/>
          <w:szCs w:val="20"/>
          <w:color w:val="auto"/>
        </w:rPr>
      </w:pPr>
      <w:r>
        <w:rPr>
          <w:rFonts w:ascii="Times New Roman" w:cs="Times New Roman" w:eastAsia="Times New Roman" w:hAnsi="Times New Roman"/>
          <w:sz w:val="15"/>
          <w:szCs w:val="15"/>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160"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During 2024, we transitioned our operations from one operating segment to two operating segments, Medline Brand and Supply Chain Solutions. Subsequent to the segment change, it was determined that each of our reporting segments was comprised of a single reporting unit. Effective October 1, 2024, the consolidated goodwill of $8,070 million was re-assigned to the new reporting units based on their relative fair values with $6,716 million assigned to Medline Brand and $1,354 million assigned to Supply Chain Solutions. In conjunction with the change in reportable segments, we evaluated goodwill for impairment quantitatively, both before and after the segment change.</w:t>
      </w:r>
    </w:p>
    <w:p>
      <w:pPr>
        <w:spacing w:after="0" w:line="165"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The fair value of each reporting unit was determined based on a blend of income approach (with a 75% weighting) and market approach (with a 25% weighting). The income approach uses a discounted cash flow model of each reporting unit’s projection of estimated operating results and cash flows that are discounted using a market participant discount rate based on a weighted-average cost of capital. The discounted cash flow model reflected our best estimate of economic and market conditions over the forecast period, including revenue growth rates, EBITDA margins, terminal growth rates, and discount rates. The estimated fair value of each reporting unit is then compared to their respective carrying values. The market approach estimates fair value by applying cash flow multiples to the operating performance of each reporting unit derived from comparable publicly traded companies with operating and investment characteristics similar to the reporting units. The estimated fair value of each reporting unit is then compared to their respective carrying values. As of December 31, 2024, the fair value of each reporting unit was substantially in excess of its carrying amount; therefore, we have determined that goodwill was not impaired.</w:t>
      </w:r>
    </w:p>
    <w:p>
      <w:pPr>
        <w:spacing w:after="0" w:line="170"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164" w:lineRule="exact"/>
        <w:rPr>
          <w:sz w:val="20"/>
          <w:szCs w:val="20"/>
          <w:color w:val="auto"/>
        </w:rPr>
      </w:pPr>
    </w:p>
    <w:p>
      <w:pPr>
        <w:ind w:left="740" w:right="100" w:firstLine="391"/>
        <w:spacing w:after="0" w:line="265" w:lineRule="auto"/>
        <w:rPr>
          <w:sz w:val="20"/>
          <w:szCs w:val="20"/>
          <w:color w:val="auto"/>
        </w:rPr>
      </w:pPr>
      <w:r>
        <w:rPr>
          <w:rFonts w:ascii="Times New Roman" w:cs="Times New Roman" w:eastAsia="Times New Roman" w:hAnsi="Times New Roman"/>
          <w:sz w:val="16"/>
          <w:szCs w:val="16"/>
          <w:color w:val="auto"/>
        </w:rPr>
        <w:t>If a quantitative fair value measurement calculation is required for indefinite-lived intangible assets, we utilize the relief-from-royalty method for indefinite-lived trade names. The relief-from-royalty method assumes trade names have value to the extent their owner is relieved of the obligation to pay royalties for the benefits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130</w:t>
      </w:r>
    </w:p>
    <w:p>
      <w:pPr>
        <w:sectPr>
          <w:pgSz w:w="11900" w:h="16838" w:orient="portrait"/>
          <w:cols w:equalWidth="0" w:num="1">
            <w:col w:w="10500"/>
          </w:cols>
          <w:pgMar w:left="320" w:top="420" w:right="10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 The annual impairment testing performed was qualitative and did not indicate any impairment of intangible assets for the years ended December 31, 2024, 2023 and 2022.</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Business Combination</w:t>
      </w:r>
    </w:p>
    <w:p>
      <w:pPr>
        <w:spacing w:after="0" w:line="105"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Stock-Based Compensation</w:t>
      </w:r>
    </w:p>
    <w:p>
      <w:pPr>
        <w:spacing w:after="0" w:line="105" w:lineRule="exact"/>
        <w:rPr>
          <w:sz w:val="20"/>
          <w:szCs w:val="20"/>
          <w:color w:val="auto"/>
        </w:rPr>
      </w:pPr>
    </w:p>
    <w:p>
      <w:pPr>
        <w:ind w:left="740" w:right="40" w:firstLine="391"/>
        <w:spacing w:after="0" w:line="278" w:lineRule="auto"/>
        <w:rPr>
          <w:sz w:val="20"/>
          <w:szCs w:val="20"/>
          <w:color w:val="auto"/>
        </w:rPr>
      </w:pPr>
      <w:r>
        <w:rPr>
          <w:rFonts w:ascii="Times New Roman" w:cs="Times New Roman" w:eastAsia="Times New Roman" w:hAnsi="Times New Roman"/>
          <w:sz w:val="15"/>
          <w:szCs w:val="15"/>
          <w:color w:val="auto"/>
        </w:rPr>
        <w:t>Stock-based compensation, consisting of Medline Holdings, LP profits interest, is measured at fair value on the grant date or date of modification, as applicable. Determining the amount of stock-based compensation expense to be recorded requires us to (i) estimate the fair value of total equity and</w:t>
      </w:r>
    </w:p>
    <w:p>
      <w:pPr>
        <w:ind w:left="740" w:right="360" w:hanging="2"/>
        <w:spacing w:after="0" w:line="259" w:lineRule="auto"/>
        <w:tabs>
          <w:tab w:leader="none" w:pos="975"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estimates to be used in calculating the grant-date fair value of incentive units. Our valuation model requires us to make estimates of the following assumptions:</w:t>
      </w:r>
    </w:p>
    <w:p>
      <w:pPr>
        <w:spacing w:after="0" w:line="161" w:lineRule="exact"/>
        <w:rPr>
          <w:sz w:val="20"/>
          <w:szCs w:val="20"/>
          <w:color w:val="auto"/>
        </w:rPr>
      </w:pPr>
    </w:p>
    <w:p>
      <w:pPr>
        <w:ind w:left="740" w:right="40" w:firstLine="391"/>
        <w:spacing w:after="0" w:line="269" w:lineRule="auto"/>
        <w:rPr>
          <w:sz w:val="20"/>
          <w:szCs w:val="20"/>
          <w:color w:val="auto"/>
        </w:rPr>
      </w:pPr>
      <w:r>
        <w:rPr>
          <w:rFonts w:ascii="Times New Roman" w:cs="Times New Roman" w:eastAsia="Times New Roman" w:hAnsi="Times New Roman"/>
          <w:sz w:val="15"/>
          <w:szCs w:val="15"/>
          <w:color w:val="auto"/>
        </w:rPr>
        <w:t>Fair Value of Total Equity: The Company considered the three generally accepted valuation approaches used to value a business enterprise: (i) the income approach, (ii) the market approach, and (iii) the asset approach. The Company ultimately relied on the income approach and market approach. The cost approach was excluded as the value of the business is attributed to its business operations, earnings, and cash flows, rather than the assets it holds. The income approach utilized the discounted cash flow (“DCF”) methodology based on our financial forecasts and projections, as detailed below. The first step of a DCF method analysis involves projecting cash flows that the business is expected to generate. The second step involves converting these cash flows into a present value equivalent through discounting. The discounting process utilizes a rate of return that is commensurate with the risk associated with the business and the time value of money. In applying the market approach, management estimated the value of the Company by comparing the Company to similar businesses that have been sold or are publicly traded companies deemed to be peers to the Company. Management considered the two widely used and relied upon forms of the market approach—The Guideline Public Company (“GPC”) method, which relies on market multiples of publicly traded companies, and the Guideline Merged and Acquired Company (“GMAC”) method, which relies on actual prices or multiples paid in recent mergers and acquisitions in the Company’s industry, or transaction(s) involving the Company. Under both approaches, market multiples were calculated and applied against corresponding financial metrics of the Company. As of December 31, 2024, the Company assigned weightings to the selected valuation methods in estimating the fair value of total equity. The Company weighted the income approach 75%, the GPC method 25%, and the GMAC method 0%. In assigning the weight to the GMAC method, consideration was given to the passage of time since the leveraged buyout transaction and the lack of suitable guideline transactions as of the valuation date. The Company applied more weighting to the income approach given availability of projected financial information and consideration of comparability of guideline public companies.</w:t>
      </w:r>
    </w:p>
    <w:p>
      <w:pPr>
        <w:spacing w:after="0" w:line="164" w:lineRule="exact"/>
        <w:rPr>
          <w:sz w:val="20"/>
          <w:szCs w:val="20"/>
          <w:color w:val="auto"/>
        </w:rPr>
      </w:pPr>
    </w:p>
    <w:p>
      <w:pPr>
        <w:ind w:left="740" w:right="180" w:firstLine="391"/>
        <w:spacing w:after="0" w:line="281" w:lineRule="auto"/>
        <w:rPr>
          <w:sz w:val="20"/>
          <w:szCs w:val="20"/>
          <w:color w:val="auto"/>
        </w:rPr>
      </w:pPr>
      <w:r>
        <w:rPr>
          <w:rFonts w:ascii="Times New Roman" w:cs="Times New Roman" w:eastAsia="Times New Roman" w:hAnsi="Times New Roman"/>
          <w:sz w:val="16"/>
          <w:szCs w:val="16"/>
          <w:color w:val="auto"/>
        </w:rPr>
        <w:t>The resulting weighted value was then adjusted for balance sheet items to conclude on the fair market value of equity for the Company as of the measurement date.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131</w:t>
      </w:r>
    </w:p>
    <w:p>
      <w:pPr>
        <w:sectPr>
          <w:pgSz w:w="11900" w:h="16838" w:orient="portrait"/>
          <w:cols w:equalWidth="0" w:num="1">
            <w:col w:w="10500"/>
          </w:cols>
          <w:pgMar w:left="320" w:top="420" w:right="10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Following this offering, it will not be necessary to determine the fair value of our shares, as our shares will be traded in the public market.</w:t>
      </w:r>
    </w:p>
    <w:p>
      <w:pPr>
        <w:spacing w:after="0" w:line="199" w:lineRule="exact"/>
        <w:rPr>
          <w:sz w:val="20"/>
          <w:szCs w:val="20"/>
          <w:color w:val="auto"/>
        </w:rPr>
      </w:pPr>
    </w:p>
    <w:p>
      <w:pPr>
        <w:ind w:left="740" w:right="340" w:firstLine="391"/>
        <w:spacing w:after="0" w:line="260" w:lineRule="auto"/>
        <w:rPr>
          <w:sz w:val="20"/>
          <w:szCs w:val="20"/>
          <w:color w:val="auto"/>
        </w:rPr>
      </w:pPr>
      <w:r>
        <w:rPr>
          <w:rFonts w:ascii="Times New Roman" w:cs="Times New Roman" w:eastAsia="Times New Roman" w:hAnsi="Times New Roman"/>
          <w:sz w:val="16"/>
          <w:szCs w:val="16"/>
          <w:u w:val="single" w:color="auto"/>
          <w:color w:val="auto"/>
        </w:rPr>
        <w:t>Fair Value of Equity-Based Awards:</w:t>
      </w:r>
      <w:r>
        <w:rPr>
          <w:rFonts w:ascii="Times New Roman" w:cs="Times New Roman" w:eastAsia="Times New Roman" w:hAnsi="Times New Roman"/>
          <w:sz w:val="16"/>
          <w:szCs w:val="16"/>
          <w:color w:val="auto"/>
        </w:rPr>
        <w:t xml:space="preserve"> The weighted average per unit fair value of the equity-based units is calculated using the Monte Carlo simulation in an option pricing framework, where the total equity value of the Company was simulated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77" w:lineRule="exact"/>
        <w:rPr>
          <w:sz w:val="20"/>
          <w:szCs w:val="20"/>
          <w:color w:val="auto"/>
        </w:rPr>
      </w:pPr>
    </w:p>
    <w:p>
      <w:pPr>
        <w:ind w:left="1600" w:hanging="383"/>
        <w:spacing w:after="0"/>
        <w:tabs>
          <w:tab w:leader="none" w:pos="16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precedent transactions involving equity units;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operating and financial performance;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 and projections;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performance of comparable publicly traded companies;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global capital market conditions.</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following assumptions were made in the Monte Carlo simulation:</w:t>
      </w:r>
    </w:p>
    <w:p>
      <w:pPr>
        <w:spacing w:after="0" w:line="199"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57" w:lineRule="exact"/>
        <w:rPr>
          <w:sz w:val="20"/>
          <w:szCs w:val="20"/>
          <w:color w:val="auto"/>
        </w:rPr>
      </w:pPr>
    </w:p>
    <w:p>
      <w:pPr>
        <w:ind w:left="740" w:right="40" w:firstLine="391"/>
        <w:spacing w:after="0" w:line="281" w:lineRule="auto"/>
        <w:rPr>
          <w:sz w:val="20"/>
          <w:szCs w:val="20"/>
          <w:color w:val="auto"/>
        </w:rPr>
      </w:pPr>
      <w:r>
        <w:rPr>
          <w:rFonts w:ascii="Times New Roman" w:cs="Times New Roman" w:eastAsia="Times New Roman" w:hAnsi="Times New Roman"/>
          <w:sz w:val="16"/>
          <w:szCs w:val="16"/>
          <w:u w:val="single" w:color="auto"/>
          <w:color w:val="auto"/>
        </w:rPr>
        <w:t>Volatility:</w:t>
      </w:r>
      <w:r>
        <w:rPr>
          <w:rFonts w:ascii="Times New Roman" w:cs="Times New Roman" w:eastAsia="Times New Roman" w:hAnsi="Times New Roman"/>
          <w:sz w:val="16"/>
          <w:szCs w:val="16"/>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44" w:lineRule="exact"/>
        <w:rPr>
          <w:sz w:val="20"/>
          <w:szCs w:val="20"/>
          <w:color w:val="auto"/>
        </w:rPr>
      </w:pPr>
    </w:p>
    <w:p>
      <w:pPr>
        <w:ind w:left="740" w:right="60" w:firstLine="391"/>
        <w:spacing w:after="0" w:line="281" w:lineRule="auto"/>
        <w:rPr>
          <w:sz w:val="20"/>
          <w:szCs w:val="20"/>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The risk-free interest rate is estimated based on U.S. Treasury zero-coupon notes with terms consistent with the expected term of the awards.</w:t>
      </w:r>
    </w:p>
    <w:p>
      <w:pPr>
        <w:spacing w:after="0" w:line="144" w:lineRule="exact"/>
        <w:rPr>
          <w:sz w:val="20"/>
          <w:szCs w:val="20"/>
          <w:color w:val="auto"/>
        </w:rPr>
      </w:pPr>
    </w:p>
    <w:p>
      <w:pPr>
        <w:ind w:left="740" w:right="40" w:firstLine="391"/>
        <w:spacing w:after="0" w:line="281" w:lineRule="auto"/>
        <w:rPr>
          <w:sz w:val="20"/>
          <w:szCs w:val="20"/>
          <w:color w:val="auto"/>
        </w:rPr>
      </w:pPr>
      <w:r>
        <w:rPr>
          <w:rFonts w:ascii="Times New Roman" w:cs="Times New Roman" w:eastAsia="Times New Roman" w:hAnsi="Times New Roman"/>
          <w:sz w:val="16"/>
          <w:szCs w:val="16"/>
          <w:u w:val="single" w:color="auto"/>
          <w:color w:val="auto"/>
        </w:rPr>
        <w:t>Dividend Yield:</w:t>
      </w:r>
      <w:r>
        <w:rPr>
          <w:rFonts w:ascii="Times New Roman" w:cs="Times New Roman" w:eastAsia="Times New Roman" w:hAnsi="Times New Roman"/>
          <w:sz w:val="16"/>
          <w:szCs w:val="16"/>
          <w:color w:val="auto"/>
        </w:rPr>
        <w:t xml:space="preserve"> The Company has never declared or paid any cash dividends and does not presently plan to pay cash dividends in the foreseeable future. Consequently, the Company used an expected dividend yield of zero.</w:t>
      </w:r>
    </w:p>
    <w:p>
      <w:pPr>
        <w:spacing w:after="0" w:line="144"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Recently Adopted Accounting Standards and Recently Issued Accounting Standards Not Yet Adopted</w:t>
      </w:r>
    </w:p>
    <w:p>
      <w:pPr>
        <w:spacing w:after="0" w:line="105"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For a discussion of recently adopted accounting standards and recently issued accounting standards not yet adopted, please see “Note 1 — Nature of Business and Significant Accounting Policies” to our audited consolidated financial statements and unaudited condensed consolidated financial statements, included elsewhere in this prospectus.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Quantitative and Qualitative Disclosures About Market Risk</w:t>
      </w:r>
    </w:p>
    <w:p>
      <w:pPr>
        <w:spacing w:after="0" w:line="105" w:lineRule="exact"/>
        <w:rPr>
          <w:sz w:val="20"/>
          <w:szCs w:val="20"/>
          <w:color w:val="auto"/>
        </w:rPr>
      </w:pPr>
    </w:p>
    <w:p>
      <w:pPr>
        <w:ind w:left="740" w:right="40" w:firstLine="391"/>
        <w:spacing w:after="0" w:line="281"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from adverse changes in foreign currency exchange rates, interest rates, and inflation.</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Foreign Currency Exchange Rate Risks</w:t>
      </w:r>
    </w:p>
    <w:p>
      <w:pPr>
        <w:spacing w:after="0" w:line="105"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We have international sales, including in Canada, certain countries in the EU, Japan, Australia, the United Kingdom, and certain countries in Latin America, among others, all of which have a different currency exposure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132</w:t>
      </w:r>
    </w:p>
    <w:p>
      <w:pPr>
        <w:sectPr>
          <w:pgSz w:w="11900" w:h="16838" w:orient="portrait"/>
          <w:cols w:equalWidth="0" w:num="1">
            <w:col w:w="10480"/>
          </w:cols>
          <w:pgMar w:left="320" w:top="420" w:right="10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65" w:lineRule="auto"/>
        <w:rPr>
          <w:sz w:val="20"/>
          <w:szCs w:val="20"/>
          <w:color w:val="auto"/>
        </w:rPr>
      </w:pPr>
      <w:r>
        <w:rPr>
          <w:rFonts w:ascii="Times New Roman" w:cs="Times New Roman" w:eastAsia="Times New Roman" w:hAnsi="Times New Roman"/>
          <w:sz w:val="16"/>
          <w:szCs w:val="16"/>
          <w:color w:val="auto"/>
        </w:rPr>
        <w:t>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57"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5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A 10% appreciation/depreciation in the Mexican peso against the U.S. dollar would have increased or decreased our expenses incurred and paid in the Mexican peso by approximately $32 million in the year ended December 31, 2024.</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105" w:lineRule="exact"/>
        <w:rPr>
          <w:sz w:val="20"/>
          <w:szCs w:val="20"/>
          <w:color w:val="auto"/>
        </w:rPr>
      </w:pPr>
    </w:p>
    <w:p>
      <w:pPr>
        <w:jc w:val="both"/>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As of September 27, 2025, we had approximately $16,803 million of gross outstanding indebtedness including $8,303 million of borrowings at variable interest rates before considering deferred financing costs of $226 million. The borrowings under the Senior Secured Credit Facilities accrue interest at variable interest rates and thus are subject to interest rate risk.</w:t>
      </w:r>
    </w:p>
    <w:p>
      <w:pPr>
        <w:spacing w:after="0" w:line="157" w:lineRule="exact"/>
        <w:rPr>
          <w:sz w:val="20"/>
          <w:szCs w:val="20"/>
          <w:color w:val="auto"/>
        </w:rPr>
      </w:pPr>
    </w:p>
    <w:p>
      <w:pPr>
        <w:ind w:left="740" w:right="140" w:firstLine="391"/>
        <w:spacing w:after="0" w:line="283" w:lineRule="auto"/>
        <w:rPr>
          <w:sz w:val="20"/>
          <w:szCs w:val="20"/>
          <w:color w:val="auto"/>
        </w:rPr>
      </w:pPr>
      <w:r>
        <w:rPr>
          <w:rFonts w:ascii="Times New Roman" w:cs="Times New Roman" w:eastAsia="Times New Roman" w:hAnsi="Times New Roman"/>
          <w:sz w:val="15"/>
          <w:szCs w:val="15"/>
          <w:color w:val="auto"/>
        </w:rPr>
        <w:t>Borrowings under the 2025 Refinancing Dollar Term Facility and New Euro Term Loan Facility bear interest at a floating rate per annum, based on the SOFR plus an applicable spread and EURIBOR plus an applicable spread, respectively. As of September 27, 2025, we had $7,574 million and $729 million outstanding under the New Dollar Term Loan Facility and New Euro Term Loan Facility, respectively, bearing interest at variable rates. Each change of 25 basis point in interest rates would result in a $13.9 million change in annual interest expense on term loan borrowing.</w:t>
      </w:r>
    </w:p>
    <w:p>
      <w:pPr>
        <w:spacing w:after="0" w:line="144"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Borrowings under the Revolving Credit Facility bear interest at various rates per annum, all of which float with relevant rate indices, i.e., SOFR. As of September 27, 2025, we do not have borrowings outstanding under the Revolving Credit Facility. Although we do not have any borrowings outstanding under our Revolving Credit Facility as of September 27, 2025, had the Revolving Credit Facility been fully drawn, each change of 25 basis point in interest rates would result in a $2.5 million change in annual interest expense on such outstanding borrowings under the Revolving Credit Facility.</w:t>
      </w:r>
    </w:p>
    <w:p>
      <w:pPr>
        <w:spacing w:after="0" w:line="164" w:lineRule="exact"/>
        <w:rPr>
          <w:sz w:val="20"/>
          <w:szCs w:val="20"/>
          <w:color w:val="auto"/>
        </w:rPr>
      </w:pPr>
    </w:p>
    <w:p>
      <w:pPr>
        <w:jc w:val="both"/>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We have entered into interest rate swaps and interest rate caps to manage interest rate risk on our outstanding term debts. Interest rate swaps and interest rate caps allow us to effectively convert floating-rate payments into fixed-rate payments. Interest expenses on term debts are partially offset by the corresponding losses and gains on the related hedging instruments. The effective interest rate for USD denominated variable rate borrowings would change to 6.7% from 8.7% for the year ended December 31, 2024, after consideration of the related hedging instruments.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133</w:t>
      </w:r>
    </w:p>
    <w:p>
      <w:pPr>
        <w:sectPr>
          <w:pgSz w:w="11900" w:h="16838" w:orient="portrait"/>
          <w:cols w:equalWidth="0" w:num="1">
            <w:col w:w="10480"/>
          </w:cols>
          <w:pgMar w:left="320" w:top="420" w:right="10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BUSINESS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mission is to make healthcare run better by delivering improved clinical, financial, and operational outcomes.</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We are the largest provider of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133985</wp:posOffset>
            </wp:positionV>
            <wp:extent cx="4608195" cy="2341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08195" cy="234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i w:val="1"/>
          <w:iCs w:val="1"/>
          <w:color w:val="auto"/>
        </w:rPr>
        <w:t>Note: Amounts were calculated in accordance with the historical accounting standards applicable to the Company in the relevant period.</w:t>
      </w:r>
    </w:p>
    <w:p>
      <w:pPr>
        <w:spacing w:after="0" w:line="179"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134</w:t>
      </w:r>
    </w:p>
    <w:p>
      <w:pPr>
        <w:sectPr>
          <w:pgSz w:w="11900" w:h="16838" w:orient="portrait"/>
          <w:cols w:equalWidth="0" w:num="1">
            <w:col w:w="10500"/>
          </w:cols>
          <w:pgMar w:left="320" w:top="420" w:right="10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60"/>
        <w:spacing w:after="0" w:line="281" w:lineRule="auto"/>
        <w:rPr>
          <w:sz w:val="20"/>
          <w:szCs w:val="20"/>
          <w:color w:val="auto"/>
        </w:rPr>
      </w:pPr>
      <w:r>
        <w:rPr>
          <w:rFonts w:ascii="Times New Roman" w:cs="Times New Roman" w:eastAsia="Times New Roman" w:hAnsi="Times New Roman"/>
          <w:sz w:val="16"/>
          <w:szCs w:val="16"/>
          <w:color w:val="auto"/>
        </w:rPr>
        <w:t>lowering costs and delivering superior service levels. As a result, Medline is now the largest provider of med-surg products and supply chain solutions serving all points of care, based on total net sales of med-surg products.</w:t>
      </w:r>
    </w:p>
    <w:p>
      <w:pPr>
        <w:spacing w:after="0" w:line="144"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129540</wp:posOffset>
            </wp:positionV>
            <wp:extent cx="4608195" cy="22053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608195" cy="220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167"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135</w:t>
      </w:r>
    </w:p>
    <w:p>
      <w:pPr>
        <w:sectPr>
          <w:pgSz w:w="11900" w:h="16838" w:orient="portrait"/>
          <w:cols w:equalWidth="0" w:num="1">
            <w:col w:w="10500"/>
          </w:cols>
          <w:pgMar w:left="320" w:top="420" w:right="10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20" w:firstLine="391"/>
        <w:spacing w:after="0" w:line="256" w:lineRule="auto"/>
        <w:rPr>
          <w:sz w:val="20"/>
          <w:szCs w:val="20"/>
          <w:color w:val="auto"/>
        </w:rPr>
      </w:pPr>
      <w:r>
        <w:rPr>
          <w:rFonts w:ascii="Times New Roman" w:cs="Times New Roman" w:eastAsia="Times New Roman" w:hAnsi="Times New Roman"/>
          <w:sz w:val="16"/>
          <w:szCs w:val="16"/>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64" w:lineRule="exact"/>
        <w:rPr>
          <w:sz w:val="20"/>
          <w:szCs w:val="20"/>
          <w:color w:val="auto"/>
        </w:rPr>
      </w:pPr>
    </w:p>
    <w:p>
      <w:pPr>
        <w:ind w:left="740" w:right="140" w:firstLine="391"/>
        <w:spacing w:after="0" w:line="257" w:lineRule="auto"/>
        <w:rPr>
          <w:sz w:val="20"/>
          <w:szCs w:val="20"/>
          <w:color w:val="auto"/>
        </w:rPr>
      </w:pPr>
      <w:r>
        <w:rPr>
          <w:rFonts w:ascii="Times New Roman" w:cs="Times New Roman" w:eastAsia="Times New Roman" w:hAnsi="Times New Roman"/>
          <w:sz w:val="16"/>
          <w:szCs w:val="16"/>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6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For the nine months ended September 27, 2025, we generated net sales of $20.6 billion, net income of $1.0 billion, and Adjusted EBITDA of $2.7 billion, representing a net income margin of 4.7% and an Adjusted EBITDA Margin of 12.9%. During that period, 48.4% of total net sales and 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Who We Are</w:t>
      </w:r>
    </w:p>
    <w:p>
      <w:pPr>
        <w:spacing w:after="0" w:line="105" w:lineRule="exact"/>
        <w:rPr>
          <w:sz w:val="20"/>
          <w:szCs w:val="20"/>
          <w:color w:val="auto"/>
        </w:rPr>
      </w:pPr>
    </w:p>
    <w:p>
      <w:pPr>
        <w:ind w:left="740" w:right="320" w:firstLine="391"/>
        <w:spacing w:after="0" w:line="316" w:lineRule="auto"/>
        <w:rPr>
          <w:sz w:val="20"/>
          <w:szCs w:val="20"/>
          <w:color w:val="auto"/>
        </w:rPr>
      </w:pPr>
      <w:r>
        <w:rPr>
          <w:rFonts w:ascii="Times New Roman" w:cs="Times New Roman" w:eastAsia="Times New Roman" w:hAnsi="Times New Roman"/>
          <w:sz w:val="15"/>
          <w:szCs w:val="15"/>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102235</wp:posOffset>
            </wp:positionV>
            <wp:extent cx="4258310" cy="14827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5831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Market Opportunity</w:t>
      </w:r>
    </w:p>
    <w:p>
      <w:pPr>
        <w:spacing w:after="0" w:line="105"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We estimate our TAM to be approximately $375 billion globally. Of this amount, we estimate that the United States represents an approximately $175 billion opportunity, diversified across acute care and non-acute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136</w:t>
      </w:r>
    </w:p>
    <w:p>
      <w:pPr>
        <w:sectPr>
          <w:pgSz w:w="11900" w:h="16838" w:orient="portrait"/>
          <w:cols w:equalWidth="0" w:num="1">
            <w:col w:w="10500"/>
          </w:cols>
          <w:pgMar w:left="320" w:top="420" w:right="10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60"/>
        <w:spacing w:after="0" w:line="265" w:lineRule="auto"/>
        <w:rPr>
          <w:sz w:val="20"/>
          <w:szCs w:val="20"/>
          <w:color w:val="auto"/>
        </w:rPr>
      </w:pPr>
      <w:r>
        <w:rPr>
          <w:rFonts w:ascii="Times New Roman" w:cs="Times New Roman" w:eastAsia="Times New Roman" w:hAnsi="Times New Roman"/>
          <w:sz w:val="16"/>
          <w:szCs w:val="16"/>
          <w:color w:val="auto"/>
        </w:rPr>
        <w:t>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57"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Demand within the overall U.S. healthcare market is largely insulated from macroeconomic events and market cycles due to non-cyclical demand as evidenced by the fact that healthcare spending in the United States has increased every year for the past sixty years according to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65"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International markets also represent an attractive opportunity as net sales outside of the United States represented only 6.9% of our total net sales for the year ended December 31, 2024.</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market opportunity is enhanced by the following dynamics:</w:t>
      </w:r>
    </w:p>
    <w:p>
      <w:pPr>
        <w:spacing w:after="0" w:line="113" w:lineRule="exact"/>
        <w:rPr>
          <w:sz w:val="20"/>
          <w:szCs w:val="20"/>
          <w:color w:val="auto"/>
        </w:rPr>
      </w:pPr>
    </w:p>
    <w:p>
      <w:pPr>
        <w:ind w:left="1600" w:hanging="383"/>
        <w:spacing w:after="0" w:line="284" w:lineRule="auto"/>
        <w:tabs>
          <w:tab w:leader="none" w:pos="16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Margin Pressure Across End Markets</w:t>
      </w:r>
      <w:r>
        <w:rPr>
          <w:rFonts w:ascii="Times New Roman" w:cs="Times New Roman" w:eastAsia="Times New Roman" w:hAnsi="Times New Roman"/>
          <w:sz w:val="16"/>
          <w:szCs w:val="16"/>
          <w:color w:val="auto"/>
        </w:rPr>
        <w:t>: Hospitals generally operate at a low margin; given these dynamics, health systems and providers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heavily focused on mitigating costs and increasing the quality of care.</w:t>
      </w:r>
    </w:p>
    <w:p>
      <w:pPr>
        <w:spacing w:after="0" w:line="55" w:lineRule="exact"/>
        <w:rPr>
          <w:rFonts w:ascii="Times New Roman" w:cs="Times New Roman" w:eastAsia="Times New Roman" w:hAnsi="Times New Roman"/>
          <w:sz w:val="16"/>
          <w:szCs w:val="16"/>
          <w:color w:val="auto"/>
        </w:rPr>
      </w:pPr>
    </w:p>
    <w:p>
      <w:pPr>
        <w:ind w:left="1600" w:right="220" w:hanging="383"/>
        <w:spacing w:after="0" w:line="284" w:lineRule="auto"/>
        <w:tabs>
          <w:tab w:leader="none" w:pos="16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Shift in Volumes Outside of the Hospital</w:t>
      </w:r>
      <w:r>
        <w:rPr>
          <w:rFonts w:ascii="Times New Roman" w:cs="Times New Roman" w:eastAsia="Times New Roman" w:hAnsi="Times New Roman"/>
          <w:sz w:val="16"/>
          <w:szCs w:val="16"/>
          <w:color w:val="auto"/>
        </w:rPr>
        <w:t>: As overall healthcare utilization increases, higher acuity procedures continue to shift to lower-cost sites of care, such as surgery centers and physician offices.</w:t>
      </w:r>
    </w:p>
    <w:p>
      <w:pPr>
        <w:spacing w:after="0" w:line="55" w:lineRule="exact"/>
        <w:rPr>
          <w:rFonts w:ascii="Times New Roman" w:cs="Times New Roman" w:eastAsia="Times New Roman" w:hAnsi="Times New Roman"/>
          <w:sz w:val="16"/>
          <w:szCs w:val="16"/>
          <w:color w:val="auto"/>
        </w:rPr>
      </w:pPr>
    </w:p>
    <w:p>
      <w:pPr>
        <w:ind w:left="1600" w:right="40" w:hanging="383"/>
        <w:spacing w:after="0" w:line="284" w:lineRule="auto"/>
        <w:tabs>
          <w:tab w:leader="none" w:pos="16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Healthcare Consolidation</w:t>
      </w:r>
      <w:r>
        <w:rPr>
          <w:rFonts w:ascii="Times New Roman" w:cs="Times New Roman" w:eastAsia="Times New Roman" w:hAnsi="Times New Roman"/>
          <w:sz w:val="16"/>
          <w:szCs w:val="16"/>
          <w:color w:val="auto"/>
        </w:rPr>
        <w:t>: Consolidation activity is expected to continue, as hospitals combine to drive scale and create integrated models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serve the continuum of care.</w:t>
      </w:r>
    </w:p>
    <w:p>
      <w:pPr>
        <w:spacing w:after="0" w:line="55" w:lineRule="exact"/>
        <w:rPr>
          <w:rFonts w:ascii="Times New Roman" w:cs="Times New Roman" w:eastAsia="Times New Roman" w:hAnsi="Times New Roman"/>
          <w:sz w:val="16"/>
          <w:szCs w:val="16"/>
          <w:color w:val="auto"/>
        </w:rPr>
      </w:pPr>
    </w:p>
    <w:p>
      <w:pPr>
        <w:ind w:left="1600" w:hanging="383"/>
        <w:spacing w:after="0" w:line="284" w:lineRule="auto"/>
        <w:tabs>
          <w:tab w:leader="none" w:pos="1600"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Supply Chain Resiliency</w:t>
      </w:r>
      <w:r>
        <w:rPr>
          <w:rFonts w:ascii="Times New Roman" w:cs="Times New Roman" w:eastAsia="Times New Roman" w:hAnsi="Times New Roman"/>
          <w:sz w:val="16"/>
          <w:szCs w:val="16"/>
          <w:color w:val="auto"/>
        </w:rPr>
        <w:t>: Supply chain disruptions and shortages have revealed the industry’s need for in-stock products and short delivery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timeframes.</w:t>
      </w:r>
    </w:p>
    <w:p>
      <w:pPr>
        <w:spacing w:after="0" w:line="137" w:lineRule="exact"/>
        <w:rPr>
          <w:sz w:val="20"/>
          <w:szCs w:val="20"/>
          <w:color w:val="auto"/>
        </w:rPr>
      </w:pPr>
    </w:p>
    <w:p>
      <w:pPr>
        <w:ind w:left="740" w:firstLine="391"/>
        <w:spacing w:after="0" w:line="268"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w:t>
      </w:r>
      <w:r>
        <w:rPr>
          <w:rFonts w:ascii="Times New Roman" w:cs="Times New Roman" w:eastAsia="Times New Roman" w:hAnsi="Times New Roman"/>
          <w:sz w:val="16"/>
          <w:szCs w:val="16"/>
          <w:color w:val="auto"/>
        </w:rPr>
        <w:t>We offer our customers approximately 190,000 med-surg products through our Medline Brand segment. We have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positions across many key product families within the approximately $75 billion SAM for our Medline Brand products. See “Market and Industry Data” for how we define our SAM.</w:t>
      </w:r>
    </w:p>
    <w:p>
      <w:pPr>
        <w:spacing w:after="0" w:line="15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Medline Brand products are organized into three product categories: 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152400</wp:posOffset>
            </wp:positionV>
            <wp:extent cx="4608195" cy="22885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608195"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137</w:t>
      </w:r>
    </w:p>
    <w:p>
      <w:pPr>
        <w:sectPr>
          <w:pgSz w:w="11900" w:h="16838" w:orient="portrait"/>
          <w:cols w:equalWidth="0" w:num="1">
            <w:col w:w="10480"/>
          </w:cols>
          <w:pgMar w:left="320" w:top="420" w:right="10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153670</wp:posOffset>
            </wp:positionV>
            <wp:extent cx="4608195" cy="20148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60819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85090</wp:posOffset>
            </wp:positionV>
            <wp:extent cx="4608195" cy="1193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608195" cy="1193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w:t>
      </w:r>
    </w:p>
    <w:p>
      <w:pPr>
        <w:spacing w:after="0" w:line="15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Our manufacturing capabilities enable many of our Medline Brand products to become category leaders. For example, Medline began manufacturing surgical procedure trays in 1985 and is the largest kitting manufacturer in the United States as of December 31, 2024. Our surgical kitting trays come complete with the majority of the supplies a surgeon needs in one convenient pack. This improves outcomes, shortening the time it takes to manage the supplies needed for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Nuevo Laredo and Mexicali, Mexico facilities. Our kitting facilities employ more than 9,300 people, with over 900,000 kits made every day across North America, Australia, Asia, and Europe.</w:t>
      </w:r>
    </w:p>
    <w:p>
      <w:pPr>
        <w:spacing w:after="0" w:line="164"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138</w:t>
      </w:r>
    </w:p>
    <w:p>
      <w:pPr>
        <w:sectPr>
          <w:pgSz w:w="11900" w:h="16838" w:orient="portrait"/>
          <w:cols w:equalWidth="0" w:num="1">
            <w:col w:w="10480"/>
          </w:cols>
          <w:pgMar w:left="320" w:top="420" w:right="10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60"/>
        <w:spacing w:after="0" w:line="265" w:lineRule="auto"/>
        <w:rPr>
          <w:sz w:val="20"/>
          <w:szCs w:val="20"/>
          <w:color w:val="auto"/>
        </w:rPr>
      </w:pPr>
      <w:r>
        <w:rPr>
          <w:rFonts w:ascii="Times New Roman" w:cs="Times New Roman" w:eastAsia="Times New Roman" w:hAnsi="Times New Roman"/>
          <w:sz w:val="16"/>
          <w:szCs w:val="16"/>
          <w:color w:val="auto"/>
        </w:rPr>
        <w:t>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57"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of our customer base.</w:t>
      </w:r>
    </w:p>
    <w:p>
      <w:pPr>
        <w:spacing w:after="0" w:line="161"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53" w:lineRule="exact"/>
        <w:rPr>
          <w:sz w:val="20"/>
          <w:szCs w:val="20"/>
          <w:color w:val="auto"/>
        </w:rPr>
      </w:pPr>
    </w:p>
    <w:p>
      <w:pPr>
        <w:ind w:left="740" w:right="100" w:firstLine="39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Supply Chain Solutions. </w:t>
      </w:r>
      <w:r>
        <w:rPr>
          <w:rFonts w:ascii="Times New Roman" w:cs="Times New Roman" w:eastAsia="Times New Roman" w:hAnsi="Times New Roman"/>
          <w:sz w:val="16"/>
          <w:szCs w:val="16"/>
          <w:color w:val="auto"/>
        </w:rPr>
        <w:t>We offer approximately 145,000 med-surg products from over 1,250 third-party suppliers, including nearly all leading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63"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57" w:lineRule="exact"/>
        <w:rPr>
          <w:sz w:val="20"/>
          <w:szCs w:val="20"/>
          <w:color w:val="auto"/>
        </w:rPr>
      </w:pPr>
    </w:p>
    <w:p>
      <w:pPr>
        <w:ind w:left="740" w:firstLine="391"/>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Prime Vendor Model. </w:t>
      </w:r>
      <w:r>
        <w:rPr>
          <w:rFonts w:ascii="Times New Roman" w:cs="Times New Roman" w:eastAsia="Times New Roman" w:hAnsi="Times New Roman"/>
          <w:sz w:val="16"/>
          <w:szCs w:val="16"/>
          <w:color w:val="auto"/>
        </w:rPr>
        <w:t>In our Prime Vendor relationships, we enter into long-term agreements, typically structured with five-year terms, to act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61" w:lineRule="exact"/>
        <w:rPr>
          <w:sz w:val="20"/>
          <w:szCs w:val="20"/>
          <w:color w:val="auto"/>
        </w:rPr>
      </w:pPr>
    </w:p>
    <w:p>
      <w:pPr>
        <w:ind w:left="740" w:right="60" w:firstLine="391"/>
        <w:spacing w:after="0" w:line="253" w:lineRule="auto"/>
        <w:rPr>
          <w:sz w:val="20"/>
          <w:szCs w:val="20"/>
          <w:color w:val="auto"/>
        </w:rPr>
      </w:pPr>
      <w:r>
        <w:rPr>
          <w:rFonts w:ascii="Times New Roman" w:cs="Times New Roman" w:eastAsia="Times New Roman" w:hAnsi="Times New Roman"/>
          <w:sz w:val="16"/>
          <w:szCs w:val="16"/>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139</w:t>
      </w:r>
    </w:p>
    <w:p>
      <w:pPr>
        <w:sectPr>
          <w:pgSz w:w="11900" w:h="16838" w:orient="portrait"/>
          <w:cols w:equalWidth="0" w:num="1">
            <w:col w:w="10500"/>
          </w:cols>
          <w:pgMar w:left="320" w:top="420" w:right="10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380"/>
        <w:spacing w:after="0" w:line="281" w:lineRule="auto"/>
        <w:rPr>
          <w:sz w:val="20"/>
          <w:szCs w:val="20"/>
          <w:color w:val="auto"/>
        </w:rPr>
      </w:pPr>
      <w:r>
        <w:rPr>
          <w:rFonts w:ascii="Times New Roman" w:cs="Times New Roman" w:eastAsia="Times New Roman" w:hAnsi="Times New Roman"/>
          <w:sz w:val="16"/>
          <w:szCs w:val="16"/>
          <w:color w:val="auto"/>
        </w:rPr>
        <w:t>our profitability. This compelling value proposition and supply chain relationship with our customers supports our greater than 98% average Prime Vendor retention rate over the past five years.</w:t>
      </w:r>
    </w:p>
    <w:p>
      <w:pPr>
        <w:spacing w:after="0" w:line="144"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138430</wp:posOffset>
            </wp:positionV>
            <wp:extent cx="4357370" cy="24485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5737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i w:val="1"/>
          <w:iCs w:val="1"/>
          <w:color w:val="auto"/>
        </w:rPr>
        <w:t>Note: Data represents average Medline Brand net sales percentage mix across cohorts 2014 – 2023.</w:t>
      </w:r>
    </w:p>
    <w:p>
      <w:pPr>
        <w:spacing w:after="0" w:line="175" w:lineRule="exact"/>
        <w:rPr>
          <w:sz w:val="20"/>
          <w:szCs w:val="20"/>
          <w:color w:val="auto"/>
        </w:rPr>
      </w:pPr>
    </w:p>
    <w:p>
      <w:pPr>
        <w:ind w:left="740" w:right="700" w:firstLine="391"/>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Distribution Network. </w:t>
      </w:r>
      <w:r>
        <w:rPr>
          <w:rFonts w:ascii="Times New Roman" w:cs="Times New Roman" w:eastAsia="Times New Roman" w:hAnsi="Times New Roman"/>
          <w:sz w:val="16"/>
          <w:szCs w:val="16"/>
          <w:color w:val="auto"/>
        </w:rPr>
        <w:t>We have a differentiated network of 69 global distribution centers, 45 of which are in the United States.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distribution centers are strategically located to provide next-day delivery to 95% of our</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140</w:t>
      </w:r>
    </w:p>
    <w:p>
      <w:pPr>
        <w:sectPr>
          <w:pgSz w:w="11900" w:h="16838" w:orient="portrait"/>
          <w:cols w:equalWidth="0" w:num="1">
            <w:col w:w="10500"/>
          </w:cols>
          <w:pgMar w:left="320" w:top="420" w:right="10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 December 31, 2024, we had approximately 25% in excess capacity across our platform to support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133985</wp:posOffset>
            </wp:positionV>
            <wp:extent cx="4258310" cy="2927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58310" cy="2927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Commercial Platform. </w:t>
      </w:r>
      <w:r>
        <w:rPr>
          <w:rFonts w:ascii="Times New Roman" w:cs="Times New Roman" w:eastAsia="Times New Roman" w:hAnsi="Times New Roman"/>
          <w:sz w:val="16"/>
          <w:szCs w:val="16"/>
          <w:color w:val="auto"/>
        </w:rPr>
        <w:t>Our deep connectivity to our customers is driven by the strength of our dedicated and tenured commercial team.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141</w:t>
      </w:r>
    </w:p>
    <w:p>
      <w:pPr>
        <w:sectPr>
          <w:pgSz w:w="11900" w:h="16838" w:orient="portrait"/>
          <w:cols w:equalWidth="0" w:num="1">
            <w:col w:w="10480"/>
          </w:cols>
          <w:pgMar w:left="320" w:top="420" w:right="10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Research and Development</w:t>
      </w:r>
    </w:p>
    <w:p>
      <w:pPr>
        <w:spacing w:after="0" w:line="105" w:lineRule="exact"/>
        <w:rPr>
          <w:sz w:val="20"/>
          <w:szCs w:val="20"/>
          <w:color w:val="auto"/>
        </w:rPr>
      </w:pPr>
    </w:p>
    <w:p>
      <w:pPr>
        <w:ind w:left="740" w:right="200" w:firstLine="391"/>
        <w:spacing w:after="0" w:line="281" w:lineRule="auto"/>
        <w:rPr>
          <w:sz w:val="20"/>
          <w:szCs w:val="20"/>
          <w:color w:val="auto"/>
        </w:rPr>
      </w:pPr>
      <w:r>
        <w:rPr>
          <w:rFonts w:ascii="Times New Roman" w:cs="Times New Roman" w:eastAsia="Times New Roman" w:hAnsi="Times New Roman"/>
          <w:sz w:val="16"/>
          <w:szCs w:val="16"/>
          <w:color w:val="auto"/>
        </w:rPr>
        <w:t>We have a track record of successfully bringing new products to market, with more than 2,100 granted patents and more than 400 FDA 510(k) clearances. Over the last three years, we have successfully launched 268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1267460</wp:posOffset>
            </wp:positionH>
            <wp:positionV relativeFrom="paragraph">
              <wp:posOffset>116840</wp:posOffset>
            </wp:positionV>
            <wp:extent cx="4608195" cy="16046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608195" cy="160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Three examples of our ability to innovate include:</w:t>
      </w:r>
    </w:p>
    <w:p>
      <w:pPr>
        <w:spacing w:after="0" w:line="113" w:lineRule="exact"/>
        <w:rPr>
          <w:sz w:val="20"/>
          <w:szCs w:val="20"/>
          <w:color w:val="auto"/>
        </w:rPr>
      </w:pPr>
    </w:p>
    <w:p>
      <w:pPr>
        <w:ind w:left="4200" w:right="20" w:hanging="241"/>
        <w:spacing w:after="0" w:line="255" w:lineRule="auto"/>
        <w:tabs>
          <w:tab w:leader="none" w:pos="42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ReadyPrep CHG</w:t>
      </w:r>
      <w:r>
        <w:rPr>
          <w:rFonts w:ascii="Times New Roman" w:cs="Times New Roman" w:eastAsia="Times New Roman" w:hAnsi="Times New Roman"/>
          <w:sz w:val="16"/>
          <w:szCs w:val="16"/>
          <w:color w:val="auto"/>
        </w:rPr>
        <w:t>: Medline announced the approval of the ReadyPrep CHG cloth in 2019, a new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pre-op skin 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30" w:lineRule="exact"/>
        <w:rPr>
          <w:rFonts w:ascii="Times New Roman" w:cs="Times New Roman" w:eastAsia="Times New Roman" w:hAnsi="Times New Roman"/>
          <w:sz w:val="16"/>
          <w:szCs w:val="16"/>
          <w:color w:val="auto"/>
        </w:rPr>
      </w:pPr>
    </w:p>
    <w:p>
      <w:pPr>
        <w:ind w:left="4200" w:right="100" w:hanging="241"/>
        <w:spacing w:after="0" w:line="255" w:lineRule="auto"/>
        <w:tabs>
          <w:tab w:leader="none" w:pos="42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Bonded Sterilization Wrap</w:t>
      </w:r>
      <w:r>
        <w:rPr>
          <w:rFonts w:ascii="Times New Roman" w:cs="Times New Roman" w:eastAsia="Times New Roman" w:hAnsi="Times New Roman"/>
          <w:sz w:val="16"/>
          <w:szCs w:val="16"/>
          <w:color w:val="auto"/>
        </w:rPr>
        <w:t>: Medline launched the Bonded Sterilization Wrap in 2014, a next-generation 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0" w:lineRule="exact"/>
        <w:rPr>
          <w:rFonts w:ascii="Times New Roman" w:cs="Times New Roman" w:eastAsia="Times New Roman" w:hAnsi="Times New Roman"/>
          <w:sz w:val="16"/>
          <w:szCs w:val="16"/>
          <w:color w:val="auto"/>
        </w:rPr>
      </w:pPr>
    </w:p>
    <w:p>
      <w:pPr>
        <w:spacing w:after="0" w:line="251" w:lineRule="exact"/>
        <w:rPr>
          <w:rFonts w:ascii="Times New Roman" w:cs="Times New Roman" w:eastAsia="Times New Roman" w:hAnsi="Times New Roman"/>
          <w:sz w:val="16"/>
          <w:szCs w:val="16"/>
          <w:color w:val="auto"/>
        </w:rPr>
      </w:pPr>
    </w:p>
    <w:p>
      <w:pPr>
        <w:ind w:left="4200" w:hanging="241"/>
        <w:spacing w:after="0" w:line="258" w:lineRule="auto"/>
        <w:tabs>
          <w:tab w:leader="none" w:pos="42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OptiView Transparent Dressing with HydroCore Technology</w:t>
      </w:r>
      <w:r>
        <w:rPr>
          <w:rFonts w:ascii="Times New Roman" w:cs="Times New Roman" w:eastAsia="Times New Roman" w:hAnsi="Times New Roman"/>
          <w:sz w:val="16"/>
          <w:szCs w:val="16"/>
          <w:color w:val="auto"/>
        </w:rPr>
        <w:t>: Medline launched a first-of-its-kind clear dressing designed to be used as part of a pressure injury prevention protocol in 2023. The HydroCore technology helps redistribute pressure, reduces shear forces, and manages microclimate. Its unique transparent core takes the guesswork out of skin assessments, leading to less dressing changes, longer wear times, and decreased annual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970915</wp:posOffset>
            </wp:positionH>
            <wp:positionV relativeFrom="paragraph">
              <wp:posOffset>-3193415</wp:posOffset>
            </wp:positionV>
            <wp:extent cx="1071880" cy="35509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71880" cy="355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142</w:t>
      </w:r>
    </w:p>
    <w:p>
      <w:pPr>
        <w:sectPr>
          <w:pgSz w:w="11900" w:h="16838" w:orient="portrait"/>
          <w:cols w:equalWidth="0" w:num="1">
            <w:col w:w="10420"/>
          </w:cols>
          <w:pgMar w:left="320" w:top="420" w:right="11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Value Creation for Key Stakeholders</w:t>
      </w:r>
    </w:p>
    <w:p>
      <w:pPr>
        <w:spacing w:after="0" w:line="105" w:lineRule="exact"/>
        <w:rPr>
          <w:sz w:val="20"/>
          <w:szCs w:val="20"/>
          <w:color w:val="auto"/>
        </w:rPr>
      </w:pPr>
    </w:p>
    <w:p>
      <w:pPr>
        <w:ind w:left="740" w:right="380" w:firstLine="391"/>
        <w:spacing w:after="0" w:line="281" w:lineRule="auto"/>
        <w:rPr>
          <w:sz w:val="20"/>
          <w:szCs w:val="20"/>
          <w:color w:val="auto"/>
        </w:rPr>
      </w:pPr>
      <w:r>
        <w:rPr>
          <w:rFonts w:ascii="Times New Roman" w:cs="Times New Roman" w:eastAsia="Times New Roman" w:hAnsi="Times New Roman"/>
          <w:sz w:val="16"/>
          <w:szCs w:val="16"/>
          <w:color w:val="auto"/>
        </w:rPr>
        <w:t>Our integrated business model helps us to address the needs of the market today and enables us to drive value for key constituents across the healthcare system.</w:t>
      </w:r>
    </w:p>
    <w:p>
      <w:pPr>
        <w:spacing w:after="0" w:line="14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Healthcare providers:</w:t>
      </w:r>
    </w:p>
    <w:p>
      <w:pPr>
        <w:spacing w:after="0" w:line="117" w:lineRule="exact"/>
        <w:rPr>
          <w:sz w:val="20"/>
          <w:szCs w:val="20"/>
          <w:color w:val="auto"/>
        </w:rPr>
      </w:pPr>
    </w:p>
    <w:p>
      <w:pPr>
        <w:ind w:left="1600" w:right="320" w:hanging="383"/>
        <w:spacing w:after="0" w:line="281" w:lineRule="auto"/>
        <w:tabs>
          <w:tab w:leader="none" w:pos="1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high-quality, competitively priced Medline Brand products deliver material cost savings to providers, many of whom face margin pressures.</w:t>
      </w:r>
    </w:p>
    <w:p>
      <w:pPr>
        <w:spacing w:after="0" w:line="60" w:lineRule="exact"/>
        <w:rPr>
          <w:rFonts w:ascii="Times New Roman" w:cs="Times New Roman" w:eastAsia="Times New Roman" w:hAnsi="Times New Roman"/>
          <w:sz w:val="16"/>
          <w:szCs w:val="16"/>
          <w:color w:val="auto"/>
        </w:rPr>
      </w:pPr>
    </w:p>
    <w:p>
      <w:pPr>
        <w:ind w:left="1600" w:right="520" w:hanging="383"/>
        <w:spacing w:after="0" w:line="281" w:lineRule="auto"/>
        <w:tabs>
          <w:tab w:leader="none" w:pos="1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Prime Vendor model enables the cost-effective management of products, inventory, distribution, and delivery across sites of care.</w:t>
      </w:r>
    </w:p>
    <w:p>
      <w:pPr>
        <w:spacing w:after="0" w:line="115" w:lineRule="exact"/>
        <w:rPr>
          <w:rFonts w:ascii="Times New Roman" w:cs="Times New Roman" w:eastAsia="Times New Roman" w:hAnsi="Times New Roman"/>
          <w:sz w:val="16"/>
          <w:szCs w:val="16"/>
          <w:color w:val="auto"/>
        </w:rPr>
      </w:pPr>
    </w:p>
    <w:p>
      <w:pPr>
        <w:ind w:left="1600" w:right="20" w:hanging="383"/>
        <w:spacing w:after="0" w:line="257" w:lineRule="auto"/>
        <w:tabs>
          <w:tab w:leader="none" w:pos="160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16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Patients:</w:t>
      </w:r>
    </w:p>
    <w:p>
      <w:pPr>
        <w:spacing w:after="0" w:line="117" w:lineRule="exact"/>
        <w:rPr>
          <w:sz w:val="20"/>
          <w:szCs w:val="20"/>
          <w:color w:val="auto"/>
        </w:rPr>
      </w:pPr>
    </w:p>
    <w:p>
      <w:pPr>
        <w:ind w:left="1600" w:right="300" w:hanging="383"/>
        <w:spacing w:after="0" w:line="316" w:lineRule="auto"/>
        <w:tabs>
          <w:tab w:leader="none" w:pos="160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36" w:lineRule="exact"/>
        <w:rPr>
          <w:rFonts w:ascii="Times New Roman" w:cs="Times New Roman" w:eastAsia="Times New Roman" w:hAnsi="Times New Roman"/>
          <w:sz w:val="15"/>
          <w:szCs w:val="15"/>
          <w:color w:val="auto"/>
        </w:rPr>
      </w:pPr>
    </w:p>
    <w:p>
      <w:pPr>
        <w:ind w:left="1600" w:right="200" w:hanging="383"/>
        <w:spacing w:after="0" w:line="281" w:lineRule="auto"/>
        <w:tabs>
          <w:tab w:leader="none" w:pos="16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educational materials and at-home care kits help patients take an active role in their own care, which improves health outcomes and patient satisfaction.</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focus on thoughtfully designed products and services creates positive patient experiences.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direct-to-consumer channel increases access to our high-quality, cost-effective products.</w:t>
      </w:r>
    </w:p>
    <w:p>
      <w:pPr>
        <w:spacing w:after="0" w:line="19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Product suppliers:</w:t>
      </w:r>
    </w:p>
    <w:p>
      <w:pPr>
        <w:spacing w:after="0" w:line="117" w:lineRule="exact"/>
        <w:rPr>
          <w:sz w:val="20"/>
          <w:szCs w:val="20"/>
          <w:color w:val="auto"/>
        </w:rPr>
      </w:pPr>
    </w:p>
    <w:p>
      <w:pPr>
        <w:ind w:left="1600" w:hanging="383"/>
        <w:spacing w:after="0"/>
        <w:tabs>
          <w:tab w:leader="none" w:pos="16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scaled platform provides third-party product suppliers with access to our commercial team and a large and diverse customer base.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service levels ensure that suppliers’ products are delivered reliably and on time.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presence across the healthcare continuum provides opportunities to serve every site of care.</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143</w:t>
      </w:r>
    </w:p>
    <w:p>
      <w:pPr>
        <w:sectPr>
          <w:pgSz w:w="11900" w:h="16838" w:orient="portrait"/>
          <w:cols w:equalWidth="0" w:num="1">
            <w:col w:w="10480"/>
          </w:cols>
          <w:pgMar w:left="320" w:top="421" w:right="10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Why We Win</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ability to earn and retain customers is driven by a number of specific qualities that are critical to our success.</w:t>
      </w:r>
    </w:p>
    <w:p>
      <w:pPr>
        <w:spacing w:after="0" w:line="19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Customer-Focused Culture. </w:t>
      </w:r>
      <w:r>
        <w:rPr>
          <w:rFonts w:ascii="Times New Roman" w:cs="Times New Roman" w:eastAsia="Times New Roman" w:hAnsi="Times New Roman"/>
          <w:sz w:val="16"/>
          <w:szCs w:val="16"/>
          <w:color w:val="auto"/>
        </w:rPr>
        <w:t>Customers are at the heart of what we do. Our best-in-class business model, entrepreneurial spirit, and compelling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61"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Medline Platform Advantage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We are the largest provider of med-surg and supply chain solutions serving all points of care, based on total net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sales of 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$1.5 billion in total customer signings during 2024 and approximately $2.1 billion in new customer signings for the nine months ended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128905</wp:posOffset>
            </wp:positionV>
            <wp:extent cx="4273550" cy="20986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73550" cy="209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40" w:right="40" w:firstLine="391"/>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Medline Brand Product Portfolio. </w:t>
      </w:r>
      <w:r>
        <w:rPr>
          <w:rFonts w:ascii="Times New Roman" w:cs="Times New Roman" w:eastAsia="Times New Roman" w:hAnsi="Times New Roman"/>
          <w:sz w:val="16"/>
          <w:szCs w:val="16"/>
          <w:color w:val="auto"/>
        </w:rPr>
        <w:t>We offer approximately 190,000 Medline Brand products across our product categories. We have a track</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record of successfully bringing new products to market, with more than 2,100 granted patents and more than 400 FDA 510(k) clearances.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144</w:t>
      </w:r>
    </w:p>
    <w:p>
      <w:pPr>
        <w:sectPr>
          <w:pgSz w:w="11900" w:h="16838" w:orient="portrait"/>
          <w:cols w:equalWidth="0" w:num="1">
            <w:col w:w="10440"/>
          </w:cols>
          <w:pgMar w:left="320" w:top="420" w:right="11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Unrivaled Distribution Capabilities. </w:t>
      </w:r>
      <w:r>
        <w:rPr>
          <w:rFonts w:ascii="Times New Roman" w:cs="Times New Roman" w:eastAsia="Times New Roman" w:hAnsi="Times New Roman"/>
          <w:sz w:val="16"/>
          <w:szCs w:val="16"/>
          <w:color w:val="auto"/>
        </w:rPr>
        <w:t>Medline’s breadth and footprint today is the result of decades of significant investments, including $1.6</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61" w:lineRule="exact"/>
        <w:rPr>
          <w:sz w:val="20"/>
          <w:szCs w:val="20"/>
          <w:color w:val="auto"/>
        </w:rPr>
      </w:pPr>
    </w:p>
    <w:p>
      <w:pPr>
        <w:ind w:left="740" w:firstLine="39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Our Clinical Solutions. </w:t>
      </w:r>
      <w:r>
        <w:rPr>
          <w:rFonts w:ascii="Times New Roman" w:cs="Times New Roman" w:eastAsia="Times New Roman" w:hAnsi="Times New Roman"/>
          <w:sz w:val="16"/>
          <w:szCs w:val="16"/>
          <w:color w:val="auto"/>
        </w:rPr>
        <w:t>Medline’s clinical solutions empower frontline teams with best practice guidance, education and training, and a system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55"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Increasing Returns to Scale. </w:t>
      </w:r>
      <w:r>
        <w:rPr>
          <w:rFonts w:ascii="Times New Roman" w:cs="Times New Roman" w:eastAsia="Times New Roman" w:hAnsi="Times New Roman"/>
          <w:sz w:val="16"/>
          <w:szCs w:val="16"/>
          <w:color w:val="auto"/>
        </w:rPr>
        <w:t>As we grow, Medline is uniquely positioned to benefit from our vertically integrated model and over 1,300 active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05" w:lineRule="exact"/>
        <w:rPr>
          <w:sz w:val="20"/>
          <w:szCs w:val="20"/>
          <w:color w:val="auto"/>
        </w:rPr>
      </w:pPr>
    </w:p>
    <w:p>
      <w:pPr>
        <w:ind w:left="740" w:right="320" w:firstLine="391"/>
        <w:spacing w:after="0" w:line="316" w:lineRule="auto"/>
        <w:rPr>
          <w:sz w:val="20"/>
          <w:szCs w:val="20"/>
          <w:color w:val="auto"/>
        </w:rPr>
      </w:pPr>
      <w:r>
        <w:rPr>
          <w:rFonts w:ascii="Times New Roman" w:cs="Times New Roman" w:eastAsia="Times New Roman" w:hAnsi="Times New Roman"/>
          <w:sz w:val="15"/>
          <w:szCs w:val="15"/>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u w:val="single" w:color="auto"/>
          <w:color w:val="auto"/>
        </w:rPr>
        <w:t>Net Sales Growth</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jc w:val="both"/>
        <w:ind w:left="1600" w:right="140" w:hanging="383"/>
        <w:spacing w:after="0" w:line="261" w:lineRule="auto"/>
        <w:tabs>
          <w:tab w:leader="none" w:pos="1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with our Prime Vendor Customers</w:t>
      </w:r>
      <w:r>
        <w:rPr>
          <w:rFonts w:ascii="Times New Roman" w:cs="Times New Roman" w:eastAsia="Times New Roman" w:hAnsi="Times New Roman"/>
          <w:sz w:val="16"/>
          <w:szCs w:val="16"/>
          <w:color w:val="auto"/>
        </w:rPr>
        <w:t>: We have achieved a greater than 98% average Prime Vendor retention rate over the past five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73" w:lineRule="exact"/>
        <w:rPr>
          <w:rFonts w:ascii="Times New Roman" w:cs="Times New Roman" w:eastAsia="Times New Roman" w:hAnsi="Times New Roman"/>
          <w:sz w:val="16"/>
          <w:szCs w:val="16"/>
          <w:color w:val="auto"/>
        </w:rPr>
      </w:pPr>
    </w:p>
    <w:p>
      <w:pPr>
        <w:ind w:left="1600" w:right="460" w:hanging="383"/>
        <w:spacing w:after="0" w:line="261" w:lineRule="auto"/>
        <w:tabs>
          <w:tab w:leader="none" w:pos="1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Winning New Prime Vendor Customers</w:t>
      </w:r>
      <w:r>
        <w:rPr>
          <w:rFonts w:ascii="Times New Roman" w:cs="Times New Roman" w:eastAsia="Times New Roman" w:hAnsi="Times New Roman"/>
          <w:sz w:val="16"/>
          <w:szCs w:val="16"/>
          <w:color w:val="auto"/>
        </w:rPr>
        <w:t>: We continue to earn new Prime Vendor customers, which has been a key driver of sustained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73" w:lineRule="exact"/>
        <w:rPr>
          <w:rFonts w:ascii="Times New Roman" w:cs="Times New Roman" w:eastAsia="Times New Roman" w:hAnsi="Times New Roman"/>
          <w:sz w:val="16"/>
          <w:szCs w:val="16"/>
          <w:color w:val="auto"/>
        </w:rPr>
      </w:pPr>
    </w:p>
    <w:p>
      <w:pPr>
        <w:ind w:left="1600" w:right="60" w:hanging="383"/>
        <w:spacing w:after="0" w:line="267" w:lineRule="auto"/>
        <w:tabs>
          <w:tab w:leader="none" w:pos="1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Growing Medline Brand with Non-Prime Vendor Customers</w:t>
      </w:r>
      <w:r>
        <w:rPr>
          <w:rFonts w:ascii="Times New Roman" w:cs="Times New Roman" w:eastAsia="Times New Roman" w:hAnsi="Times New Roman"/>
          <w:sz w:val="16"/>
          <w:szCs w:val="16"/>
          <w:color w:val="auto"/>
        </w:rPr>
        <w:t>: An increasing number of non-Prime Vendor customers are choosing Medline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Brand. We will continue to provide high-quality, cost-effective products that meet their med-surg needs and accelerate our expansion within these customers.</w:t>
      </w:r>
    </w:p>
    <w:p>
      <w:pPr>
        <w:spacing w:after="0" w:line="68" w:lineRule="exact"/>
        <w:rPr>
          <w:rFonts w:ascii="Times New Roman" w:cs="Times New Roman" w:eastAsia="Times New Roman" w:hAnsi="Times New Roman"/>
          <w:sz w:val="16"/>
          <w:szCs w:val="16"/>
          <w:color w:val="auto"/>
        </w:rPr>
      </w:pPr>
    </w:p>
    <w:p>
      <w:pPr>
        <w:jc w:val="both"/>
        <w:ind w:left="1600" w:right="120" w:hanging="383"/>
        <w:spacing w:after="0" w:line="267" w:lineRule="auto"/>
        <w:tabs>
          <w:tab w:leader="none" w:pos="1600"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Continuous Product Innovation</w:t>
      </w:r>
      <w:r>
        <w:rPr>
          <w:rFonts w:ascii="Times New Roman" w:cs="Times New Roman" w:eastAsia="Times New Roman" w:hAnsi="Times New Roman"/>
          <w:sz w:val="16"/>
          <w:szCs w:val="16"/>
          <w:color w:val="auto"/>
        </w:rPr>
        <w:t>: Innovation is embedded within our product teams, who leverage our salesforce, customer feedback,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145</w:t>
      </w:r>
    </w:p>
    <w:p>
      <w:pPr>
        <w:sectPr>
          <w:pgSz w:w="11900" w:h="16838" w:orient="portrait"/>
          <w:cols w:equalWidth="0" w:num="1">
            <w:col w:w="10500"/>
          </w:cols>
          <w:pgMar w:left="320" w:top="420" w:right="10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1600" w:right="260" w:hanging="383"/>
        <w:spacing w:after="0" w:line="261" w:lineRule="auto"/>
        <w:tabs>
          <w:tab w:leader="none" w:pos="16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Channel Expansion</w:t>
      </w:r>
      <w:r>
        <w:rPr>
          <w:rFonts w:ascii="Times New Roman" w:cs="Times New Roman" w:eastAsia="Times New Roman" w:hAnsi="Times New Roman"/>
          <w:sz w:val="16"/>
          <w:szCs w:val="16"/>
          <w:color w:val="auto"/>
        </w:rPr>
        <w:t>: We will continue to evaluate new opportunities to expand our TAM and the markets we serve. We currently serve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healthcare providers anywhere a patient, resident, or consumer needs access to medical products. In 2016, we entered the acute care laboratory and diagnostic channel, which we believe is ripe for disruption. Most recently, we expanded into animal health in the United States and dental in Canada. We will continue to evaluate and selectively expand into new channels as opportunities arise.</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International Expansion</w:t>
      </w:r>
      <w:r>
        <w:rPr>
          <w:rFonts w:ascii="Times New Roman" w:cs="Times New Roman" w:eastAsia="Times New Roman" w:hAnsi="Times New Roman"/>
          <w:sz w:val="16"/>
          <w:szCs w:val="16"/>
          <w:color w:val="auto"/>
        </w:rPr>
        <w:t>: Our value proposition can help customers across markets internationally, and we expect to tap into the</w:t>
      </w:r>
    </w:p>
    <w:p>
      <w:pPr>
        <w:spacing w:after="0" w:line="26" w:lineRule="exact"/>
        <w:rPr>
          <w:rFonts w:ascii="Times New Roman" w:cs="Times New Roman" w:eastAsia="Times New Roman" w:hAnsi="Times New Roman"/>
          <w:sz w:val="16"/>
          <w:szCs w:val="16"/>
          <w:color w:val="auto"/>
        </w:rPr>
      </w:pPr>
    </w:p>
    <w:p>
      <w:pPr>
        <w:ind w:left="1600" w:right="120"/>
        <w:spacing w:after="0" w:line="25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79" w:lineRule="exact"/>
        <w:rPr>
          <w:rFonts w:ascii="Times New Roman" w:cs="Times New Roman" w:eastAsia="Times New Roman" w:hAnsi="Times New Roman"/>
          <w:sz w:val="16"/>
          <w:szCs w:val="16"/>
          <w:color w:val="auto"/>
        </w:rPr>
      </w:pPr>
    </w:p>
    <w:p>
      <w:pPr>
        <w:ind w:left="1600" w:hanging="383"/>
        <w:spacing w:after="0" w:line="256" w:lineRule="auto"/>
        <w:tabs>
          <w:tab w:leader="none" w:pos="160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M&amp;A Execution</w:t>
      </w:r>
      <w:r>
        <w:rPr>
          <w:rFonts w:ascii="Times New Roman" w:cs="Times New Roman" w:eastAsia="Times New Roman" w:hAnsi="Times New Roman"/>
          <w:sz w:val="16"/>
          <w:szCs w:val="16"/>
          <w:color w:val="auto"/>
        </w:rPr>
        <w:t>: Our disciplined, global M&amp;A strategy is focused on pursuing adjacent products and services, as well as expanding into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1275080</wp:posOffset>
            </wp:positionH>
            <wp:positionV relativeFrom="paragraph">
              <wp:posOffset>130810</wp:posOffset>
            </wp:positionV>
            <wp:extent cx="4592955" cy="904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92955" cy="904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u w:val="single" w:color="auto"/>
          <w:color w:val="auto"/>
        </w:rPr>
        <w:t>Earnings Growth</w:t>
      </w:r>
      <w:r>
        <w:rPr>
          <w:rFonts w:ascii="Times New Roman" w:cs="Times New Roman" w:eastAsia="Times New Roman" w:hAnsi="Times New Roman"/>
          <w:sz w:val="16"/>
          <w:szCs w:val="16"/>
          <w:color w:val="auto"/>
        </w:rPr>
        <w:t>:</w:t>
      </w:r>
    </w:p>
    <w:p>
      <w:pPr>
        <w:spacing w:after="0" w:line="113" w:lineRule="exact"/>
        <w:rPr>
          <w:sz w:val="20"/>
          <w:szCs w:val="20"/>
          <w:color w:val="auto"/>
        </w:rPr>
      </w:pPr>
    </w:p>
    <w:p>
      <w:pPr>
        <w:ind w:left="1600" w:right="20" w:hanging="383"/>
        <w:spacing w:after="0" w:line="252" w:lineRule="auto"/>
        <w:tabs>
          <w:tab w:leader="none" w:pos="16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Medline Brand Conversion Opportunity</w:t>
      </w:r>
      <w:r>
        <w:rPr>
          <w:rFonts w:ascii="Times New Roman" w:cs="Times New Roman" w:eastAsia="Times New Roman" w:hAnsi="Times New Roman"/>
          <w:sz w:val="16"/>
          <w:szCs w:val="16"/>
          <w:color w:val="auto"/>
        </w:rPr>
        <w:t>: To help our customers achieve cost savings, we provide them with Medline Brand products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1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146</w:t>
      </w:r>
    </w:p>
    <w:p>
      <w:pPr>
        <w:sectPr>
          <w:pgSz w:w="11900" w:h="16838" w:orient="portrait"/>
          <w:cols w:equalWidth="0" w:num="1">
            <w:col w:w="10500"/>
          </w:cols>
          <w:pgMar w:left="320" w:top="420" w:right="10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both"/>
        <w:ind w:left="1600" w:right="360" w:hanging="383"/>
        <w:spacing w:after="0" w:line="261" w:lineRule="auto"/>
        <w:tabs>
          <w:tab w:leader="none" w:pos="160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Operational Execution</w:t>
      </w:r>
      <w:r>
        <w:rPr>
          <w:rFonts w:ascii="Times New Roman" w:cs="Times New Roman" w:eastAsia="Times New Roman" w:hAnsi="Times New Roman"/>
          <w:sz w:val="16"/>
          <w:szCs w:val="16"/>
          <w:color w:val="auto"/>
        </w:rPr>
        <w:t>: To strengthen our cost advantage on Medline Brand products, we continuously improve our procurement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Our Culture</w:t>
      </w:r>
    </w:p>
    <w:p>
      <w:pPr>
        <w:spacing w:after="0" w:line="105"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culture is guided by our six core values:</w:t>
      </w:r>
    </w:p>
    <w:p>
      <w:pPr>
        <w:spacing w:after="0" w:line="115" w:lineRule="exact"/>
        <w:rPr>
          <w:sz w:val="20"/>
          <w:szCs w:val="20"/>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 relentless customer focus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demonstrate agility and flexibility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gritty problem solvers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drive to succeed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practice purposeful candor</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believe relationships matter</w:t>
      </w:r>
    </w:p>
    <w:p>
      <w:pPr>
        <w:spacing w:after="0" w:line="199" w:lineRule="exact"/>
        <w:rPr>
          <w:sz w:val="20"/>
          <w:szCs w:val="20"/>
          <w:color w:val="auto"/>
        </w:rPr>
      </w:pPr>
    </w:p>
    <w:p>
      <w:pPr>
        <w:ind w:left="740" w:right="60" w:firstLine="391"/>
        <w:spacing w:after="0" w:line="281" w:lineRule="auto"/>
        <w:rPr>
          <w:sz w:val="20"/>
          <w:szCs w:val="20"/>
          <w:color w:val="auto"/>
        </w:rPr>
      </w:pPr>
      <w:r>
        <w:rPr>
          <w:rFonts w:ascii="Times New Roman" w:cs="Times New Roman" w:eastAsia="Times New Roman" w:hAnsi="Times New Roman"/>
          <w:sz w:val="16"/>
          <w:szCs w:val="16"/>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44" w:lineRule="exact"/>
        <w:rPr>
          <w:sz w:val="20"/>
          <w:szCs w:val="20"/>
          <w:color w:val="auto"/>
        </w:rPr>
      </w:pPr>
    </w:p>
    <w:p>
      <w:pPr>
        <w:ind w:left="740" w:right="280" w:firstLine="391"/>
        <w:spacing w:after="0" w:line="265" w:lineRule="auto"/>
        <w:rPr>
          <w:sz w:val="20"/>
          <w:szCs w:val="20"/>
          <w:color w:val="auto"/>
        </w:rPr>
      </w:pPr>
      <w:r>
        <w:rPr>
          <w:rFonts w:ascii="Times New Roman" w:cs="Times New Roman" w:eastAsia="Times New Roman" w:hAnsi="Times New Roman"/>
          <w:sz w:val="16"/>
          <w:szCs w:val="16"/>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73" w:lineRule="exact"/>
        <w:rPr>
          <w:sz w:val="20"/>
          <w:szCs w:val="20"/>
          <w:color w:val="auto"/>
        </w:rPr>
      </w:pPr>
    </w:p>
    <w:p>
      <w:pPr>
        <w:ind w:left="1600" w:hanging="383"/>
        <w:spacing w:after="0"/>
        <w:tabs>
          <w:tab w:leader="none" w:pos="16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Chicago Tribune: Best Places to Work (14th year recognized)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Modern Healthcare: Best in Business (supply chain category)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Becker’s Healthcare: Top 150 Places to Work in Healthcare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Forbes: America’s Best Large Employers, America’s Best Employers for Women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Newsweek: America’s Greatest Workplaces for Women, America’s Greatest Workplaces for Diversity</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05"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57"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147</w:t>
      </w:r>
    </w:p>
    <w:p>
      <w:pPr>
        <w:sectPr>
          <w:pgSz w:w="11900" w:h="16838" w:orient="portrait"/>
          <w:cols w:equalWidth="0" w:num="1">
            <w:col w:w="10480"/>
          </w:cols>
          <w:pgMar w:left="320" w:top="420" w:right="10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Production and Raw Materials</w:t>
      </w:r>
    </w:p>
    <w:p>
      <w:pPr>
        <w:spacing w:after="0" w:line="105"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We manufacture approximately one-third of our Medline Brand products through our 33 manufacturing facilities and purchase many of the components and raw materials used in manufacturing our products from numerous suppliers. For the vast majority of the other two-thirds of our Medline Brand products, we work closely with our network of more than 500 global partners, including approximately 300 exclusive partnerships, across approximately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Employees and Human Capital</w:t>
      </w:r>
    </w:p>
    <w:p>
      <w:pPr>
        <w:spacing w:after="0" w:line="105"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At Medline, our relentless focus on the customer drives our human capital strategy, which revolves around attracting and retaining the best employees to provide the best products and services for our customers. We employ over 43,000 employees worldwide, with over 24,000 located in the United States, as of December 31, 2024. The largest non-U.S. employee populations are in Mexico, India, Canada, France, Japan, China, Australia, Slovakia, Dominican Republic,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67" w:lineRule="exact"/>
        <w:rPr>
          <w:sz w:val="20"/>
          <w:szCs w:val="20"/>
          <w:color w:val="auto"/>
        </w:rPr>
      </w:pPr>
    </w:p>
    <w:p>
      <w:pPr>
        <w:ind w:left="740" w:right="280" w:firstLine="391"/>
        <w:spacing w:after="0" w:line="265" w:lineRule="auto"/>
        <w:rPr>
          <w:sz w:val="20"/>
          <w:szCs w:val="20"/>
          <w:color w:val="auto"/>
        </w:rPr>
      </w:pPr>
      <w:r>
        <w:rPr>
          <w:rFonts w:ascii="Times New Roman" w:cs="Times New Roman" w:eastAsia="Times New Roman" w:hAnsi="Times New Roman"/>
          <w:sz w:val="16"/>
          <w:szCs w:val="16"/>
          <w:color w:val="auto"/>
        </w:rPr>
        <w:t>We have developed a strong foundation that drives our recruitment, retention and development efforts. 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71" w:lineRule="exact"/>
        <w:rPr>
          <w:sz w:val="20"/>
          <w:szCs w:val="20"/>
          <w:color w:val="auto"/>
        </w:rPr>
      </w:pPr>
    </w:p>
    <w:p>
      <w:pPr>
        <w:ind w:left="1600" w:hanging="383"/>
        <w:spacing w:after="0" w:line="273" w:lineRule="auto"/>
        <w:tabs>
          <w:tab w:leader="none" w:pos="160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Developing a strong, collaborative workplace community. </w:t>
      </w:r>
      <w:r>
        <w:rPr>
          <w:rFonts w:ascii="Times New Roman" w:cs="Times New Roman" w:eastAsia="Times New Roman" w:hAnsi="Times New Roman"/>
          <w:sz w:val="15"/>
          <w:szCs w:val="15"/>
          <w:color w:val="auto"/>
        </w:rPr>
        <w:t>We believe our employees’ ability to communicate and cooperate effectively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across functional and departmental teams positively impacts our performance. We engage in various listening strategies, including our engagement survey, focus groups, anonymous employee feedback platform, increased attention to onboarding and offboarding 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 respondents indicated that they would recommend Medline as a good place to work and (ii) 88% of respondents indicated that they believe Medline is committed to exceeding its customers’ expectations.</w:t>
      </w:r>
    </w:p>
    <w:p>
      <w:pPr>
        <w:spacing w:after="0" w:line="66" w:lineRule="exact"/>
        <w:rPr>
          <w:rFonts w:ascii="Times New Roman" w:cs="Times New Roman" w:eastAsia="Times New Roman" w:hAnsi="Times New Roman"/>
          <w:sz w:val="15"/>
          <w:szCs w:val="15"/>
          <w:color w:val="auto"/>
        </w:rPr>
      </w:pPr>
    </w:p>
    <w:p>
      <w:pPr>
        <w:ind w:left="1600" w:right="180" w:hanging="383"/>
        <w:spacing w:after="0" w:line="284" w:lineRule="auto"/>
        <w:tabs>
          <w:tab w:leader="none" w:pos="160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Attracting top talent. </w:t>
      </w:r>
      <w:r>
        <w:rPr>
          <w:rFonts w:ascii="Times New Roman" w:cs="Times New Roman" w:eastAsia="Times New Roman" w:hAnsi="Times New Roman"/>
          <w:sz w:val="16"/>
          <w:szCs w:val="16"/>
          <w:color w:val="auto"/>
        </w:rPr>
        <w:t>Our dedicated talent acquisition team strives to efficiently hire employees with capabilities that meet the specific</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technical needs of our divisions. Through continuous improvement of</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148</w:t>
      </w:r>
    </w:p>
    <w:p>
      <w:pPr>
        <w:sectPr>
          <w:pgSz w:w="11900" w:h="16838" w:orient="portrait"/>
          <w:cols w:equalWidth="0" w:num="1">
            <w:col w:w="10460"/>
          </w:cols>
          <w:pgMar w:left="320" w:top="420" w:right="11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right="200"/>
        <w:spacing w:after="0" w:line="260" w:lineRule="auto"/>
        <w:rPr>
          <w:sz w:val="20"/>
          <w:szCs w:val="20"/>
          <w:color w:val="auto"/>
        </w:rPr>
      </w:pPr>
      <w:r>
        <w:rPr>
          <w:rFonts w:ascii="Times New Roman" w:cs="Times New Roman" w:eastAsia="Times New Roman" w:hAnsi="Times New Roman"/>
          <w:sz w:val="16"/>
          <w:szCs w:val="16"/>
          <w:color w:val="auto"/>
        </w:rPr>
        <w:t>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75" w:lineRule="exact"/>
        <w:rPr>
          <w:sz w:val="20"/>
          <w:szCs w:val="20"/>
          <w:color w:val="auto"/>
        </w:rPr>
      </w:pPr>
    </w:p>
    <w:p>
      <w:pPr>
        <w:ind w:left="1600" w:right="40" w:hanging="383"/>
        <w:spacing w:after="0" w:line="253" w:lineRule="auto"/>
        <w:tabs>
          <w:tab w:leader="none" w:pos="16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Developing our employees and providing earlier advancement opportunities. </w:t>
      </w:r>
      <w:r>
        <w:rPr>
          <w:rFonts w:ascii="Times New Roman" w:cs="Times New Roman" w:eastAsia="Times New Roman" w:hAnsi="Times New Roman"/>
          <w:sz w:val="16"/>
          <w:szCs w:val="16"/>
          <w:color w:val="auto"/>
        </w:rPr>
        <w:t>Medline seeks to identify talent early in peoples’ careers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six weeks of training and education per year, resulting in a deep understanding of selling strategy, customer expectations, products,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81" w:lineRule="exact"/>
        <w:rPr>
          <w:rFonts w:ascii="Times New Roman" w:cs="Times New Roman" w:eastAsia="Times New Roman" w:hAnsi="Times New Roman"/>
          <w:sz w:val="16"/>
          <w:szCs w:val="16"/>
          <w:color w:val="auto"/>
        </w:rPr>
      </w:pPr>
    </w:p>
    <w:p>
      <w:pPr>
        <w:ind w:left="1600" w:right="80" w:hanging="383"/>
        <w:spacing w:after="0" w:line="256" w:lineRule="auto"/>
        <w:tabs>
          <w:tab w:leader="none" w:pos="16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Promoting employee and community well-being. </w:t>
      </w:r>
      <w:r>
        <w:rPr>
          <w:rFonts w:ascii="Times New Roman" w:cs="Times New Roman" w:eastAsia="Times New Roman" w:hAnsi="Times New Roman"/>
          <w:sz w:val="16"/>
          <w:szCs w:val="16"/>
          <w:color w:val="auto"/>
        </w:rPr>
        <w:t>We encourage physical, emotional and financial fitness and offer programs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benefits to help employees lead healthier lives overall. Among other programs, Medline provides access to an employee assistance plan in 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over $1.2 million in charitable donations in the United States alone during the year ended December 31, 2024.</w:t>
      </w:r>
    </w:p>
    <w:p>
      <w:pPr>
        <w:spacing w:after="0" w:line="79" w:lineRule="exact"/>
        <w:rPr>
          <w:rFonts w:ascii="Times New Roman" w:cs="Times New Roman" w:eastAsia="Times New Roman" w:hAnsi="Times New Roman"/>
          <w:sz w:val="16"/>
          <w:szCs w:val="16"/>
          <w:color w:val="auto"/>
        </w:rPr>
      </w:pPr>
    </w:p>
    <w:p>
      <w:pPr>
        <w:ind w:left="1600" w:right="40" w:hanging="383"/>
        <w:spacing w:after="0" w:line="284" w:lineRule="auto"/>
        <w:tabs>
          <w:tab w:leader="none" w:pos="1600"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Supporting employee health and safety. </w:t>
      </w:r>
      <w:r>
        <w:rPr>
          <w:rFonts w:ascii="Times New Roman" w:cs="Times New Roman" w:eastAsia="Times New Roman" w:hAnsi="Times New Roman"/>
          <w:sz w:val="16"/>
          <w:szCs w:val="16"/>
          <w:color w:val="auto"/>
        </w:rPr>
        <w:t>In addition to offering competitive health and well-being programs and other benefits to eligible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employees, we are committed to providing a safe and secure work environment for all employees.</w:t>
      </w:r>
    </w:p>
    <w:p>
      <w:pPr>
        <w:spacing w:after="0" w:line="2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05"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We rely upon patents, trademarks, copyrights, trade secrets and other intellectual property rights to maintain and improve our competitive position. We have a large portfolio of intellectual property, including more than 2,100 granted patents as well as trademark registrations protecting our notable brands, including Medline, Curad, Microtek, Hudson, and Proxima.</w:t>
      </w:r>
    </w:p>
    <w:p>
      <w:pPr>
        <w:spacing w:after="0" w:line="157"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2,100 granted patents to be material to our business. However, no single patent or group of related patents is material to our business as a whole or any segment of our business.</w:t>
      </w:r>
    </w:p>
    <w:p>
      <w:pPr>
        <w:spacing w:after="0" w:line="161"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0500"/>
          </w:cols>
          <w:pgMar w:left="320" w:top="421" w:right="10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subject to litigation brought by third parties claiming infringement, misappropriation, or other violation by us of their intellectual property rights.”</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Government Regulation</w:t>
      </w:r>
    </w:p>
    <w:p>
      <w:pPr>
        <w:spacing w:after="0" w:line="105"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use, expiration,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178"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request the cessation of distribution and shipments of certain products due to regulatory, safety, or other issues, seize or order the recall of our products, issue safety, quality, or other communications to the public or healthcare providers, enforce laws related to marketing, including promotion of off-label uses of products, and impose injunctions and significant criminal, civil, and administrative sanctions for violations of laws and regulations. Any adverse regulatory or other action, including any adverse press releases or other communications from regulators, may impact our business practices and operations, including by limiting our ability to effectively market, ship,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Government Regulation of Medical Devices</w:t>
      </w:r>
    </w:p>
    <w:p>
      <w:pPr>
        <w:spacing w:after="0" w:line="107"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150</w:t>
      </w:r>
    </w:p>
    <w:p>
      <w:pPr>
        <w:sectPr>
          <w:pgSz w:w="11900" w:h="16838" w:orient="portrait"/>
          <w:cols w:equalWidth="0" w:num="1">
            <w:col w:w="10440"/>
          </w:cols>
          <w:pgMar w:left="320" w:top="421" w:right="11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or other action, including any adverse press releases or other communications from regulators, depending on its magnitude, may limit our ability to effectively market, ship, and sell our products, limit our ability to obtain future premarket authorizations, or result in a substantial modification to our business practices and operations.</w:t>
      </w:r>
    </w:p>
    <w:p>
      <w:pPr>
        <w:spacing w:after="0" w:line="2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FDA Premarket Clearance and Approval Requirements</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68" w:lineRule="exact"/>
        <w:rPr>
          <w:sz w:val="20"/>
          <w:szCs w:val="20"/>
          <w:color w:val="auto"/>
        </w:rPr>
      </w:pPr>
    </w:p>
    <w:p>
      <w:pPr>
        <w:ind w:left="740" w:right="160" w:firstLine="391"/>
        <w:spacing w:after="0" w:line="255" w:lineRule="auto"/>
        <w:rPr>
          <w:sz w:val="20"/>
          <w:szCs w:val="20"/>
          <w:color w:val="auto"/>
        </w:rPr>
      </w:pPr>
      <w:r>
        <w:rPr>
          <w:rFonts w:ascii="Times New Roman" w:cs="Times New Roman" w:eastAsia="Times New Roman" w:hAnsi="Times New Roman"/>
          <w:sz w:val="16"/>
          <w:szCs w:val="16"/>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pacing w:after="0" w:line="2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510(k) Clearance Process</w:t>
      </w:r>
    </w:p>
    <w:p>
      <w:pPr>
        <w:spacing w:after="0" w:line="105"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151</w:t>
      </w:r>
    </w:p>
    <w:p>
      <w:pPr>
        <w:sectPr>
          <w:pgSz w:w="11900" w:h="16838" w:orient="portrait"/>
          <w:cols w:equalWidth="0" w:num="1">
            <w:col w:w="10480"/>
          </w:cols>
          <w:pgMar w:left="320" w:top="421" w:right="10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4" w:lineRule="auto"/>
        <w:rPr>
          <w:sz w:val="20"/>
          <w:szCs w:val="20"/>
          <w:color w:val="auto"/>
        </w:rPr>
      </w:pPr>
      <w:r>
        <w:rPr>
          <w:rFonts w:ascii="Times New Roman" w:cs="Times New Roman" w:eastAsia="Times New Roman" w:hAnsi="Times New Roman"/>
          <w:sz w:val="16"/>
          <w:szCs w:val="16"/>
          <w:color w:val="auto"/>
        </w:rPr>
        <w:t>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67" w:lineRule="exact"/>
        <w:rPr>
          <w:sz w:val="20"/>
          <w:szCs w:val="20"/>
          <w:color w:val="auto"/>
        </w:rPr>
      </w:pPr>
    </w:p>
    <w:p>
      <w:pPr>
        <w:ind w:left="740" w:firstLine="391"/>
        <w:spacing w:after="0" w:line="270" w:lineRule="auto"/>
        <w:rPr>
          <w:sz w:val="20"/>
          <w:szCs w:val="20"/>
          <w:color w:val="auto"/>
        </w:rPr>
      </w:pPr>
      <w:r>
        <w:rPr>
          <w:rFonts w:ascii="Times New Roman" w:cs="Times New Roman" w:eastAsia="Times New Roman" w:hAnsi="Times New Roman"/>
          <w:sz w:val="15"/>
          <w:szCs w:val="15"/>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5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Post-Marketing Requirements</w:t>
      </w:r>
    </w:p>
    <w:p>
      <w:pPr>
        <w:spacing w:after="0" w:line="10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73"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The FDA enforces these requirements by inspection and market surveillance. Domestic facility records and manufacturing processes are subject to periodic unscheduled inspections by the FDA. The FDA may also inspect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152</w:t>
      </w:r>
    </w:p>
    <w:p>
      <w:pPr>
        <w:sectPr>
          <w:pgSz w:w="11900" w:h="16838" w:orient="portrait"/>
          <w:cols w:equalWidth="0" w:num="1">
            <w:col w:w="10500"/>
          </w:cols>
          <w:pgMar w:left="320" w:top="420" w:right="10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55" w:lineRule="auto"/>
        <w:rPr>
          <w:sz w:val="20"/>
          <w:szCs w:val="20"/>
          <w:color w:val="auto"/>
        </w:rPr>
      </w:pPr>
      <w:r>
        <w:rPr>
          <w:rFonts w:ascii="Times New Roman" w:cs="Times New Roman" w:eastAsia="Times New Roman" w:hAnsi="Times New Roman"/>
          <w:sz w:val="16"/>
          <w:szCs w:val="16"/>
          <w:color w:val="auto"/>
        </w:rPr>
        <w:t>foreign facilities that export products to the United States. Failure to comply with applicable regulatory requirements may result in enforcement action or other actions by the FDA, which may include one or more of the following sanctions: adverse press releases and safety communications; requests to stop shipments;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5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International Regulation of Medical Devices</w:t>
      </w:r>
    </w:p>
    <w:p>
      <w:pPr>
        <w:spacing w:after="0" w:line="105"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EU Regulation of Medical Devices</w:t>
      </w:r>
    </w:p>
    <w:p>
      <w:pPr>
        <w:spacing w:after="0" w:line="105" w:lineRule="exact"/>
        <w:rPr>
          <w:sz w:val="20"/>
          <w:szCs w:val="20"/>
          <w:color w:val="auto"/>
        </w:rPr>
      </w:pPr>
    </w:p>
    <w:p>
      <w:pPr>
        <w:ind w:left="740" w:right="100" w:firstLine="391"/>
        <w:spacing w:after="0" w:line="256" w:lineRule="auto"/>
        <w:rPr>
          <w:sz w:val="20"/>
          <w:szCs w:val="20"/>
          <w:color w:val="auto"/>
        </w:rPr>
      </w:pPr>
      <w:r>
        <w:rPr>
          <w:rFonts w:ascii="Times New Roman" w:cs="Times New Roman" w:eastAsia="Times New Roman" w:hAnsi="Times New Roman"/>
          <w:sz w:val="16"/>
          <w:szCs w:val="16"/>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64"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The NDA Approval Process</w:t>
      </w:r>
    </w:p>
    <w:p>
      <w:pPr>
        <w:spacing w:after="0" w:line="107"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73" w:lineRule="exact"/>
        <w:rPr>
          <w:sz w:val="20"/>
          <w:szCs w:val="20"/>
          <w:color w:val="auto"/>
        </w:rPr>
      </w:pPr>
    </w:p>
    <w:p>
      <w:pPr>
        <w:ind w:left="1600" w:hanging="383"/>
        <w:spacing w:after="0"/>
        <w:tabs>
          <w:tab w:leader="none" w:pos="16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completion of preclinical studies and analytical and stability testing in accordance with applicable regulations;</w:t>
      </w:r>
    </w:p>
    <w:p>
      <w:pPr>
        <w:spacing w:after="0" w:line="115" w:lineRule="exact"/>
        <w:rPr>
          <w:rFonts w:ascii="Times New Roman" w:cs="Times New Roman" w:eastAsia="Times New Roman" w:hAnsi="Times New Roman"/>
          <w:sz w:val="16"/>
          <w:szCs w:val="16"/>
          <w:color w:val="auto"/>
        </w:rPr>
      </w:pPr>
    </w:p>
    <w:p>
      <w:pPr>
        <w:ind w:left="1600" w:right="60" w:hanging="383"/>
        <w:spacing w:after="0" w:line="281" w:lineRule="auto"/>
        <w:tabs>
          <w:tab w:leader="none" w:pos="1600"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submission to the FDA of an Investigational New Drug (“IND”) application, which must become effective before clinical trials may begin and must be updated annually and amended when certain changes are made;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500"/>
          </w:cols>
          <w:pgMar w:left="320" w:top="420" w:right="10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100" w:hanging="383"/>
        <w:spacing w:after="0" w:line="281" w:lineRule="auto"/>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by an institutional review board, or IRB, or independent ethics committee, or IEC, at each clinical trial site before each trial may be initiated;</w:t>
      </w:r>
    </w:p>
    <w:p>
      <w:pPr>
        <w:spacing w:after="0" w:line="60" w:lineRule="exact"/>
        <w:rPr>
          <w:rFonts w:ascii="Times New Roman" w:cs="Times New Roman" w:eastAsia="Times New Roman" w:hAnsi="Times New Roman"/>
          <w:sz w:val="16"/>
          <w:szCs w:val="16"/>
          <w:color w:val="auto"/>
        </w:rPr>
      </w:pPr>
    </w:p>
    <w:p>
      <w:pPr>
        <w:jc w:val="both"/>
        <w:ind w:left="1600" w:right="100" w:hanging="383"/>
        <w:spacing w:after="0" w:line="265" w:lineRule="auto"/>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preparation and submission to the FDA of an NDA;</w:t>
      </w:r>
    </w:p>
    <w:p>
      <w:pPr>
        <w:spacing w:after="0" w:line="115" w:lineRule="exact"/>
        <w:rPr>
          <w:rFonts w:ascii="Times New Roman" w:cs="Times New Roman" w:eastAsia="Times New Roman" w:hAnsi="Times New Roman"/>
          <w:sz w:val="16"/>
          <w:szCs w:val="16"/>
          <w:color w:val="auto"/>
        </w:rPr>
      </w:pPr>
    </w:p>
    <w:p>
      <w:pPr>
        <w:ind w:left="1600" w:right="340" w:hanging="383"/>
        <w:spacing w:after="0" w:line="281" w:lineRule="auto"/>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one or more FDA pre-approval inspections of the manufacturing facility or facilities where the drug will be produced to assess compliance;</w:t>
      </w:r>
    </w:p>
    <w:p>
      <w:pPr>
        <w:spacing w:after="0" w:line="60" w:lineRule="exact"/>
        <w:rPr>
          <w:rFonts w:ascii="Times New Roman" w:cs="Times New Roman" w:eastAsia="Times New Roman" w:hAnsi="Times New Roman"/>
          <w:sz w:val="16"/>
          <w:szCs w:val="16"/>
          <w:color w:val="auto"/>
        </w:rPr>
      </w:pPr>
    </w:p>
    <w:p>
      <w:pPr>
        <w:ind w:left="1600" w:right="340" w:hanging="383"/>
        <w:spacing w:after="0" w:line="281" w:lineRule="auto"/>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satisfactory completion of FDA inspection of select clinical trial sites involved in conducting pivotal studies that generated the data in support of the NDA;</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of user fees for FDA review of the NDA; and</w:t>
      </w:r>
    </w:p>
    <w:p>
      <w:pPr>
        <w:spacing w:after="0" w:line="115" w:lineRule="exact"/>
        <w:rPr>
          <w:rFonts w:ascii="Times New Roman" w:cs="Times New Roman" w:eastAsia="Times New Roman" w:hAnsi="Times New Roman"/>
          <w:sz w:val="16"/>
          <w:szCs w:val="16"/>
          <w:color w:val="auto"/>
        </w:rPr>
      </w:pPr>
    </w:p>
    <w:p>
      <w:pPr>
        <w:ind w:left="1600" w:right="400" w:hanging="383"/>
        <w:spacing w:after="0" w:line="281" w:lineRule="auto"/>
        <w:tabs>
          <w:tab w:leader="none" w:pos="160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44"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Any approvals that we may ultimately receive could be withdrawn if required post-marketing trials or analyses do not meet the FDA requirements, which could materially harm the commercial prospects for our products.</w:t>
      </w:r>
    </w:p>
    <w:p>
      <w:pPr>
        <w:spacing w:after="0" w:line="144" w:lineRule="exact"/>
        <w:rPr>
          <w:sz w:val="20"/>
          <w:szCs w:val="20"/>
          <w:color w:val="auto"/>
        </w:rPr>
      </w:pPr>
    </w:p>
    <w:p>
      <w:pPr>
        <w:ind w:left="740" w:right="140" w:firstLine="391"/>
        <w:spacing w:after="0" w:line="276" w:lineRule="auto"/>
        <w:rPr>
          <w:sz w:val="20"/>
          <w:szCs w:val="20"/>
          <w:color w:val="auto"/>
        </w:rPr>
      </w:pPr>
      <w:r>
        <w:rPr>
          <w:rFonts w:ascii="Times New Roman" w:cs="Times New Roman" w:eastAsia="Times New Roman" w:hAnsi="Times New Roman"/>
          <w:sz w:val="15"/>
          <w:szCs w:val="15"/>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Trade Regulations</w:t>
      </w:r>
    </w:p>
    <w:p>
      <w:pPr>
        <w:spacing w:after="0" w:line="107"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Anti-Boycott Laws</w:t>
      </w:r>
    </w:p>
    <w:p>
      <w:pPr>
        <w:spacing w:after="0" w:line="107" w:lineRule="exact"/>
        <w:rPr>
          <w:sz w:val="20"/>
          <w:szCs w:val="20"/>
          <w:color w:val="auto"/>
        </w:rPr>
      </w:pPr>
    </w:p>
    <w:p>
      <w:pPr>
        <w:ind w:left="740" w:right="20" w:firstLine="391"/>
        <w:spacing w:after="0" w:line="281" w:lineRule="auto"/>
        <w:rPr>
          <w:sz w:val="20"/>
          <w:szCs w:val="20"/>
          <w:color w:val="auto"/>
        </w:rPr>
      </w:pPr>
      <w:r>
        <w:rPr>
          <w:rFonts w:ascii="Times New Roman" w:cs="Times New Roman" w:eastAsia="Times New Roman" w:hAnsi="Times New Roman"/>
          <w:sz w:val="16"/>
          <w:szCs w:val="16"/>
          <w:color w:val="auto"/>
        </w:rPr>
        <w:t>Under U.S. laws and regulations, U.S. companies and their subsidiaries and affiliates are prohibited from participating or agreeing to participate in unsanctioned foreign boycotts in connection with certain business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0500"/>
          </w:cols>
          <w:pgMar w:left="320" w:top="420" w:right="10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180"/>
        <w:spacing w:after="0" w:line="265" w:lineRule="auto"/>
        <w:rPr>
          <w:sz w:val="20"/>
          <w:szCs w:val="20"/>
          <w:color w:val="auto"/>
        </w:rPr>
      </w:pPr>
      <w:r>
        <w:rPr>
          <w:rFonts w:ascii="Times New Roman" w:cs="Times New Roman" w:eastAsia="Times New Roman" w:hAnsi="Times New Roman"/>
          <w:sz w:val="16"/>
          <w:szCs w:val="16"/>
          <w:color w:val="auto"/>
        </w:rPr>
        <w:t>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Data Privacy and Security Laws and Regulations</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Our business includes the Processing of Personal Data of consumers; Medline applicants, employees, and other workforce members; our customers’ patients, plan members, and employees; our vendors’ employees; and other third parties, as well as PHI, where we continue to meet the definition of a Business Associate on behalf of our customers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TCPA, the Payment Card Industry Data Security Standard, Section 5 of the FTCA, and the GDPR, the CCPA, and similar data privacy legislation enacted or under consideration by various other U.S. states, and U.S. state data breach notification laws.</w:t>
      </w:r>
    </w:p>
    <w:p>
      <w:pPr>
        <w:spacing w:after="0" w:line="16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71"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In addition to HIPAA, we must adhere to U.S. state patient privacy laws that are not 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67" w:lineRule="exact"/>
        <w:rPr>
          <w:sz w:val="20"/>
          <w:szCs w:val="20"/>
          <w:color w:val="auto"/>
        </w:rPr>
      </w:pPr>
    </w:p>
    <w:p>
      <w:pPr>
        <w:jc w:val="both"/>
        <w:ind w:left="740" w:firstLine="391"/>
        <w:spacing w:after="0" w:line="272" w:lineRule="auto"/>
        <w:rPr>
          <w:sz w:val="20"/>
          <w:szCs w:val="20"/>
          <w:color w:val="auto"/>
        </w:rPr>
      </w:pPr>
      <w:r>
        <w:rPr>
          <w:rFonts w:ascii="Times New Roman" w:cs="Times New Roman" w:eastAsia="Times New Roman" w:hAnsi="Times New Roman"/>
          <w:sz w:val="15"/>
          <w:szCs w:val="15"/>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 w:lineRule="exact"/>
        <w:rPr>
          <w:sz w:val="20"/>
          <w:szCs w:val="20"/>
          <w:color w:val="auto"/>
        </w:rPr>
      </w:pPr>
    </w:p>
    <w:p>
      <w:pPr>
        <w:jc w:val="center"/>
        <w:ind w:left="1060"/>
        <w:spacing w:after="0" w:line="431" w:lineRule="auto"/>
        <w:rPr>
          <w:sz w:val="20"/>
          <w:szCs w:val="20"/>
          <w:color w:val="auto"/>
        </w:rPr>
      </w:pPr>
      <w:r>
        <w:rPr>
          <w:rFonts w:ascii="Times New Roman" w:cs="Times New Roman" w:eastAsia="Times New Roman" w:hAnsi="Times New Roman"/>
          <w:sz w:val="16"/>
          <w:szCs w:val="16"/>
          <w:color w:val="auto"/>
        </w:rPr>
        <w:t>Individually identifiable health information is considered sensitive data that merits stronger safeguards. For information that is not subject to HIPAA and 155</w:t>
      </w:r>
    </w:p>
    <w:p>
      <w:pPr>
        <w:sectPr>
          <w:pgSz w:w="11900" w:h="16838" w:orient="portrait"/>
          <w:cols w:equalWidth="0" w:num="1">
            <w:col w:w="10500"/>
          </w:cols>
          <w:pgMar w:left="320" w:top="421" w:right="10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40"/>
        <w:spacing w:after="0" w:line="257" w:lineRule="auto"/>
        <w:rPr>
          <w:sz w:val="20"/>
          <w:szCs w:val="20"/>
          <w:color w:val="auto"/>
        </w:rPr>
      </w:pPr>
      <w:r>
        <w:rPr>
          <w:rFonts w:ascii="Times New Roman" w:cs="Times New Roman" w:eastAsia="Times New Roman" w:hAnsi="Times New Roman"/>
          <w:sz w:val="16"/>
          <w:szCs w:val="16"/>
          <w:color w:val="auto"/>
        </w:rPr>
        <w:t>deemed to be “personal health records,” the FTC may also impose penalties for violations of the HBNR to the extent we are considered a “personal health record-related entity” or “third party service provider.” As a result, we may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6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73"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68" w:lineRule="exact"/>
        <w:rPr>
          <w:sz w:val="20"/>
          <w:szCs w:val="20"/>
          <w:color w:val="auto"/>
        </w:rPr>
      </w:pPr>
    </w:p>
    <w:p>
      <w:pPr>
        <w:ind w:left="740" w:right="200" w:firstLine="391"/>
        <w:spacing w:after="0" w:line="254" w:lineRule="auto"/>
        <w:rPr>
          <w:sz w:val="20"/>
          <w:szCs w:val="20"/>
          <w:color w:val="auto"/>
        </w:rPr>
      </w:pPr>
      <w:r>
        <w:rPr>
          <w:rFonts w:ascii="Times New Roman" w:cs="Times New Roman" w:eastAsia="Times New Roman" w:hAnsi="Times New Roman"/>
          <w:sz w:val="16"/>
          <w:szCs w:val="16"/>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67" w:lineRule="exact"/>
        <w:rPr>
          <w:sz w:val="20"/>
          <w:szCs w:val="20"/>
          <w:color w:val="auto"/>
        </w:rPr>
      </w:pPr>
    </w:p>
    <w:p>
      <w:pPr>
        <w:ind w:left="740" w:right="640" w:firstLine="391"/>
        <w:spacing w:after="0" w:line="281" w:lineRule="auto"/>
        <w:rPr>
          <w:sz w:val="20"/>
          <w:szCs w:val="20"/>
          <w:color w:val="auto"/>
        </w:rPr>
      </w:pPr>
      <w:r>
        <w:rPr>
          <w:rFonts w:ascii="Times New Roman" w:cs="Times New Roman" w:eastAsia="Times New Roman" w:hAnsi="Times New Roman"/>
          <w:sz w:val="16"/>
          <w:szCs w:val="16"/>
          <w:color w:val="auto"/>
        </w:rPr>
        <w:t>In the event of a privacy or security incident or claim that we, a service provider, or a third party with which we do business has violated applicable privacy or security laws and regulations, we may be subject to regulatory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156</w:t>
      </w:r>
    </w:p>
    <w:p>
      <w:pPr>
        <w:sectPr>
          <w:pgSz w:w="11900" w:h="16838" w:orient="portrait"/>
          <w:cols w:equalWidth="0" w:num="1">
            <w:col w:w="10480"/>
          </w:cols>
          <w:pgMar w:left="320" w:top="421" w:right="10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80"/>
        <w:spacing w:after="0" w:line="281" w:lineRule="auto"/>
        <w:rPr>
          <w:sz w:val="20"/>
          <w:szCs w:val="20"/>
          <w:color w:val="auto"/>
        </w:rPr>
      </w:pPr>
      <w:r>
        <w:rPr>
          <w:rFonts w:ascii="Times New Roman" w:cs="Times New Roman" w:eastAsia="Times New Roman" w:hAnsi="Times New Roman"/>
          <w:sz w:val="16"/>
          <w:szCs w:val="16"/>
          <w:color w:val="auto"/>
        </w:rPr>
        <w:t>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Healthcare Fraud and Abuse Laws and Regulations</w:t>
      </w:r>
    </w:p>
    <w:p>
      <w:pPr>
        <w:spacing w:after="0" w:line="107" w:lineRule="exact"/>
        <w:rPr>
          <w:sz w:val="20"/>
          <w:szCs w:val="20"/>
          <w:color w:val="auto"/>
        </w:rPr>
      </w:pPr>
    </w:p>
    <w:p>
      <w:pPr>
        <w:ind w:left="740" w:right="140" w:firstLine="391"/>
        <w:spacing w:after="0" w:line="255" w:lineRule="auto"/>
        <w:rPr>
          <w:sz w:val="20"/>
          <w:szCs w:val="20"/>
          <w:color w:val="auto"/>
        </w:rPr>
      </w:pPr>
      <w:r>
        <w:rPr>
          <w:rFonts w:ascii="Times New Roman" w:cs="Times New Roman" w:eastAsia="Times New Roman" w:hAnsi="Times New Roman"/>
          <w:sz w:val="16"/>
          <w:szCs w:val="16"/>
          <w:color w:val="auto"/>
        </w:rPr>
        <w:t>Certain of our businesses involve the marketing and sale of, and third-party payment for, med-surg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64" w:lineRule="exact"/>
        <w:rPr>
          <w:sz w:val="20"/>
          <w:szCs w:val="20"/>
          <w:color w:val="auto"/>
        </w:rPr>
      </w:pPr>
    </w:p>
    <w:p>
      <w:pPr>
        <w:ind w:left="740" w:right="120" w:firstLine="391"/>
        <w:spacing w:after="0" w:line="254" w:lineRule="auto"/>
        <w:rPr>
          <w:sz w:val="20"/>
          <w:szCs w:val="20"/>
          <w:color w:val="auto"/>
        </w:rPr>
      </w:pPr>
      <w:r>
        <w:rPr>
          <w:rFonts w:ascii="Times New Roman" w:cs="Times New Roman" w:eastAsia="Times New Roman" w:hAnsi="Times New Roman"/>
          <w:sz w:val="16"/>
          <w:szCs w:val="16"/>
          <w:color w:val="auto"/>
        </w:rPr>
        <w:t>Our med-surg products are purchased principally by hospitals and physicians that typically bill various third-party payers, including government healthcare programs, private insurance plans and managed care plans, for the healthcare services provided to their patients. We also directly submitted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67"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1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157</w:t>
      </w:r>
    </w:p>
    <w:p>
      <w:pPr>
        <w:sectPr>
          <w:pgSz w:w="11900" w:h="16838" w:orient="portrait"/>
          <w:cols w:equalWidth="0" w:num="1">
            <w:col w:w="10500"/>
          </w:cols>
          <w:pgMar w:left="320" w:top="420" w:right="10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pacing w:after="0" w:line="165" w:lineRule="exact"/>
        <w:rPr>
          <w:sz w:val="20"/>
          <w:szCs w:val="20"/>
          <w:color w:val="auto"/>
        </w:rPr>
      </w:pPr>
    </w:p>
    <w:p>
      <w:pPr>
        <w:ind w:left="740" w:right="40" w:firstLine="391"/>
        <w:spacing w:after="0" w:line="251" w:lineRule="auto"/>
        <w:rPr>
          <w:sz w:val="20"/>
          <w:szCs w:val="20"/>
          <w:color w:val="auto"/>
        </w:rPr>
      </w:pPr>
      <w:r>
        <w:rPr>
          <w:rFonts w:ascii="Times New Roman" w:cs="Times New Roman" w:eastAsia="Times New Roman" w:hAnsi="Times New Roman"/>
          <w:sz w:val="16"/>
          <w:szCs w:val="16"/>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178" w:lineRule="exact"/>
        <w:rPr>
          <w:sz w:val="20"/>
          <w:szCs w:val="20"/>
          <w:color w:val="auto"/>
        </w:rPr>
      </w:pPr>
    </w:p>
    <w:p>
      <w:pPr>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5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68" w:lineRule="exact"/>
        <w:rPr>
          <w:sz w:val="20"/>
          <w:szCs w:val="20"/>
          <w:color w:val="auto"/>
        </w:rPr>
      </w:pPr>
    </w:p>
    <w:p>
      <w:pPr>
        <w:ind w:left="740" w:right="300" w:firstLine="391"/>
        <w:spacing w:after="0" w:line="265" w:lineRule="auto"/>
        <w:rPr>
          <w:sz w:val="20"/>
          <w:szCs w:val="20"/>
          <w:color w:val="auto"/>
        </w:rPr>
      </w:pPr>
      <w:r>
        <w:rPr>
          <w:rFonts w:ascii="Times New Roman" w:cs="Times New Roman" w:eastAsia="Times New Roman" w:hAnsi="Times New Roman"/>
          <w:sz w:val="16"/>
          <w:szCs w:val="16"/>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158</w:t>
      </w:r>
    </w:p>
    <w:p>
      <w:pPr>
        <w:sectPr>
          <w:pgSz w:w="11900" w:h="16838" w:orient="portrait"/>
          <w:cols w:equalWidth="0" w:num="1">
            <w:col w:w="10500"/>
          </w:cols>
          <w:pgMar w:left="320" w:top="420" w:right="10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80"/>
        <w:spacing w:after="0" w:line="260" w:lineRule="auto"/>
        <w:rPr>
          <w:sz w:val="20"/>
          <w:szCs w:val="20"/>
          <w:color w:val="auto"/>
        </w:rPr>
      </w:pPr>
      <w:r>
        <w:rPr>
          <w:rFonts w:ascii="Times New Roman" w:cs="Times New Roman" w:eastAsia="Times New Roman" w:hAnsi="Times New Roman"/>
          <w:sz w:val="16"/>
          <w:szCs w:val="16"/>
          <w:color w:val="auto"/>
        </w:rPr>
        <w:t>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61"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Most states have adopted similar laws related to transparency, kickbacks, false claims, and self-referrals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61" w:lineRule="exact"/>
        <w:rPr>
          <w:sz w:val="20"/>
          <w:szCs w:val="20"/>
          <w:color w:val="auto"/>
        </w:rPr>
      </w:pPr>
    </w:p>
    <w:p>
      <w:pPr>
        <w:ind w:left="740" w:right="100" w:firstLine="391"/>
        <w:spacing w:after="0" w:line="255" w:lineRule="auto"/>
        <w:rPr>
          <w:sz w:val="20"/>
          <w:szCs w:val="20"/>
          <w:color w:val="auto"/>
        </w:rPr>
      </w:pPr>
      <w:r>
        <w:rPr>
          <w:rFonts w:ascii="Times New Roman" w:cs="Times New Roman" w:eastAsia="Times New Roman" w:hAnsi="Times New Roman"/>
          <w:sz w:val="16"/>
          <w:szCs w:val="16"/>
          <w:color w:val="auto"/>
        </w:rPr>
        <w:t>We are also subject to foreign regulations requiring transparency of certain interactions between suppliers and their customers. Many member states in the EU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64" w:lineRule="exact"/>
        <w:rPr>
          <w:sz w:val="20"/>
          <w:szCs w:val="20"/>
          <w:color w:val="auto"/>
        </w:rPr>
      </w:pPr>
    </w:p>
    <w:p>
      <w:pPr>
        <w:ind w:left="740" w:right="260" w:firstLine="391"/>
        <w:spacing w:after="0" w:line="260" w:lineRule="auto"/>
        <w:rPr>
          <w:sz w:val="20"/>
          <w:szCs w:val="20"/>
          <w:color w:val="auto"/>
        </w:rPr>
      </w:pPr>
      <w:r>
        <w:rPr>
          <w:rFonts w:ascii="Times New Roman" w:cs="Times New Roman" w:eastAsia="Times New Roman" w:hAnsi="Times New Roman"/>
          <w:sz w:val="16"/>
          <w:szCs w:val="16"/>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61" w:lineRule="exact"/>
        <w:rPr>
          <w:sz w:val="20"/>
          <w:szCs w:val="20"/>
          <w:color w:val="auto"/>
        </w:rPr>
      </w:pPr>
    </w:p>
    <w:p>
      <w:pPr>
        <w:jc w:val="both"/>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Environmental, Health and Safety Requirements</w:t>
      </w:r>
    </w:p>
    <w:p>
      <w:pPr>
        <w:spacing w:after="0" w:line="10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68" w:lineRule="exact"/>
        <w:rPr>
          <w:sz w:val="20"/>
          <w:szCs w:val="20"/>
          <w:color w:val="auto"/>
        </w:rPr>
      </w:pPr>
    </w:p>
    <w:p>
      <w:pPr>
        <w:ind w:left="740" w:right="400" w:firstLine="391"/>
        <w:spacing w:after="0" w:line="281" w:lineRule="auto"/>
        <w:rPr>
          <w:sz w:val="20"/>
          <w:szCs w:val="20"/>
          <w:color w:val="auto"/>
        </w:rPr>
      </w:pPr>
      <w:r>
        <w:rPr>
          <w:rFonts w:ascii="Times New Roman" w:cs="Times New Roman" w:eastAsia="Times New Roman" w:hAnsi="Times New Roman"/>
          <w:sz w:val="16"/>
          <w:szCs w:val="16"/>
          <w:color w:val="auto"/>
        </w:rPr>
        <w:t>For example, we, as well as others in our industry, rely on EtO to sterilize certain medical products that we manufacture. In light of evolving science regarding risks related to EtO exposure, regulatory actions have been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159</w:t>
      </w:r>
    </w:p>
    <w:p>
      <w:pPr>
        <w:sectPr>
          <w:pgSz w:w="11900" w:h="16838" w:orient="portrait"/>
          <w:cols w:equalWidth="0" w:num="1">
            <w:col w:w="10500"/>
          </w:cols>
          <w:pgMar w:left="320" w:top="420" w:right="10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Operating, Security and Licensure Standards</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64"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61"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Antitrust and Consumer Protection</w:t>
      </w:r>
    </w:p>
    <w:p>
      <w:pPr>
        <w:spacing w:after="0" w:line="107"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International Transactions</w:t>
      </w:r>
    </w:p>
    <w:p>
      <w:pPr>
        <w:spacing w:after="0" w:line="107"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anti-bribery laws and laws pertaining to the accuracy of our internal books and records, as well as other types of foreign requirements similar to those imposed in the United States.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160</w:t>
      </w:r>
    </w:p>
    <w:p>
      <w:pPr>
        <w:sectPr>
          <w:pgSz w:w="11900" w:h="16838" w:orient="portrait"/>
          <w:cols w:equalWidth="0" w:num="1">
            <w:col w:w="10460"/>
          </w:cols>
          <w:pgMar w:left="320" w:top="420" w:right="111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corporate headquarters are located in Northfield, Illinois, where we own approximately 735,000 square feet of space.</w:t>
      </w:r>
    </w:p>
    <w:p>
      <w:pPr>
        <w:spacing w:after="0" w:line="199"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We also own or lease 123 real estate sites in the United States, including 19 manufacturing facilities used for our Medline Brand segment and 45 warehouse distribution facilities used for our Medline Brand and Supply Chain Solutions segments, and 83 real estate sites internationally, including 14 manufacturing facilities used for our Medline Brand segment and 24 warehouse distribution facilities used for our Medline Brand and Supply Chain Solutions segments.</w:t>
      </w:r>
    </w:p>
    <w:p>
      <w:pPr>
        <w:spacing w:after="0" w:line="161" w:lineRule="exact"/>
        <w:rPr>
          <w:sz w:val="20"/>
          <w:szCs w:val="20"/>
          <w:color w:val="auto"/>
        </w:rPr>
      </w:pPr>
    </w:p>
    <w:p>
      <w:pPr>
        <w:ind w:left="740" w:right="660" w:firstLine="391"/>
        <w:spacing w:after="0" w:line="281" w:lineRule="auto"/>
        <w:rPr>
          <w:sz w:val="20"/>
          <w:szCs w:val="20"/>
          <w:color w:val="auto"/>
        </w:rPr>
      </w:pPr>
      <w:r>
        <w:rPr>
          <w:rFonts w:ascii="Times New Roman" w:cs="Times New Roman" w:eastAsia="Times New Roman" w:hAnsi="Times New Roman"/>
          <w:sz w:val="16"/>
          <w:szCs w:val="16"/>
          <w:color w:val="auto"/>
        </w:rPr>
        <w:t>We believe that our facilities are sufficient for our current needs and that, should they be needed, additional facilities will be available to accommodate the expansion of our business.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05" w:lineRule="exact"/>
        <w:rPr>
          <w:sz w:val="20"/>
          <w:szCs w:val="20"/>
          <w:color w:val="auto"/>
        </w:rPr>
      </w:pPr>
    </w:p>
    <w:p>
      <w:pPr>
        <w:jc w:val="both"/>
        <w:ind w:left="740" w:firstLine="391"/>
        <w:spacing w:after="0" w:line="265" w:lineRule="auto"/>
        <w:rPr>
          <w:sz w:val="20"/>
          <w:szCs w:val="20"/>
          <w:color w:val="auto"/>
        </w:rPr>
      </w:pPr>
      <w:r>
        <w:rPr>
          <w:rFonts w:ascii="Times New Roman" w:cs="Times New Roman" w:eastAsia="Times New Roman" w:hAnsi="Times New Roman"/>
          <w:sz w:val="16"/>
          <w:szCs w:val="16"/>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57" w:lineRule="exact"/>
        <w:rPr>
          <w:sz w:val="20"/>
          <w:szCs w:val="20"/>
          <w:color w:val="auto"/>
        </w:rPr>
      </w:pPr>
    </w:p>
    <w:p>
      <w:pPr>
        <w:ind w:left="740" w:right="220" w:firstLine="391"/>
        <w:spacing w:after="0" w:line="257" w:lineRule="auto"/>
        <w:rPr>
          <w:sz w:val="20"/>
          <w:szCs w:val="20"/>
          <w:color w:val="auto"/>
        </w:rPr>
      </w:pPr>
      <w:r>
        <w:rPr>
          <w:rFonts w:ascii="Times New Roman" w:cs="Times New Roman" w:eastAsia="Times New Roman" w:hAnsi="Times New Roman"/>
          <w:sz w:val="16"/>
          <w:szCs w:val="16"/>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161</w:t>
      </w:r>
    </w:p>
    <w:p>
      <w:pPr>
        <w:sectPr>
          <w:pgSz w:w="11900" w:h="16838" w:orient="portrait"/>
          <w:cols w:equalWidth="0" w:num="1">
            <w:col w:w="10480"/>
          </w:cols>
          <w:pgMar w:left="320" w:top="420" w:right="10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p>
      <w:pPr>
        <w:spacing w:after="0" w:line="105" w:lineRule="exact"/>
        <w:rPr>
          <w:sz w:val="20"/>
          <w:szCs w:val="20"/>
          <w:color w:val="auto"/>
        </w:rPr>
      </w:pPr>
    </w:p>
    <w:p>
      <w:pPr>
        <w:ind w:left="740" w:right="260" w:firstLine="391"/>
        <w:spacing w:after="0" w:line="281" w:lineRule="auto"/>
        <w:rPr>
          <w:sz w:val="20"/>
          <w:szCs w:val="20"/>
          <w:color w:val="auto"/>
        </w:rPr>
      </w:pPr>
      <w:r>
        <w:rPr>
          <w:rFonts w:ascii="Times New Roman" w:cs="Times New Roman" w:eastAsia="Times New Roman" w:hAnsi="Times New Roman"/>
          <w:sz w:val="16"/>
          <w:szCs w:val="16"/>
          <w:color w:val="auto"/>
        </w:rPr>
        <w:t>Set forth below is a list of the names, ages (as of December 8, 2025) and positions of all directors, director nominees, and executive officers of Medline Inc. at the time of this offering.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66"/>
        </w:trPr>
        <w:tc>
          <w:tcPr>
            <w:tcW w:w="3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Age</w:t>
            </w:r>
          </w:p>
        </w:tc>
        <w:tc>
          <w:tcPr>
            <w:tcW w:w="4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184"/>
        </w:trPr>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26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 and Director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President</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Chief Operating Officer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Alex M. Liberman</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Legal Officer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57</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Chief Commercial Officer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Human Resources Officer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Amanda H. Laabs</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Chief Product Officer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 Abrams</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Supply Chain Solutions</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N. Mills</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Chair of the Board of Directors</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P. Baratta</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Jacob D. Best</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Todd M. Bluedorn</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 Nominee</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Richard A. Galanti</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69</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Patrick J. Healy</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Andrew J. Mills</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R. Schmidt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Anushka M. Sunder</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26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192"/>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Thomas W. Sweet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c>
          <w:tcPr>
            <w:tcW w:w="260" w:type="dxa"/>
            <w:vAlign w:val="bottom"/>
            <w:shd w:val="clear" w:color="auto" w:fill="CCEEFF"/>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r>
      <w:tr>
        <w:trPr>
          <w:trHeight w:val="208"/>
        </w:trPr>
        <w:tc>
          <w:tcPr>
            <w:tcW w:w="3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Stephen H. Wise</w:t>
            </w:r>
          </w:p>
        </w:tc>
        <w:tc>
          <w:tcPr>
            <w:tcW w:w="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53</w:t>
            </w:r>
          </w:p>
        </w:tc>
        <w:tc>
          <w:tcPr>
            <w:tcW w:w="2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r>
    </w:tbl>
    <w:p>
      <w:pPr>
        <w:spacing w:after="0" w:line="154" w:lineRule="exact"/>
        <w:rPr>
          <w:sz w:val="20"/>
          <w:szCs w:val="20"/>
          <w:color w:val="auto"/>
        </w:rPr>
      </w:pPr>
    </w:p>
    <w:p>
      <w:pPr>
        <w:ind w:left="740" w:firstLine="391"/>
        <w:spacing w:after="0" w:line="271"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James M. Boyle </w:t>
      </w:r>
      <w:r>
        <w:rPr>
          <w:rFonts w:ascii="Times New Roman" w:cs="Times New Roman" w:eastAsia="Times New Roman" w:hAnsi="Times New Roman"/>
          <w:sz w:val="15"/>
          <w:szCs w:val="15"/>
          <w:color w:val="auto"/>
        </w:rPr>
        <w:t>has served as our Chief Executive Officer since 2023 and as a member of our board of directors since 2023. Prior to his current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role, 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w:t>
      </w:r>
    </w:p>
    <w:p>
      <w:pPr>
        <w:spacing w:after="0" w:line="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Mr. Boyle received his B.S. in Industrial Distribution from Texas A&amp;M University.</w:t>
      </w:r>
    </w:p>
    <w:p>
      <w:pPr>
        <w:spacing w:after="0" w:line="179" w:lineRule="exact"/>
        <w:rPr>
          <w:sz w:val="20"/>
          <w:szCs w:val="20"/>
          <w:color w:val="auto"/>
        </w:rPr>
      </w:pPr>
    </w:p>
    <w:p>
      <w:pPr>
        <w:ind w:left="740" w:right="20" w:firstLine="391"/>
        <w:spacing w:after="0" w:line="280" w:lineRule="auto"/>
        <w:rPr>
          <w:sz w:val="20"/>
          <w:szCs w:val="20"/>
          <w:color w:val="auto"/>
        </w:rPr>
      </w:pPr>
      <w:r>
        <w:rPr>
          <w:rFonts w:ascii="Times New Roman" w:cs="Times New Roman" w:eastAsia="Times New Roman" w:hAnsi="Times New Roman"/>
          <w:sz w:val="15"/>
          <w:szCs w:val="15"/>
          <w:b w:val="1"/>
          <w:bCs w:val="1"/>
          <w:i w:val="1"/>
          <w:iCs w:val="1"/>
          <w:color w:val="auto"/>
        </w:rPr>
        <w:t xml:space="preserve">James M. Pigott </w:t>
      </w:r>
      <w:r>
        <w:rPr>
          <w:rFonts w:ascii="Times New Roman" w:cs="Times New Roman" w:eastAsia="Times New Roman" w:hAnsi="Times New Roman"/>
          <w:sz w:val="15"/>
          <w:szCs w:val="15"/>
          <w:color w:val="auto"/>
        </w:rPr>
        <w:t>has served as our President since 2023, and, effective December 31, 2025, he will retire from the Company. Mr Pigott joined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Medline in 1992 as a sales representative. During his career at the Company, he has held various roles, including Chief Operating Officer from 2023 to 2024, Executive Vice President from 2022 to 2023, and Group President from 2013 to 2022. Prior to serving as Group President, Mr. Pigott held various leadership roles, including Product Manager and Division President. He has since held various management positions including Division President, President of Medline Asia, Divisional Group President, and Executive Vice President. Mr. Pigott received his B.A. from the University of Michigan.</w:t>
      </w:r>
    </w:p>
    <w:p>
      <w:pPr>
        <w:spacing w:after="0" w:line="143" w:lineRule="exact"/>
        <w:rPr>
          <w:sz w:val="20"/>
          <w:szCs w:val="20"/>
          <w:color w:val="auto"/>
        </w:rPr>
      </w:pPr>
    </w:p>
    <w:p>
      <w:pPr>
        <w:ind w:left="740" w:right="380" w:firstLine="39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Michael B. Drazin </w:t>
      </w:r>
      <w:r>
        <w:rPr>
          <w:rFonts w:ascii="Times New Roman" w:cs="Times New Roman" w:eastAsia="Times New Roman" w:hAnsi="Times New Roman"/>
          <w:sz w:val="16"/>
          <w:szCs w:val="16"/>
          <w:color w:val="auto"/>
        </w:rPr>
        <w:t>joined Medline in 2018 as Chief Financial Officer. Prior to joining Medline, Mr. Drazin served as Vice President, Global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FP&amp;A 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w:t>
      </w:r>
    </w:p>
    <w:p>
      <w:pPr>
        <w:spacing w:after="0" w:line="9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162</w:t>
      </w:r>
    </w:p>
    <w:p>
      <w:pPr>
        <w:sectPr>
          <w:pgSz w:w="11900" w:h="16838" w:orient="portrait"/>
          <w:cols w:equalWidth="0" w:num="1">
            <w:col w:w="10500"/>
          </w:cols>
          <w:pgMar w:left="320" w:top="420" w:right="10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80"/>
        <w:spacing w:after="0" w:line="265" w:lineRule="auto"/>
        <w:rPr>
          <w:sz w:val="20"/>
          <w:szCs w:val="20"/>
          <w:color w:val="auto"/>
        </w:rPr>
      </w:pPr>
      <w:r>
        <w:rPr>
          <w:rFonts w:ascii="Times New Roman" w:cs="Times New Roman" w:eastAsia="Times New Roman" w:hAnsi="Times New Roman"/>
          <w:sz w:val="16"/>
          <w:szCs w:val="16"/>
          <w:color w:val="auto"/>
        </w:rPr>
        <w:t>Controller at CloudShield Technologies, Inc., Chief Financial Officer at Silicon Valley Internet Capital, and Senior Auditor at Arthur Anderson LLP. Mr. Drazin received his B.S. from Gies College of Business at the University of Illinois at Urbana-Champaign and his M.B.A. from the Kellogg School of Management at Northwestern University.</w:t>
      </w:r>
    </w:p>
    <w:p>
      <w:pPr>
        <w:spacing w:after="0" w:line="153" w:lineRule="exact"/>
        <w:rPr>
          <w:sz w:val="20"/>
          <w:szCs w:val="20"/>
          <w:color w:val="auto"/>
        </w:rPr>
      </w:pPr>
    </w:p>
    <w:p>
      <w:pPr>
        <w:ind w:left="740" w:right="20" w:firstLine="391"/>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Stephen L. Miller </w:t>
      </w:r>
      <w:r>
        <w:rPr>
          <w:rFonts w:ascii="Times New Roman" w:cs="Times New Roman" w:eastAsia="Times New Roman" w:hAnsi="Times New Roman"/>
          <w:sz w:val="16"/>
          <w:szCs w:val="16"/>
          <w:color w:val="auto"/>
        </w:rPr>
        <w:t>has served as our Chief Operating Officer since January 1, 2025. Mr. Miller joined Medline in 2022 as Executive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Supply Chain, a role he held through 2024. Prior to joining 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5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Alex M. Liberman </w:t>
      </w:r>
      <w:r>
        <w:rPr>
          <w:rFonts w:ascii="Times New Roman" w:cs="Times New Roman" w:eastAsia="Times New Roman" w:hAnsi="Times New Roman"/>
          <w:sz w:val="16"/>
          <w:szCs w:val="16"/>
          <w:color w:val="auto"/>
        </w:rPr>
        <w:t>joined Medline in 1999 as General Counsel and was retitled Chief Legal Officer in 2023. In this role, he oversees several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teams 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61" w:lineRule="exact"/>
        <w:rPr>
          <w:sz w:val="20"/>
          <w:szCs w:val="20"/>
          <w:color w:val="auto"/>
        </w:rPr>
      </w:pPr>
    </w:p>
    <w:p>
      <w:pPr>
        <w:ind w:left="740" w:right="80" w:firstLine="391"/>
        <w:spacing w:after="0" w:line="259" w:lineRule="auto"/>
        <w:rPr>
          <w:sz w:val="20"/>
          <w:szCs w:val="20"/>
          <w:color w:val="auto"/>
        </w:rPr>
      </w:pPr>
      <w:r>
        <w:rPr>
          <w:rFonts w:ascii="Times New Roman" w:cs="Times New Roman" w:eastAsia="Times New Roman" w:hAnsi="Times New Roman"/>
          <w:sz w:val="16"/>
          <w:szCs w:val="16"/>
          <w:b w:val="1"/>
          <w:bCs w:val="1"/>
          <w:i w:val="1"/>
          <w:iCs w:val="1"/>
          <w:color w:val="auto"/>
        </w:rPr>
        <w:t xml:space="preserve">Douglas P. Golwas </w:t>
      </w:r>
      <w:r>
        <w:rPr>
          <w:rFonts w:ascii="Times New Roman" w:cs="Times New Roman" w:eastAsia="Times New Roman" w:hAnsi="Times New Roman"/>
          <w:sz w:val="16"/>
          <w:szCs w:val="16"/>
          <w:color w:val="auto"/>
        </w:rPr>
        <w:t>has served as our Chief Commercial Officer since 2023. Mr. Golwas joined Medline in 2008 as a Vice President; during 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career at the Company, he has held various roles, including most recently as Executive Vice President, Acute Care Sales from 2020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57" w:lineRule="exact"/>
        <w:rPr>
          <w:sz w:val="20"/>
          <w:szCs w:val="20"/>
          <w:color w:val="auto"/>
        </w:rPr>
      </w:pPr>
    </w:p>
    <w:p>
      <w:pPr>
        <w:jc w:val="both"/>
        <w:ind w:left="740" w:right="160" w:firstLine="391"/>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Christopher P. Shryock </w:t>
      </w:r>
      <w:r>
        <w:rPr>
          <w:rFonts w:ascii="Times New Roman" w:cs="Times New Roman" w:eastAsia="Times New Roman" w:hAnsi="Times New Roman"/>
          <w:sz w:val="15"/>
          <w:szCs w:val="15"/>
          <w:color w:val="auto"/>
        </w:rPr>
        <w:t>has served as our Chief Human Resources Officer since joining Medline in 2024. Prior to joining Medline, Mr. Shryock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w:t>
      </w:r>
    </w:p>
    <w:p>
      <w:pPr>
        <w:ind w:left="740" w:right="180"/>
        <w:spacing w:after="0" w:line="259" w:lineRule="auto"/>
        <w:rPr>
          <w:sz w:val="20"/>
          <w:szCs w:val="20"/>
          <w:color w:val="auto"/>
        </w:rPr>
      </w:pPr>
      <w:r>
        <w:rPr>
          <w:rFonts w:ascii="Times New Roman" w:cs="Times New Roman" w:eastAsia="Times New Roman" w:hAnsi="Times New Roman"/>
          <w:sz w:val="16"/>
          <w:szCs w:val="16"/>
          <w:color w:val="auto"/>
        </w:rPr>
        <w:t>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5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Amanda H. Laabs </w:t>
      </w:r>
      <w:r>
        <w:rPr>
          <w:rFonts w:ascii="Times New Roman" w:cs="Times New Roman" w:eastAsia="Times New Roman" w:hAnsi="Times New Roman"/>
          <w:sz w:val="16"/>
          <w:szCs w:val="16"/>
          <w:color w:val="auto"/>
        </w:rPr>
        <w:t>has served as our Chief Product Officer since January 1, 2025. Ms. Laabs joined Medline in 2006 as part of our medical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textiles 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61" w:lineRule="exact"/>
        <w:rPr>
          <w:sz w:val="20"/>
          <w:szCs w:val="20"/>
          <w:color w:val="auto"/>
        </w:rPr>
      </w:pPr>
    </w:p>
    <w:p>
      <w:pPr>
        <w:ind w:left="740" w:right="160" w:firstLine="391"/>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William J. Abrams </w:t>
      </w:r>
      <w:r>
        <w:rPr>
          <w:rFonts w:ascii="Times New Roman" w:cs="Times New Roman" w:eastAsia="Times New Roman" w:hAnsi="Times New Roman"/>
          <w:sz w:val="16"/>
          <w:szCs w:val="16"/>
          <w:color w:val="auto"/>
        </w:rPr>
        <w:t>has served as our Executive Vice President, Supply Chain Solutions since 2023. Mr. Abrams joined Medline in 2009 as 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President of Preferred Healthcare and Executive Vice President of Real Estate &amp;</w:t>
      </w:r>
    </w:p>
    <w:p>
      <w:pPr>
        <w:spacing w:after="0" w:line="8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163</w:t>
      </w:r>
    </w:p>
    <w:p>
      <w:pPr>
        <w:sectPr>
          <w:pgSz w:w="11900" w:h="16838" w:orient="portrait"/>
          <w:cols w:equalWidth="0" w:num="1">
            <w:col w:w="10500"/>
          </w:cols>
          <w:pgMar w:left="320" w:top="420" w:right="10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61" w:lineRule="exact"/>
        <w:rPr>
          <w:sz w:val="20"/>
          <w:szCs w:val="20"/>
          <w:color w:val="auto"/>
        </w:rPr>
      </w:pPr>
    </w:p>
    <w:p>
      <w:pPr>
        <w:ind w:left="740" w:right="300" w:firstLine="391"/>
        <w:spacing w:after="0" w:line="276" w:lineRule="auto"/>
        <w:rPr>
          <w:sz w:val="20"/>
          <w:szCs w:val="20"/>
          <w:color w:val="auto"/>
        </w:rPr>
      </w:pPr>
      <w:r>
        <w:rPr>
          <w:rFonts w:ascii="Times New Roman" w:cs="Times New Roman" w:eastAsia="Times New Roman" w:hAnsi="Times New Roman"/>
          <w:sz w:val="15"/>
          <w:szCs w:val="15"/>
          <w:b w:val="1"/>
          <w:bCs w:val="1"/>
          <w:i w:val="1"/>
          <w:iCs w:val="1"/>
          <w:color w:val="auto"/>
        </w:rPr>
        <w:t xml:space="preserve">Charles N. Mills </w:t>
      </w:r>
      <w:r>
        <w:rPr>
          <w:rFonts w:ascii="Times New Roman" w:cs="Times New Roman" w:eastAsia="Times New Roman" w:hAnsi="Times New Roman"/>
          <w:sz w:val="15"/>
          <w:szCs w:val="15"/>
          <w:color w:val="auto"/>
        </w:rPr>
        <w:t>has served as the Chair of our board of directors since 2018 and as a member of our board of directors since 1985. Mr. Mills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served as our Chief Executive Officer from 1997 to 2023. He joined Medline in 1986 as a sales representative and has since held various positions within the company, including sales management, Vice President of Marketing, and Vice President of Manufacturing. Prior to joining Medline,</w:t>
      </w:r>
    </w:p>
    <w:p>
      <w:pPr>
        <w:ind w:left="740" w:right="40"/>
        <w:spacing w:after="0" w:line="254" w:lineRule="auto"/>
        <w:rPr>
          <w:sz w:val="20"/>
          <w:szCs w:val="20"/>
          <w:color w:val="auto"/>
        </w:rPr>
      </w:pPr>
      <w:r>
        <w:rPr>
          <w:rFonts w:ascii="Times New Roman" w:cs="Times New Roman" w:eastAsia="Times New Roman" w:hAnsi="Times New Roman"/>
          <w:sz w:val="16"/>
          <w:szCs w:val="16"/>
          <w:color w:val="auto"/>
        </w:rPr>
        <w:t>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62" w:lineRule="exact"/>
        <w:rPr>
          <w:sz w:val="20"/>
          <w:szCs w:val="20"/>
          <w:color w:val="auto"/>
        </w:rPr>
      </w:pPr>
    </w:p>
    <w:p>
      <w:pPr>
        <w:ind w:left="740" w:right="100" w:firstLine="391"/>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Joseph P. Baratta </w:t>
      </w:r>
      <w:r>
        <w:rPr>
          <w:rFonts w:ascii="Times New Roman" w:cs="Times New Roman" w:eastAsia="Times New Roman" w:hAnsi="Times New Roman"/>
          <w:sz w:val="16"/>
          <w:szCs w:val="16"/>
          <w:color w:val="auto"/>
        </w:rPr>
        <w:t>has served as a member of our board of directors since 2021. Mr. Baratta is the Global Head of Blackstone Private Equity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Merlin Entertainments Group, and SESAC.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64"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Jacob D. Best </w:t>
      </w:r>
      <w:r>
        <w:rPr>
          <w:rFonts w:ascii="Times New Roman" w:cs="Times New Roman" w:eastAsia="Times New Roman" w:hAnsi="Times New Roman"/>
          <w:sz w:val="16"/>
          <w:szCs w:val="16"/>
          <w:color w:val="auto"/>
        </w:rPr>
        <w:t>has served as a member of our board of directors since 2021. Mr. Best is a Partner at H&amp;F, where he leads Healthcare investing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activities in North America. Mr. Best joined H&amp;F in 2009 and re-joined the firm in 2016. He is active in H&amp;F’s investments in PointClickCare and athenahealth. Mr. Best was formerly a Director of Associated Materials, Goodman Global, Snap One, and Ellucian, and was active in H&amp;F’s investments in Verisure. Prior to re-joining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59"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Todd M. Bluedorn </w:t>
      </w:r>
      <w:r>
        <w:rPr>
          <w:rFonts w:ascii="Times New Roman" w:cs="Times New Roman" w:eastAsia="Times New Roman" w:hAnsi="Times New Roman"/>
          <w:sz w:val="16"/>
          <w:szCs w:val="16"/>
          <w:color w:val="auto"/>
        </w:rPr>
        <w:t>is expected to join our board of directors prior to the completion of this offering. Mr. Bluedorn served as Vice Chair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Madison Industries, a privately held industrial company, from 2022 to 2023. Prior to that, he was Chief Executive Officer of Lennox International Inc. (“Lennox”), a climate control solutions provider, from 2007 to 2022 and served as chair of the board of Lennox from 2012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164</w:t>
      </w:r>
    </w:p>
    <w:p>
      <w:pPr>
        <w:sectPr>
          <w:pgSz w:w="11900" w:h="16838" w:orient="portrait"/>
          <w:cols w:equalWidth="0" w:num="1">
            <w:col w:w="10480"/>
          </w:cols>
          <w:pgMar w:left="320" w:top="420" w:right="10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160" w:firstLine="391"/>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A. Galanti </w:t>
      </w:r>
      <w:r>
        <w:rPr>
          <w:rFonts w:ascii="Times New Roman" w:cs="Times New Roman" w:eastAsia="Times New Roman" w:hAnsi="Times New Roman"/>
          <w:sz w:val="16"/>
          <w:szCs w:val="16"/>
          <w:color w:val="auto"/>
        </w:rPr>
        <w:t>has served as a member of our board of directors since 2025. Mr. Galanti was Executive Vice President and Chief Financial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Mr. Galanti currently serves on the board of directors of Affirm Holdings, Inc., and he served on the board of directors of Costco Wholesale from January 1995 to January 2025. Mr. Galanti received his B.S. in economics from The Wharton School at the University of Pennsylvania and his M.B.A. from Stanford University.</w:t>
      </w:r>
    </w:p>
    <w:p>
      <w:pPr>
        <w:spacing w:after="0" w:line="159"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Patrick J. Healy </w:t>
      </w:r>
      <w:r>
        <w:rPr>
          <w:rFonts w:ascii="Times New Roman" w:cs="Times New Roman" w:eastAsia="Times New Roman" w:hAnsi="Times New Roman"/>
          <w:sz w:val="16"/>
          <w:szCs w:val="16"/>
          <w:color w:val="auto"/>
        </w:rPr>
        <w:t>has served as a member of our board of directors since 2025. Mr. Healy is the Chief Executive Officer of H&amp;F. He is also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member of H&amp;F’s Investment Committee and the Chairman of its Compensation Committee. Mr. Healy joined H&amp;F in 1994.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16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Andrew J. Mills </w:t>
      </w:r>
      <w:r>
        <w:rPr>
          <w:rFonts w:ascii="Times New Roman" w:cs="Times New Roman" w:eastAsia="Times New Roman" w:hAnsi="Times New Roman"/>
          <w:sz w:val="16"/>
          <w:szCs w:val="16"/>
          <w:color w:val="auto"/>
        </w:rPr>
        <w:t>has served as a member of our board of directors since 1985 and served as our President from 1997 to 2023. Mr. Mills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Chief 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61" w:lineRule="exact"/>
        <w:rPr>
          <w:sz w:val="20"/>
          <w:szCs w:val="20"/>
          <w:color w:val="auto"/>
        </w:rPr>
      </w:pPr>
    </w:p>
    <w:p>
      <w:pPr>
        <w:ind w:left="740" w:right="120" w:firstLine="39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R. Schmidt </w:t>
      </w:r>
      <w:r>
        <w:rPr>
          <w:rFonts w:ascii="Times New Roman" w:cs="Times New Roman" w:eastAsia="Times New Roman" w:hAnsi="Times New Roman"/>
          <w:sz w:val="16"/>
          <w:szCs w:val="16"/>
          <w:color w:val="auto"/>
        </w:rPr>
        <w:t>has served as a member of our board of directors since 2021. Mr. Schmidt is a Partner and Global Co-Head of Healthcare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Carlyle. He joined Carlyle in 2011 and has been involved in a number of the firm’s investments globally. He is currently a member of the Board of Directors of Included Health,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59"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b w:val="1"/>
          <w:bCs w:val="1"/>
          <w:i w:val="1"/>
          <w:iCs w:val="1"/>
          <w:color w:val="auto"/>
        </w:rPr>
        <w:t xml:space="preserve">Anushka M. Sunder </w:t>
      </w:r>
      <w:r>
        <w:rPr>
          <w:rFonts w:ascii="Times New Roman" w:cs="Times New Roman" w:eastAsia="Times New Roman" w:hAnsi="Times New Roman"/>
          <w:sz w:val="16"/>
          <w:szCs w:val="16"/>
          <w:color w:val="auto"/>
        </w:rPr>
        <w:t>has served as a member of our board of directors since 2021. Ms. Sunder is a Senior Managing Director at Blackstone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Head of Healthcare Private Equity North America. She leads investments in the Business Services and Healthcare sectors and previously spent time in technology and consumer. Ms. Sunder joined Blackstone in 2013 and is a Director of Advarra, Allied, CoreTrust, Precision Medicine Group, TeamHealth, and Optiv and previously served as a Director of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480"/>
          </w:cols>
          <w:pgMar w:left="320" w:top="420" w:right="10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right="60" w:firstLine="391"/>
        <w:spacing w:after="0" w:line="25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Thomas W. Sweet </w:t>
      </w:r>
      <w:r>
        <w:rPr>
          <w:rFonts w:ascii="Times New Roman" w:cs="Times New Roman" w:eastAsia="Times New Roman" w:hAnsi="Times New Roman"/>
          <w:sz w:val="16"/>
          <w:szCs w:val="16"/>
          <w:color w:val="auto"/>
        </w:rPr>
        <w:t>has served as a member of our board of directors since 2024. Mr. Sweet was Chief Financial Officer of Dell Technologies,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global 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6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Stephen H. Wise </w:t>
      </w:r>
      <w:r>
        <w:rPr>
          <w:rFonts w:ascii="Times New Roman" w:cs="Times New Roman" w:eastAsia="Times New Roman" w:hAnsi="Times New Roman"/>
          <w:sz w:val="16"/>
          <w:szCs w:val="16"/>
          <w:color w:val="auto"/>
        </w:rPr>
        <w:t>has served as a member of our board of directors since 2021. Mr. Wise is a Partner and Co-Head of Americas Corporate Private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Composition of the Board of Directors After this Offering</w:t>
      </w:r>
    </w:p>
    <w:p>
      <w:pPr>
        <w:spacing w:after="0" w:line="10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In addition, we intend to enter into separate director nomination agreements with the Designating Stockholders in connection with this offering. These agreements will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board of directors has affirmatively determined that each of Mr. Baratta, Mr. Best, Mr. Bluedorn, Mr. Galanti, Mr. Healy, Mr. Schmidt, Ms.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Sunder, Mr. Sweet, and Mr. Wise qualify as independent directors under Nasdaq listing standards.</w:t>
      </w: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Background and Experience of Directors</w:t>
      </w:r>
    </w:p>
    <w:p>
      <w:pPr>
        <w:spacing w:after="0" w:line="105"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81" w:lineRule="exact"/>
        <w:rPr>
          <w:sz w:val="20"/>
          <w:szCs w:val="20"/>
          <w:color w:val="auto"/>
        </w:rPr>
      </w:pPr>
    </w:p>
    <w:p>
      <w:pPr>
        <w:ind w:left="1600" w:right="160" w:hanging="383"/>
        <w:spacing w:after="0" w:line="281" w:lineRule="auto"/>
        <w:tabs>
          <w:tab w:leader="none" w:pos="160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Boyle—our board of directors considered Mr. Boyle’s perspective, experience, and thorough knowledge of our industry as our Chief Executive Officer.</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166</w:t>
      </w:r>
    </w:p>
    <w:p>
      <w:pPr>
        <w:sectPr>
          <w:pgSz w:w="11900" w:h="16838" w:orient="portrait"/>
          <w:cols w:equalWidth="0" w:num="1">
            <w:col w:w="10500"/>
          </w:cols>
          <w:pgMar w:left="320" w:top="421" w:right="10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14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 Mills—our board of directors considered Mr. C. Mills’ extensive industry knowledge, management expertise, and business experience, particularly from his former role as Medline’s Chief Executive Officer. The Mills Family intends to designate Mr. C. Mills to our board of directors pursuant to its director nomination agreement.</w:t>
      </w:r>
    </w:p>
    <w:p>
      <w:pPr>
        <w:spacing w:after="0" w:line="73" w:lineRule="exact"/>
        <w:rPr>
          <w:rFonts w:ascii="Times New Roman" w:cs="Times New Roman" w:eastAsia="Times New Roman" w:hAnsi="Times New Roman"/>
          <w:sz w:val="16"/>
          <w:szCs w:val="16"/>
          <w:color w:val="auto"/>
        </w:rPr>
      </w:pPr>
    </w:p>
    <w:p>
      <w:pPr>
        <w:ind w:left="1600" w:right="360" w:hanging="383"/>
        <w:spacing w:after="0" w:line="291" w:lineRule="auto"/>
        <w:tabs>
          <w:tab w:leader="none" w:pos="16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 Blackstone intends to designate Mr. Baratta to our board of directors pursuant to its director nomination agreement.</w:t>
      </w:r>
    </w:p>
    <w:p>
      <w:pPr>
        <w:spacing w:after="0" w:line="55" w:lineRule="exact"/>
        <w:rPr>
          <w:rFonts w:ascii="Times New Roman" w:cs="Times New Roman" w:eastAsia="Times New Roman" w:hAnsi="Times New Roman"/>
          <w:sz w:val="15"/>
          <w:szCs w:val="15"/>
          <w:color w:val="auto"/>
        </w:rPr>
      </w:pPr>
    </w:p>
    <w:p>
      <w:pPr>
        <w:ind w:left="1600" w:right="14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Best—our board of directors considered Mr. Best’s significant financial, management, and investment experience from his involvement at H&amp;F, including as a Partner, as well as his thorough knowledge of our industry. H&amp;F intends to designate Mr. Best to our board of directors pursuant to its director nomination agreement.</w:t>
      </w:r>
    </w:p>
    <w:p>
      <w:pPr>
        <w:spacing w:after="0" w:line="73" w:lineRule="exact"/>
        <w:rPr>
          <w:rFonts w:ascii="Times New Roman" w:cs="Times New Roman" w:eastAsia="Times New Roman" w:hAnsi="Times New Roman"/>
          <w:sz w:val="16"/>
          <w:szCs w:val="16"/>
          <w:color w:val="auto"/>
        </w:rPr>
      </w:pPr>
    </w:p>
    <w:p>
      <w:pPr>
        <w:ind w:left="1600" w:right="80" w:hanging="383"/>
        <w:spacing w:after="0" w:line="281"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60"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Galanti—our board of directors considered Mr. Galanti’s significant finance and financial reporting experience, specifically as Chief Financial Officer of Costco Wholesale.</w:t>
      </w:r>
    </w:p>
    <w:p>
      <w:pPr>
        <w:spacing w:after="0" w:line="60" w:lineRule="exact"/>
        <w:rPr>
          <w:rFonts w:ascii="Times New Roman" w:cs="Times New Roman" w:eastAsia="Times New Roman" w:hAnsi="Times New Roman"/>
          <w:sz w:val="16"/>
          <w:szCs w:val="16"/>
          <w:color w:val="auto"/>
        </w:rPr>
      </w:pPr>
    </w:p>
    <w:p>
      <w:pPr>
        <w:ind w:left="1600" w:right="10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Healy—our board of directors considered Mr. Healy’s extensive financial, management, and investment experience, particularly from his role as Chief Executive Officer of H&amp;F and his service on the boards of various companies across multiple sectors. H&amp;F intends to designate Mr. Healy to our board of directors pursuant to its director nomination agreement.</w:t>
      </w:r>
    </w:p>
    <w:p>
      <w:pPr>
        <w:spacing w:after="0" w:line="73" w:lineRule="exact"/>
        <w:rPr>
          <w:rFonts w:ascii="Times New Roman" w:cs="Times New Roman" w:eastAsia="Times New Roman" w:hAnsi="Times New Roman"/>
          <w:sz w:val="16"/>
          <w:szCs w:val="16"/>
          <w:color w:val="auto"/>
        </w:rPr>
      </w:pPr>
    </w:p>
    <w:p>
      <w:pPr>
        <w:ind w:left="1600" w:right="16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A. Mills—our board of directors considered Mr. A. Mills’ extensive industry knowledge, management expertise, and business experience, particularly from his former role as President of Medline. The Mills Family intends to designate Mr. A. Mills to our board of directors pursuant to its director nomination agreement.</w:t>
      </w:r>
    </w:p>
    <w:p>
      <w:pPr>
        <w:spacing w:after="0" w:line="73" w:lineRule="exact"/>
        <w:rPr>
          <w:rFonts w:ascii="Times New Roman" w:cs="Times New Roman" w:eastAsia="Times New Roman" w:hAnsi="Times New Roman"/>
          <w:sz w:val="16"/>
          <w:szCs w:val="16"/>
          <w:color w:val="auto"/>
        </w:rPr>
      </w:pPr>
    </w:p>
    <w:p>
      <w:pPr>
        <w:ind w:left="160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intends to designate Mr. Schmidt to our board of directors pursuant to its director nomination agreement.</w:t>
      </w:r>
    </w:p>
    <w:p>
      <w:pPr>
        <w:spacing w:after="0" w:line="73" w:lineRule="exact"/>
        <w:rPr>
          <w:rFonts w:ascii="Times New Roman" w:cs="Times New Roman" w:eastAsia="Times New Roman" w:hAnsi="Times New Roman"/>
          <w:sz w:val="16"/>
          <w:szCs w:val="16"/>
          <w:color w:val="auto"/>
        </w:rPr>
      </w:pPr>
    </w:p>
    <w:p>
      <w:pPr>
        <w:ind w:left="1600" w:right="160" w:hanging="383"/>
        <w:spacing w:after="0" w:line="260"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intends to designate Ms. Sunder to the board of directors pursuant to its director nomination agreement.</w:t>
      </w:r>
    </w:p>
    <w:p>
      <w:pPr>
        <w:spacing w:after="0" w:line="76" w:lineRule="exact"/>
        <w:rPr>
          <w:rFonts w:ascii="Times New Roman" w:cs="Times New Roman" w:eastAsia="Times New Roman" w:hAnsi="Times New Roman"/>
          <w:sz w:val="16"/>
          <w:szCs w:val="16"/>
          <w:color w:val="auto"/>
        </w:rPr>
      </w:pPr>
    </w:p>
    <w:p>
      <w:pPr>
        <w:ind w:left="1600" w:right="60" w:hanging="383"/>
        <w:spacing w:after="0" w:line="281"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Sweet—our board of directors considered Mr. Sweet’s significant financial and audit experience, including his time as Chief Financial Officer at Dell and his service on the boards of a diverse group of companies.</w:t>
      </w:r>
    </w:p>
    <w:p>
      <w:pPr>
        <w:spacing w:after="0" w:line="60" w:lineRule="exact"/>
        <w:rPr>
          <w:rFonts w:ascii="Times New Roman" w:cs="Times New Roman" w:eastAsia="Times New Roman" w:hAnsi="Times New Roman"/>
          <w:sz w:val="16"/>
          <w:szCs w:val="16"/>
          <w:color w:val="auto"/>
        </w:rPr>
      </w:pPr>
    </w:p>
    <w:p>
      <w:pPr>
        <w:ind w:left="1600" w:right="40" w:hanging="383"/>
        <w:spacing w:after="0" w:line="265" w:lineRule="auto"/>
        <w:tabs>
          <w:tab w:leader="none" w:pos="160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intends to designate Mr. Wise to our board of directors pursuant to its director nomination agreement.</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105"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We anticipate that, prior to the completion of this offering, our board of directors will establish the following committees: an audit committee; a compensation committee; a nominating and corporate governance committee; and a risk and compliance committee. The composition and responsibilities of each committee are</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0500"/>
          </w:cols>
          <w:pgMar w:left="320" w:top="420" w:right="10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60"/>
        <w:spacing w:after="0" w:line="281" w:lineRule="auto"/>
        <w:rPr>
          <w:sz w:val="20"/>
          <w:szCs w:val="20"/>
          <w:color w:val="auto"/>
        </w:rPr>
      </w:pPr>
      <w:r>
        <w:rPr>
          <w:rFonts w:ascii="Times New Roman" w:cs="Times New Roman" w:eastAsia="Times New Roman" w:hAnsi="Times New Roman"/>
          <w:sz w:val="16"/>
          <w:szCs w:val="16"/>
          <w:color w:val="auto"/>
        </w:rPr>
        <w:t>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Audit Committee</w:t>
      </w:r>
    </w:p>
    <w:p>
      <w:pPr>
        <w:spacing w:after="0" w:line="107" w:lineRule="exact"/>
        <w:rPr>
          <w:sz w:val="20"/>
          <w:szCs w:val="20"/>
          <w:color w:val="auto"/>
        </w:rPr>
      </w:pPr>
    </w:p>
    <w:p>
      <w:pPr>
        <w:ind w:left="740" w:right="480" w:firstLine="391"/>
        <w:spacing w:after="0" w:line="281" w:lineRule="auto"/>
        <w:rPr>
          <w:sz w:val="20"/>
          <w:szCs w:val="20"/>
          <w:color w:val="auto"/>
        </w:rPr>
      </w:pPr>
      <w:r>
        <w:rPr>
          <w:rFonts w:ascii="Times New Roman" w:cs="Times New Roman" w:eastAsia="Times New Roman" w:hAnsi="Times New Roman"/>
          <w:sz w:val="16"/>
          <w:szCs w:val="16"/>
          <w:color w:val="auto"/>
        </w:rPr>
        <w:t>Upon completion of this offering, we expect our audit committee will consist of Mr. Bluedorn, Mr. Galanti, and Mr. Sweet, with Mr. Sweet serving as chair. Our audit committee will be responsible for, among other things:</w:t>
      </w:r>
    </w:p>
    <w:p>
      <w:pPr>
        <w:spacing w:after="0" w:line="60" w:lineRule="exact"/>
        <w:rPr>
          <w:sz w:val="20"/>
          <w:szCs w:val="20"/>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and hiring our independent auditors, and approving the audit and non-audit services to be performed by our independent auditors;</w:t>
      </w:r>
    </w:p>
    <w:p>
      <w:pPr>
        <w:spacing w:after="0" w:line="126" w:lineRule="exact"/>
        <w:rPr>
          <w:rFonts w:ascii="Times New Roman" w:cs="Times New Roman" w:eastAsia="Times New Roman" w:hAnsi="Times New Roman"/>
          <w:sz w:val="15"/>
          <w:szCs w:val="15"/>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evaluating the qualifications, performance, and independence of our independent auditors;</w:t>
      </w:r>
    </w:p>
    <w:p>
      <w:pPr>
        <w:spacing w:after="0" w:line="115" w:lineRule="exact"/>
        <w:rPr>
          <w:rFonts w:ascii="Times New Roman" w:cs="Times New Roman" w:eastAsia="Times New Roman" w:hAnsi="Times New Roman"/>
          <w:sz w:val="16"/>
          <w:szCs w:val="16"/>
          <w:color w:val="auto"/>
        </w:rPr>
      </w:pPr>
    </w:p>
    <w:p>
      <w:pPr>
        <w:ind w:left="1600" w:right="560" w:hanging="383"/>
        <w:spacing w:after="0" w:line="281" w:lineRule="auto"/>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monitoring the quality and integrity of our financial statements and our accounting and financial reporting;</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monitoring our compliance with legal and regulatory requirements;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adequacy and effectiveness of our internal controls over financial reporting processes;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the board of directors in monitoring the performance of our internal audit function;</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management and our independent auditors our annual and quarterly financial statements;</w:t>
      </w:r>
    </w:p>
    <w:p>
      <w:pPr>
        <w:spacing w:after="0" w:line="115" w:lineRule="exact"/>
        <w:rPr>
          <w:rFonts w:ascii="Times New Roman" w:cs="Times New Roman" w:eastAsia="Times New Roman" w:hAnsi="Times New Roman"/>
          <w:sz w:val="16"/>
          <w:szCs w:val="16"/>
          <w:color w:val="auto"/>
        </w:rPr>
      </w:pPr>
    </w:p>
    <w:p>
      <w:pPr>
        <w:ind w:left="1600" w:hanging="383"/>
        <w:spacing w:after="0" w:line="265" w:lineRule="auto"/>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per SEC rules and regulations to be included in our annual proxy statement.</w:t>
      </w:r>
    </w:p>
    <w:p>
      <w:pPr>
        <w:spacing w:after="0" w:line="199" w:lineRule="exact"/>
        <w:rPr>
          <w:sz w:val="20"/>
          <w:szCs w:val="20"/>
          <w:color w:val="auto"/>
        </w:rPr>
      </w:pPr>
    </w:p>
    <w:p>
      <w:pPr>
        <w:ind w:left="740" w:right="140" w:firstLine="391"/>
        <w:spacing w:after="0" w:line="256" w:lineRule="auto"/>
        <w:rPr>
          <w:sz w:val="20"/>
          <w:szCs w:val="20"/>
          <w:color w:val="auto"/>
        </w:rPr>
      </w:pPr>
      <w:r>
        <w:rPr>
          <w:rFonts w:ascii="Times New Roman" w:cs="Times New Roman" w:eastAsia="Times New Roman" w:hAnsi="Times New Roman"/>
          <w:sz w:val="16"/>
          <w:szCs w:val="16"/>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registration statement. Mr. Bluedorn, Mr. Galanti, and Mr. Sweet qualify as independent directors under Nasdaq listing standards and the independence standards of Rule 10A-3 of the Exchange Act. In addition, our board of directors has determined that Mr. Bluedorn, Mr. Galanti, and Mr. Sweet are audit committee financial experts within the meaning of Item 407(d) of Regulation S-K under the Securities Act.</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Compensation Committee</w:t>
      </w:r>
    </w:p>
    <w:p>
      <w:pPr>
        <w:spacing w:after="0" w:line="10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Upon completion of this offering, we expect our compensation committee will consist of Mr. Best, Mr. Schmidt, and Ms. Sunder, with Ms. Sunder serving as chair. Our compensation committee will be responsible for, among other things:</w:t>
      </w:r>
    </w:p>
    <w:p>
      <w:pPr>
        <w:spacing w:after="0" w:line="60" w:lineRule="exact"/>
        <w:rPr>
          <w:sz w:val="20"/>
          <w:szCs w:val="20"/>
          <w:color w:val="auto"/>
        </w:rPr>
      </w:pPr>
    </w:p>
    <w:p>
      <w:pPr>
        <w:ind w:left="1600" w:right="80" w:hanging="383"/>
        <w:spacing w:after="0" w:line="260" w:lineRule="auto"/>
        <w:tabs>
          <w:tab w:leader="none" w:pos="16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76" w:lineRule="exact"/>
        <w:rPr>
          <w:rFonts w:ascii="Times New Roman" w:cs="Times New Roman" w:eastAsia="Times New Roman" w:hAnsi="Times New Roman"/>
          <w:sz w:val="16"/>
          <w:szCs w:val="16"/>
          <w:color w:val="auto"/>
        </w:rPr>
      </w:pPr>
    </w:p>
    <w:p>
      <w:pPr>
        <w:ind w:left="1600" w:right="180" w:hanging="383"/>
        <w:spacing w:after="0" w:line="281" w:lineRule="auto"/>
        <w:tabs>
          <w:tab w:leader="none" w:pos="160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168</w:t>
      </w:r>
    </w:p>
    <w:p>
      <w:pPr>
        <w:sectPr>
          <w:pgSz w:w="11900" w:h="16838" w:orient="portrait"/>
          <w:cols w:equalWidth="0" w:num="1">
            <w:col w:w="10480"/>
          </w:cols>
          <w:pgMar w:left="320" w:top="420" w:right="10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383"/>
        <w:spacing w:after="0"/>
        <w:tabs>
          <w:tab w:leader="none" w:pos="1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the compensation of our directors;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disclosure required by SEC rules;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compensation committee report required by the SEC to be included in our annual proxy statement;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with respect to our equity compensation plans.</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Nominating and Corporate Governance Committee</w:t>
      </w:r>
    </w:p>
    <w:p>
      <w:pPr>
        <w:spacing w:after="0" w:line="1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Upon completion of this offering, we expect our nominating and corporate governance committee will consist of Mr. Best, Mr. Schmidt, and Ms.</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Sunder, with Mr. Schmidt serving as chair. The nominating and corporate governance committee is responsible for, among other things:</w:t>
      </w:r>
    </w:p>
    <w:p>
      <w:pPr>
        <w:spacing w:after="0" w:line="99" w:lineRule="exact"/>
        <w:rPr>
          <w:sz w:val="20"/>
          <w:szCs w:val="20"/>
          <w:color w:val="auto"/>
        </w:rPr>
      </w:pPr>
    </w:p>
    <w:p>
      <w:pPr>
        <w:ind w:left="1600" w:hanging="383"/>
        <w:spacing w:after="0"/>
        <w:tabs>
          <w:tab w:leader="none" w:pos="1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assisting our board of directors in identifying prospective director nominees and recommending nominees to the board of directors;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evaluation of the board of directors;</w:t>
      </w:r>
    </w:p>
    <w:p>
      <w:pPr>
        <w:spacing w:after="0" w:line="115" w:lineRule="exact"/>
        <w:rPr>
          <w:rFonts w:ascii="Times New Roman" w:cs="Times New Roman" w:eastAsia="Times New Roman" w:hAnsi="Times New Roman"/>
          <w:sz w:val="16"/>
          <w:szCs w:val="16"/>
          <w:color w:val="auto"/>
        </w:rPr>
      </w:pPr>
    </w:p>
    <w:p>
      <w:pPr>
        <w:ind w:left="1600" w:right="80" w:hanging="383"/>
        <w:spacing w:after="0" w:line="281" w:lineRule="auto"/>
        <w:tabs>
          <w:tab w:leader="none" w:pos="1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developments in corporate governance practices and developing and recommending a set of corporate governance guidelines; and</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members for each committee of our board of directors.</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Risk and Compliance Committee</w:t>
      </w:r>
    </w:p>
    <w:p>
      <w:pPr>
        <w:spacing w:after="0" w:line="107"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Upon completion of this offering, we expect our risk and compliance committee will consist of Mr. Best, Mr. C. Mills, Mr. Schmidt, Ms. Sunder, and Mr. Sweet, with Mr. Best serving as chair. The risk and compliance committee is responsible for, among other things:</w:t>
      </w:r>
    </w:p>
    <w:p>
      <w:pPr>
        <w:spacing w:after="0" w:line="60" w:lineRule="exact"/>
        <w:rPr>
          <w:sz w:val="20"/>
          <w:szCs w:val="20"/>
          <w:color w:val="auto"/>
        </w:rPr>
      </w:pPr>
    </w:p>
    <w:p>
      <w:pPr>
        <w:ind w:left="1600" w:right="220" w:hanging="383"/>
        <w:spacing w:after="0" w:line="281" w:lineRule="auto"/>
        <w:tabs>
          <w:tab w:leader="none" w:pos="16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Company’s risk management framework and compliance program as well as infrastructure designed to identify, assess, manage, and monitor the Company’s risks;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risk management and compliance program policies, guidelines and practices implemented by management;</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allocation of risk oversight responsibilities to the board of directors and its committees; and</w:t>
      </w:r>
    </w:p>
    <w:p>
      <w:pPr>
        <w:spacing w:after="0" w:line="115" w:lineRule="exact"/>
        <w:rPr>
          <w:rFonts w:ascii="Times New Roman" w:cs="Times New Roman" w:eastAsia="Times New Roman" w:hAnsi="Times New Roman"/>
          <w:sz w:val="16"/>
          <w:szCs w:val="16"/>
          <w:color w:val="auto"/>
        </w:rPr>
      </w:pPr>
    </w:p>
    <w:p>
      <w:pPr>
        <w:ind w:left="1600" w:right="220" w:hanging="383"/>
        <w:spacing w:after="0" w:line="281" w:lineRule="auto"/>
        <w:tabs>
          <w:tab w:leader="none" w:pos="16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management’s exercise of its responsibility to manage legal and regulatory compliance and material government and other investigations.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Compensation Committee Interlocks and Insider Participation</w:t>
      </w:r>
    </w:p>
    <w:p>
      <w:pPr>
        <w:spacing w:after="0" w:line="105" w:lineRule="exact"/>
        <w:rPr>
          <w:sz w:val="20"/>
          <w:szCs w:val="20"/>
          <w:color w:val="auto"/>
        </w:rPr>
      </w:pPr>
    </w:p>
    <w:p>
      <w:pPr>
        <w:ind w:left="740" w:right="100" w:firstLine="391"/>
        <w:spacing w:after="0" w:line="256" w:lineRule="auto"/>
        <w:rPr>
          <w:sz w:val="20"/>
          <w:szCs w:val="20"/>
          <w:color w:val="auto"/>
        </w:rPr>
      </w:pPr>
      <w:r>
        <w:rPr>
          <w:rFonts w:ascii="Times New Roman" w:cs="Times New Roman" w:eastAsia="Times New Roman" w:hAnsi="Times New Roman"/>
          <w:sz w:val="16"/>
          <w:szCs w:val="16"/>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Code of Ethics</w:t>
      </w:r>
    </w:p>
    <w:p>
      <w:pPr>
        <w:spacing w:after="0" w:line="105" w:lineRule="exact"/>
        <w:rPr>
          <w:sz w:val="20"/>
          <w:szCs w:val="20"/>
          <w:color w:val="auto"/>
        </w:rPr>
      </w:pPr>
    </w:p>
    <w:p>
      <w:pPr>
        <w:ind w:left="740" w:right="200" w:firstLine="391"/>
        <w:spacing w:after="0" w:line="281" w:lineRule="auto"/>
        <w:rPr>
          <w:sz w:val="20"/>
          <w:szCs w:val="20"/>
          <w:color w:val="auto"/>
        </w:rPr>
      </w:pPr>
      <w:r>
        <w:rPr>
          <w:rFonts w:ascii="Times New Roman" w:cs="Times New Roman" w:eastAsia="Times New Roman" w:hAnsi="Times New Roman"/>
          <w:sz w:val="16"/>
          <w:szCs w:val="16"/>
          <w:color w:val="auto"/>
        </w:rPr>
        <w:t>We will adopt a new Code of Business Conduct and Ethics that applies to all of our officers, directors, and employees, including our principal executive officer, principal financial officer, principal accounting officer, and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169</w:t>
      </w:r>
    </w:p>
    <w:p>
      <w:pPr>
        <w:sectPr>
          <w:pgSz w:w="11900" w:h="16838" w:orient="portrait"/>
          <w:cols w:equalWidth="0" w:num="1">
            <w:col w:w="10380"/>
          </w:cols>
          <w:pgMar w:left="320" w:top="420" w:right="11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91" w:lineRule="auto"/>
        <w:rPr>
          <w:sz w:val="20"/>
          <w:szCs w:val="20"/>
          <w:color w:val="auto"/>
        </w:rPr>
      </w:pPr>
      <w:r>
        <w:rPr>
          <w:rFonts w:ascii="Times New Roman" w:cs="Times New Roman" w:eastAsia="Times New Roman" w:hAnsi="Times New Roman"/>
          <w:sz w:val="15"/>
          <w:szCs w:val="15"/>
          <w:color w:val="auto"/>
        </w:rPr>
        <w:t>controller, or persons performing similar functions, which will be posted on our website. Our Code of Business Conduct and Ethics is a “code of ethics,” as defined in Item 406(b) of Regulation S-K.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23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Compensation Discussion and Analysis</w:t>
      </w:r>
    </w:p>
    <w:p>
      <w:pPr>
        <w:spacing w:after="0" w:line="107" w:lineRule="exact"/>
        <w:rPr>
          <w:sz w:val="20"/>
          <w:szCs w:val="20"/>
          <w:color w:val="auto"/>
        </w:rPr>
      </w:pPr>
    </w:p>
    <w:p>
      <w:pPr>
        <w:ind w:left="740" w:firstLine="391"/>
        <w:spacing w:after="0" w:line="291" w:lineRule="auto"/>
        <w:rPr>
          <w:sz w:val="20"/>
          <w:szCs w:val="20"/>
          <w:color w:val="auto"/>
        </w:rPr>
      </w:pPr>
      <w:r>
        <w:rPr>
          <w:rFonts w:ascii="Times New Roman" w:cs="Times New Roman" w:eastAsia="Times New Roman" w:hAnsi="Times New Roman"/>
          <w:sz w:val="15"/>
          <w:szCs w:val="15"/>
          <w:color w:val="auto"/>
        </w:rPr>
        <w:t>This Compensation Discussion and Analysis provides an overview of our executive compensation philosophy, the overall objectives of our executive compensation program, and each material element of compensation for the fiscal year ended December 31, 2024 that we provided to the following executive officers (whom we refer to as our “Named Executive Officers”), who served in the following principal capacities during fiscal 2024:</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3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51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vMerge w:val="continue"/>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5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President and Chief Operating Officer</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Human Resources Officer</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51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EVP Supply Chain</w:t>
            </w:r>
            <w:r>
              <w:rPr>
                <w:rFonts w:ascii="Times New Roman" w:cs="Times New Roman" w:eastAsia="Times New Roman" w:hAnsi="Times New Roman"/>
                <w:sz w:val="22"/>
                <w:szCs w:val="22"/>
                <w:color w:val="auto"/>
                <w:vertAlign w:val="superscript"/>
              </w:rPr>
              <w:t>(1)</w:t>
            </w: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5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Commercial Officer</w:t>
            </w:r>
            <w:r>
              <w:rPr>
                <w:rFonts w:ascii="Times New Roman" w:cs="Times New Roman" w:eastAsia="Times New Roman" w:hAnsi="Times New Roman"/>
                <w:sz w:val="23"/>
                <w:szCs w:val="23"/>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8453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 w:lineRule="exact"/>
        <w:rPr>
          <w:sz w:val="20"/>
          <w:szCs w:val="20"/>
          <w:color w:val="auto"/>
        </w:rPr>
      </w:pPr>
    </w:p>
    <w:p>
      <w:pPr>
        <w:ind w:left="1120" w:hanging="382"/>
        <w:spacing w:after="0"/>
        <w:tabs>
          <w:tab w:leader="none" w:pos="11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January 1, 2025, Mr. Miller assumed the role of Chief Operating Officer. Effective December 31, 2025, Mr. Pigott will retire as President of Medline.</w:t>
      </w:r>
    </w:p>
    <w:p>
      <w:pPr>
        <w:ind w:left="1120" w:hanging="382"/>
        <w:spacing w:after="0"/>
        <w:tabs>
          <w:tab w:leader="none" w:pos="11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voluntarily elected to name Mr. Golwas as an additional Named Executive Officer in this prospectus.</w:t>
      </w:r>
    </w:p>
    <w:p>
      <w:pPr>
        <w:spacing w:after="0" w:line="163"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The compensation committee of our board of directors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our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Executive Compensation Objectives and Philosophy</w:t>
      </w:r>
    </w:p>
    <w:p>
      <w:pPr>
        <w:spacing w:after="0" w:line="107"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The goal of our executive compensation program is to create long-term value for our investors while at the same time rewarding our executives for superior financial and operating performance and support retention in a competitive market environment. We believe the most effective way to achieve this objective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80" w:lineRule="exact"/>
        <w:rPr>
          <w:sz w:val="20"/>
          <w:szCs w:val="20"/>
          <w:color w:val="auto"/>
        </w:rPr>
      </w:pPr>
    </w:p>
    <w:p>
      <w:pPr>
        <w:jc w:val="both"/>
        <w:ind w:left="1600" w:right="420" w:hanging="383"/>
        <w:spacing w:after="0" w:line="291" w:lineRule="auto"/>
        <w:tabs>
          <w:tab w:leader="none" w:pos="16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Market Competitive</w:t>
      </w:r>
      <w:r>
        <w:rPr>
          <w:rFonts w:ascii="Times New Roman" w:cs="Times New Roman" w:eastAsia="Times New Roman" w:hAnsi="Times New Roman"/>
          <w:sz w:val="15"/>
          <w:szCs w:val="15"/>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170</w:t>
      </w:r>
    </w:p>
    <w:p>
      <w:pPr>
        <w:sectPr>
          <w:pgSz w:w="11900" w:h="16838" w:orient="portrait"/>
          <w:cols w:equalWidth="0" w:num="1">
            <w:col w:w="10500"/>
          </w:cols>
          <w:pgMar w:left="320" w:top="420" w:right="10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240" w:hanging="383"/>
        <w:spacing w:after="0" w:line="281" w:lineRule="auto"/>
        <w:tabs>
          <w:tab w:leader="none" w:pos="16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w:t>
      </w:r>
      <w:r>
        <w:rPr>
          <w:rFonts w:ascii="Times New Roman" w:cs="Times New Roman" w:eastAsia="Times New Roman" w:hAnsi="Times New Roman"/>
          <w:sz w:val="16"/>
          <w:szCs w:val="16"/>
          <w:color w:val="auto"/>
        </w:rPr>
        <w:t>: A significant portion of executive compensation should be performance-based pay that is “at risk,” based on short-term and long-term goals, which reward both organizational and individual performance; and</w:t>
      </w:r>
    </w:p>
    <w:p>
      <w:pPr>
        <w:spacing w:after="0" w:line="60" w:lineRule="exact"/>
        <w:rPr>
          <w:rFonts w:ascii="Times New Roman" w:cs="Times New Roman" w:eastAsia="Times New Roman" w:hAnsi="Times New Roman"/>
          <w:sz w:val="16"/>
          <w:szCs w:val="16"/>
          <w:color w:val="auto"/>
        </w:rPr>
      </w:pPr>
    </w:p>
    <w:p>
      <w:pPr>
        <w:ind w:left="1600" w:right="40" w:hanging="383"/>
        <w:spacing w:after="0" w:line="281" w:lineRule="auto"/>
        <w:tabs>
          <w:tab w:leader="none" w:pos="16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Investor Aligned</w:t>
      </w:r>
      <w:r>
        <w:rPr>
          <w:rFonts w:ascii="Times New Roman" w:cs="Times New Roman" w:eastAsia="Times New Roman" w:hAnsi="Times New Roman"/>
          <w:sz w:val="16"/>
          <w:szCs w:val="16"/>
          <w:color w:val="auto"/>
        </w:rPr>
        <w:t>: Incentives should be structured to create a strong alignment between executives and investors on both a short-term and a long-term basis.</w:t>
      </w:r>
    </w:p>
    <w:p>
      <w:pPr>
        <w:spacing w:after="0" w:line="144"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Process for Determining 2024 Compensation</w:t>
      </w:r>
    </w:p>
    <w:p>
      <w:pPr>
        <w:spacing w:after="0" w:line="107"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64" w:lineRule="exact"/>
        <w:rPr>
          <w:sz w:val="20"/>
          <w:szCs w:val="20"/>
          <w:color w:val="auto"/>
        </w:rPr>
      </w:pPr>
    </w:p>
    <w:p>
      <w:pPr>
        <w:ind w:left="740" w:right="60" w:firstLine="391"/>
        <w:spacing w:after="0" w:line="279" w:lineRule="auto"/>
        <w:rPr>
          <w:sz w:val="20"/>
          <w:szCs w:val="20"/>
          <w:color w:val="auto"/>
        </w:rPr>
      </w:pPr>
      <w:r>
        <w:rPr>
          <w:rFonts w:ascii="Times New Roman" w:cs="Times New Roman" w:eastAsia="Times New Roman" w:hAnsi="Times New Roman"/>
          <w:sz w:val="15"/>
          <w:szCs w:val="15"/>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on all of our Named Executive Officers (other than the Chief Executive Officer), and the compensation committee determines each Named Executive Officer’s compensation at least annually.</w:t>
      </w:r>
    </w:p>
    <w:p>
      <w:pPr>
        <w:spacing w:after="0" w:line="147"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For 2024, the compensation committee also reviewed and considered survey and benchmarking data of a comparator group of companies prepared by management’s compensation consultant, Aon. To inform our compensation decision, we use a peer group of companies that are similar to us in terms of assets and revenues and with which we compete for executive talent. The compensation committee does not set compensation levels for our executive officers within a fixed range of benchmarks of our peer companies; however, the compensation committee reviews such peer company information and market data to better assess the range of compensation needed to attract, retain, and motivate executive talent in our highly competitive industry. In selecting the peer group, the aim was to select the most appropriate companies against which our compensation-related performance should be measured. The peer group for 2024 consisted of twenty-one publicly traded companies with revenues between approximately 0.5 to 2.5 times those of Medline.</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171</w:t>
      </w:r>
    </w:p>
    <w:p>
      <w:pPr>
        <w:sectPr>
          <w:pgSz w:w="11900" w:h="16838" w:orient="portrait"/>
          <w:cols w:equalWidth="0" w:num="1">
            <w:col w:w="10500"/>
          </w:cols>
          <w:pgMar w:left="320" w:top="421" w:right="107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Applying these criteria, the compensation committee approved the companies listed below as the peer group for 2024 compensation decisions:</w:t>
      </w:r>
    </w:p>
    <w:p>
      <w:pPr>
        <w:spacing w:after="0" w:line="223"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3M Company</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Ecolab Inc.</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Medtronic plc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Abbott Laboratories</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Mills, Inc.</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Mondelēz International, Inc.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AbbVie Inc.</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HCA Healthcare, Inc.</w:t>
            </w:r>
          </w:p>
        </w:tc>
        <w:tc>
          <w:tcPr>
            <w:tcW w:w="26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  Owens &amp; Minor, Inc.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Baxter International Inc.</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Henry Schein, Inc.</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9"/>
              </w:rPr>
              <w:t>Parker-Hannifin Corporation</w:t>
            </w:r>
          </w:p>
        </w:tc>
      </w:tr>
      <w:tr>
        <w:trPr>
          <w:trHeight w:val="192"/>
        </w:trPr>
        <w:tc>
          <w:tcPr>
            <w:tcW w:w="2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Becton, Dickinson and Company</w:t>
            </w:r>
          </w:p>
        </w:tc>
        <w:tc>
          <w:tcPr>
            <w:tcW w:w="31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   Illinois Tool Works Inc.</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STERIS plc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Colgate-Palmolive Company</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Kellanova</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Teleflex Incorporated</w:t>
            </w:r>
          </w:p>
        </w:tc>
      </w:tr>
      <w:tr>
        <w:trPr>
          <w:trHeight w:val="208"/>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7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Danaher Corporation</w:t>
            </w:r>
          </w:p>
        </w:tc>
        <w:tc>
          <w:tcPr>
            <w:tcW w:w="7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4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Kimberly-Clark Corporation</w:t>
            </w: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W.W. Grainger, Inc.</w:t>
            </w:r>
          </w:p>
        </w:tc>
      </w:tr>
    </w:tbl>
    <w:p>
      <w:pPr>
        <w:spacing w:after="0" w:line="175"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In alignment with the considerations described above, the compensation committee determined the total amount of compensation for our Named Executive Officers, and the allocation of total compensation among each of our three main components of compensation described below.</w:t>
      </w:r>
    </w:p>
    <w:p>
      <w:pPr>
        <w:spacing w:after="0" w:line="144" w:lineRule="exact"/>
        <w:rPr>
          <w:sz w:val="20"/>
          <w:szCs w:val="20"/>
          <w:color w:val="auto"/>
        </w:rPr>
      </w:pPr>
    </w:p>
    <w:p>
      <w:pPr>
        <w:ind w:left="740" w:right="140" w:firstLine="391"/>
        <w:spacing w:after="0" w:line="257" w:lineRule="auto"/>
        <w:rPr>
          <w:sz w:val="20"/>
          <w:szCs w:val="20"/>
          <w:color w:val="auto"/>
        </w:rPr>
      </w:pPr>
      <w:r>
        <w:rPr>
          <w:rFonts w:ascii="Times New Roman" w:cs="Times New Roman" w:eastAsia="Times New Roman" w:hAnsi="Times New Roman"/>
          <w:sz w:val="16"/>
          <w:szCs w:val="16"/>
          <w:color w:val="auto"/>
        </w:rPr>
        <w:t>In 2024, Medline retained Korn Ferry as its compensation consultant. Korn Ferry has provided benchmarking data for 2025 compensation planning and has worked with management and the compensation committee on the overall compensation structure for our senior leadership team in anticipation of this offering. As part of its work, Korn Ferry recommended, and the compensation committee approved, changes to the peer group to place greater weight on the peer group’s size and performance profile and to rebalance the peer group by focusing on revenue, revenue growth and market performance. For 2025, the peer group consists of the following companies:</w:t>
      </w:r>
    </w:p>
    <w:p>
      <w:pPr>
        <w:spacing w:after="0" w:line="188" w:lineRule="exact"/>
        <w:rPr>
          <w:sz w:val="20"/>
          <w:szCs w:val="20"/>
          <w:color w:val="auto"/>
        </w:rPr>
      </w:pPr>
    </w:p>
    <w:tbl>
      <w:tblPr>
        <w:tblLayout w:type="fixed"/>
        <w:tblInd w:w="1060" w:type="dxa"/>
        <w:tblCellMar>
          <w:top w:w="0" w:type="dxa"/>
          <w:left w:w="0" w:type="dxa"/>
          <w:bottom w:w="0" w:type="dxa"/>
          <w:right w:w="0" w:type="dxa"/>
        </w:tblCellMar>
      </w:tblP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3M Company</w:t>
            </w:r>
          </w:p>
        </w:tc>
        <w:tc>
          <w:tcPr>
            <w:tcW w:w="14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9"/>
              </w:rPr>
              <w:t>Honeywell International Inc.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Abbott Laboratories</w:t>
            </w:r>
          </w:p>
        </w:tc>
        <w:tc>
          <w:tcPr>
            <w:tcW w:w="340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   Illinois Tool Works, Inc.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Baxter International Inc.</w:t>
            </w:r>
          </w:p>
        </w:tc>
        <w:tc>
          <w:tcPr>
            <w:tcW w:w="14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Kimberly-Clark Corporation</w:t>
            </w: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Becton, Dickinson and Company</w:t>
            </w:r>
          </w:p>
        </w:tc>
        <w:tc>
          <w:tcPr>
            <w:tcW w:w="14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Medtronic plc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Colgate-Palmolive Company</w:t>
            </w:r>
          </w:p>
        </w:tc>
        <w:tc>
          <w:tcPr>
            <w:tcW w:w="340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   Owens &amp; Minor, Inc.</w:t>
            </w:r>
          </w:p>
        </w:tc>
      </w:tr>
      <w:tr>
        <w:trPr>
          <w:trHeight w:val="192"/>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Danaher Corporation</w:t>
            </w:r>
          </w:p>
        </w:tc>
        <w:tc>
          <w:tcPr>
            <w:tcW w:w="14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Stryker Corporation</w:t>
            </w:r>
          </w:p>
        </w:tc>
      </w:tr>
      <w:tr>
        <w:trPr>
          <w:trHeight w:val="192"/>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GE HealthCare Technologies Inc.</w:t>
            </w:r>
          </w:p>
        </w:tc>
        <w:tc>
          <w:tcPr>
            <w:tcW w:w="3400" w:type="dxa"/>
            <w:vAlign w:val="bottom"/>
            <w:gridSpan w:val="2"/>
          </w:tcPr>
          <w:p>
            <w:pPr>
              <w:ind w:left="1280"/>
              <w:spacing w:after="0"/>
              <w:rPr>
                <w:sz w:val="20"/>
                <w:szCs w:val="20"/>
                <w:color w:val="auto"/>
              </w:rPr>
            </w:pPr>
            <w:r>
              <w:rPr>
                <w:rFonts w:ascii="Times New Roman" w:cs="Times New Roman" w:eastAsia="Times New Roman" w:hAnsi="Times New Roman"/>
                <w:sz w:val="16"/>
                <w:szCs w:val="16"/>
                <w:color w:val="auto"/>
              </w:rPr>
              <w:t>•   Thermo Fisher Scientific Inc.</w:t>
            </w:r>
          </w:p>
        </w:tc>
      </w:tr>
      <w:tr>
        <w:trPr>
          <w:trHeight w:val="208"/>
        </w:trPr>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Henry Schein, Inc.</w:t>
            </w:r>
          </w:p>
        </w:tc>
        <w:tc>
          <w:tcPr>
            <w:tcW w:w="1440" w:type="dxa"/>
            <w:vAlign w:val="bottom"/>
          </w:tcPr>
          <w:p>
            <w:pPr>
              <w:ind w:left="128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W.W. Grainger, Inc.</w:t>
            </w:r>
          </w:p>
        </w:tc>
      </w:tr>
    </w:tbl>
    <w:p>
      <w:pPr>
        <w:spacing w:after="0" w:line="175"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Following this offering, 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Relationship of Compensation Practices to Risk Management</w:t>
      </w:r>
    </w:p>
    <w:p>
      <w:pPr>
        <w:spacing w:after="0" w:line="107" w:lineRule="exact"/>
        <w:rPr>
          <w:sz w:val="20"/>
          <w:szCs w:val="20"/>
          <w:color w:val="auto"/>
        </w:rPr>
      </w:pPr>
    </w:p>
    <w:p>
      <w:pPr>
        <w:ind w:left="740" w:right="200" w:firstLine="391"/>
        <w:spacing w:after="0" w:line="281" w:lineRule="auto"/>
        <w:rPr>
          <w:sz w:val="20"/>
          <w:szCs w:val="20"/>
          <w:color w:val="auto"/>
        </w:rPr>
      </w:pPr>
      <w:r>
        <w:rPr>
          <w:rFonts w:ascii="Times New Roman" w:cs="Times New Roman" w:eastAsia="Times New Roman" w:hAnsi="Times New Roman"/>
          <w:sz w:val="16"/>
          <w:szCs w:val="16"/>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60" w:lineRule="exact"/>
        <w:rPr>
          <w:sz w:val="20"/>
          <w:szCs w:val="20"/>
          <w:color w:val="auto"/>
        </w:rPr>
      </w:pPr>
    </w:p>
    <w:p>
      <w:pPr>
        <w:ind w:left="1600" w:hanging="383"/>
        <w:spacing w:after="0"/>
        <w:tabs>
          <w:tab w:leader="none" w:pos="16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Challenging, but attainable goals that are well-defined and communicated;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variable compensation tied to a mix of financial and operational objectives;</w:t>
      </w:r>
    </w:p>
    <w:p>
      <w:pPr>
        <w:spacing w:after="0" w:line="115" w:lineRule="exact"/>
        <w:rPr>
          <w:rFonts w:ascii="Times New Roman" w:cs="Times New Roman" w:eastAsia="Times New Roman" w:hAnsi="Times New Roman"/>
          <w:sz w:val="16"/>
          <w:szCs w:val="16"/>
          <w:color w:val="auto"/>
        </w:rPr>
      </w:pPr>
    </w:p>
    <w:p>
      <w:pPr>
        <w:ind w:left="1600" w:right="40" w:hanging="383"/>
        <w:spacing w:after="0" w:line="265" w:lineRule="auto"/>
        <w:tabs>
          <w:tab w:leader="none" w:pos="16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Multi-year, overlapping vesting terms for equity awards, and for the Chief Executive Officer, President and Chief Operating Officer, and EVP, Supply Chain, financial objectives for a portion of outstanding equity awards. Our equity awards only have value to the extent the long-term value of our company appreciates; and</w:t>
      </w:r>
    </w:p>
    <w:p>
      <w:pPr>
        <w:spacing w:after="0" w:line="73" w:lineRule="exact"/>
        <w:rPr>
          <w:rFonts w:ascii="Times New Roman" w:cs="Times New Roman" w:eastAsia="Times New Roman" w:hAnsi="Times New Roman"/>
          <w:sz w:val="16"/>
          <w:szCs w:val="16"/>
          <w:color w:val="auto"/>
        </w:rPr>
      </w:pPr>
    </w:p>
    <w:p>
      <w:pPr>
        <w:ind w:left="1600" w:right="140" w:hanging="383"/>
        <w:spacing w:after="0" w:line="281" w:lineRule="auto"/>
        <w:tabs>
          <w:tab w:leader="none" w:pos="160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Establishment of controls in the administration of our plans to ensure performance against established company performance metrics is objectively and independently determined.</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172</w:t>
      </w:r>
    </w:p>
    <w:p>
      <w:pPr>
        <w:sectPr>
          <w:pgSz w:w="11900" w:h="16838" w:orient="portrait"/>
          <w:cols w:equalWidth="0" w:num="1">
            <w:col w:w="10360"/>
          </w:cols>
          <w:pgMar w:left="320" w:top="421" w:right="12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Considerations in Setting 2024 Compensation</w:t>
      </w:r>
    </w:p>
    <w:p>
      <w:pPr>
        <w:spacing w:after="0" w:line="107"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The 2024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2024 compensation of our Named Executive Officers was competitive while at the same time being responsible to our stockholders because a significant percentage of total compensation in 2024 was allocated to variable compensation. This variable compensation is paid only upon achievement of Company performance objectives and individual Named Executive Officer goals that contribute to the creation of stockholder value.</w:t>
      </w:r>
    </w:p>
    <w:p>
      <w:pPr>
        <w:spacing w:after="0" w:line="164" w:lineRule="exact"/>
        <w:rPr>
          <w:sz w:val="20"/>
          <w:szCs w:val="20"/>
          <w:color w:val="auto"/>
        </w:rPr>
      </w:pPr>
    </w:p>
    <w:p>
      <w:pPr>
        <w:ind w:left="740" w:right="480" w:firstLine="391"/>
        <w:spacing w:after="0" w:line="281" w:lineRule="auto"/>
        <w:rPr>
          <w:sz w:val="20"/>
          <w:szCs w:val="20"/>
          <w:color w:val="auto"/>
        </w:rPr>
      </w:pPr>
      <w:r>
        <w:rPr>
          <w:rFonts w:ascii="Times New Roman" w:cs="Times New Roman" w:eastAsia="Times New Roman" w:hAnsi="Times New Roman"/>
          <w:sz w:val="16"/>
          <w:szCs w:val="16"/>
          <w:color w:val="auto"/>
        </w:rPr>
        <w:t>The following is a summary of key considerations that affected the development of 2024 compensation decisions for our Named Executive Officers, and which the compensation committee believes will continue to affect its compensation decisions in future fiscal years:</w:t>
      </w:r>
    </w:p>
    <w:p>
      <w:pPr>
        <w:spacing w:after="0" w:line="142" w:lineRule="exact"/>
        <w:rPr>
          <w:sz w:val="20"/>
          <w:szCs w:val="20"/>
          <w:color w:val="auto"/>
        </w:rPr>
      </w:pPr>
    </w:p>
    <w:p>
      <w:pPr>
        <w:ind w:left="740" w:right="40" w:firstLine="391"/>
        <w:spacing w:after="0" w:line="258" w:lineRule="auto"/>
        <w:rPr>
          <w:sz w:val="20"/>
          <w:szCs w:val="20"/>
          <w:color w:val="auto"/>
        </w:rPr>
      </w:pPr>
      <w:r>
        <w:rPr>
          <w:rFonts w:ascii="Times New Roman" w:cs="Times New Roman" w:eastAsia="Times New Roman" w:hAnsi="Times New Roman"/>
          <w:sz w:val="16"/>
          <w:szCs w:val="16"/>
          <w:i w:val="1"/>
          <w:iCs w:val="1"/>
          <w:color w:val="auto"/>
        </w:rPr>
        <w:t>Use of Market Data</w:t>
      </w:r>
      <w:r>
        <w:rPr>
          <w:rFonts w:ascii="Times New Roman" w:cs="Times New Roman" w:eastAsia="Times New Roman" w:hAnsi="Times New Roman"/>
          <w:sz w:val="16"/>
          <w:szCs w:val="16"/>
          <w:color w:val="auto"/>
        </w:rPr>
        <w:t>. We establish target compensation levels that are consistent with market practice and internal equity considerations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61" w:lineRule="exact"/>
        <w:rPr>
          <w:sz w:val="20"/>
          <w:szCs w:val="20"/>
          <w:color w:val="auto"/>
        </w:rPr>
      </w:pPr>
    </w:p>
    <w:p>
      <w:pPr>
        <w:ind w:left="740" w:right="140" w:firstLine="391"/>
        <w:spacing w:after="0" w:line="261" w:lineRule="auto"/>
        <w:rPr>
          <w:sz w:val="20"/>
          <w:szCs w:val="20"/>
          <w:color w:val="auto"/>
        </w:rPr>
      </w:pPr>
      <w:r>
        <w:rPr>
          <w:rFonts w:ascii="Times New Roman" w:cs="Times New Roman" w:eastAsia="Times New Roman" w:hAnsi="Times New Roman"/>
          <w:sz w:val="16"/>
          <w:szCs w:val="16"/>
          <w:i w:val="1"/>
          <w:iCs w:val="1"/>
          <w:color w:val="auto"/>
        </w:rPr>
        <w:t>Emphasis on Performance</w:t>
      </w:r>
      <w:r>
        <w:rPr>
          <w:rFonts w:ascii="Times New Roman" w:cs="Times New Roman" w:eastAsia="Times New Roman" w:hAnsi="Times New Roman"/>
          <w:sz w:val="16"/>
          <w:szCs w:val="16"/>
          <w:color w:val="auto"/>
        </w:rPr>
        <w:t>. Our compensation program provides increased pay opportunities upon achievement of goals correlated with superior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58" w:lineRule="exact"/>
        <w:rPr>
          <w:sz w:val="20"/>
          <w:szCs w:val="20"/>
          <w:color w:val="auto"/>
        </w:rPr>
      </w:pPr>
    </w:p>
    <w:p>
      <w:pPr>
        <w:ind w:left="740" w:right="20" w:firstLine="391"/>
        <w:spacing w:after="0" w:line="258" w:lineRule="auto"/>
        <w:rPr>
          <w:sz w:val="20"/>
          <w:szCs w:val="20"/>
          <w:color w:val="auto"/>
        </w:rPr>
      </w:pPr>
      <w:r>
        <w:rPr>
          <w:rFonts w:ascii="Times New Roman" w:cs="Times New Roman" w:eastAsia="Times New Roman" w:hAnsi="Times New Roman"/>
          <w:sz w:val="16"/>
          <w:szCs w:val="16"/>
          <w:i w:val="1"/>
          <w:iCs w:val="1"/>
          <w:color w:val="auto"/>
        </w:rPr>
        <w:t>Importance of Company Results</w:t>
      </w:r>
      <w:r>
        <w:rPr>
          <w:rFonts w:ascii="Times New Roman" w:cs="Times New Roman" w:eastAsia="Times New Roman" w:hAnsi="Times New Roman"/>
          <w:sz w:val="16"/>
          <w:szCs w:val="16"/>
          <w:color w:val="auto"/>
        </w:rPr>
        <w:t>. In determining the amount of cash bonus for each Named Executive Officer, we consider, among other things,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performance with respect to our success in implementing our business strategies that yield long-term benefits and align our Named Executive Officers’ interests with those of our investors. The compensation committee believes it is important to hold our Named Executive Officers accountable for overall Company results. For a discussion of the individual and Company performance measures considered by the Committee (as defined below) in connection with 2024 bonus payments, see “—Compensation Elements—Annual Incentive Compensation” below.</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Compensation Elements</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There are three key components of our executive compensation program for our senior leadership team, including our Named Executive Officers:</w:t>
      </w:r>
    </w:p>
    <w:p>
      <w:pPr>
        <w:spacing w:after="0" w:line="115" w:lineRule="exact"/>
        <w:rPr>
          <w:sz w:val="20"/>
          <w:szCs w:val="20"/>
          <w:color w:val="auto"/>
        </w:rPr>
      </w:pPr>
    </w:p>
    <w:p>
      <w:pPr>
        <w:ind w:left="1600" w:hanging="383"/>
        <w:spacing w:after="0"/>
        <w:tabs>
          <w:tab w:leader="none" w:pos="16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salary;</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incentive bonus; and</w:t>
      </w:r>
    </w:p>
    <w:p>
      <w:pPr>
        <w:spacing w:after="0" w:line="115" w:lineRule="exact"/>
        <w:rPr>
          <w:rFonts w:ascii="Times New Roman" w:cs="Times New Roman" w:eastAsia="Times New Roman" w:hAnsi="Times New Roman"/>
          <w:sz w:val="16"/>
          <w:szCs w:val="16"/>
          <w:color w:val="auto"/>
        </w:rPr>
      </w:pPr>
    </w:p>
    <w:p>
      <w:pPr>
        <w:ind w:left="1600" w:right="420" w:hanging="383"/>
        <w:spacing w:after="0" w:line="281" w:lineRule="auto"/>
        <w:tabs>
          <w:tab w:leader="none" w:pos="160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Long-term equity incentive compensation in the form of Class B Units, which are intended to be profits interests for U.S. income tax purposes.</w:t>
      </w:r>
    </w:p>
    <w:p>
      <w:pPr>
        <w:spacing w:after="0" w:line="144" w:lineRule="exact"/>
        <w:rPr>
          <w:sz w:val="20"/>
          <w:szCs w:val="20"/>
          <w:color w:val="auto"/>
        </w:rPr>
      </w:pPr>
    </w:p>
    <w:p>
      <w:pPr>
        <w:ind w:left="740" w:right="780" w:firstLine="391"/>
        <w:spacing w:after="0" w:line="281" w:lineRule="auto"/>
        <w:rPr>
          <w:sz w:val="20"/>
          <w:szCs w:val="20"/>
          <w:color w:val="auto"/>
        </w:rPr>
      </w:pPr>
      <w:r>
        <w:rPr>
          <w:rFonts w:ascii="Times New Roman" w:cs="Times New Roman" w:eastAsia="Times New Roman" w:hAnsi="Times New Roman"/>
          <w:sz w:val="16"/>
          <w:szCs w:val="16"/>
          <w:color w:val="auto"/>
        </w:rPr>
        <w:t>In addition to these key compensation elements, the Named Executive Officers are provided certain other compensation. See “—Other Compensation.”</w:t>
      </w:r>
    </w:p>
    <w:p>
      <w:pPr>
        <w:spacing w:after="0" w:line="144"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173</w:t>
      </w:r>
    </w:p>
    <w:p>
      <w:pPr>
        <w:sectPr>
          <w:pgSz w:w="11900" w:h="16838" w:orient="portrait"/>
          <w:cols w:equalWidth="0" w:num="1">
            <w:col w:w="10500"/>
          </w:cols>
          <w:pgMar w:left="320" w:top="421" w:right="10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Base Salary</w:t>
      </w:r>
    </w:p>
    <w:p>
      <w:pPr>
        <w:spacing w:after="0" w:line="107" w:lineRule="exact"/>
        <w:rPr>
          <w:sz w:val="20"/>
          <w:szCs w:val="20"/>
          <w:color w:val="auto"/>
        </w:rPr>
      </w:pPr>
    </w:p>
    <w:p>
      <w:pPr>
        <w:ind w:left="740" w:firstLine="391"/>
        <w:spacing w:after="0" w:line="272" w:lineRule="auto"/>
        <w:rPr>
          <w:sz w:val="20"/>
          <w:szCs w:val="20"/>
          <w:color w:val="auto"/>
        </w:rPr>
      </w:pPr>
      <w:r>
        <w:rPr>
          <w:rFonts w:ascii="Times New Roman" w:cs="Times New Roman" w:eastAsia="Times New Roman" w:hAnsi="Times New Roman"/>
          <w:sz w:val="15"/>
          <w:szCs w:val="15"/>
          <w:color w:val="auto"/>
        </w:rPr>
        <w:t>The compensation committee believes that base salaries are an important component of our executive compensation program and are critical in attracting and retaining executive talent. The compensation committee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company-wide target for base salary increases for all employees, its members’ knowledge of market and competitive salary information,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receives an evaluation from the Chief Executive Officer on that person’s performance and a recommendation for a salary adjustment. No formulaic base salary increases are provided to the Named Executive Officers.</w:t>
      </w:r>
    </w:p>
    <w:p>
      <w:pPr>
        <w:spacing w:after="0" w:line="157" w:lineRule="exact"/>
        <w:rPr>
          <w:sz w:val="20"/>
          <w:szCs w:val="20"/>
          <w:color w:val="auto"/>
        </w:rPr>
      </w:pPr>
    </w:p>
    <w:p>
      <w:pPr>
        <w:ind w:left="740" w:right="360" w:firstLine="391"/>
        <w:spacing w:after="0" w:line="260" w:lineRule="auto"/>
        <w:rPr>
          <w:sz w:val="20"/>
          <w:szCs w:val="20"/>
          <w:color w:val="auto"/>
        </w:rPr>
      </w:pPr>
      <w:r>
        <w:rPr>
          <w:rFonts w:ascii="Times New Roman" w:cs="Times New Roman" w:eastAsia="Times New Roman" w:hAnsi="Times New Roman"/>
          <w:sz w:val="16"/>
          <w:szCs w:val="16"/>
          <w:color w:val="auto"/>
        </w:rPr>
        <w:t>Based on its review of peer data and each Named Executive Officer’s individual performance, the compensation committee approved the following increases to the base salaries of our Named Executive Officers for fiscal 2024: Mr. Drazin’s base salary was increased from $775,000 to $810,000 and Mr. Miller’s base salary was increased from $624,000 to $724,000. No changes were made to the base salaries of our other Named Executive Officers for fiscal 2024.</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base salary for each of our Named Executive Officers during the fiscal year ended December 31, 2024 was as follows:</w:t>
      </w:r>
    </w:p>
    <w:p>
      <w:pPr>
        <w:spacing w:after="0" w:line="200"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37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8"/>
              </w:rPr>
              <w:t>Fiscal</w:t>
            </w: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80" w:type="dxa"/>
            <w:vAlign w:val="bottom"/>
          </w:tcPr>
          <w:p>
            <w:pPr>
              <w:jc w:val="center"/>
              <w:ind w:right="67"/>
              <w:spacing w:after="0" w:line="132" w:lineRule="exact"/>
              <w:rPr>
                <w:sz w:val="20"/>
                <w:szCs w:val="20"/>
                <w:color w:val="auto"/>
              </w:rPr>
            </w:pPr>
            <w:r>
              <w:rPr>
                <w:rFonts w:ascii="Times New Roman" w:cs="Times New Roman" w:eastAsia="Times New Roman" w:hAnsi="Times New Roman"/>
                <w:sz w:val="13"/>
                <w:szCs w:val="13"/>
                <w:b w:val="1"/>
                <w:bCs w:val="1"/>
                <w:color w:val="auto"/>
                <w:w w:val="95"/>
              </w:rPr>
              <w:t>Year Ended</w:t>
            </w: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2940" w:type="dxa"/>
            <w:vAlign w:val="bottom"/>
            <w:gridSpan w:val="2"/>
          </w:tcPr>
          <w:p>
            <w:pPr>
              <w:jc w:val="center"/>
              <w:ind w:left="1922"/>
              <w:spacing w:after="0" w:line="132"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32"/>
        </w:trPr>
        <w:tc>
          <w:tcPr>
            <w:tcW w:w="3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160" w:type="dxa"/>
            <w:vAlign w:val="bottom"/>
          </w:tcPr>
          <w:p>
            <w:pPr>
              <w:spacing w:after="0"/>
              <w:rPr>
                <w:sz w:val="11"/>
                <w:szCs w:val="11"/>
                <w:color w:val="auto"/>
              </w:rPr>
            </w:pPr>
          </w:p>
        </w:tc>
        <w:tc>
          <w:tcPr>
            <w:tcW w:w="780" w:type="dxa"/>
            <w:vAlign w:val="bottom"/>
          </w:tcPr>
          <w:p>
            <w:pPr>
              <w:jc w:val="center"/>
              <w:ind w:right="87"/>
              <w:spacing w:after="0" w:line="132"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54"/>
        </w:trPr>
        <w:tc>
          <w:tcPr>
            <w:tcW w:w="370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7"/>
              </w:rPr>
              <w:t>Base Salary</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0" w:type="dxa"/>
            <w:vAlign w:val="bottom"/>
          </w:tcPr>
          <w:p>
            <w:pPr>
              <w:spacing w:after="0"/>
              <w:rPr>
                <w:sz w:val="1"/>
                <w:szCs w:val="1"/>
                <w:color w:val="auto"/>
              </w:rPr>
            </w:pPr>
          </w:p>
        </w:tc>
      </w:tr>
      <w:tr>
        <w:trPr>
          <w:trHeight w:val="192"/>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810,000</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1,100,000</w:t>
            </w:r>
          </w:p>
        </w:tc>
        <w:tc>
          <w:tcPr>
            <w:tcW w:w="0" w:type="dxa"/>
            <w:vAlign w:val="bottom"/>
          </w:tcPr>
          <w:p>
            <w:pPr>
              <w:spacing w:after="0"/>
              <w:rPr>
                <w:sz w:val="1"/>
                <w:szCs w:val="1"/>
                <w:color w:val="auto"/>
              </w:rPr>
            </w:pPr>
          </w:p>
        </w:tc>
      </w:tr>
      <w:tr>
        <w:trPr>
          <w:trHeight w:val="192"/>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Christopher P. Shryock</w:t>
            </w:r>
            <w:r>
              <w:rPr>
                <w:rFonts w:ascii="Times New Roman" w:cs="Times New Roman" w:eastAsia="Times New Roman" w:hAnsi="Times New Roman"/>
                <w:sz w:val="22"/>
                <w:szCs w:val="22"/>
                <w:color w:val="auto"/>
                <w:vertAlign w:val="superscript"/>
              </w:rPr>
              <w:t>(1)</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0" w:type="dxa"/>
            <w:vAlign w:val="bottom"/>
          </w:tcPr>
          <w:p>
            <w:pPr>
              <w:spacing w:after="0"/>
              <w:rPr>
                <w:sz w:val="1"/>
                <w:szCs w:val="1"/>
                <w:color w:val="auto"/>
              </w:rPr>
            </w:pPr>
          </w:p>
        </w:tc>
      </w:tr>
      <w:tr>
        <w:trPr>
          <w:trHeight w:val="192"/>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724,000</w:t>
            </w:r>
          </w:p>
        </w:tc>
        <w:tc>
          <w:tcPr>
            <w:tcW w:w="0" w:type="dxa"/>
            <w:vAlign w:val="bottom"/>
          </w:tcPr>
          <w:p>
            <w:pPr>
              <w:spacing w:after="0"/>
              <w:rPr>
                <w:sz w:val="1"/>
                <w:szCs w:val="1"/>
                <w:color w:val="auto"/>
              </w:rPr>
            </w:pPr>
          </w:p>
        </w:tc>
      </w:tr>
      <w:tr>
        <w:trPr>
          <w:trHeight w:val="208"/>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65405</wp:posOffset>
            </wp:positionV>
            <wp:extent cx="68453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11" w:lineRule="exact"/>
        <w:rPr>
          <w:sz w:val="20"/>
          <w:szCs w:val="20"/>
          <w:color w:val="auto"/>
        </w:rPr>
      </w:pPr>
    </w:p>
    <w:p>
      <w:pPr>
        <w:ind w:left="1120" w:hanging="382"/>
        <w:spacing w:after="0"/>
        <w:tabs>
          <w:tab w:leader="none" w:pos="11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Shryock joined the Company as Chief Human Resources Officer on July 1, 2024. Salary paid to Mr. Shryock for fiscal 2024 was pro-rated based on his start date.</w:t>
      </w:r>
    </w:p>
    <w:p>
      <w:pPr>
        <w:spacing w:after="0" w:line="2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Annual Incentive Compensation</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174</w:t>
      </w:r>
    </w:p>
    <w:p>
      <w:pPr>
        <w:sectPr>
          <w:pgSz w:w="11900" w:h="16838" w:orient="portrait"/>
          <w:cols w:equalWidth="0" w:num="1">
            <w:col w:w="10440"/>
          </w:cols>
          <w:pgMar w:left="320" w:top="421" w:right="11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80"/>
        <w:spacing w:after="0" w:line="260" w:lineRule="auto"/>
        <w:rPr>
          <w:sz w:val="20"/>
          <w:szCs w:val="20"/>
          <w:color w:val="auto"/>
        </w:rPr>
      </w:pPr>
      <w:r>
        <w:rPr>
          <w:rFonts w:ascii="Times New Roman" w:cs="Times New Roman" w:eastAsia="Times New Roman" w:hAnsi="Times New Roman"/>
          <w:sz w:val="16"/>
          <w:szCs w:val="16"/>
          <w:color w:val="auto"/>
        </w:rPr>
        <w:t>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61"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Under our AIP, each Named Executive Officer has threshold, target and maximum bonus opportunities expressed as a percentage of the Named Executive Officer’s base salary. As described further below, the 2024 AIP payout opportunities for each of Messrs. Drazin, Shryock, Miller and Golwas included an “upside modifier,” which permitted each executive to earn up to an additional 25% of their maximum bonus opportunity depending on Company or functional area performance for certain financial performance goals. In addition, the 2024 AIP payout opportunity for Mr. Golwas included an “expense modifier,” which provided that Mr. Golwas’s AIP bonus payout would be lowered or raised $3,000 for each 10 basis point increase or decrease in total selling expense growth above or below 70% of sales growth, respectively, subject to a cap of $25,000, although the modifier cannot result in Mr. Golwas’s actual AIP payout being less than threshold nor greater than maximum. The 2024 AIP payout opportunities for Messrs. Boyle and Pigott included no such modifiers. For fiscal year 2024, our Named Executive Officers had target and maximum bonus opportunities under the AIP as follows:</w:t>
      </w:r>
    </w:p>
    <w:p>
      <w:pPr>
        <w:spacing w:after="0" w:line="171"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3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340" w:type="dxa"/>
            <w:vAlign w:val="bottom"/>
          </w:tcPr>
          <w:p>
            <w:pPr>
              <w:spacing w:after="0"/>
              <w:rPr>
                <w:sz w:val="12"/>
                <w:szCs w:val="12"/>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34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3"/>
                <w:szCs w:val="13"/>
                <w:b w:val="1"/>
                <w:bCs w:val="1"/>
                <w:color w:val="auto"/>
              </w:rPr>
              <w:t>Unmodified</w:t>
            </w:r>
          </w:p>
        </w:tc>
        <w:tc>
          <w:tcPr>
            <w:tcW w:w="34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8"/>
              </w:rPr>
              <w:t>Modified</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jc w:val="center"/>
              <w:ind w:right="480"/>
              <w:spacing w:after="0" w:line="132"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34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3"/>
                <w:szCs w:val="13"/>
                <w:b w:val="1"/>
                <w:bCs w:val="1"/>
                <w:color w:val="auto"/>
              </w:rPr>
              <w:t>Maximum</w:t>
            </w:r>
          </w:p>
        </w:tc>
        <w:tc>
          <w:tcPr>
            <w:tcW w:w="340" w:type="dxa"/>
            <w:vAlign w:val="bottom"/>
          </w:tcPr>
          <w:p>
            <w:pPr>
              <w:spacing w:after="0"/>
              <w:rPr>
                <w:sz w:val="11"/>
                <w:szCs w:val="11"/>
                <w:color w:val="auto"/>
              </w:rPr>
            </w:pPr>
          </w:p>
        </w:tc>
        <w:tc>
          <w:tcPr>
            <w:tcW w:w="9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jc w:val="center"/>
              <w:ind w:right="4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34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3"/>
                <w:szCs w:val="13"/>
                <w:b w:val="1"/>
                <w:bCs w:val="1"/>
                <w:color w:val="auto"/>
              </w:rPr>
              <w:t>Annual</w:t>
            </w:r>
          </w:p>
        </w:tc>
        <w:tc>
          <w:tcPr>
            <w:tcW w:w="340" w:type="dxa"/>
            <w:vAlign w:val="bottom"/>
          </w:tcPr>
          <w:p>
            <w:pPr>
              <w:spacing w:after="0"/>
              <w:rPr>
                <w:sz w:val="11"/>
                <w:szCs w:val="11"/>
                <w:color w:val="auto"/>
              </w:rPr>
            </w:pPr>
          </w:p>
        </w:tc>
        <w:tc>
          <w:tcPr>
            <w:tcW w:w="9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0" w:type="dxa"/>
            <w:vAlign w:val="bottom"/>
          </w:tcPr>
          <w:p>
            <w:pPr>
              <w:spacing w:after="0"/>
              <w:rPr>
                <w:sz w:val="1"/>
                <w:szCs w:val="1"/>
                <w:color w:val="auto"/>
              </w:rPr>
            </w:pPr>
          </w:p>
        </w:tc>
      </w:tr>
      <w:tr>
        <w:trPr>
          <w:trHeight w:val="132"/>
        </w:trPr>
        <w:tc>
          <w:tcPr>
            <w:tcW w:w="3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Bonus as a</w:t>
            </w:r>
          </w:p>
        </w:tc>
        <w:tc>
          <w:tcPr>
            <w:tcW w:w="340" w:type="dxa"/>
            <w:vAlign w:val="bottom"/>
          </w:tcPr>
          <w:p>
            <w:pPr>
              <w:spacing w:after="0"/>
              <w:rPr>
                <w:sz w:val="11"/>
                <w:szCs w:val="11"/>
                <w:color w:val="auto"/>
              </w:rPr>
            </w:pPr>
          </w:p>
        </w:tc>
        <w:tc>
          <w:tcPr>
            <w:tcW w:w="1200" w:type="dxa"/>
            <w:vAlign w:val="bottom"/>
            <w:gridSpan w:val="2"/>
          </w:tcPr>
          <w:p>
            <w:pPr>
              <w:jc w:val="center"/>
              <w:ind w:right="460"/>
              <w:spacing w:after="0" w:line="132" w:lineRule="exact"/>
              <w:rPr>
                <w:sz w:val="20"/>
                <w:szCs w:val="20"/>
                <w:color w:val="auto"/>
              </w:rPr>
            </w:pPr>
            <w:r>
              <w:rPr>
                <w:rFonts w:ascii="Times New Roman" w:cs="Times New Roman" w:eastAsia="Times New Roman" w:hAnsi="Times New Roman"/>
                <w:sz w:val="13"/>
                <w:szCs w:val="13"/>
                <w:b w:val="1"/>
                <w:bCs w:val="1"/>
                <w:color w:val="auto"/>
                <w:w w:val="97"/>
              </w:rPr>
              <w:t>Bonus as a</w:t>
            </w:r>
          </w:p>
        </w:tc>
        <w:tc>
          <w:tcPr>
            <w:tcW w:w="340" w:type="dxa"/>
            <w:vAlign w:val="bottom"/>
          </w:tcPr>
          <w:p>
            <w:pPr>
              <w:spacing w:after="0"/>
              <w:rPr>
                <w:sz w:val="11"/>
                <w:szCs w:val="11"/>
                <w:color w:val="auto"/>
              </w:rPr>
            </w:pPr>
          </w:p>
        </w:tc>
        <w:tc>
          <w:tcPr>
            <w:tcW w:w="9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Bonus as a</w:t>
            </w:r>
          </w:p>
        </w:tc>
        <w:tc>
          <w:tcPr>
            <w:tcW w:w="0" w:type="dxa"/>
            <w:vAlign w:val="bottom"/>
          </w:tcPr>
          <w:p>
            <w:pPr>
              <w:spacing w:after="0"/>
              <w:rPr>
                <w:sz w:val="1"/>
                <w:szCs w:val="1"/>
                <w:color w:val="auto"/>
              </w:rPr>
            </w:pPr>
          </w:p>
        </w:tc>
      </w:tr>
      <w:tr>
        <w:trPr>
          <w:trHeight w:val="132"/>
        </w:trPr>
        <w:tc>
          <w:tcPr>
            <w:tcW w:w="35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900" w:type="dxa"/>
            <w:vAlign w:val="bottom"/>
            <w:gridSpan w:val="3"/>
          </w:tcPr>
          <w:p>
            <w:pPr>
              <w:jc w:val="center"/>
              <w:ind w:left="163"/>
              <w:spacing w:after="0" w:line="132"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154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1280" w:type="dxa"/>
            <w:vAlign w:val="bottom"/>
            <w:gridSpan w:val="3"/>
          </w:tcPr>
          <w:p>
            <w:pPr>
              <w:jc w:val="center"/>
              <w:ind w:left="63"/>
              <w:spacing w:after="0" w:line="132" w:lineRule="exact"/>
              <w:rPr>
                <w:sz w:val="20"/>
                <w:szCs w:val="20"/>
                <w:color w:val="auto"/>
              </w:rPr>
            </w:pPr>
            <w:r>
              <w:rPr>
                <w:rFonts w:ascii="Times New Roman" w:cs="Times New Roman" w:eastAsia="Times New Roman" w:hAnsi="Times New Roman"/>
                <w:sz w:val="13"/>
                <w:szCs w:val="13"/>
                <w:b w:val="1"/>
                <w:bCs w:val="1"/>
                <w:color w:val="auto"/>
                <w:w w:val="98"/>
              </w:rPr>
              <w:t>Percentage of</w:t>
            </w:r>
          </w:p>
        </w:tc>
        <w:tc>
          <w:tcPr>
            <w:tcW w:w="0" w:type="dxa"/>
            <w:vAlign w:val="bottom"/>
          </w:tcPr>
          <w:p>
            <w:pPr>
              <w:spacing w:after="0"/>
              <w:rPr>
                <w:sz w:val="1"/>
                <w:szCs w:val="1"/>
                <w:color w:val="auto"/>
              </w:rPr>
            </w:pPr>
          </w:p>
        </w:tc>
      </w:tr>
      <w:tr>
        <w:trPr>
          <w:trHeight w:val="154"/>
        </w:trPr>
        <w:tc>
          <w:tcPr>
            <w:tcW w:w="3500" w:type="dxa"/>
            <w:vAlign w:val="bottom"/>
            <w:tcBorders>
              <w:bottom w:val="single" w:sz="8" w:color="auto"/>
            </w:tcBorders>
            <w:vMerge w:val="continue"/>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Base Salary</w:t>
            </w:r>
          </w:p>
        </w:tc>
        <w:tc>
          <w:tcPr>
            <w:tcW w:w="4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Base Salary</w:t>
            </w:r>
          </w:p>
        </w:tc>
        <w:tc>
          <w:tcPr>
            <w:tcW w:w="4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Base Salary</w:t>
            </w:r>
          </w:p>
        </w:tc>
        <w:tc>
          <w:tcPr>
            <w:tcW w:w="1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7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3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w:t>
            </w:r>
          </w:p>
        </w:tc>
        <w:tc>
          <w:tcPr>
            <w:tcW w:w="3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85%</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9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50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Christopher P. Shryock</w:t>
            </w:r>
            <w:r>
              <w:rPr>
                <w:rFonts w:ascii="Times New Roman" w:cs="Times New Roman" w:eastAsia="Times New Roman" w:hAnsi="Times New Roman"/>
                <w:sz w:val="22"/>
                <w:szCs w:val="22"/>
                <w:color w:val="auto"/>
                <w:vertAlign w:val="superscript"/>
              </w:rPr>
              <w:t>(1)</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76.5%</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90%</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192"/>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19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85%</w:t>
            </w:r>
          </w:p>
        </w:tc>
        <w:tc>
          <w:tcPr>
            <w:tcW w:w="1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8"/>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106.25%</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125%</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65405</wp:posOffset>
            </wp:positionV>
            <wp:extent cx="68453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11" w:lineRule="exact"/>
        <w:rPr>
          <w:sz w:val="20"/>
          <w:szCs w:val="20"/>
          <w:color w:val="auto"/>
        </w:rPr>
      </w:pPr>
    </w:p>
    <w:p>
      <w:pPr>
        <w:ind w:left="1120" w:hanging="382"/>
        <w:spacing w:after="0"/>
        <w:tabs>
          <w:tab w:leader="none" w:pos="11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Shryock joined the Company as Chief Human Resources Officer on July 1, 2024. Mr. Shryock’s AIP will be pro-rated based on his start date.</w:t>
      </w:r>
    </w:p>
    <w:p>
      <w:pPr>
        <w:spacing w:after="0" w:line="177"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For each performance objective, there is a threshold achievement level at or below which the Named Executive Officer will receive no payout in respect of that performance objective.</w:t>
      </w:r>
    </w:p>
    <w:p>
      <w:pPr>
        <w:spacing w:after="0" w:line="144" w:lineRule="exact"/>
        <w:rPr>
          <w:sz w:val="20"/>
          <w:szCs w:val="20"/>
          <w:color w:val="auto"/>
        </w:rPr>
      </w:pPr>
    </w:p>
    <w:p>
      <w:pPr>
        <w:ind w:left="740" w:right="860" w:firstLine="391"/>
        <w:spacing w:after="0" w:line="281" w:lineRule="auto"/>
        <w:rPr>
          <w:sz w:val="20"/>
          <w:szCs w:val="20"/>
          <w:color w:val="auto"/>
        </w:rPr>
      </w:pPr>
      <w:r>
        <w:rPr>
          <w:rFonts w:ascii="Times New Roman" w:cs="Times New Roman" w:eastAsia="Times New Roman" w:hAnsi="Times New Roman"/>
          <w:sz w:val="16"/>
          <w:szCs w:val="16"/>
          <w:color w:val="auto"/>
        </w:rPr>
        <w:t>The actual 2024 AIP bonus amounts are calculated formulaically based on actual achievement against certain individual performance considerations and financial or operational performance goals, as follows:</w:t>
      </w:r>
    </w:p>
    <w:p>
      <w:pPr>
        <w:spacing w:after="0" w:line="142" w:lineRule="exact"/>
        <w:rPr>
          <w:sz w:val="20"/>
          <w:szCs w:val="20"/>
          <w:color w:val="auto"/>
        </w:rPr>
      </w:pPr>
    </w:p>
    <w:p>
      <w:pPr>
        <w:ind w:left="740" w:right="44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First, </w:t>
      </w:r>
      <w:r>
        <w:rPr>
          <w:rFonts w:ascii="Times New Roman" w:cs="Times New Roman" w:eastAsia="Times New Roman" w:hAnsi="Times New Roman"/>
          <w:sz w:val="16"/>
          <w:szCs w:val="16"/>
          <w:color w:val="auto"/>
        </w:rPr>
        <w:t>the weight applied to each specific objective is multiplied by the Named Executive Officer’s AIP unmodified maximum annual bonus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percentage.</w:t>
      </w:r>
    </w:p>
    <w:p>
      <w:pPr>
        <w:spacing w:after="0" w:line="139" w:lineRule="exact"/>
        <w:rPr>
          <w:sz w:val="20"/>
          <w:szCs w:val="20"/>
          <w:color w:val="auto"/>
        </w:rPr>
      </w:pPr>
    </w:p>
    <w:p>
      <w:pPr>
        <w:ind w:left="740" w:right="4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Second</w:t>
      </w:r>
      <w:r>
        <w:rPr>
          <w:rFonts w:ascii="Times New Roman" w:cs="Times New Roman" w:eastAsia="Times New Roman" w:hAnsi="Times New Roman"/>
          <w:sz w:val="16"/>
          <w:szCs w:val="16"/>
          <w:color w:val="auto"/>
        </w:rPr>
        <w:t>, the resulting percentage from the first step is multiplied by the Named Executive Officer’s base salary to determine the maximum amount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payable in respect of each performance metric;</w:t>
      </w:r>
    </w:p>
    <w:p>
      <w:pPr>
        <w:spacing w:after="0" w:line="139" w:lineRule="exact"/>
        <w:rPr>
          <w:sz w:val="20"/>
          <w:szCs w:val="20"/>
          <w:color w:val="auto"/>
        </w:rPr>
      </w:pPr>
    </w:p>
    <w:p>
      <w:pPr>
        <w:ind w:left="740" w:right="64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Third</w:t>
      </w:r>
      <w:r>
        <w:rPr>
          <w:rFonts w:ascii="Times New Roman" w:cs="Times New Roman" w:eastAsia="Times New Roman" w:hAnsi="Times New Roman"/>
          <w:sz w:val="16"/>
          <w:szCs w:val="16"/>
          <w:color w:val="auto"/>
        </w:rPr>
        <w:t>, the dollar amount from the second step is multiplied by the actual attainment percentage of each applicable performance objective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measured against a pre-established scale to determine the unmodified amount payable;</w:t>
      </w:r>
    </w:p>
    <w:p>
      <w:pPr>
        <w:spacing w:after="0" w:line="139" w:lineRule="exact"/>
        <w:rPr>
          <w:sz w:val="20"/>
          <w:szCs w:val="20"/>
          <w:color w:val="auto"/>
        </w:rPr>
      </w:pPr>
    </w:p>
    <w:p>
      <w:pPr>
        <w:ind w:left="740" w:right="36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Fourth</w:t>
      </w:r>
      <w:r>
        <w:rPr>
          <w:rFonts w:ascii="Times New Roman" w:cs="Times New Roman" w:eastAsia="Times New Roman" w:hAnsi="Times New Roman"/>
          <w:sz w:val="16"/>
          <w:szCs w:val="16"/>
          <w:color w:val="auto"/>
        </w:rPr>
        <w:t>, the sum of the amounts calculated in the third step for each performance objective is the Named Executive Officer’s unmodified AIP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Bonus; and</w:t>
      </w:r>
    </w:p>
    <w:p>
      <w:pPr>
        <w:spacing w:after="0" w:line="139" w:lineRule="exact"/>
        <w:rPr>
          <w:sz w:val="20"/>
          <w:szCs w:val="20"/>
          <w:color w:val="auto"/>
        </w:rPr>
      </w:pPr>
    </w:p>
    <w:p>
      <w:pPr>
        <w:jc w:val="both"/>
        <w:ind w:left="740" w:firstLine="391"/>
        <w:spacing w:after="0" w:line="267" w:lineRule="auto"/>
        <w:rPr>
          <w:sz w:val="20"/>
          <w:szCs w:val="20"/>
          <w:color w:val="auto"/>
        </w:rPr>
      </w:pPr>
      <w:r>
        <w:rPr>
          <w:rFonts w:ascii="Times New Roman" w:cs="Times New Roman" w:eastAsia="Times New Roman" w:hAnsi="Times New Roman"/>
          <w:sz w:val="16"/>
          <w:szCs w:val="16"/>
          <w:i w:val="1"/>
          <w:iCs w:val="1"/>
          <w:color w:val="auto"/>
        </w:rPr>
        <w:t>Fifth</w:t>
      </w:r>
      <w:r>
        <w:rPr>
          <w:rFonts w:ascii="Times New Roman" w:cs="Times New Roman" w:eastAsia="Times New Roman" w:hAnsi="Times New Roman"/>
          <w:sz w:val="16"/>
          <w:szCs w:val="16"/>
          <w:color w:val="auto"/>
        </w:rPr>
        <w:t>, to the extent any modifier is achieved, the modifier percentage is multiplied by an amount, expressed as a dollar figure, equal to the product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Named Executive Officer’s base salary and the Named Executive Officer’s unmodified annual bonus percentage, and such resulting dollar amount is added to the unmodified AIP bonus determined in the fourth step to arrive at the Named Executive Officer’s final AIP bonus.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175</w:t>
      </w:r>
    </w:p>
    <w:p>
      <w:pPr>
        <w:sectPr>
          <w:pgSz w:w="11900" w:h="16838" w:orient="portrait"/>
          <w:cols w:equalWidth="0" w:num="1">
            <w:col w:w="10500"/>
          </w:cols>
          <w:pgMar w:left="320" w:top="420" w:right="10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For fiscal year 2024,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2024, before application of any upside modifiers described further below. In the event actual achievement of a performance objective is between levels, the achievement percentage is calculated using linear interpolation. For purposes of the AIP, Adjusted EBITDA is generally calculated as set forth in the section titled “Management’s Discussion and Analysis of Financial Condition and Results of Operations—Non-GAAP Financial Information—Adjusted EBITDA and Adjusted EBITDA Margin,” with certain acquisition-related adjustments as set forth below.</w:t>
      </w:r>
    </w:p>
    <w:p>
      <w:pPr>
        <w:spacing w:after="0" w:line="3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b w:val="1"/>
          <w:bCs w:val="1"/>
          <w:u w:val="single" w:color="auto"/>
          <w:color w:val="auto"/>
        </w:rPr>
        <w:t>Mr. Boyle</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2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w w:val="97"/>
              </w:rPr>
              <w:t>Performance Period: January 1, 2024—December 31, 2024</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Performance Goals</w:t>
            </w:r>
          </w:p>
        </w:tc>
        <w:tc>
          <w:tcPr>
            <w:tcW w:w="86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460" w:type="dxa"/>
            <w:vAlign w:val="bottom"/>
            <w:vMerge w:val="restart"/>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12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1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150%</w:t>
            </w: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80" w:type="dxa"/>
            <w:vAlign w:val="bottom"/>
            <w:gridSpan w:val="3"/>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Adjusted EBITDA Growth</w:t>
            </w:r>
            <w:r>
              <w:rPr>
                <w:rFonts w:ascii="Times New Roman" w:cs="Times New Roman" w:eastAsia="Times New Roman" w:hAnsi="Times New Roman"/>
                <w:sz w:val="22"/>
                <w:szCs w:val="22"/>
                <w:color w:val="auto"/>
                <w:vertAlign w:val="superscript"/>
              </w:rPr>
              <w:t>(1)</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70%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0.00%</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5.20%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12.00%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18.76%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2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Net Sales Growth</w:t>
            </w:r>
            <w:r>
              <w:rPr>
                <w:rFonts w:ascii="Times New Roman" w:cs="Times New Roman" w:eastAsia="Times New Roman" w:hAnsi="Times New Roman"/>
                <w:sz w:val="22"/>
                <w:szCs w:val="22"/>
                <w:color w:val="auto"/>
                <w:vertAlign w:val="superscript"/>
              </w:rPr>
              <w:t>(2)</w:t>
            </w:r>
          </w:p>
        </w:tc>
        <w:tc>
          <w:tcPr>
            <w:tcW w:w="16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2.00%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5.40%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7.93%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192"/>
        </w:trPr>
        <w:tc>
          <w:tcPr>
            <w:tcW w:w="3280" w:type="dxa"/>
            <w:vAlign w:val="bottom"/>
            <w:gridSpan w:val="3"/>
          </w:tcPr>
          <w:p>
            <w:pPr>
              <w:spacing w:after="0" w:line="191" w:lineRule="exact"/>
              <w:rPr>
                <w:sz w:val="20"/>
                <w:szCs w:val="20"/>
                <w:color w:val="auto"/>
              </w:rPr>
            </w:pPr>
            <w:r>
              <w:rPr>
                <w:rFonts w:ascii="Times New Roman" w:cs="Times New Roman" w:eastAsia="Times New Roman" w:hAnsi="Times New Roman"/>
                <w:sz w:val="15"/>
                <w:szCs w:val="15"/>
                <w:color w:val="auto"/>
              </w:rPr>
              <w:t>Strategic Objectives</w:t>
            </w:r>
            <w:r>
              <w:rPr>
                <w:rFonts w:ascii="Times New Roman" w:cs="Times New Roman" w:eastAsia="Times New Roman" w:hAnsi="Times New Roman"/>
                <w:sz w:val="22"/>
                <w:szCs w:val="22"/>
                <w:color w:val="auto"/>
                <w:vertAlign w:val="superscript"/>
              </w:rPr>
              <w:t>(3)</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Actual Attainment Percentage Performance Period</w:t>
            </w: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76200</wp:posOffset>
            </wp:positionV>
            <wp:extent cx="68453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24" w:lineRule="exact"/>
        <w:rPr>
          <w:sz w:val="20"/>
          <w:szCs w:val="20"/>
          <w:color w:val="auto"/>
        </w:rPr>
      </w:pPr>
    </w:p>
    <w:p>
      <w:pPr>
        <w:ind w:left="1120" w:hanging="382"/>
        <w:spacing w:after="0"/>
        <w:tabs>
          <w:tab w:leader="none" w:pos="112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2024 Total Medline Adjusted EBITDA Growth is based on Adjusted EBITDA and includes acquisitions at 85% of deal thesis (Target).</w:t>
      </w:r>
    </w:p>
    <w:p>
      <w:pPr>
        <w:ind w:left="1120" w:hanging="382"/>
        <w:spacing w:after="0" w:line="211" w:lineRule="auto"/>
        <w:tabs>
          <w:tab w:leader="none" w:pos="112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2024 Total Medline Net Sales Growth is based on net sales and includes acquisitions at 85% of deal thesis (Target).</w:t>
      </w:r>
    </w:p>
    <w:p>
      <w:pPr>
        <w:ind w:left="1120" w:right="80" w:hanging="382"/>
        <w:spacing w:after="0" w:line="227" w:lineRule="auto"/>
        <w:tabs>
          <w:tab w:leader="none" w:pos="112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strategic objectives for 2024 included net Prime Vendor adds, identify/resource organic growth drivers in 2025 and 2026, SG&amp;A leverage in the 2025 budget, and IPO readiness.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u w:val="single" w:color="auto"/>
          <w:color w:val="auto"/>
        </w:rPr>
        <w:t>Mr. Drazin</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3"/>
                <w:szCs w:val="13"/>
                <w:color w:val="auto"/>
                <w:w w:val="97"/>
              </w:rPr>
              <w:t xml:space="preserve">Performance Period: January 1, 2024—December 31, 2024 </w:t>
            </w:r>
            <w:r>
              <w:rPr>
                <w:rFonts w:ascii="Times New Roman" w:cs="Times New Roman" w:eastAsia="Times New Roman" w:hAnsi="Times New Roman"/>
                <w:sz w:val="13"/>
                <w:szCs w:val="13"/>
                <w:u w:val="single" w:color="auto"/>
                <w:color w:val="auto"/>
                <w:w w:val="97"/>
              </w:rPr>
              <w:t>(</w:t>
            </w:r>
            <w:r>
              <w:rPr>
                <w:rFonts w:ascii="Times New Roman" w:cs="Times New Roman" w:eastAsia="Times New Roman" w:hAnsi="Times New Roman"/>
                <w:sz w:val="13"/>
                <w:szCs w:val="13"/>
                <w:color w:val="auto"/>
                <w:w w:val="97"/>
              </w:rPr>
              <w:t>$ in millions)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180" w:type="dxa"/>
            <w:vAlign w:val="bottom"/>
          </w:tcPr>
          <w:p>
            <w:pPr>
              <w:spacing w:after="0"/>
              <w:rPr>
                <w:sz w:val="11"/>
                <w:szCs w:val="11"/>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96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110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00" w:type="dxa"/>
            <w:vAlign w:val="bottom"/>
            <w:gridSpan w:val="4"/>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Adjusted EBITDA Target</w:t>
            </w:r>
            <w:r>
              <w:rPr>
                <w:rFonts w:ascii="Times New Roman" w:cs="Times New Roman" w:eastAsia="Times New Roman" w:hAnsi="Times New Roman"/>
                <w:sz w:val="22"/>
                <w:szCs w:val="22"/>
                <w:color w:val="auto"/>
                <w:vertAlign w:val="superscript"/>
              </w:rPr>
              <w:t>(1)</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  2,830</w:t>
            </w: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$3,009</w:t>
            </w: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color w:val="auto"/>
              </w:rPr>
              <w:t>$  3,076</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   3,361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400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Strategic Objectives</w:t>
            </w:r>
            <w:r>
              <w:rPr>
                <w:rFonts w:ascii="Times New Roman" w:cs="Times New Roman" w:eastAsia="Times New Roman" w:hAnsi="Times New Roman"/>
                <w:sz w:val="22"/>
                <w:szCs w:val="22"/>
                <w:color w:val="auto"/>
                <w:vertAlign w:val="superscript"/>
              </w:rPr>
              <w:t>(2)</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5"/>
        </w:trPr>
        <w:tc>
          <w:tcPr>
            <w:tcW w:w="40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U.S. Finance Expense as a Percentage of Net Sales</w:t>
            </w: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gridSpan w:val="4"/>
          </w:tcPr>
          <w:p>
            <w:pPr>
              <w:ind w:left="160"/>
              <w:spacing w:after="0" w:line="208" w:lineRule="exact"/>
              <w:rPr>
                <w:sz w:val="20"/>
                <w:szCs w:val="20"/>
                <w:color w:val="auto"/>
              </w:rPr>
            </w:pPr>
            <w:r>
              <w:rPr>
                <w:rFonts w:ascii="Times New Roman" w:cs="Times New Roman" w:eastAsia="Times New Roman" w:hAnsi="Times New Roman"/>
                <w:sz w:val="16"/>
                <w:szCs w:val="16"/>
                <w:color w:val="auto"/>
              </w:rPr>
              <w:t>Target</w:t>
            </w:r>
            <w:r>
              <w:rPr>
                <w:rFonts w:ascii="Times New Roman" w:cs="Times New Roman" w:eastAsia="Times New Roman" w:hAnsi="Times New Roman"/>
                <w:sz w:val="23"/>
                <w:szCs w:val="23"/>
                <w:color w:val="auto"/>
                <w:vertAlign w:val="superscript"/>
              </w:rPr>
              <w:t>(3)</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0.39%</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0.37%</w:t>
            </w: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0.36%</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0.38%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44.58%</w:t>
            </w:r>
          </w:p>
        </w:tc>
        <w:tc>
          <w:tcPr>
            <w:tcW w:w="0" w:type="dxa"/>
            <w:vAlign w:val="bottom"/>
          </w:tcPr>
          <w:p>
            <w:pPr>
              <w:spacing w:after="0"/>
              <w:rPr>
                <w:sz w:val="1"/>
                <w:szCs w:val="1"/>
                <w:color w:val="auto"/>
              </w:rPr>
            </w:pPr>
          </w:p>
        </w:tc>
      </w:tr>
      <w:tr>
        <w:trPr>
          <w:trHeight w:val="175"/>
        </w:trPr>
        <w:tc>
          <w:tcPr>
            <w:tcW w:w="400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Percentage of Accounts Receivable over 30 days past</w:t>
            </w:r>
          </w:p>
        </w:tc>
        <w:tc>
          <w:tcPr>
            <w:tcW w:w="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gridSpan w:val="4"/>
            <w:shd w:val="clear" w:color="auto" w:fill="CCEEFF"/>
          </w:tcPr>
          <w:p>
            <w:pPr>
              <w:ind w:left="160"/>
              <w:spacing w:after="0" w:line="208" w:lineRule="exact"/>
              <w:rPr>
                <w:sz w:val="20"/>
                <w:szCs w:val="20"/>
                <w:color w:val="auto"/>
              </w:rPr>
            </w:pPr>
            <w:r>
              <w:rPr>
                <w:rFonts w:ascii="Times New Roman" w:cs="Times New Roman" w:eastAsia="Times New Roman" w:hAnsi="Times New Roman"/>
                <w:sz w:val="16"/>
                <w:szCs w:val="16"/>
                <w:color w:val="auto"/>
              </w:rPr>
              <w:t>due</w:t>
            </w:r>
            <w:r>
              <w:rPr>
                <w:rFonts w:ascii="Times New Roman" w:cs="Times New Roman" w:eastAsia="Times New Roman" w:hAnsi="Times New Roman"/>
                <w:sz w:val="23"/>
                <w:szCs w:val="23"/>
                <w:color w:val="auto"/>
                <w:vertAlign w:val="superscript"/>
              </w:rPr>
              <w:t>(4)</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4.00%</w:t>
            </w: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3.00%</w:t>
            </w:r>
          </w:p>
        </w:tc>
        <w:tc>
          <w:tcPr>
            <w:tcW w:w="11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2.50%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2.2%</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4000" w:type="dxa"/>
            <w:vAlign w:val="bottom"/>
            <w:gridSpan w:val="4"/>
          </w:tcPr>
          <w:p>
            <w:pPr>
              <w:spacing w:after="0" w:line="191" w:lineRule="exact"/>
              <w:rPr>
                <w:sz w:val="20"/>
                <w:szCs w:val="20"/>
                <w:color w:val="auto"/>
              </w:rPr>
            </w:pPr>
            <w:r>
              <w:rPr>
                <w:rFonts w:ascii="Times New Roman" w:cs="Times New Roman" w:eastAsia="Times New Roman" w:hAnsi="Times New Roman"/>
                <w:sz w:val="15"/>
                <w:szCs w:val="15"/>
                <w:color w:val="auto"/>
              </w:rPr>
              <w:t>Operational Objectives</w:t>
            </w:r>
            <w:r>
              <w:rPr>
                <w:rFonts w:ascii="Times New Roman" w:cs="Times New Roman" w:eastAsia="Times New Roman" w:hAnsi="Times New Roman"/>
                <w:sz w:val="22"/>
                <w:szCs w:val="22"/>
                <w:color w:val="auto"/>
                <w:vertAlign w:val="superscript"/>
              </w:rPr>
              <w:t>(5)</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90%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2"/>
        </w:trPr>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Actual Attainment Percentage Performance Period</w:t>
            </w: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83820</wp:posOffset>
            </wp:positionV>
            <wp:extent cx="6845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24" w:lineRule="exact"/>
        <w:rPr>
          <w:sz w:val="20"/>
          <w:szCs w:val="20"/>
          <w:color w:val="auto"/>
        </w:rPr>
      </w:pPr>
    </w:p>
    <w:p>
      <w:pPr>
        <w:ind w:left="1120" w:hanging="382"/>
        <w:spacing w:after="0"/>
        <w:tabs>
          <w:tab w:leader="none" w:pos="11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2024 Total Medline Adjusted EBITDA includes acquisitions at 85% of deal thesis (Target) and was updated mid-year based on the acquisition of Microtek.</w:t>
      </w:r>
    </w:p>
    <w:p>
      <w:pPr>
        <w:ind w:left="1120" w:hanging="382"/>
        <w:spacing w:after="0" w:line="211" w:lineRule="auto"/>
        <w:tabs>
          <w:tab w:leader="none" w:pos="11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Strategic Objectives for 2024 included forecasting and IPO readiness.</w:t>
      </w:r>
    </w:p>
    <w:p>
      <w:pPr>
        <w:ind w:left="1120" w:hanging="382"/>
        <w:spacing w:after="0" w:line="211" w:lineRule="auto"/>
        <w:tabs>
          <w:tab w:leader="none" w:pos="11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U.S. Finance Expense as a Percent of Net Sales Target measures the performance of controllable U.S. finance expenses.</w:t>
      </w:r>
    </w:p>
    <w:p>
      <w:pPr>
        <w:ind w:left="1120" w:hanging="382"/>
        <w:spacing w:after="0" w:line="211" w:lineRule="auto"/>
        <w:tabs>
          <w:tab w:leader="none" w:pos="11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Percentage of Accounts Receivable over 30 days past due measures the amount of invoices dollars that are outstanding for more than 30 days from their due date.</w:t>
      </w:r>
    </w:p>
    <w:p>
      <w:pPr>
        <w:ind w:left="1120" w:hanging="382"/>
        <w:spacing w:after="0"/>
        <w:tabs>
          <w:tab w:leader="none" w:pos="1120" w:val="left"/>
        </w:tabs>
        <w:numPr>
          <w:ilvl w:val="0"/>
          <w:numId w:val="1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Drazin, Operational Objectives for 2024 included accounts payable, payroll, and rebate simplification.</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176</w:t>
      </w:r>
    </w:p>
    <w:p>
      <w:pPr>
        <w:sectPr>
          <w:pgSz w:w="11900" w:h="16838" w:orient="portrait"/>
          <w:cols w:equalWidth="0" w:num="1">
            <w:col w:w="10500"/>
          </w:cols>
          <w:pgMar w:left="320" w:top="420" w:right="10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20" w:firstLine="391"/>
        <w:spacing w:after="0" w:line="260" w:lineRule="auto"/>
        <w:rPr>
          <w:sz w:val="20"/>
          <w:szCs w:val="20"/>
          <w:color w:val="auto"/>
        </w:rPr>
      </w:pPr>
      <w:r>
        <w:rPr>
          <w:rFonts w:ascii="Times New Roman" w:cs="Times New Roman" w:eastAsia="Times New Roman" w:hAnsi="Times New Roman"/>
          <w:sz w:val="16"/>
          <w:szCs w:val="16"/>
          <w:color w:val="auto"/>
        </w:rPr>
        <w:t>Mr. Drazin’s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b w:val="1"/>
          <w:bCs w:val="1"/>
          <w:u w:val="single" w:color="auto"/>
          <w:color w:val="auto"/>
        </w:rPr>
        <w:t>Mr. Pigott</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52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color w:val="auto"/>
                <w:w w:val="97"/>
              </w:rPr>
              <w:t>Performance Period: January 1, 2024—December 31, 2024</w:t>
            </w: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36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Performance Goals</w:t>
            </w:r>
          </w:p>
        </w:tc>
        <w:tc>
          <w:tcPr>
            <w:tcW w:w="860" w:type="dxa"/>
            <w:vAlign w:val="bottom"/>
            <w:vMerge w:val="restart"/>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460" w:type="dxa"/>
            <w:vAlign w:val="bottom"/>
            <w:vMerge w:val="restart"/>
          </w:tcPr>
          <w:p>
            <w:pPr>
              <w:spacing w:after="0"/>
              <w:rPr>
                <w:sz w:val="11"/>
                <w:szCs w:val="11"/>
                <w:color w:val="auto"/>
              </w:rPr>
            </w:pP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8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12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136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7"/>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150%</w:t>
            </w:r>
          </w:p>
        </w:tc>
        <w:tc>
          <w:tcPr>
            <w:tcW w:w="6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280" w:type="dxa"/>
            <w:vAlign w:val="bottom"/>
            <w:gridSpan w:val="3"/>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Adjusted EBITDA Growth</w:t>
            </w:r>
            <w:r>
              <w:rPr>
                <w:rFonts w:ascii="Times New Roman" w:cs="Times New Roman" w:eastAsia="Times New Roman" w:hAnsi="Times New Roman"/>
                <w:sz w:val="22"/>
                <w:szCs w:val="22"/>
                <w:color w:val="auto"/>
                <w:vertAlign w:val="superscript"/>
              </w:rPr>
              <w:t>(1)</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70%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0.00%</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5.20%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12.00%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18.76%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28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Net Sales Growth</w:t>
            </w:r>
            <w:r>
              <w:rPr>
                <w:rFonts w:ascii="Times New Roman" w:cs="Times New Roman" w:eastAsia="Times New Roman" w:hAnsi="Times New Roman"/>
                <w:sz w:val="22"/>
                <w:szCs w:val="22"/>
                <w:color w:val="auto"/>
                <w:vertAlign w:val="superscript"/>
              </w:rPr>
              <w:t>(2)</w:t>
            </w:r>
          </w:p>
        </w:tc>
        <w:tc>
          <w:tcPr>
            <w:tcW w:w="16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2.00%</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5.40%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7.93%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135.17%</w:t>
            </w:r>
          </w:p>
        </w:tc>
        <w:tc>
          <w:tcPr>
            <w:tcW w:w="0" w:type="dxa"/>
            <w:vAlign w:val="bottom"/>
          </w:tcPr>
          <w:p>
            <w:pPr>
              <w:spacing w:after="0"/>
              <w:rPr>
                <w:sz w:val="1"/>
                <w:szCs w:val="1"/>
                <w:color w:val="auto"/>
              </w:rPr>
            </w:pPr>
          </w:p>
        </w:tc>
      </w:tr>
      <w:tr>
        <w:trPr>
          <w:trHeight w:val="192"/>
        </w:trPr>
        <w:tc>
          <w:tcPr>
            <w:tcW w:w="3280" w:type="dxa"/>
            <w:vAlign w:val="bottom"/>
            <w:gridSpan w:val="3"/>
          </w:tcPr>
          <w:p>
            <w:pPr>
              <w:spacing w:after="0" w:line="191" w:lineRule="exact"/>
              <w:rPr>
                <w:sz w:val="20"/>
                <w:szCs w:val="20"/>
                <w:color w:val="auto"/>
              </w:rPr>
            </w:pPr>
            <w:r>
              <w:rPr>
                <w:rFonts w:ascii="Times New Roman" w:cs="Times New Roman" w:eastAsia="Times New Roman" w:hAnsi="Times New Roman"/>
                <w:sz w:val="15"/>
                <w:szCs w:val="15"/>
                <w:color w:val="auto"/>
              </w:rPr>
              <w:t>Strategic Objectives</w:t>
            </w:r>
            <w:r>
              <w:rPr>
                <w:rFonts w:ascii="Times New Roman" w:cs="Times New Roman" w:eastAsia="Times New Roman" w:hAnsi="Times New Roman"/>
                <w:sz w:val="22"/>
                <w:szCs w:val="22"/>
                <w:color w:val="auto"/>
                <w:vertAlign w:val="superscript"/>
              </w:rPr>
              <w:t>(3)</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15%</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100%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192"/>
        </w:trPr>
        <w:tc>
          <w:tcPr>
            <w:tcW w:w="3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Actual Attainment Percentage Performance Period</w:t>
            </w: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76200</wp:posOffset>
            </wp:positionV>
            <wp:extent cx="68453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24" w:lineRule="exact"/>
        <w:rPr>
          <w:sz w:val="20"/>
          <w:szCs w:val="20"/>
          <w:color w:val="auto"/>
        </w:rPr>
      </w:pPr>
    </w:p>
    <w:p>
      <w:pPr>
        <w:ind w:left="1120" w:hanging="382"/>
        <w:spacing w:after="0"/>
        <w:tabs>
          <w:tab w:leader="none" w:pos="11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2024 Total Medline Adjusted EBITDA Growth is based on Adjusted EBITDA and includes acquisitions at 85% of deal thesis (Target).</w:t>
      </w:r>
    </w:p>
    <w:p>
      <w:pPr>
        <w:ind w:left="1120" w:hanging="382"/>
        <w:spacing w:after="0" w:line="211" w:lineRule="auto"/>
        <w:tabs>
          <w:tab w:leader="none" w:pos="11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2024 Total Medline Net Sales Growth is based on net sales and includes acquisitions at 85% of deal thesis (Target).</w:t>
      </w:r>
    </w:p>
    <w:p>
      <w:pPr>
        <w:ind w:left="1120" w:right="280" w:hanging="382"/>
        <w:spacing w:after="0" w:line="227" w:lineRule="auto"/>
        <w:tabs>
          <w:tab w:leader="none" w:pos="1120"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Pigott, Strategic Objectives for 2024 included international strategy and growth, identify and resource future growth drivers, SG&amp;A leverage in the 2025 budget, and IPO readiness.</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u w:val="single" w:color="auto"/>
          <w:color w:val="auto"/>
        </w:rPr>
        <w:t>Mr. Shryock</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color w:val="auto"/>
                <w:w w:val="97"/>
              </w:rPr>
              <w:t xml:space="preserve">Performance Period: July 1, 2024—December 31, 2024 </w:t>
            </w:r>
            <w:r>
              <w:rPr>
                <w:rFonts w:ascii="Times New Roman" w:cs="Times New Roman" w:eastAsia="Times New Roman" w:hAnsi="Times New Roman"/>
                <w:sz w:val="13"/>
                <w:szCs w:val="13"/>
                <w:u w:val="single" w:color="auto"/>
                <w:color w:val="auto"/>
                <w:w w:val="97"/>
              </w:rPr>
              <w:t>(</w:t>
            </w:r>
            <w:r>
              <w:rPr>
                <w:rFonts w:ascii="Times New Roman" w:cs="Times New Roman" w:eastAsia="Times New Roman" w:hAnsi="Times New Roman"/>
                <w:sz w:val="13"/>
                <w:szCs w:val="13"/>
                <w:color w:val="auto"/>
                <w:w w:val="97"/>
              </w:rPr>
              <w:t>$ in millions)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Performance Goals</w:t>
            </w:r>
          </w:p>
        </w:tc>
        <w:tc>
          <w:tcPr>
            <w:tcW w:w="660" w:type="dxa"/>
            <w:vAlign w:val="bottom"/>
            <w:vMerge w:val="restart"/>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10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7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40" w:type="dxa"/>
            <w:vAlign w:val="bottom"/>
          </w:tcPr>
          <w:p>
            <w:pPr>
              <w:spacing w:after="0"/>
              <w:rPr>
                <w:sz w:val="11"/>
                <w:szCs w:val="11"/>
                <w:color w:val="auto"/>
              </w:rPr>
            </w:pPr>
          </w:p>
        </w:tc>
        <w:tc>
          <w:tcPr>
            <w:tcW w:w="10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14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128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w w:val="94"/>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76.5%</w:t>
            </w: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90%</w:t>
            </w: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gridSpan w:val="3"/>
          </w:tcPr>
          <w:p>
            <w:pPr>
              <w:spacing w:after="0" w:line="191" w:lineRule="exact"/>
              <w:rPr>
                <w:sz w:val="20"/>
                <w:szCs w:val="20"/>
                <w:color w:val="auto"/>
              </w:rPr>
            </w:pPr>
            <w:r>
              <w:rPr>
                <w:rFonts w:ascii="Times New Roman" w:cs="Times New Roman" w:eastAsia="Times New Roman" w:hAnsi="Times New Roman"/>
                <w:sz w:val="15"/>
                <w:szCs w:val="15"/>
                <w:color w:val="auto"/>
              </w:rPr>
              <w:t>Strategic Objectives</w:t>
            </w:r>
            <w:r>
              <w:rPr>
                <w:rFonts w:ascii="Times New Roman" w:cs="Times New Roman" w:eastAsia="Times New Roman" w:hAnsi="Times New Roman"/>
                <w:sz w:val="22"/>
                <w:szCs w:val="22"/>
                <w:color w:val="auto"/>
                <w:vertAlign w:val="superscript"/>
              </w:rPr>
              <w:t>(1)</w:t>
            </w: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60%</w:t>
            </w: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2"/>
        </w:trPr>
        <w:tc>
          <w:tcPr>
            <w:tcW w:w="3000" w:type="dxa"/>
            <w:vAlign w:val="bottom"/>
            <w:gridSpan w:val="3"/>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Operational Objectives</w:t>
            </w:r>
            <w:r>
              <w:rPr>
                <w:rFonts w:ascii="Times New Roman" w:cs="Times New Roman" w:eastAsia="Times New Roman" w:hAnsi="Times New Roman"/>
                <w:sz w:val="22"/>
                <w:szCs w:val="22"/>
                <w:color w:val="auto"/>
                <w:vertAlign w:val="superscript"/>
              </w:rPr>
              <w:t>(2)</w:t>
            </w:r>
          </w:p>
        </w:tc>
        <w:tc>
          <w:tcPr>
            <w:tcW w:w="1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0"/>
        </w:trPr>
        <w:tc>
          <w:tcPr>
            <w:tcW w:w="48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71755</wp:posOffset>
            </wp:positionV>
            <wp:extent cx="68453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09" w:lineRule="exact"/>
        <w:rPr>
          <w:sz w:val="20"/>
          <w:szCs w:val="20"/>
          <w:color w:val="auto"/>
        </w:rPr>
      </w:pPr>
    </w:p>
    <w:p>
      <w:pPr>
        <w:ind w:left="1120" w:right="140" w:hanging="382"/>
        <w:spacing w:after="0" w:line="222" w:lineRule="auto"/>
        <w:tabs>
          <w:tab w:leader="none" w:pos="11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Shryock, Strategic Objectives are based on successful onboarding which includes getting up to speed with Medline, understanding Medline business and culture, developing relationships, and identifying areas for potential improvements.</w:t>
      </w:r>
    </w:p>
    <w:p>
      <w:pPr>
        <w:ind w:left="1120" w:right="620" w:hanging="382"/>
        <w:spacing w:after="0" w:line="227" w:lineRule="auto"/>
        <w:tabs>
          <w:tab w:leader="none" w:pos="1120" w:val="left"/>
        </w:tabs>
        <w:numPr>
          <w:ilvl w:val="0"/>
          <w:numId w:val="1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Shryock, Operational Objectives include an organizational assessment encompassing a review of the current organization structure design and team’s strengths and weaknesses.</w:t>
      </w:r>
    </w:p>
    <w:p>
      <w:pPr>
        <w:spacing w:after="0" w:line="162" w:lineRule="exact"/>
        <w:rPr>
          <w:sz w:val="20"/>
          <w:szCs w:val="20"/>
          <w:color w:val="auto"/>
        </w:rPr>
      </w:pPr>
    </w:p>
    <w:p>
      <w:pPr>
        <w:ind w:left="740" w:right="220" w:firstLine="391"/>
        <w:spacing w:after="0" w:line="260" w:lineRule="auto"/>
        <w:rPr>
          <w:sz w:val="20"/>
          <w:szCs w:val="20"/>
          <w:color w:val="auto"/>
        </w:rPr>
      </w:pPr>
      <w:r>
        <w:rPr>
          <w:rFonts w:ascii="Times New Roman" w:cs="Times New Roman" w:eastAsia="Times New Roman" w:hAnsi="Times New Roman"/>
          <w:sz w:val="16"/>
          <w:szCs w:val="16"/>
          <w:color w:val="auto"/>
        </w:rPr>
        <w:t>Mr. Shryock’s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177</w:t>
      </w:r>
    </w:p>
    <w:p>
      <w:pPr>
        <w:sectPr>
          <w:pgSz w:w="11900" w:h="16838" w:orient="portrait"/>
          <w:cols w:equalWidth="0" w:num="1">
            <w:col w:w="10500"/>
          </w:cols>
          <w:pgMar w:left="320" w:top="420" w:right="10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b w:val="1"/>
          <w:bCs w:val="1"/>
          <w:u w:val="single" w:color="auto"/>
          <w:color w:val="auto"/>
        </w:rPr>
        <w:t>Mr. Miller</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0" w:type="dxa"/>
            <w:vAlign w:val="bottom"/>
            <w:tcBorders>
              <w:bottom w:val="single" w:sz="8" w:color="auto"/>
            </w:tcBorders>
            <w:gridSpan w:val="8"/>
          </w:tcPr>
          <w:p>
            <w:pPr>
              <w:jc w:val="right"/>
              <w:ind w:right="20"/>
              <w:spacing w:after="0"/>
              <w:rPr>
                <w:sz w:val="20"/>
                <w:szCs w:val="20"/>
                <w:color w:val="auto"/>
              </w:rPr>
            </w:pPr>
            <w:r>
              <w:rPr>
                <w:rFonts w:ascii="Times New Roman" w:cs="Times New Roman" w:eastAsia="Times New Roman" w:hAnsi="Times New Roman"/>
                <w:sz w:val="13"/>
                <w:szCs w:val="13"/>
                <w:color w:val="auto"/>
                <w:w w:val="97"/>
              </w:rPr>
              <w:t xml:space="preserve">Performance Period: January 1, 2024—December 31, 2024 </w:t>
            </w:r>
            <w:r>
              <w:rPr>
                <w:rFonts w:ascii="Times New Roman" w:cs="Times New Roman" w:eastAsia="Times New Roman" w:hAnsi="Times New Roman"/>
                <w:sz w:val="13"/>
                <w:szCs w:val="13"/>
                <w:u w:val="single" w:color="auto"/>
                <w:color w:val="auto"/>
                <w:w w:val="97"/>
              </w:rPr>
              <w:t>(</w:t>
            </w:r>
            <w:r>
              <w:rPr>
                <w:rFonts w:ascii="Times New Roman" w:cs="Times New Roman" w:eastAsia="Times New Roman" w:hAnsi="Times New Roman"/>
                <w:sz w:val="13"/>
                <w:szCs w:val="13"/>
                <w:color w:val="auto"/>
                <w:w w:val="97"/>
              </w:rPr>
              <w:t>$ in millions)</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460" w:type="dxa"/>
            <w:vAlign w:val="bottom"/>
            <w:gridSpan w:val="4"/>
            <w:vMerge w:val="restart"/>
          </w:tcPr>
          <w:p>
            <w:pPr>
              <w:ind w:left="1580"/>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w w:val="88"/>
              </w:rPr>
              <w:t>Weight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7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240" w:type="dxa"/>
            <w:vAlign w:val="bottom"/>
          </w:tcPr>
          <w:p>
            <w:pPr>
              <w:spacing w:after="0"/>
              <w:rPr>
                <w:sz w:val="11"/>
                <w:szCs w:val="11"/>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4460" w:type="dxa"/>
            <w:vAlign w:val="bottom"/>
            <w:gridSpan w:val="4"/>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w w:val="94"/>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60" w:type="dxa"/>
            <w:vAlign w:val="bottom"/>
            <w:gridSpan w:val="4"/>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Adjusted EBITDA Target</w:t>
            </w:r>
            <w:r>
              <w:rPr>
                <w:rFonts w:ascii="Times New Roman" w:cs="Times New Roman" w:eastAsia="Times New Roman" w:hAnsi="Times New Roman"/>
                <w:sz w:val="22"/>
                <w:szCs w:val="22"/>
                <w:color w:val="auto"/>
                <w:vertAlign w:val="superscript"/>
              </w:rPr>
              <w:t>(1)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2,830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$3,009</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  3,076</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   3,361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446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Operations Total Recordable Incident Rate (U.S.)</w:t>
            </w:r>
            <w:r>
              <w:rPr>
                <w:rFonts w:ascii="Times New Roman" w:cs="Times New Roman" w:eastAsia="Times New Roman" w:hAnsi="Times New Roman"/>
                <w:sz w:val="22"/>
                <w:szCs w:val="22"/>
                <w:color w:val="auto"/>
                <w:vertAlign w:val="superscript"/>
              </w:rPr>
              <w:t>(2)</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4.97</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4.71</w:t>
            </w:r>
          </w:p>
        </w:tc>
        <w:tc>
          <w:tcPr>
            <w:tcW w:w="10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3.63</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4460" w:type="dxa"/>
            <w:vAlign w:val="bottom"/>
            <w:gridSpan w:val="4"/>
          </w:tcPr>
          <w:p>
            <w:pPr>
              <w:spacing w:after="0" w:line="191" w:lineRule="exact"/>
              <w:rPr>
                <w:sz w:val="20"/>
                <w:szCs w:val="20"/>
                <w:color w:val="auto"/>
              </w:rPr>
            </w:pPr>
            <w:r>
              <w:rPr>
                <w:rFonts w:ascii="Times New Roman" w:cs="Times New Roman" w:eastAsia="Times New Roman" w:hAnsi="Times New Roman"/>
                <w:sz w:val="15"/>
                <w:szCs w:val="15"/>
                <w:color w:val="auto"/>
              </w:rPr>
              <w:t>Operational Errors per Thousand Lines (U.S.)</w:t>
            </w:r>
            <w:r>
              <w:rPr>
                <w:rFonts w:ascii="Times New Roman" w:cs="Times New Roman" w:eastAsia="Times New Roman" w:hAnsi="Times New Roman"/>
                <w:sz w:val="22"/>
                <w:szCs w:val="22"/>
                <w:color w:val="auto"/>
                <w:vertAlign w:val="superscript"/>
              </w:rPr>
              <w:t>(3)</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3.20</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2.75</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2.56</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2.58</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98.53%</w:t>
            </w:r>
          </w:p>
        </w:tc>
        <w:tc>
          <w:tcPr>
            <w:tcW w:w="0" w:type="dxa"/>
            <w:vAlign w:val="bottom"/>
          </w:tcPr>
          <w:p>
            <w:pPr>
              <w:spacing w:after="0"/>
              <w:rPr>
                <w:sz w:val="1"/>
                <w:szCs w:val="1"/>
                <w:color w:val="auto"/>
              </w:rPr>
            </w:pPr>
          </w:p>
        </w:tc>
      </w:tr>
      <w:tr>
        <w:trPr>
          <w:trHeight w:val="192"/>
        </w:trPr>
        <w:tc>
          <w:tcPr>
            <w:tcW w:w="446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Operational On Time Delivery (All U.S. Carriers)</w:t>
            </w:r>
            <w:r>
              <w:rPr>
                <w:rFonts w:ascii="Times New Roman" w:cs="Times New Roman" w:eastAsia="Times New Roman" w:hAnsi="Times New Roman"/>
                <w:sz w:val="22"/>
                <w:szCs w:val="22"/>
                <w:color w:val="auto"/>
                <w:vertAlign w:val="superscript"/>
              </w:rPr>
              <w:t>(4)</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81.80%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85.60%</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87.20%</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88.01%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2"/>
        </w:trPr>
        <w:tc>
          <w:tcPr>
            <w:tcW w:w="4460" w:type="dxa"/>
            <w:vAlign w:val="bottom"/>
            <w:gridSpan w:val="4"/>
          </w:tcPr>
          <w:p>
            <w:pPr>
              <w:spacing w:after="0" w:line="191" w:lineRule="exact"/>
              <w:rPr>
                <w:sz w:val="20"/>
                <w:szCs w:val="20"/>
                <w:color w:val="auto"/>
              </w:rPr>
            </w:pPr>
            <w:r>
              <w:rPr>
                <w:rFonts w:ascii="Times New Roman" w:cs="Times New Roman" w:eastAsia="Times New Roman" w:hAnsi="Times New Roman"/>
                <w:sz w:val="15"/>
                <w:szCs w:val="15"/>
                <w:color w:val="auto"/>
              </w:rPr>
              <w:t>Operations Turnover</w:t>
            </w:r>
            <w:r>
              <w:rPr>
                <w:rFonts w:ascii="Times New Roman" w:cs="Times New Roman" w:eastAsia="Times New Roman" w:hAnsi="Times New Roman"/>
                <w:sz w:val="22"/>
                <w:szCs w:val="22"/>
                <w:color w:val="auto"/>
                <w:vertAlign w:val="superscript"/>
              </w:rPr>
              <w:t>(5)</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55.20%</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52.50%</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51.30%</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44.31%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75"/>
        </w:trPr>
        <w:tc>
          <w:tcPr>
            <w:tcW w:w="446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Operations Gross Expense (U.S.) as a Percentage of Net Sales</w:t>
            </w: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460" w:type="dxa"/>
            <w:vAlign w:val="bottom"/>
            <w:gridSpan w:val="4"/>
            <w:shd w:val="clear" w:color="auto" w:fill="CCEEFF"/>
          </w:tcPr>
          <w:p>
            <w:pPr>
              <w:ind w:left="160"/>
              <w:spacing w:after="0" w:line="208" w:lineRule="exact"/>
              <w:rPr>
                <w:sz w:val="20"/>
                <w:szCs w:val="20"/>
                <w:color w:val="auto"/>
              </w:rPr>
            </w:pPr>
            <w:r>
              <w:rPr>
                <w:rFonts w:ascii="Times New Roman" w:cs="Times New Roman" w:eastAsia="Times New Roman" w:hAnsi="Times New Roman"/>
                <w:sz w:val="16"/>
                <w:szCs w:val="16"/>
                <w:color w:val="auto"/>
              </w:rPr>
              <w:t>Target</w:t>
            </w:r>
            <w:r>
              <w:rPr>
                <w:rFonts w:ascii="Times New Roman" w:cs="Times New Roman" w:eastAsia="Times New Roman" w:hAnsi="Times New Roman"/>
                <w:sz w:val="23"/>
                <w:szCs w:val="23"/>
                <w:color w:val="auto"/>
                <w:vertAlign w:val="superscript"/>
              </w:rPr>
              <w:t>(6)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6.80%</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6.67%</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6.65%</w:t>
            </w:r>
          </w:p>
        </w:tc>
        <w:tc>
          <w:tcPr>
            <w:tcW w:w="11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6.24%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0"/>
        </w:trPr>
        <w:tc>
          <w:tcPr>
            <w:tcW w:w="44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64135</wp:posOffset>
            </wp:positionV>
            <wp:extent cx="68453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05" w:lineRule="exact"/>
        <w:rPr>
          <w:sz w:val="20"/>
          <w:szCs w:val="20"/>
          <w:color w:val="auto"/>
        </w:rPr>
      </w:pPr>
    </w:p>
    <w:p>
      <w:pPr>
        <w:ind w:left="1120" w:hanging="382"/>
        <w:spacing w:after="0"/>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2024 Total Medline Adjusted EBITDA Target includes acquisitions at 85% of deal thesis (Target) and was updated mid-year based on the acquisition of Microtek.</w:t>
      </w:r>
    </w:p>
    <w:p>
      <w:pPr>
        <w:ind w:left="1120" w:right="220" w:hanging="382"/>
        <w:spacing w:after="0" w:line="211" w:lineRule="auto"/>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Total Recordable Incident Rate (U.S.) is a workplace safety metric that measures the number of recordable incidents per 100 full-time employees over a year.</w:t>
      </w:r>
    </w:p>
    <w:p>
      <w:pPr>
        <w:ind w:left="1120" w:hanging="382"/>
        <w:spacing w:after="0" w:line="211" w:lineRule="auto"/>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Operational Errors per Thousand Lines (U.S.) tracks the number of documented warehouse and carriers’ errors that occur per one thousand sales lines.</w:t>
      </w:r>
    </w:p>
    <w:p>
      <w:pPr>
        <w:ind w:left="1120" w:right="180" w:hanging="382"/>
        <w:spacing w:after="0" w:line="211" w:lineRule="auto"/>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Operational On Time Delivery (All U.S. Carriers) measures the number of orders that are delivered to the customers within the assigned delivery windows across all our U.S. carriers.</w:t>
      </w:r>
    </w:p>
    <w:p>
      <w:pPr>
        <w:ind w:left="1120" w:hanging="382"/>
        <w:spacing w:after="0" w:line="211" w:lineRule="auto"/>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Turnover tracks the number of employees who have left Medline over a set period of time, both voluntary and involuntary.</w:t>
      </w:r>
    </w:p>
    <w:p>
      <w:pPr>
        <w:ind w:left="1120" w:hanging="382"/>
        <w:spacing w:after="0"/>
        <w:tabs>
          <w:tab w:leader="none" w:pos="1120" w:val="left"/>
        </w:tabs>
        <w:numPr>
          <w:ilvl w:val="0"/>
          <w:numId w:val="1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Miller, Operations Gross Expense (U.S.) as a Percentage of Net Sales Target measures the controllable cost of our distribution network.</w:t>
      </w:r>
    </w:p>
    <w:p>
      <w:pPr>
        <w:spacing w:after="0" w:line="163" w:lineRule="exact"/>
        <w:rPr>
          <w:sz w:val="20"/>
          <w:szCs w:val="20"/>
          <w:color w:val="auto"/>
        </w:rPr>
      </w:pPr>
    </w:p>
    <w:p>
      <w:pPr>
        <w:ind w:left="740" w:right="220" w:firstLine="391"/>
        <w:spacing w:after="0" w:line="260" w:lineRule="auto"/>
        <w:rPr>
          <w:sz w:val="20"/>
          <w:szCs w:val="20"/>
          <w:color w:val="auto"/>
        </w:rPr>
      </w:pPr>
      <w:r>
        <w:rPr>
          <w:rFonts w:ascii="Times New Roman" w:cs="Times New Roman" w:eastAsia="Times New Roman" w:hAnsi="Times New Roman"/>
          <w:sz w:val="16"/>
          <w:szCs w:val="16"/>
          <w:color w:val="auto"/>
        </w:rPr>
        <w:t>Mr. Miller’s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3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u w:val="single" w:color="auto"/>
          <w:color w:val="auto"/>
        </w:rPr>
        <w:t>Mr. Golwas</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3"/>
                <w:szCs w:val="13"/>
                <w:color w:val="auto"/>
                <w:w w:val="97"/>
              </w:rPr>
              <w:t xml:space="preserve">Performance Period: January 1, 2024—December 31, 2024 </w:t>
            </w:r>
            <w:r>
              <w:rPr>
                <w:rFonts w:ascii="Times New Roman" w:cs="Times New Roman" w:eastAsia="Times New Roman" w:hAnsi="Times New Roman"/>
                <w:sz w:val="13"/>
                <w:szCs w:val="13"/>
                <w:u w:val="single" w:color="auto"/>
                <w:color w:val="auto"/>
                <w:w w:val="97"/>
              </w:rPr>
              <w:t>(</w:t>
            </w:r>
            <w:r>
              <w:rPr>
                <w:rFonts w:ascii="Times New Roman" w:cs="Times New Roman" w:eastAsia="Times New Roman" w:hAnsi="Times New Roman"/>
                <w:sz w:val="13"/>
                <w:szCs w:val="13"/>
                <w:color w:val="auto"/>
                <w:w w:val="97"/>
              </w:rPr>
              <w:t>$ in millions)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Actual</w:t>
            </w:r>
          </w:p>
        </w:tc>
        <w:tc>
          <w:tcPr>
            <w:tcW w:w="0" w:type="dxa"/>
            <w:vAlign w:val="bottom"/>
          </w:tcPr>
          <w:p>
            <w:pPr>
              <w:spacing w:after="0"/>
              <w:rPr>
                <w:sz w:val="1"/>
                <w:szCs w:val="1"/>
                <w:color w:val="auto"/>
              </w:rPr>
            </w:pPr>
          </w:p>
        </w:tc>
      </w:tr>
      <w:tr>
        <w:trPr>
          <w:trHeight w:val="102"/>
        </w:trPr>
        <w:tc>
          <w:tcPr>
            <w:tcW w:w="1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320" w:type="dxa"/>
            <w:vAlign w:val="bottom"/>
          </w:tcPr>
          <w:p>
            <w:pPr>
              <w:spacing w:after="0"/>
              <w:rPr>
                <w:sz w:val="11"/>
                <w:szCs w:val="11"/>
                <w:color w:val="auto"/>
              </w:rPr>
            </w:pPr>
          </w:p>
        </w:tc>
        <w:tc>
          <w:tcPr>
            <w:tcW w:w="26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Performance Goals</w:t>
            </w: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Weight</w:t>
            </w:r>
          </w:p>
        </w:tc>
        <w:tc>
          <w:tcPr>
            <w:tcW w:w="160" w:type="dxa"/>
            <w:vAlign w:val="bottom"/>
          </w:tcPr>
          <w:p>
            <w:pPr>
              <w:spacing w:after="0"/>
              <w:rPr>
                <w:sz w:val="11"/>
                <w:szCs w:val="11"/>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4"/>
              </w:rPr>
              <w:t>Threshold</w:t>
            </w:r>
          </w:p>
        </w:tc>
        <w:tc>
          <w:tcPr>
            <w:tcW w:w="240" w:type="dxa"/>
            <w:vAlign w:val="bottom"/>
          </w:tcPr>
          <w:p>
            <w:pPr>
              <w:spacing w:after="0"/>
              <w:rPr>
                <w:sz w:val="11"/>
                <w:szCs w:val="11"/>
                <w:color w:val="auto"/>
              </w:rPr>
            </w:pPr>
          </w:p>
        </w:tc>
        <w:tc>
          <w:tcPr>
            <w:tcW w:w="7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w w:val="90"/>
              </w:rPr>
              <w:t>Target</w:t>
            </w:r>
          </w:p>
        </w:tc>
        <w:tc>
          <w:tcPr>
            <w:tcW w:w="140" w:type="dxa"/>
            <w:vAlign w:val="bottom"/>
          </w:tcPr>
          <w:p>
            <w:pPr>
              <w:spacing w:after="0"/>
              <w:rPr>
                <w:sz w:val="11"/>
                <w:szCs w:val="11"/>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Attainment</w:t>
            </w:r>
          </w:p>
        </w:tc>
        <w:tc>
          <w:tcPr>
            <w:tcW w:w="0" w:type="dxa"/>
            <w:vAlign w:val="bottom"/>
          </w:tcPr>
          <w:p>
            <w:pPr>
              <w:spacing w:after="0"/>
              <w:rPr>
                <w:sz w:val="1"/>
                <w:szCs w:val="1"/>
                <w:color w:val="auto"/>
              </w:rPr>
            </w:pPr>
          </w:p>
        </w:tc>
      </w:tr>
      <w:tr>
        <w:trPr>
          <w:trHeight w:val="154"/>
        </w:trPr>
        <w:tc>
          <w:tcPr>
            <w:tcW w:w="1320" w:type="dxa"/>
            <w:vAlign w:val="bottom"/>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5"/>
              </w:rPr>
              <w:t>attainment</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Attainment level percentage</w:t>
            </w: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106.25%</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0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auto"/>
              </w:rPr>
              <w:t>U.S. Sales Office Contribution Margin excl. Retail</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000" w:type="dxa"/>
            <w:vAlign w:val="bottom"/>
            <w:gridSpan w:val="4"/>
          </w:tcPr>
          <w:p>
            <w:pPr>
              <w:ind w:left="160"/>
              <w:spacing w:after="0" w:line="208" w:lineRule="exact"/>
              <w:rPr>
                <w:sz w:val="20"/>
                <w:szCs w:val="20"/>
                <w:color w:val="auto"/>
              </w:rPr>
            </w:pPr>
            <w:r>
              <w:rPr>
                <w:rFonts w:ascii="Times New Roman" w:cs="Times New Roman" w:eastAsia="Times New Roman" w:hAnsi="Times New Roman"/>
                <w:sz w:val="16"/>
                <w:szCs w:val="16"/>
                <w:color w:val="auto"/>
              </w:rPr>
              <w:t>Growth</w:t>
            </w:r>
            <w:r>
              <w:rPr>
                <w:rFonts w:ascii="Times New Roman" w:cs="Times New Roman" w:eastAsia="Times New Roman" w:hAnsi="Times New Roman"/>
                <w:sz w:val="23"/>
                <w:szCs w:val="23"/>
                <w:color w:val="auto"/>
                <w:vertAlign w:val="superscript"/>
              </w:rPr>
              <w:t>(1)</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0.00%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4.75%</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7.75%</w:t>
            </w: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14.77%</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92"/>
        </w:trPr>
        <w:tc>
          <w:tcPr>
            <w:tcW w:w="400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5"/>
                <w:szCs w:val="15"/>
                <w:color w:val="auto"/>
              </w:rPr>
              <w:t>2024 Total Medline Adjusted EBITDA</w:t>
            </w:r>
            <w:r>
              <w:rPr>
                <w:rFonts w:ascii="Times New Roman" w:cs="Times New Roman" w:eastAsia="Times New Roman" w:hAnsi="Times New Roman"/>
                <w:sz w:val="22"/>
                <w:szCs w:val="22"/>
                <w:color w:val="auto"/>
                <w:vertAlign w:val="superscript"/>
              </w:rPr>
              <w:t>(2)</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  2,830</w:t>
            </w: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$ 3,009</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3,076</w:t>
            </w:r>
          </w:p>
        </w:tc>
        <w:tc>
          <w:tcPr>
            <w:tcW w:w="12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  3,361</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0"/>
        </w:trPr>
        <w:tc>
          <w:tcPr>
            <w:tcW w:w="40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Actual Attainment Percentage Performance Period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71755</wp:posOffset>
            </wp:positionV>
            <wp:extent cx="6845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05" w:lineRule="exact"/>
        <w:rPr>
          <w:sz w:val="20"/>
          <w:szCs w:val="20"/>
          <w:color w:val="auto"/>
        </w:rPr>
      </w:pPr>
    </w:p>
    <w:p>
      <w:pPr>
        <w:ind w:left="1120" w:hanging="382"/>
        <w:spacing w:after="0"/>
        <w:tabs>
          <w:tab w:leader="none" w:pos="112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U.S. Sales Office Contribution Margin excl. Retail Growth measures inventoriable costs and controllable expenses.</w:t>
      </w:r>
    </w:p>
    <w:p>
      <w:pPr>
        <w:ind w:left="1120" w:hanging="382"/>
        <w:spacing w:after="0"/>
        <w:tabs>
          <w:tab w:leader="none" w:pos="1120"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Golwas, 2024 Total Medline Adjusted EBITDA Target includes acquisitions at 85% of deal thesis (Target) and was updated mid-year based on the acquisition of Microtek.</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178</w:t>
      </w:r>
    </w:p>
    <w:p>
      <w:pPr>
        <w:sectPr>
          <w:pgSz w:w="11900" w:h="16838" w:orient="portrait"/>
          <w:cols w:equalWidth="0" w:num="1">
            <w:col w:w="10500"/>
          </w:cols>
          <w:pgMar w:left="320" w:top="420" w:right="10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Mr. Golwas’s 2024 AIP opportunity included an “upside modifier,” which permitted him to earn up to an additional 25% of his unmodified maximum bonus opportunity to the extent U.S. Sales Office Contribution Margin excl. Retail Growth exceeded 7.75%. The modifier percentage was determined based on the U.S. Sales Office Contribution Margin excl. Retail Growth performance between 7.75% and 11.75%, interpolated on a straight-line basis. The U.S. Sales Office Contribution Margin excl. Retail Growth was 14.77%, resulting in an upside modifier of 25%. In addition,</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Mr. Golwas’s AIP opportunity also included an “expense modifier,” which provided that Mr. Golwas’s AIP bonus payout would be lowered or raised</w:t>
      </w:r>
    </w:p>
    <w:p>
      <w:pPr>
        <w:spacing w:after="0" w:line="8"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$3,000 for each 10 basis point increase or decrease in total selling expense growth above or below 70% of Sales Growth, respectively, subject to a cap of $25,000. However, the modifier cannot cause Mr. Golwas’s AIP bonus payout to exceed his maximum payout opportunity, which is set at 125% of his base salary. Although total selling expense growth for 2024 was below 70% of Sales Growth, no expense modifier was paid to Mr. Golwas because paying the expense modifier would have caused Mr. Golwas’s AIP bonus payout to exceed his maximum payout opportunity.</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Actual amounts paid under the AIP were calculated by multiplying each named executive officer’s base salary earned and paid in fiscal 2024 by</w:t>
      </w:r>
    </w:p>
    <w:p>
      <w:pPr>
        <w:spacing w:after="0" w:line="24" w:lineRule="exact"/>
        <w:rPr>
          <w:sz w:val="20"/>
          <w:szCs w:val="20"/>
          <w:color w:val="auto"/>
        </w:rPr>
      </w:pPr>
    </w:p>
    <w:p>
      <w:pPr>
        <w:jc w:val="both"/>
        <w:ind w:left="740" w:right="40" w:hanging="2"/>
        <w:spacing w:after="0" w:line="254" w:lineRule="auto"/>
        <w:tabs>
          <w:tab w:leader="none" w:pos="931" w:val="left"/>
        </w:tabs>
        <w:numPr>
          <w:ilvl w:val="0"/>
          <w:numId w:val="1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 or her AIP target annual cash incentive opportunity (which is reflected as a percentage of eligible base salary), (ii) the executive’s AIP attainment percentage, and (iii) the executive’s upside modifier, if applicable. The following table illustrates the calculations of the AIP awards under the 2024 AIP based on 2024 performance.</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Target AIP</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AIP</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Eligible Base</w:t>
            </w:r>
          </w:p>
        </w:tc>
        <w:tc>
          <w:tcPr>
            <w:tcW w:w="98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3"/>
                <w:szCs w:val="13"/>
                <w:b w:val="1"/>
                <w:bCs w:val="1"/>
                <w:color w:val="auto"/>
                <w:w w:val="95"/>
              </w:rPr>
              <w:t>Award (%</w:t>
            </w:r>
          </w:p>
        </w:tc>
        <w:tc>
          <w:tcPr>
            <w:tcW w:w="9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Target AIP</w:t>
            </w:r>
          </w:p>
        </w:tc>
        <w:tc>
          <w:tcPr>
            <w:tcW w:w="1000" w:type="dxa"/>
            <w:vAlign w:val="bottom"/>
            <w:gridSpan w:val="2"/>
            <w:vMerge w:val="continue"/>
          </w:tcPr>
          <w:p>
            <w:pPr>
              <w:spacing w:after="0"/>
              <w:rPr>
                <w:sz w:val="11"/>
                <w:szCs w:val="11"/>
                <w:color w:val="auto"/>
              </w:rPr>
            </w:pPr>
          </w:p>
        </w:tc>
        <w:tc>
          <w:tcPr>
            <w:tcW w:w="8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Upside</w:t>
            </w:r>
          </w:p>
        </w:tc>
        <w:tc>
          <w:tcPr>
            <w:tcW w:w="80" w:type="dxa"/>
            <w:vAlign w:val="bottom"/>
          </w:tcPr>
          <w:p>
            <w:pPr>
              <w:spacing w:after="0"/>
              <w:rPr>
                <w:sz w:val="11"/>
                <w:szCs w:val="11"/>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Actual</w:t>
            </w:r>
          </w:p>
        </w:tc>
        <w:tc>
          <w:tcPr>
            <w:tcW w:w="0" w:type="dxa"/>
            <w:vAlign w:val="bottom"/>
          </w:tcPr>
          <w:p>
            <w:pPr>
              <w:spacing w:after="0"/>
              <w:rPr>
                <w:sz w:val="1"/>
                <w:szCs w:val="1"/>
                <w:color w:val="auto"/>
              </w:rPr>
            </w:pPr>
          </w:p>
        </w:tc>
      </w:tr>
      <w:tr>
        <w:trPr>
          <w:trHeight w:val="132"/>
        </w:trPr>
        <w:tc>
          <w:tcPr>
            <w:tcW w:w="40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00" w:type="dxa"/>
            <w:vAlign w:val="bottom"/>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98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3"/>
                <w:szCs w:val="13"/>
                <w:b w:val="1"/>
                <w:bCs w:val="1"/>
                <w:color w:val="auto"/>
                <w:w w:val="99"/>
              </w:rPr>
              <w:t>of Base</w:t>
            </w:r>
          </w:p>
        </w:tc>
        <w:tc>
          <w:tcPr>
            <w:tcW w:w="960" w:type="dxa"/>
            <w:vAlign w:val="bottom"/>
            <w:gridSpan w:val="3"/>
            <w:vMerge w:val="continue"/>
          </w:tcPr>
          <w:p>
            <w:pPr>
              <w:spacing w:after="0"/>
              <w:rPr>
                <w:sz w:val="11"/>
                <w:szCs w:val="11"/>
                <w:color w:val="auto"/>
              </w:rPr>
            </w:pPr>
          </w:p>
        </w:tc>
        <w:tc>
          <w:tcPr>
            <w:tcW w:w="1000" w:type="dxa"/>
            <w:vAlign w:val="bottom"/>
            <w:gridSpan w:val="2"/>
          </w:tcPr>
          <w:p>
            <w:pPr>
              <w:jc w:val="center"/>
              <w:ind w:right="360"/>
              <w:spacing w:after="0" w:line="132" w:lineRule="exact"/>
              <w:rPr>
                <w:sz w:val="20"/>
                <w:szCs w:val="20"/>
                <w:color w:val="auto"/>
              </w:rPr>
            </w:pPr>
            <w:r>
              <w:rPr>
                <w:rFonts w:ascii="Times New Roman" w:cs="Times New Roman" w:eastAsia="Times New Roman" w:hAnsi="Times New Roman"/>
                <w:sz w:val="13"/>
                <w:szCs w:val="13"/>
                <w:b w:val="1"/>
                <w:bCs w:val="1"/>
                <w:color w:val="auto"/>
              </w:rPr>
              <w:t>Attainment</w:t>
            </w: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00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3"/>
                <w:szCs w:val="13"/>
                <w:b w:val="1"/>
                <w:bCs w:val="1"/>
                <w:color w:val="auto"/>
                <w:w w:val="98"/>
              </w:rPr>
              <w:t>Salary ($)</w:t>
            </w:r>
          </w:p>
        </w:tc>
        <w:tc>
          <w:tcPr>
            <w:tcW w:w="2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Salary)</w:t>
            </w:r>
          </w:p>
        </w:tc>
        <w:tc>
          <w:tcPr>
            <w:tcW w:w="3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Opportunity</w:t>
            </w: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3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Modifier</w:t>
            </w: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3"/>
                <w:szCs w:val="13"/>
                <w:b w:val="1"/>
                <w:bCs w:val="1"/>
                <w:color w:val="auto"/>
                <w:w w:val="93"/>
              </w:rPr>
              <w:t>Payout ($)</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1,250,000</w:t>
            </w:r>
          </w:p>
        </w:tc>
        <w:tc>
          <w:tcPr>
            <w:tcW w:w="2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1,250,000</w:t>
            </w:r>
          </w:p>
        </w:tc>
        <w:tc>
          <w:tcPr>
            <w:tcW w:w="2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1,847,186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810,000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688,500</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90.19%</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933,014</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9"/>
              </w:rPr>
              <w:t>1,100,000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1,100,000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147.78%</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1,625,523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325,000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248,625</w:t>
            </w:r>
          </w:p>
        </w:tc>
        <w:tc>
          <w:tcPr>
            <w:tcW w:w="2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365,625</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2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724,000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615,400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99.78%</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903,404</w:t>
            </w:r>
          </w:p>
        </w:tc>
        <w:tc>
          <w:tcPr>
            <w:tcW w:w="0" w:type="dxa"/>
            <w:vAlign w:val="bottom"/>
          </w:tcPr>
          <w:p>
            <w:pPr>
              <w:spacing w:after="0"/>
              <w:rPr>
                <w:sz w:val="1"/>
                <w:szCs w:val="1"/>
                <w:color w:val="auto"/>
              </w:rPr>
            </w:pP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700,000</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106.25%</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743,750</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1,093,750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Long-Term Equity Incentive Compensation</w:t>
      </w:r>
    </w:p>
    <w:p>
      <w:pPr>
        <w:spacing w:after="0" w:line="107" w:lineRule="exact"/>
        <w:rPr>
          <w:sz w:val="20"/>
          <w:szCs w:val="20"/>
          <w:color w:val="auto"/>
        </w:rPr>
      </w:pPr>
    </w:p>
    <w:p>
      <w:pPr>
        <w:ind w:left="740" w:right="100" w:firstLine="391"/>
        <w:spacing w:after="0" w:line="256" w:lineRule="auto"/>
        <w:rPr>
          <w:sz w:val="20"/>
          <w:szCs w:val="20"/>
          <w:color w:val="auto"/>
        </w:rPr>
      </w:pPr>
      <w:r>
        <w:rPr>
          <w:rFonts w:ascii="Times New Roman" w:cs="Times New Roman" w:eastAsia="Times New Roman" w:hAnsi="Times New Roman"/>
          <w:sz w:val="16"/>
          <w:szCs w:val="16"/>
          <w:color w:val="auto"/>
        </w:rPr>
        <w:t>In 2021, following our acquisition by our Sponsors, certain key executives, including the Named Executive Officers, were granted long-term equity incentive awards designed to promote our interests and incentivize them to remain in our service. These long-term equity incentive awards were granted in the form of Class B Units in Medline Management Aggregator LLC (the “Aggregator”). The Class B Units are “profits interests” under U.S. federal income tax law having economic characteristics similar to stock appreciation rights (i.e., representing the right to share in any increase in the equity value of the Aggregator that exceeds a specified threshold). Unvested Class B Units are not entitled to distributions from the Aggregator other than tax distributions.</w:t>
      </w:r>
    </w:p>
    <w:p>
      <w:pPr>
        <w:spacing w:after="0" w:line="164" w:lineRule="exact"/>
        <w:rPr>
          <w:sz w:val="20"/>
          <w:szCs w:val="20"/>
          <w:color w:val="auto"/>
        </w:rPr>
      </w:pPr>
    </w:p>
    <w:p>
      <w:pPr>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The specific sizes of awards under our Management Incentive Plan (“MIP”) and Class B Unit grants made to our Named Executive Officers are determined in consideration of our Sponsors’ practices with respect to management equity programs at other private companies in their respective portfolios, the executive officer’s position and level of responsibilities with us, and market data.</w:t>
      </w:r>
    </w:p>
    <w:p>
      <w:pPr>
        <w:spacing w:after="0" w:line="25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2024 Management Incentive Plan</w:t>
      </w:r>
    </w:p>
    <w:p>
      <w:pPr>
        <w:spacing w:after="0" w:line="105"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Under our 2024 MIP, each of our Named Executive Officers was eligible to earn a number of Class B Units based on fiscal 2024 performance. Awards under the MIP are initially expressed as “dollars at work” as of the award date (or “service inception date”) which are subsequently converted to a number of time-vesting Class B Units (the “Time-Vested Units”) on the grant date for the award to occur in the following fiscal year, at the price per unit on the grant date. The number of Time-Vested Units to be granted to our Named Executive Officers will depend on Company and individual performance relative to the 2024 MIP performance measures reflected in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179</w:t>
      </w:r>
    </w:p>
    <w:p>
      <w:pPr>
        <w:sectPr>
          <w:pgSz w:w="11900" w:h="16838" w:orient="portrait"/>
          <w:cols w:equalWidth="0" w:num="1">
            <w:col w:w="10500"/>
          </w:cols>
          <w:pgMar w:left="320" w:top="420" w:right="10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tables below. Time-Vested Units vest 20% per year on each of the first five anniversaries of the grant date, subject to the Named Executive Officer’s continued employment with us through each applicable vesting date (except with respect to certain employment termination scenarios for Mr. Boyle and Mr. Pigott, as described below). In the event actual achievement of a performance objective is between levels, the earned “dollars at work” is calculated using linear interpolation. The number of Time-Vested Units to be delivered in 2025 will be determined by dividing the earned “dollars at work” by the threshold value, which is equal to the value of a Class A Unit on the grant date.</w:t>
      </w:r>
    </w:p>
    <w:p>
      <w:pPr>
        <w:spacing w:after="0" w:line="165" w:lineRule="exact"/>
        <w:rPr>
          <w:sz w:val="20"/>
          <w:szCs w:val="20"/>
          <w:color w:val="auto"/>
        </w:rPr>
      </w:pPr>
    </w:p>
    <w:p>
      <w:pPr>
        <w:ind w:left="740" w:right="40" w:firstLine="391"/>
        <w:spacing w:after="0" w:line="283" w:lineRule="auto"/>
        <w:rPr>
          <w:sz w:val="20"/>
          <w:szCs w:val="20"/>
          <w:color w:val="auto"/>
        </w:rPr>
      </w:pPr>
      <w:r>
        <w:rPr>
          <w:rFonts w:ascii="Times New Roman" w:cs="Times New Roman" w:eastAsia="Times New Roman" w:hAnsi="Times New Roman"/>
          <w:sz w:val="15"/>
          <w:szCs w:val="15"/>
          <w:color w:val="auto"/>
        </w:rPr>
        <w:t>The 2024 MIP performance measures and the corresponding threshold, target and maximum dollars at work opportunities for our Named Executive Officers are summarized in the tables below. For each of our Named Executive Officers, award under our 2024 MIP (the “2024 MIP Award”) is not earned, and no Class B Units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44" w:lineRule="exact"/>
        <w:rPr>
          <w:sz w:val="20"/>
          <w:szCs w:val="20"/>
          <w:color w:val="auto"/>
        </w:rPr>
      </w:pPr>
    </w:p>
    <w:p>
      <w:pPr>
        <w:ind w:left="740" w:right="140" w:firstLine="391"/>
        <w:spacing w:after="0" w:line="291" w:lineRule="auto"/>
        <w:rPr>
          <w:sz w:val="20"/>
          <w:szCs w:val="20"/>
          <w:color w:val="auto"/>
        </w:rPr>
      </w:pPr>
      <w:r>
        <w:rPr>
          <w:rFonts w:ascii="Times New Roman" w:cs="Times New Roman" w:eastAsia="Times New Roman" w:hAnsi="Times New Roman"/>
          <w:sz w:val="15"/>
          <w:szCs w:val="15"/>
          <w:color w:val="auto"/>
        </w:rPr>
        <w:t>The 2024 MIP for each of Mr. Boyle and Mr. Pigott included a target dollars at work value of $3,450,000. The performance measures applicable to their 2024 MIP Awards were Adjusted EBITDA Year-Over-Year Growth and Sales Year-Over-Year growth. The threshold, target and maximum dollars at work amounts upon which the number of Class B Units actually delivered in 2025 will be determined are shown in the table below.</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Adjusted</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3"/>
                <w:szCs w:val="13"/>
                <w:b w:val="1"/>
                <w:bCs w:val="1"/>
                <w:color w:val="auto"/>
                <w:w w:val="99"/>
              </w:rPr>
              <w:t>Sales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6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3"/>
                <w:szCs w:val="13"/>
                <w:b w:val="1"/>
                <w:bCs w:val="1"/>
                <w:color w:val="auto"/>
              </w:rPr>
              <w:t>EBITDA</w:t>
            </w:r>
          </w:p>
        </w:tc>
        <w:tc>
          <w:tcPr>
            <w:tcW w:w="280" w:type="dxa"/>
            <w:vAlign w:val="bottom"/>
          </w:tcPr>
          <w:p>
            <w:pPr>
              <w:spacing w:after="0"/>
              <w:rPr>
                <w:sz w:val="11"/>
                <w:szCs w:val="11"/>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Dollars at</w:t>
            </w:r>
          </w:p>
        </w:tc>
        <w:tc>
          <w:tcPr>
            <w:tcW w:w="1540" w:type="dxa"/>
            <w:vAlign w:val="bottom"/>
            <w:gridSpan w:val="2"/>
            <w:vMerge w:val="continue"/>
          </w:tcPr>
          <w:p>
            <w:pPr>
              <w:spacing w:after="0"/>
              <w:rPr>
                <w:sz w:val="11"/>
                <w:szCs w:val="11"/>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Dollars at</w:t>
            </w:r>
          </w:p>
        </w:tc>
        <w:tc>
          <w:tcPr>
            <w:tcW w:w="0" w:type="dxa"/>
            <w:vAlign w:val="bottom"/>
          </w:tcPr>
          <w:p>
            <w:pPr>
              <w:spacing w:after="0"/>
              <w:rPr>
                <w:sz w:val="1"/>
                <w:szCs w:val="1"/>
                <w:color w:val="auto"/>
              </w:rPr>
            </w:pPr>
          </w:p>
        </w:tc>
      </w:tr>
      <w:tr>
        <w:trPr>
          <w:trHeight w:val="132"/>
        </w:trPr>
        <w:tc>
          <w:tcPr>
            <w:tcW w:w="2280" w:type="dxa"/>
            <w:vAlign w:val="bottom"/>
          </w:tcPr>
          <w:p>
            <w:pPr>
              <w:spacing w:after="0"/>
              <w:rPr>
                <w:sz w:val="11"/>
                <w:szCs w:val="11"/>
                <w:color w:val="auto"/>
              </w:rPr>
            </w:pPr>
          </w:p>
        </w:tc>
        <w:tc>
          <w:tcPr>
            <w:tcW w:w="2880" w:type="dxa"/>
            <w:vAlign w:val="bottom"/>
            <w:gridSpan w:val="3"/>
          </w:tcPr>
          <w:p>
            <w:pPr>
              <w:jc w:val="center"/>
              <w:ind w:left="1146"/>
              <w:spacing w:after="0" w:line="132" w:lineRule="exact"/>
              <w:rPr>
                <w:sz w:val="20"/>
                <w:szCs w:val="20"/>
                <w:color w:val="auto"/>
              </w:rPr>
            </w:pPr>
            <w:r>
              <w:rPr>
                <w:rFonts w:ascii="Times New Roman" w:cs="Times New Roman" w:eastAsia="Times New Roman" w:hAnsi="Times New Roman"/>
                <w:sz w:val="13"/>
                <w:szCs w:val="13"/>
                <w:b w:val="1"/>
                <w:bCs w:val="1"/>
                <w:color w:val="auto"/>
                <w:w w:val="93"/>
              </w:rPr>
              <w:t>Year-Over-Year</w:t>
            </w:r>
          </w:p>
        </w:tc>
        <w:tc>
          <w:tcPr>
            <w:tcW w:w="2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40" w:type="dxa"/>
            <w:vAlign w:val="bottom"/>
            <w:gridSpan w:val="2"/>
          </w:tcPr>
          <w:p>
            <w:pPr>
              <w:jc w:val="center"/>
              <w:ind w:right="680"/>
              <w:spacing w:after="0" w:line="132" w:lineRule="exact"/>
              <w:rPr>
                <w:sz w:val="20"/>
                <w:szCs w:val="20"/>
                <w:color w:val="auto"/>
              </w:rPr>
            </w:pPr>
            <w:r>
              <w:rPr>
                <w:rFonts w:ascii="Times New Roman" w:cs="Times New Roman" w:eastAsia="Times New Roman" w:hAnsi="Times New Roman"/>
                <w:sz w:val="13"/>
                <w:szCs w:val="13"/>
                <w:b w:val="1"/>
                <w:bCs w:val="1"/>
                <w:color w:val="auto"/>
                <w:w w:val="93"/>
              </w:rPr>
              <w:t>Year-Over-Year</w:t>
            </w: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28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Growth</w:t>
            </w:r>
          </w:p>
        </w:tc>
        <w:tc>
          <w:tcPr>
            <w:tcW w:w="4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Work</w:t>
            </w:r>
          </w:p>
        </w:tc>
        <w:tc>
          <w:tcPr>
            <w:tcW w:w="62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Growth</w:t>
            </w:r>
          </w:p>
        </w:tc>
        <w:tc>
          <w:tcPr>
            <w:tcW w:w="6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Work</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Threshold</w:t>
            </w:r>
          </w:p>
        </w:tc>
        <w:tc>
          <w:tcPr>
            <w:tcW w:w="16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2.60%</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$1,423,125</w:t>
            </w:r>
          </w:p>
        </w:tc>
        <w:tc>
          <w:tcPr>
            <w:tcW w:w="6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3.70%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$301,875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Target</w:t>
            </w:r>
          </w:p>
        </w:tc>
        <w:tc>
          <w:tcPr>
            <w:tcW w:w="28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5.20%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$2,846,250</w:t>
            </w:r>
          </w:p>
        </w:tc>
        <w:tc>
          <w:tcPr>
            <w:tcW w:w="62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5.40%</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$603,750</w:t>
            </w:r>
          </w:p>
        </w:tc>
        <w:tc>
          <w:tcPr>
            <w:tcW w:w="0" w:type="dxa"/>
            <w:vAlign w:val="bottom"/>
          </w:tcPr>
          <w:p>
            <w:pPr>
              <w:spacing w:after="0"/>
              <w:rPr>
                <w:sz w:val="1"/>
                <w:szCs w:val="1"/>
                <w:color w:val="auto"/>
              </w:rPr>
            </w:pPr>
          </w:p>
        </w:tc>
      </w:tr>
      <w:tr>
        <w:trPr>
          <w:trHeight w:val="192"/>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Maximum</w:t>
            </w:r>
          </w:p>
        </w:tc>
        <w:tc>
          <w:tcPr>
            <w:tcW w:w="2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$4,269,375</w:t>
            </w:r>
          </w:p>
        </w:tc>
        <w:tc>
          <w:tcPr>
            <w:tcW w:w="62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9.00%</w:t>
            </w:r>
          </w:p>
        </w:tc>
        <w:tc>
          <w:tcPr>
            <w:tcW w:w="6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$906,625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The 2024 MIP Awards for Messrs. Drazin, Shryock and Miller included target dollars at work value of $2,900,000 for Mr. Drazin, $750,000 for Mr. Shryock (which is a pro-rated amount based on his start date) and $2,700,000 for Mr. Miller. The performance measures applicable to each of their 2024 MIP Awards were formula attainment (i.e., the actual level of achievement of the performance criteria applicable to each Named Executive Officer’s annual bonus under the AIP) and Adjusted EBITDA. The threshold and maximum dollars at work amounts for formula attainment and the threshold, target and maximum Adjusted EBITDA measures upon which the number of Class B Units actually delivered in 2025 will be determined are shown in the table below.</w:t>
      </w:r>
    </w:p>
    <w:p>
      <w:pPr>
        <w:spacing w:after="0" w:line="182"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w w:val="94"/>
              </w:rPr>
              <w:t>Threshold</w:t>
            </w:r>
          </w:p>
        </w:tc>
        <w:tc>
          <w:tcPr>
            <w:tcW w:w="260" w:type="dxa"/>
            <w:vAlign w:val="bottom"/>
            <w:gridSpan w:val="2"/>
            <w:vMerge w:val="restart"/>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w w:val="94"/>
              </w:rPr>
              <w:t>Dollars at</w:t>
            </w:r>
          </w:p>
        </w:tc>
        <w:tc>
          <w:tcPr>
            <w:tcW w:w="1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w w:val="95"/>
              </w:rPr>
              <w:t>Formula Attainment</w:t>
            </w:r>
          </w:p>
        </w:tc>
        <w:tc>
          <w:tcPr>
            <w:tcW w:w="5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w w:val="95"/>
              </w:rPr>
              <w:t>Dollars at Work</w:t>
            </w:r>
          </w:p>
        </w:tc>
        <w:tc>
          <w:tcPr>
            <w:tcW w:w="0" w:type="dxa"/>
            <w:vAlign w:val="bottom"/>
          </w:tcPr>
          <w:p>
            <w:pPr>
              <w:spacing w:after="0"/>
              <w:rPr>
                <w:sz w:val="1"/>
                <w:szCs w:val="1"/>
                <w:color w:val="auto"/>
              </w:rPr>
            </w:pPr>
          </w:p>
        </w:tc>
      </w:tr>
      <w:tr>
        <w:trPr>
          <w:trHeight w:val="124"/>
        </w:trPr>
        <w:tc>
          <w:tcPr>
            <w:tcW w:w="25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gridSpan w:val="2"/>
            <w:vMerge w:val="continue"/>
          </w:tcPr>
          <w:p>
            <w:pPr>
              <w:spacing w:after="0"/>
              <w:rPr>
                <w:sz w:val="10"/>
                <w:szCs w:val="10"/>
                <w:color w:val="auto"/>
              </w:rPr>
            </w:pPr>
          </w:p>
        </w:tc>
        <w:tc>
          <w:tcPr>
            <w:tcW w:w="260" w:type="dxa"/>
            <w:vAlign w:val="bottom"/>
            <w:tcBorders>
              <w:bottom w:val="single" w:sz="8" w:color="CCEEFF"/>
            </w:tcBorders>
            <w:gridSpan w:val="2"/>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gridSpan w:val="2"/>
            <w:vMerge w:val="continue"/>
          </w:tcPr>
          <w:p>
            <w:pPr>
              <w:spacing w:after="0"/>
              <w:rPr>
                <w:sz w:val="10"/>
                <w:szCs w:val="10"/>
                <w:color w:val="auto"/>
              </w:rPr>
            </w:pPr>
          </w:p>
        </w:tc>
        <w:tc>
          <w:tcPr>
            <w:tcW w:w="440" w:type="dxa"/>
            <w:vAlign w:val="bottom"/>
            <w:tcBorders>
              <w:bottom w:val="single" w:sz="8" w:color="auto"/>
            </w:tcBorders>
            <w:gridSpan w:val="2"/>
          </w:tcPr>
          <w:p>
            <w:pPr>
              <w:jc w:val="right"/>
              <w:ind w:right="120"/>
              <w:spacing w:after="0" w:line="124" w:lineRule="exact"/>
              <w:rPr>
                <w:sz w:val="20"/>
                <w:szCs w:val="20"/>
                <w:color w:val="auto"/>
              </w:rPr>
            </w:pPr>
            <w:r>
              <w:rPr>
                <w:rFonts w:ascii="Times New Roman" w:cs="Times New Roman" w:eastAsia="Times New Roman" w:hAnsi="Times New Roman"/>
                <w:sz w:val="13"/>
                <w:szCs w:val="13"/>
                <w:color w:val="auto"/>
              </w:rPr>
              <w:t>Work</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3"/>
                <w:szCs w:val="13"/>
                <w:color w:val="auto"/>
                <w:w w:val="95"/>
              </w:rPr>
              <w:t>Maximum</w:t>
            </w:r>
          </w:p>
        </w:tc>
        <w:tc>
          <w:tcPr>
            <w:tcW w:w="340" w:type="dxa"/>
            <w:vAlign w:val="bottom"/>
            <w:tcBorders>
              <w:bottom w:val="single" w:sz="8" w:color="CCEEFF"/>
            </w:tcBorders>
            <w:gridSpan w:val="2"/>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Drazin</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1,450,000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2,175,000</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4"/>
              </w:rPr>
              <w:t>Threshold</w:t>
            </w:r>
          </w:p>
        </w:tc>
        <w:tc>
          <w:tcPr>
            <w:tcW w:w="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Dollars at Work</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Maximum</w:t>
            </w:r>
          </w:p>
        </w:tc>
        <w:tc>
          <w:tcPr>
            <w:tcW w:w="3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Dollars at Work</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Mr. Shryock</w:t>
            </w: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4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4"/>
              </w:rPr>
              <w:t>Threshold</w:t>
            </w:r>
          </w:p>
        </w:tc>
        <w:tc>
          <w:tcPr>
            <w:tcW w:w="2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Dollars at Work</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5"/>
              </w:rPr>
              <w:t>Maximum</w:t>
            </w:r>
          </w:p>
        </w:tc>
        <w:tc>
          <w:tcPr>
            <w:tcW w:w="3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Dollars at Work</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Mr. Miller</w:t>
            </w:r>
          </w:p>
        </w:tc>
        <w:tc>
          <w:tcPr>
            <w:tcW w:w="1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5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1,350,000</w:t>
            </w:r>
          </w:p>
        </w:tc>
        <w:tc>
          <w:tcPr>
            <w:tcW w:w="14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2,025,000</w:t>
            </w:r>
          </w:p>
        </w:tc>
        <w:tc>
          <w:tcPr>
            <w:tcW w:w="0" w:type="dxa"/>
            <w:vAlign w:val="bottom"/>
          </w:tcPr>
          <w:p>
            <w:pPr>
              <w:spacing w:after="0"/>
              <w:rPr>
                <w:sz w:val="1"/>
                <w:szCs w:val="1"/>
                <w:color w:val="auto"/>
              </w:rPr>
            </w:pPr>
          </w:p>
        </w:tc>
      </w:tr>
      <w:tr>
        <w:trPr>
          <w:trHeight w:val="347"/>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auto"/>
              </w:rPr>
              <w:t>Threshold</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color w:val="auto"/>
                <w:w w:val="70"/>
              </w:rPr>
              <w:t>Target</w:t>
            </w:r>
          </w:p>
        </w:tc>
        <w:tc>
          <w:tcPr>
            <w:tcW w:w="10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3"/>
                <w:szCs w:val="13"/>
                <w:b w:val="1"/>
                <w:bCs w:val="1"/>
                <w:color w:val="auto"/>
                <w:w w:val="98"/>
              </w:rPr>
              <w:t>Adjusted EBITDA</w:t>
            </w:r>
          </w:p>
        </w:tc>
        <w:tc>
          <w:tcPr>
            <w:tcW w:w="8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3"/>
                <w:szCs w:val="13"/>
                <w:color w:val="auto"/>
              </w:rPr>
              <w:t>at Work</w:t>
            </w:r>
          </w:p>
        </w:tc>
        <w:tc>
          <w:tcPr>
            <w:tcW w:w="140" w:type="dxa"/>
            <w:vAlign w:val="bottom"/>
          </w:tcPr>
          <w:p>
            <w:pPr>
              <w:spacing w:after="0"/>
              <w:rPr>
                <w:sz w:val="24"/>
                <w:szCs w:val="24"/>
                <w:color w:val="auto"/>
              </w:rPr>
            </w:pPr>
          </w:p>
        </w:tc>
        <w:tc>
          <w:tcPr>
            <w:tcW w:w="108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color w:val="auto"/>
              </w:rPr>
              <w:t>Maximum</w:t>
            </w:r>
          </w:p>
        </w:tc>
        <w:tc>
          <w:tcPr>
            <w:tcW w:w="120" w:type="dxa"/>
            <w:vAlign w:val="bottom"/>
          </w:tcPr>
          <w:p>
            <w:pPr>
              <w:spacing w:after="0"/>
              <w:rPr>
                <w:sz w:val="24"/>
                <w:szCs w:val="24"/>
                <w:color w:val="auto"/>
              </w:rPr>
            </w:pP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46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3"/>
                <w:szCs w:val="13"/>
                <w:color w:val="auto"/>
                <w:w w:val="73"/>
              </w:rPr>
              <w:t>Dollars</w:t>
            </w:r>
          </w:p>
        </w:tc>
        <w:tc>
          <w:tcPr>
            <w:tcW w:w="8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Drazin</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2,783,000,000</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725,000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1,450,000</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2,175,000</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Threshold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Target</w:t>
            </w:r>
          </w:p>
        </w:tc>
        <w:tc>
          <w:tcPr>
            <w:tcW w:w="120" w:type="dxa"/>
            <w:vAlign w:val="bottom"/>
          </w:tcPr>
          <w:p>
            <w:pPr>
              <w:spacing w:after="0"/>
              <w:rPr>
                <w:sz w:val="19"/>
                <w:szCs w:val="19"/>
                <w:color w:val="auto"/>
              </w:rPr>
            </w:pPr>
          </w:p>
        </w:tc>
        <w:tc>
          <w:tcPr>
            <w:tcW w:w="114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color w:val="auto"/>
              </w:rPr>
              <w:t>Dollars at Work</w:t>
            </w:r>
          </w:p>
        </w:tc>
        <w:tc>
          <w:tcPr>
            <w:tcW w:w="140" w:type="dxa"/>
            <w:vAlign w:val="bottom"/>
          </w:tcPr>
          <w:p>
            <w:pPr>
              <w:spacing w:after="0"/>
              <w:rPr>
                <w:sz w:val="19"/>
                <w:szCs w:val="19"/>
                <w:color w:val="auto"/>
              </w:rPr>
            </w:pPr>
          </w:p>
        </w:tc>
        <w:tc>
          <w:tcPr>
            <w:tcW w:w="108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Maximum</w:t>
            </w: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84"/>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Shryock</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2,783,000,000</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187,500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562,500</w:t>
            </w: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Threshold</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Dollars at Work</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Target</w:t>
            </w:r>
          </w:p>
        </w:tc>
        <w:tc>
          <w:tcPr>
            <w:tcW w:w="120" w:type="dxa"/>
            <w:vAlign w:val="bottom"/>
          </w:tcPr>
          <w:p>
            <w:pPr>
              <w:spacing w:after="0"/>
              <w:rPr>
                <w:sz w:val="19"/>
                <w:szCs w:val="19"/>
                <w:color w:val="auto"/>
              </w:rPr>
            </w:pPr>
          </w:p>
        </w:tc>
        <w:tc>
          <w:tcPr>
            <w:tcW w:w="114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color w:val="auto"/>
              </w:rPr>
              <w:t>Dollars at Work</w:t>
            </w:r>
          </w:p>
        </w:tc>
        <w:tc>
          <w:tcPr>
            <w:tcW w:w="140" w:type="dxa"/>
            <w:vAlign w:val="bottom"/>
          </w:tcPr>
          <w:p>
            <w:pPr>
              <w:spacing w:after="0"/>
              <w:rPr>
                <w:sz w:val="19"/>
                <w:szCs w:val="19"/>
                <w:color w:val="auto"/>
              </w:rPr>
            </w:pPr>
          </w:p>
        </w:tc>
        <w:tc>
          <w:tcPr>
            <w:tcW w:w="1080" w:type="dxa"/>
            <w:vAlign w:val="bottom"/>
            <w:gridSpan w:val="5"/>
          </w:tcPr>
          <w:p>
            <w:pPr>
              <w:ind w:left="140"/>
              <w:spacing w:after="0"/>
              <w:rPr>
                <w:sz w:val="20"/>
                <w:szCs w:val="20"/>
                <w:color w:val="auto"/>
              </w:rPr>
            </w:pPr>
            <w:r>
              <w:rPr>
                <w:rFonts w:ascii="Times New Roman" w:cs="Times New Roman" w:eastAsia="Times New Roman" w:hAnsi="Times New Roman"/>
                <w:sz w:val="13"/>
                <w:szCs w:val="13"/>
                <w:color w:val="auto"/>
              </w:rPr>
              <w:t>Maximum</w:t>
            </w:r>
          </w:p>
        </w:tc>
        <w:tc>
          <w:tcPr>
            <w:tcW w:w="12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Dollars at Work</w:t>
            </w:r>
          </w:p>
        </w:tc>
        <w:tc>
          <w:tcPr>
            <w:tcW w:w="0" w:type="dxa"/>
            <w:vAlign w:val="bottom"/>
          </w:tcPr>
          <w:p>
            <w:pPr>
              <w:spacing w:after="0"/>
              <w:rPr>
                <w:sz w:val="1"/>
                <w:szCs w:val="1"/>
                <w:color w:val="auto"/>
              </w:rPr>
            </w:pPr>
          </w:p>
        </w:tc>
      </w:tr>
      <w:tr>
        <w:trPr>
          <w:trHeight w:val="184"/>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Miller</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2,783,000,000</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675,000</w:t>
            </w: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right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1,350,000</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3,234,000,000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2,025,000</w:t>
            </w:r>
          </w:p>
        </w:tc>
        <w:tc>
          <w:tcPr>
            <w:tcW w:w="0" w:type="dxa"/>
            <w:vAlign w:val="bottom"/>
          </w:tcPr>
          <w:p>
            <w:pPr>
              <w:spacing w:after="0"/>
              <w:rPr>
                <w:sz w:val="1"/>
                <w:szCs w:val="1"/>
                <w:color w:val="auto"/>
              </w:rPr>
            </w:pPr>
          </w:p>
        </w:tc>
      </w:tr>
      <w:tr>
        <w:trPr>
          <w:trHeight w:val="323"/>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180</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2024 MIP Award for Mr. Golwas included a target dollars at work value of $2,750,000. The performance measures applicable to</w:t>
      </w:r>
    </w:p>
    <w:p>
      <w:pPr>
        <w:spacing w:after="0" w:line="24" w:lineRule="exact"/>
        <w:rPr>
          <w:sz w:val="20"/>
          <w:szCs w:val="20"/>
          <w:color w:val="auto"/>
        </w:rPr>
      </w:pPr>
    </w:p>
    <w:p>
      <w:pPr>
        <w:ind w:left="740" w:right="60"/>
        <w:spacing w:after="0" w:line="293" w:lineRule="auto"/>
        <w:rPr>
          <w:sz w:val="20"/>
          <w:szCs w:val="20"/>
          <w:color w:val="auto"/>
        </w:rPr>
      </w:pPr>
      <w:r>
        <w:rPr>
          <w:rFonts w:ascii="Times New Roman" w:cs="Times New Roman" w:eastAsia="Times New Roman" w:hAnsi="Times New Roman"/>
          <w:sz w:val="15"/>
          <w:szCs w:val="15"/>
          <w:color w:val="auto"/>
        </w:rPr>
        <w:t>Mr. Golwas’s 2024 MIP Awards were U.S. Sales Office Contribution Margin excl. Retail Growth and Adjusted EBITDA. The threshold, target and maximum dollars at work amounts upon which the number of Class B Units actually delivered in 2025 will be determined are shown in the table below.</w:t>
      </w:r>
    </w:p>
    <w:p>
      <w:pPr>
        <w:spacing w:after="0" w:line="156"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120" w:type="dxa"/>
            <w:vAlign w:val="bottom"/>
            <w:gridSpan w:val="14"/>
          </w:tcPr>
          <w:p>
            <w:pPr>
              <w:jc w:val="center"/>
              <w:ind w:right="940"/>
              <w:spacing w:after="0"/>
              <w:rPr>
                <w:sz w:val="20"/>
                <w:szCs w:val="20"/>
                <w:color w:val="auto"/>
              </w:rPr>
            </w:pPr>
            <w:r>
              <w:rPr>
                <w:rFonts w:ascii="Times New Roman" w:cs="Times New Roman" w:eastAsia="Times New Roman" w:hAnsi="Times New Roman"/>
                <w:sz w:val="13"/>
                <w:szCs w:val="13"/>
                <w:b w:val="1"/>
                <w:bCs w:val="1"/>
                <w:color w:val="auto"/>
                <w:w w:val="98"/>
              </w:rPr>
              <w:t>U.S. Sales Office Contribution Margin excl. Retail Growth</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72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188"/>
              <w:spacing w:after="0" w:line="124" w:lineRule="exact"/>
              <w:rPr>
                <w:sz w:val="20"/>
                <w:szCs w:val="20"/>
                <w:color w:val="auto"/>
              </w:rPr>
            </w:pPr>
            <w:r>
              <w:rPr>
                <w:rFonts w:ascii="Times New Roman" w:cs="Times New Roman" w:eastAsia="Times New Roman" w:hAnsi="Times New Roman"/>
                <w:sz w:val="13"/>
                <w:szCs w:val="13"/>
                <w:color w:val="auto"/>
              </w:rPr>
              <w:t>Threshold</w:t>
            </w:r>
          </w:p>
        </w:tc>
        <w:tc>
          <w:tcPr>
            <w:tcW w:w="2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w w:val="90"/>
              </w:rPr>
              <w:t>Dollars at</w:t>
            </w:r>
          </w:p>
        </w:tc>
        <w:tc>
          <w:tcPr>
            <w:tcW w:w="340" w:type="dxa"/>
            <w:vAlign w:val="bottom"/>
            <w:tcBorders>
              <w:top w:val="single" w:sz="8" w:color="auto"/>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rPr>
              <w:t>Work</w:t>
            </w:r>
          </w:p>
        </w:tc>
        <w:tc>
          <w:tcPr>
            <w:tcW w:w="60" w:type="dxa"/>
            <w:vAlign w:val="bottom"/>
            <w:tcBorders>
              <w:top w:val="single" w:sz="8" w:color="auto"/>
              <w:bottom w:val="single" w:sz="8" w:color="CCEEFF"/>
            </w:tcBorders>
          </w:tcPr>
          <w:p>
            <w:pPr>
              <w:spacing w:after="0"/>
              <w:rPr>
                <w:sz w:val="10"/>
                <w:szCs w:val="10"/>
                <w:color w:val="auto"/>
              </w:rPr>
            </w:pPr>
          </w:p>
        </w:tc>
        <w:tc>
          <w:tcPr>
            <w:tcW w:w="40" w:type="dxa"/>
            <w:vAlign w:val="bottom"/>
            <w:tcBorders>
              <w:top w:val="single" w:sz="8" w:color="auto"/>
              <w:bottom w:val="single" w:sz="8" w:color="CCEEFF"/>
            </w:tcBorders>
          </w:tcPr>
          <w:p>
            <w:pPr>
              <w:spacing w:after="0"/>
              <w:rPr>
                <w:sz w:val="10"/>
                <w:szCs w:val="10"/>
                <w:color w:val="auto"/>
              </w:rPr>
            </w:pPr>
          </w:p>
        </w:tc>
        <w:tc>
          <w:tcPr>
            <w:tcW w:w="1040" w:type="dxa"/>
            <w:vAlign w:val="bottom"/>
            <w:tcBorders>
              <w:top w:val="single" w:sz="8" w:color="auto"/>
              <w:bottom w:val="single" w:sz="8" w:color="auto"/>
            </w:tcBorders>
            <w:gridSpan w:val="2"/>
          </w:tcPr>
          <w:p>
            <w:pPr>
              <w:ind w:left="360"/>
              <w:spacing w:after="0" w:line="124" w:lineRule="exact"/>
              <w:rPr>
                <w:sz w:val="20"/>
                <w:szCs w:val="20"/>
                <w:color w:val="auto"/>
              </w:rPr>
            </w:pPr>
            <w:r>
              <w:rPr>
                <w:rFonts w:ascii="Times New Roman" w:cs="Times New Roman" w:eastAsia="Times New Roman" w:hAnsi="Times New Roman"/>
                <w:sz w:val="13"/>
                <w:szCs w:val="13"/>
                <w:color w:val="auto"/>
              </w:rPr>
              <w:t>Target</w:t>
            </w:r>
          </w:p>
        </w:tc>
        <w:tc>
          <w:tcPr>
            <w:tcW w:w="2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gridSpan w:val="3"/>
          </w:tcPr>
          <w:p>
            <w:pPr>
              <w:jc w:val="right"/>
              <w:ind w:right="20"/>
              <w:spacing w:after="0" w:line="124" w:lineRule="exact"/>
              <w:rPr>
                <w:sz w:val="20"/>
                <w:szCs w:val="20"/>
                <w:color w:val="auto"/>
              </w:rPr>
            </w:pPr>
            <w:r>
              <w:rPr>
                <w:rFonts w:ascii="Times New Roman" w:cs="Times New Roman" w:eastAsia="Times New Roman" w:hAnsi="Times New Roman"/>
                <w:sz w:val="13"/>
                <w:szCs w:val="13"/>
                <w:color w:val="auto"/>
                <w:w w:val="97"/>
              </w:rPr>
              <w:t>Dollars at Work</w:t>
            </w:r>
          </w:p>
        </w:tc>
        <w:tc>
          <w:tcPr>
            <w:tcW w:w="10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96"/>
              <w:spacing w:after="0" w:line="124" w:lineRule="exact"/>
              <w:rPr>
                <w:sz w:val="20"/>
                <w:szCs w:val="20"/>
                <w:color w:val="auto"/>
              </w:rPr>
            </w:pPr>
            <w:r>
              <w:rPr>
                <w:rFonts w:ascii="Times New Roman" w:cs="Times New Roman" w:eastAsia="Times New Roman" w:hAnsi="Times New Roman"/>
                <w:sz w:val="13"/>
                <w:szCs w:val="13"/>
                <w:color w:val="auto"/>
                <w:w w:val="70"/>
              </w:rPr>
              <w:t>Maximum</w:t>
            </w:r>
          </w:p>
        </w:tc>
        <w:tc>
          <w:tcPr>
            <w:tcW w:w="2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auto"/>
                <w:w w:val="97"/>
              </w:rPr>
              <w:t>Dollars at Work</w:t>
            </w:r>
          </w:p>
        </w:tc>
        <w:tc>
          <w:tcPr>
            <w:tcW w:w="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Golwas</w:t>
            </w:r>
          </w:p>
        </w:tc>
        <w:tc>
          <w:tcPr>
            <w:tcW w:w="9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962,500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1,925,000</w:t>
            </w:r>
          </w:p>
        </w:tc>
        <w:tc>
          <w:tcPr>
            <w:tcW w:w="10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3"/>
        </w:trPr>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rPr>
              <w:t>Threshold</w:t>
            </w:r>
          </w:p>
        </w:tc>
        <w:tc>
          <w:tcPr>
            <w:tcW w:w="120" w:type="dxa"/>
            <w:vAlign w:val="bottom"/>
          </w:tcPr>
          <w:p>
            <w:pPr>
              <w:spacing w:after="0"/>
              <w:rPr>
                <w:sz w:val="24"/>
                <w:szCs w:val="2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color w:val="auto"/>
              </w:rPr>
              <w:t>Dollars at Work</w:t>
            </w:r>
          </w:p>
        </w:tc>
        <w:tc>
          <w:tcPr>
            <w:tcW w:w="40" w:type="dxa"/>
            <w:vAlign w:val="bottom"/>
          </w:tcPr>
          <w:p>
            <w:pPr>
              <w:spacing w:after="0"/>
              <w:rPr>
                <w:sz w:val="24"/>
                <w:szCs w:val="24"/>
                <w:color w:val="auto"/>
              </w:rPr>
            </w:pPr>
          </w:p>
        </w:tc>
        <w:tc>
          <w:tcPr>
            <w:tcW w:w="64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auto"/>
                <w:w w:val="76"/>
              </w:rPr>
              <w:t>Target</w:t>
            </w:r>
          </w:p>
        </w:tc>
        <w:tc>
          <w:tcPr>
            <w:tcW w:w="1740" w:type="dxa"/>
            <w:vAlign w:val="bottom"/>
            <w:gridSpan w:val="7"/>
          </w:tcPr>
          <w:p>
            <w:pPr>
              <w:jc w:val="center"/>
              <w:ind w:right="720"/>
              <w:spacing w:after="0"/>
              <w:rPr>
                <w:sz w:val="20"/>
                <w:szCs w:val="20"/>
                <w:color w:val="auto"/>
              </w:rPr>
            </w:pPr>
            <w:r>
              <w:rPr>
                <w:rFonts w:ascii="Times New Roman" w:cs="Times New Roman" w:eastAsia="Times New Roman" w:hAnsi="Times New Roman"/>
                <w:sz w:val="13"/>
                <w:szCs w:val="13"/>
                <w:b w:val="1"/>
                <w:bCs w:val="1"/>
                <w:color w:val="auto"/>
                <w:w w:val="98"/>
              </w:rPr>
              <w:t>Adjusted EBITDA</w:t>
            </w:r>
          </w:p>
        </w:tc>
        <w:tc>
          <w:tcPr>
            <w:tcW w:w="13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rPr>
              <w:t>Maximum</w:t>
            </w:r>
          </w:p>
        </w:tc>
        <w:tc>
          <w:tcPr>
            <w:tcW w:w="120" w:type="dxa"/>
            <w:vAlign w:val="bottom"/>
          </w:tcPr>
          <w:p>
            <w:pPr>
              <w:spacing w:after="0"/>
              <w:rPr>
                <w:sz w:val="24"/>
                <w:szCs w:val="24"/>
                <w:color w:val="auto"/>
              </w:rPr>
            </w:pPr>
          </w:p>
        </w:tc>
        <w:tc>
          <w:tcPr>
            <w:tcW w:w="9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w w:val="97"/>
              </w:rPr>
              <w:t>Dollars at Work</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3"/>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jc w:val="right"/>
              <w:ind w:right="120"/>
              <w:spacing w:after="0" w:line="124" w:lineRule="exact"/>
              <w:rPr>
                <w:sz w:val="20"/>
                <w:szCs w:val="20"/>
                <w:color w:val="auto"/>
              </w:rPr>
            </w:pPr>
            <w:r>
              <w:rPr>
                <w:rFonts w:ascii="Times New Roman" w:cs="Times New Roman" w:eastAsia="Times New Roman" w:hAnsi="Times New Roman"/>
                <w:sz w:val="13"/>
                <w:szCs w:val="13"/>
                <w:color w:val="auto"/>
                <w:w w:val="97"/>
              </w:rPr>
              <w:t>Dollars at Work</w:t>
            </w:r>
          </w:p>
        </w:tc>
        <w:tc>
          <w:tcPr>
            <w:tcW w:w="1300" w:type="dxa"/>
            <w:vAlign w:val="bottom"/>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1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Mr. Golwas</w:t>
            </w:r>
          </w:p>
        </w:tc>
        <w:tc>
          <w:tcPr>
            <w:tcW w:w="9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$ 2,783,000,000</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412,500</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$ 3,009,000,000</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825,000</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$ 3,234,000,000</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Other 2024 Equity Awards</w:t>
      </w:r>
    </w:p>
    <w:p>
      <w:pPr>
        <w:spacing w:after="0" w:line="105"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On July 1, 2024, in addition to his 2024 MIP Award, Mr. Shryock received a grant of 6,976,744 Time-Vested Units with a grant date fair value of $3,976,744, in connection with his commencement of employment with us.</w:t>
      </w:r>
    </w:p>
    <w:p>
      <w:pPr>
        <w:spacing w:after="0" w:line="14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On March 29, 2024, Mr. Miller received a key talent grant (“Key Talent Grant”) after the compensation committee reviewed his role and his relative equity interests in Medline and decided to further align his interests with the interests of our Sponsors. The Key Talent Grant consists of 3,703,704 Time-Vested Units with a grant date fair value of $1,740,741 and 1,851,852 performance-vesting Class B Units with a grant date fair value of $0 (the “Performance-Vested Units”), which vest based on achievement of performance metrics tied to multiples of our Sponsors’ invested capital in Medline Holdings (“MOIC”). Achievement of the performance conditions applicable to Mr. Miller’s Performance-Vested Units was deemed not probable on the grant date, resulting in a grant date fair value of $0.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the Sponsors that were received in respect of Class A Units of Medline Holdings in connection with this offering, as determined by the board of directors.</w:t>
      </w:r>
    </w:p>
    <w:p>
      <w:pPr>
        <w:spacing w:after="0" w:line="168" w:lineRule="exact"/>
        <w:rPr>
          <w:sz w:val="20"/>
          <w:szCs w:val="20"/>
          <w:color w:val="auto"/>
        </w:rPr>
      </w:pPr>
    </w:p>
    <w:p>
      <w:pPr>
        <w:jc w:val="both"/>
        <w:ind w:left="740" w:right="60" w:firstLine="391"/>
        <w:spacing w:after="0" w:line="281" w:lineRule="auto"/>
        <w:rPr>
          <w:sz w:val="20"/>
          <w:szCs w:val="20"/>
          <w:color w:val="auto"/>
        </w:rPr>
      </w:pPr>
      <w:r>
        <w:rPr>
          <w:rFonts w:ascii="Times New Roman" w:cs="Times New Roman" w:eastAsia="Times New Roman" w:hAnsi="Times New Roman"/>
          <w:sz w:val="16"/>
          <w:szCs w:val="16"/>
          <w:color w:val="auto"/>
        </w:rPr>
        <w:t>For further discussion of the vesting and other terms of the Class B Units, see “Narrative Disclosure to Summary Compensation Table and Grants of Plan-Based Awards Table.”</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Other Compensation</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Sign-on, Retention and Discretionary Bonuses</w:t>
      </w:r>
    </w:p>
    <w:p>
      <w:pPr>
        <w:spacing w:after="0" w:line="107" w:lineRule="exact"/>
        <w:rPr>
          <w:sz w:val="20"/>
          <w:szCs w:val="20"/>
          <w:color w:val="auto"/>
        </w:rPr>
      </w:pPr>
    </w:p>
    <w:p>
      <w:pPr>
        <w:jc w:val="both"/>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181</w:t>
      </w:r>
    </w:p>
    <w:p>
      <w:pPr>
        <w:sectPr>
          <w:pgSz w:w="11900" w:h="16838" w:orient="portrait"/>
          <w:cols w:equalWidth="0" w:num="1">
            <w:col w:w="10500"/>
          </w:cols>
          <w:pgMar w:left="320" w:top="420" w:right="10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Mr. Shryock received a sign-on bonus in the amount of $130,000 in connection with his commencement of employment with us on July 1, 2024. Mr. Shryock is obligated to repay all or a portion of the sign-on bonus if his employment terminates prior to the second anniversary of his start date, as follows: (i) 100% if terminated within 12 months of his start date, (ii) 75% if terminated within 13 to 16 months of his start date, (iii) 50% if terminated within 17 to 20 months of his start date, and (iv) 25% if terminated within 21 to 24 months of his start date.</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None of our Named Executive Officers, other than Mr. Shryock, received discretionary bonuses in FY 2024.</w:t>
      </w:r>
    </w:p>
    <w:p>
      <w:pPr>
        <w:spacing w:after="0" w:line="2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Benefits</w:t>
      </w:r>
    </w:p>
    <w:p>
      <w:pPr>
        <w:spacing w:after="0" w:line="107" w:lineRule="exact"/>
        <w:rPr>
          <w:sz w:val="20"/>
          <w:szCs w:val="20"/>
          <w:color w:val="auto"/>
        </w:rPr>
      </w:pPr>
    </w:p>
    <w:p>
      <w:pPr>
        <w:jc w:val="both"/>
        <w:ind w:left="740" w:right="280" w:firstLine="391"/>
        <w:spacing w:after="0" w:line="265" w:lineRule="auto"/>
        <w:rPr>
          <w:sz w:val="20"/>
          <w:szCs w:val="20"/>
          <w:color w:val="auto"/>
        </w:rPr>
      </w:pPr>
      <w:r>
        <w:rPr>
          <w:rFonts w:ascii="Times New Roman" w:cs="Times New Roman" w:eastAsia="Times New Roman" w:hAnsi="Times New Roman"/>
          <w:sz w:val="16"/>
          <w:szCs w:val="16"/>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available to all of our salaried U.S.-based employees.</w:t>
      </w:r>
    </w:p>
    <w:p>
      <w:pPr>
        <w:spacing w:after="0" w:line="157" w:lineRule="exact"/>
        <w:rPr>
          <w:sz w:val="20"/>
          <w:szCs w:val="20"/>
          <w:color w:val="auto"/>
        </w:rPr>
      </w:pPr>
    </w:p>
    <w:p>
      <w:pPr>
        <w:ind w:left="740" w:right="340" w:firstLine="391"/>
        <w:spacing w:after="0" w:line="281" w:lineRule="auto"/>
        <w:rPr>
          <w:sz w:val="20"/>
          <w:szCs w:val="20"/>
          <w:color w:val="auto"/>
        </w:rPr>
      </w:pPr>
      <w:r>
        <w:rPr>
          <w:rFonts w:ascii="Times New Roman" w:cs="Times New Roman" w:eastAsia="Times New Roman" w:hAnsi="Times New Roman"/>
          <w:sz w:val="16"/>
          <w:szCs w:val="16"/>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Retirement Benefits</w:t>
      </w:r>
    </w:p>
    <w:p>
      <w:pPr>
        <w:spacing w:after="0" w:line="107"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We maintain a defined contribution plan that is tax-qualified under Section 401(k) of the U.S. Internal Revenue Code of 1986, as amended (the “Code”) and that we refer to as the “Medline Industries, LP Retirement Plan” or the “401(k) Plan.” The 401(k) Plan is offered on a nondiscriminatory basis to our full-time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65" w:lineRule="exact"/>
        <w:rPr>
          <w:sz w:val="20"/>
          <w:szCs w:val="20"/>
          <w:color w:val="auto"/>
        </w:rPr>
      </w:pPr>
    </w:p>
    <w:p>
      <w:pPr>
        <w:ind w:left="740" w:right="280" w:firstLine="391"/>
        <w:spacing w:after="0" w:line="265" w:lineRule="auto"/>
        <w:rPr>
          <w:sz w:val="20"/>
          <w:szCs w:val="20"/>
          <w:color w:val="auto"/>
        </w:rPr>
      </w:pPr>
      <w:r>
        <w:rPr>
          <w:rFonts w:ascii="Times New Roman" w:cs="Times New Roman" w:eastAsia="Times New Roman" w:hAnsi="Times New Roman"/>
          <w:sz w:val="16"/>
          <w:szCs w:val="16"/>
          <w:color w:val="auto"/>
        </w:rPr>
        <w:t>We provide matching contributions to the 401(k) Plan in an amount equal to 50% of each participant’s first 8% of deferrals (but not to exceed $7,000 per participant), subject to certain other limits. Participants are 100% vested in both their individual contributions and the matching contributions. Mr. Shryock was not eligible for employer matching contributions during 2024.</w:t>
      </w:r>
    </w:p>
    <w:p>
      <w:pPr>
        <w:spacing w:after="0" w:line="157" w:lineRule="exact"/>
        <w:rPr>
          <w:sz w:val="20"/>
          <w:szCs w:val="20"/>
          <w:color w:val="auto"/>
        </w:rPr>
      </w:pPr>
    </w:p>
    <w:p>
      <w:pPr>
        <w:ind w:left="740" w:right="400" w:firstLine="391"/>
        <w:spacing w:after="0" w:line="316" w:lineRule="auto"/>
        <w:rPr>
          <w:sz w:val="20"/>
          <w:szCs w:val="20"/>
          <w:color w:val="auto"/>
        </w:rPr>
      </w:pPr>
      <w:r>
        <w:rPr>
          <w:rFonts w:ascii="Times New Roman" w:cs="Times New Roman" w:eastAsia="Times New Roman" w:hAnsi="Times New Roman"/>
          <w:sz w:val="15"/>
          <w:szCs w:val="15"/>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Severance Arrangements</w:t>
      </w:r>
    </w:p>
    <w:p>
      <w:pPr>
        <w:spacing w:after="0" w:line="107" w:lineRule="exact"/>
        <w:rPr>
          <w:sz w:val="20"/>
          <w:szCs w:val="20"/>
          <w:color w:val="auto"/>
        </w:rPr>
      </w:pPr>
    </w:p>
    <w:p>
      <w:pPr>
        <w:ind w:left="740" w:right="120" w:firstLine="391"/>
        <w:spacing w:after="0" w:line="256" w:lineRule="auto"/>
        <w:rPr>
          <w:sz w:val="20"/>
          <w:szCs w:val="20"/>
          <w:color w:val="auto"/>
        </w:rPr>
      </w:pPr>
      <w:r>
        <w:rPr>
          <w:rFonts w:ascii="Times New Roman" w:cs="Times New Roman" w:eastAsia="Times New Roman" w:hAnsi="Times New Roman"/>
          <w:sz w:val="16"/>
          <w:szCs w:val="16"/>
          <w:color w:val="auto"/>
        </w:rPr>
        <w:t>We believe that reasonable and appropriate severance benefits are necessary in order to be competitive in Medline’s executive attraction and retention efforts. As discussed below, our Named Executive Officers, other than Mr. Pigott, are currently eligible to participate in our Amended and Restated Executive Severance Plan, which was initially adopted in May 2025 and amended and restated in connection with this offering, and provides for certain payments, rights, and benefits upon certain qualifying terminations from Medline. Mr. Pigott is entitled to certain payments, rights, and benefits in connection with his transition pursuant to the Pigott transition agreement. See “—Potential Payments Upon Termination or Change in Control” below for a description of these benefits.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Clawback Policy</w:t>
      </w:r>
    </w:p>
    <w:p>
      <w:pPr>
        <w:spacing w:after="0" w:line="107" w:lineRule="exact"/>
        <w:rPr>
          <w:sz w:val="20"/>
          <w:szCs w:val="20"/>
          <w:color w:val="auto"/>
        </w:rPr>
      </w:pPr>
    </w:p>
    <w:p>
      <w:pPr>
        <w:jc w:val="both"/>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Effective upon the completion of this offering, we have adopted a compensation recovery policy as required by Rule 10D-1 under the Exchange Act and the corresponding listing standard adopted by Nasdaq (the “Incentive Compensation Clawback Policy”). The policy generally provides that if we are required to prepare an accounting</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182</w:t>
      </w:r>
    </w:p>
    <w:p>
      <w:pPr>
        <w:sectPr>
          <w:pgSz w:w="11900" w:h="16838" w:orient="portrait"/>
          <w:cols w:equalWidth="0" w:num="1">
            <w:col w:w="10440"/>
          </w:cols>
          <w:pgMar w:left="320" w:top="420" w:right="11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65"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In addition, all Class B Unit awards obligate the recipient to repay any after-tax proceeds received in respect of Class B Units if the recipient is terminated for cause (or we discover within one year following termination that grounds to terminate the recipient’s employment for cause existed at the time of termination) or violates restrictive covenants.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Tax and Accounting Implications</w:t>
      </w:r>
    </w:p>
    <w:p>
      <w:pPr>
        <w:spacing w:after="0" w:line="105"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Agreements with Named Executive Officers</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in his employment agreement. In October 2024, we entered into a transition and separation agreement with Mr. Pigott that sets forth the payments and benefits Mr. Pigott will receive in connection with his departure. The material terms of Mr. Boyle’s employment agreement and Mr. Pigott’s transition and separation agreement are described below under “Narrative Disclosure to Summary Compensation Table and Grants of Plan-Based Awards Table— Agreements with Named Executive Officers.”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Actions Taken in Connection with This Offering</w:t>
      </w:r>
    </w:p>
    <w:p>
      <w:pPr>
        <w:spacing w:after="0" w:line="105" w:lineRule="exact"/>
        <w:rPr>
          <w:sz w:val="20"/>
          <w:szCs w:val="20"/>
          <w:color w:val="auto"/>
        </w:rPr>
      </w:pPr>
    </w:p>
    <w:p>
      <w:pPr>
        <w:ind w:left="740" w:right="360" w:firstLine="391"/>
        <w:spacing w:after="0" w:line="281" w:lineRule="auto"/>
        <w:rPr>
          <w:sz w:val="20"/>
          <w:szCs w:val="20"/>
          <w:color w:val="auto"/>
        </w:rPr>
      </w:pPr>
      <w:r>
        <w:rPr>
          <w:rFonts w:ascii="Times New Roman" w:cs="Times New Roman" w:eastAsia="Times New Roman" w:hAnsi="Times New Roman"/>
          <w:sz w:val="16"/>
          <w:szCs w:val="16"/>
          <w:color w:val="auto"/>
        </w:rPr>
        <w:t>In connection with this offering, we are working with Korn Ferry, our compensation consultant, to formalize our post-offering compensation programs and implement compensation arrangements that reflect our compensation philosophy described above.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183</w:t>
      </w:r>
    </w:p>
    <w:p>
      <w:pPr>
        <w:sectPr>
          <w:pgSz w:w="11900" w:h="16838" w:orient="portrait"/>
          <w:cols w:equalWidth="0" w:num="1">
            <w:col w:w="10460"/>
          </w:cols>
          <w:pgMar w:left="320" w:top="420" w:right="11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p>
      <w:pPr>
        <w:spacing w:after="0" w:line="105" w:lineRule="exact"/>
        <w:rPr>
          <w:sz w:val="20"/>
          <w:szCs w:val="20"/>
          <w:color w:val="auto"/>
        </w:rPr>
      </w:pPr>
    </w:p>
    <w:p>
      <w:pPr>
        <w:ind w:left="740" w:right="16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provides summary information concerning compensation earned by our Named Executive Officers for services rendered for the fiscal year ended December 31, 2024.</w:t>
      </w:r>
    </w:p>
    <w:p>
      <w:pPr>
        <w:spacing w:after="0" w:line="160"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2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Change in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8"/>
              </w:rPr>
              <w:t>Pension Value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rPr>
              <w:t>and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Non-Equity</w:t>
            </w:r>
          </w:p>
        </w:tc>
        <w:tc>
          <w:tcPr>
            <w:tcW w:w="90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b w:val="1"/>
                <w:bCs w:val="1"/>
                <w:color w:val="auto"/>
              </w:rPr>
              <w:t>Non-Qualified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560" w:type="dxa"/>
            <w:vAlign w:val="bottom"/>
            <w:gridSpan w:val="2"/>
          </w:tcPr>
          <w:p>
            <w:pPr>
              <w:jc w:val="right"/>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9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rPr>
              <w:t>All Other</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Salary</w:t>
            </w:r>
          </w:p>
        </w:tc>
        <w:tc>
          <w:tcPr>
            <w:tcW w:w="700" w:type="dxa"/>
            <w:vAlign w:val="bottom"/>
            <w:gridSpan w:val="2"/>
          </w:tcPr>
          <w:p>
            <w:pPr>
              <w:ind w:left="100"/>
              <w:spacing w:after="0" w:line="120" w:lineRule="exact"/>
              <w:rPr>
                <w:sz w:val="20"/>
                <w:szCs w:val="20"/>
                <w:color w:val="auto"/>
              </w:rPr>
            </w:pPr>
            <w:r>
              <w:rPr>
                <w:rFonts w:ascii="Times New Roman" w:cs="Times New Roman" w:eastAsia="Times New Roman" w:hAnsi="Times New Roman"/>
                <w:sz w:val="11"/>
                <w:szCs w:val="11"/>
                <w:b w:val="1"/>
                <w:bCs w:val="1"/>
                <w:color w:val="auto"/>
              </w:rPr>
              <w:t>Bonus</w:t>
            </w:r>
          </w:p>
        </w:tc>
        <w:tc>
          <w:tcPr>
            <w:tcW w:w="82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6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b w:val="1"/>
                <w:bCs w:val="1"/>
                <w:color w:val="auto"/>
                <w:w w:val="92"/>
              </w:rPr>
              <w:t>Awards</w:t>
            </w:r>
          </w:p>
        </w:tc>
        <w:tc>
          <w:tcPr>
            <w:tcW w:w="9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00" w:type="dxa"/>
            <w:vAlign w:val="bottom"/>
            <w:gridSpan w:val="2"/>
          </w:tcPr>
          <w:p>
            <w:pPr>
              <w:jc w:val="right"/>
              <w:ind w:right="200"/>
              <w:spacing w:after="0" w:line="120"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8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(1)</w:t>
            </w:r>
          </w:p>
        </w:tc>
        <w:tc>
          <w:tcPr>
            <w:tcW w:w="220" w:type="dxa"/>
            <w:vAlign w:val="bottom"/>
          </w:tcPr>
          <w:p>
            <w:pPr>
              <w:spacing w:after="0"/>
              <w:rPr>
                <w:sz w:val="11"/>
                <w:szCs w:val="11"/>
                <w:color w:val="auto"/>
              </w:rPr>
            </w:pPr>
          </w:p>
        </w:tc>
        <w:tc>
          <w:tcPr>
            <w:tcW w:w="500" w:type="dxa"/>
            <w:vAlign w:val="bottom"/>
          </w:tcPr>
          <w:p>
            <w:pPr>
              <w:jc w:val="right"/>
              <w:ind w:right="73"/>
              <w:spacing w:after="0" w:line="138" w:lineRule="exact"/>
              <w:rPr>
                <w:sz w:val="20"/>
                <w:szCs w:val="20"/>
                <w:color w:val="auto"/>
              </w:rPr>
            </w:pP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(3)</w:t>
            </w:r>
          </w:p>
        </w:tc>
        <w:tc>
          <w:tcPr>
            <w:tcW w:w="200" w:type="dxa"/>
            <w:vAlign w:val="bottom"/>
          </w:tcPr>
          <w:p>
            <w:pPr>
              <w:spacing w:after="0"/>
              <w:rPr>
                <w:sz w:val="11"/>
                <w:szCs w:val="11"/>
                <w:color w:val="auto"/>
              </w:rPr>
            </w:pPr>
          </w:p>
        </w:tc>
        <w:tc>
          <w:tcPr>
            <w:tcW w:w="36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w w:val="97"/>
              </w:rPr>
              <w:t>($)</w:t>
            </w:r>
            <w:r>
              <w:rPr>
                <w:rFonts w:ascii="Times New Roman" w:cs="Times New Roman" w:eastAsia="Times New Roman" w:hAnsi="Times New Roman"/>
                <w:sz w:val="15"/>
                <w:szCs w:val="15"/>
                <w:b w:val="1"/>
                <w:bCs w:val="1"/>
                <w:color w:val="auto"/>
                <w:w w:val="97"/>
                <w:vertAlign w:val="superscript"/>
              </w:rPr>
              <w:t>(4)</w:t>
            </w:r>
          </w:p>
        </w:tc>
        <w:tc>
          <w:tcPr>
            <w:tcW w:w="200" w:type="dxa"/>
            <w:vAlign w:val="bottom"/>
          </w:tcPr>
          <w:p>
            <w:pPr>
              <w:spacing w:after="0"/>
              <w:rPr>
                <w:sz w:val="11"/>
                <w:szCs w:val="11"/>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Earnings ($)</w:t>
            </w:r>
          </w:p>
        </w:tc>
        <w:tc>
          <w:tcPr>
            <w:tcW w:w="700" w:type="dxa"/>
            <w:vAlign w:val="bottom"/>
          </w:tcPr>
          <w:p>
            <w:pPr>
              <w:jc w:val="center"/>
              <w:spacing w:after="0" w:line="138" w:lineRule="exact"/>
              <w:rPr>
                <w:sz w:val="20"/>
                <w:szCs w:val="20"/>
                <w:color w:val="auto"/>
              </w:rPr>
            </w:pPr>
            <w:r>
              <w:rPr>
                <w:rFonts w:ascii="Times New Roman" w:cs="Times New Roman" w:eastAsia="Times New Roman" w:hAnsi="Times New Roman"/>
                <w:sz w:val="11"/>
                <w:szCs w:val="11"/>
                <w:b w:val="1"/>
                <w:bCs w:val="1"/>
                <w:color w:val="auto"/>
                <w:w w:val="89"/>
              </w:rPr>
              <w:t>($)</w:t>
            </w:r>
            <w:r>
              <w:rPr>
                <w:rFonts w:ascii="Times New Roman" w:cs="Times New Roman" w:eastAsia="Times New Roman" w:hAnsi="Times New Roman"/>
                <w:sz w:val="15"/>
                <w:szCs w:val="15"/>
                <w:b w:val="1"/>
                <w:bCs w:val="1"/>
                <w:color w:val="auto"/>
                <w:w w:val="89"/>
                <w:vertAlign w:val="superscript"/>
              </w:rPr>
              <w:t>(5)</w:t>
            </w:r>
          </w:p>
        </w:tc>
        <w:tc>
          <w:tcPr>
            <w:tcW w:w="200" w:type="dxa"/>
            <w:vAlign w:val="bottom"/>
          </w:tcPr>
          <w:p>
            <w:pPr>
              <w:spacing w:after="0"/>
              <w:rPr>
                <w:sz w:val="11"/>
                <w:szCs w:val="11"/>
                <w:color w:val="auto"/>
              </w:rPr>
            </w:pPr>
          </w:p>
        </w:tc>
        <w:tc>
          <w:tcPr>
            <w:tcW w:w="6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72"/>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Boyle</w:t>
            </w: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1,250,000</w:t>
            </w:r>
          </w:p>
        </w:tc>
        <w:tc>
          <w:tcPr>
            <w:tcW w:w="2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1,201,111</w:t>
            </w:r>
          </w:p>
        </w:tc>
        <w:tc>
          <w:tcPr>
            <w:tcW w:w="2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1,847,186</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2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4,305,297</w:t>
            </w: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Chief Executive Officer</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810,000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1,009,630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933,014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2,759,644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1,100,000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1,201,111</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1,625,523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30,644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3,957,278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President and Chief Operating Officer</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325,000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2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4,237,855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365,625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284,043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5,342,523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Human Resource Officer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724,000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2,680,741</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903,404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4,315,145</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EVP, Supply Chain</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w w:val="99"/>
              </w:rPr>
              <w:t>2024</w:t>
            </w:r>
          </w:p>
        </w:tc>
        <w:tc>
          <w:tcPr>
            <w:tcW w:w="2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700,000</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957,407</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1,093,750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2,758,157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Chief Commercial Officer</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80010</wp:posOffset>
            </wp:positionV>
            <wp:extent cx="68453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30" w:lineRule="exact"/>
        <w:rPr>
          <w:sz w:val="20"/>
          <w:szCs w:val="20"/>
          <w:color w:val="auto"/>
        </w:rPr>
      </w:pPr>
    </w:p>
    <w:p>
      <w:pPr>
        <w:ind w:left="1120" w:hanging="382"/>
        <w:spacing w:after="0"/>
        <w:tabs>
          <w:tab w:leader="none" w:pos="11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represent the Named Executive Officer’s base salary earned during the 2024 fiscal year.</w:t>
      </w:r>
    </w:p>
    <w:p>
      <w:pPr>
        <w:ind w:left="1120" w:right="40" w:hanging="382"/>
        <w:spacing w:after="0" w:line="211" w:lineRule="auto"/>
        <w:tabs>
          <w:tab w:leader="none" w:pos="11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reported reflects the sign-on bonus paid to Mr. Shryock upon the commencement of his employment. See “—Other Compensation—Sign-on, Retention and Discretionary Bonuses” above for further information.</w:t>
      </w:r>
    </w:p>
    <w:p>
      <w:pPr>
        <w:ind w:left="1120" w:hanging="382"/>
        <w:spacing w:after="0" w:line="211" w:lineRule="auto"/>
        <w:tabs>
          <w:tab w:leader="none" w:pos="11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include: (i) the fair value of each Named Executive Officer’s 2024 MIP Awards at the service inception date for the award; (ii) the grant date fair value of Time-Vested Units granted to Mr. Shryock in connection with his hiring; and (iii) the grant date fair value of the Time-Vested Units and Performance-Vested Units awarded to Mr. Miller as part of his Key Talent Grant, in each case, computed in accordance with ASC Topic 718. The 2024 MIP Awards are initially expressed as “dollars at work,” which are earned based on Company and individual performance against the performance goals specified in the 2024 Management Incentive Plan and converted into a number of Time-Vested Units in the following fiscal year by dividing the earned dollars at work by the “threshold value” (equal to the value of a Class A Unit on the grant date).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However, since the service inception date precedes the grant date, the Company will recognize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2024 MIP Awards reflected in the table, amounts were computed based on the probable outcome of the performance conditions applicable to each award on the service inception date. Assuming maximum achievement of the applicable performance conditions, the fair values of the 2024 MIP Awards granted to our Named Executive Officers in fiscal 2024 were as follows: Mr. Boyle: $1,801,667; Mr. Drazin: $1,514,444; Mr. Pigott: $1,801,667; Mr. Shryock: $391,667; Mr. Miller: $1,410,000; and Mr. Golwas $1,436,111. The 2.25x, 2.50x and 2.75x Performance-Vested Class B Units granted to Mr. Miller in 2024 are subject to market conditions and an implied performance condition as defined under applicable accounting standards, and the grant date fair value of such Performance-Vested Class B Units was computed based upon the probable outcome of the performance conditions as of the grant date in accordance with ASC Topic 718. Achievement of the performance conditions applicable to these awards was not deemed probable on the grant date and, accordingly, no value is included in the table for these awards. Assuming achievement of the performance conditions, the aggregate grant date fair values of these awards would have been $820,988. For information regarding the assumptions used in determining the fair value of these awards, please refer to “Note 15—Stock-Based Compensation” of our audited consolidated financial statements included elsewhere in this prospectus.</w:t>
      </w:r>
    </w:p>
    <w:p>
      <w:pPr>
        <w:spacing w:after="0" w:line="5" w:lineRule="exact"/>
        <w:rPr>
          <w:rFonts w:ascii="Times New Roman" w:cs="Times New Roman" w:eastAsia="Times New Roman" w:hAnsi="Times New Roman"/>
          <w:sz w:val="13"/>
          <w:szCs w:val="13"/>
          <w:color w:val="auto"/>
        </w:rPr>
      </w:pPr>
    </w:p>
    <w:p>
      <w:pPr>
        <w:ind w:left="1120" w:hanging="382"/>
        <w:spacing w:after="0" w:line="211" w:lineRule="auto"/>
        <w:tabs>
          <w:tab w:leader="none" w:pos="11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reflect the Named Executive Officer’s annual cash incentive awards earned by each Named Executive Officer pursuant to the AIP. The terms of the AIP described more fully above under “—Compensation Elements —Annual Incentive Compensation” above. The 2024 annual cash incentive awards under the AIP are not calculable as of the date of this prospectus and are expected to be determined in the first quarter of 2025.</w:t>
      </w:r>
    </w:p>
    <w:p>
      <w:pPr>
        <w:ind w:left="1120" w:right="180" w:hanging="382"/>
        <w:spacing w:after="0" w:line="222" w:lineRule="auto"/>
        <w:tabs>
          <w:tab w:leader="none" w:pos="112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in this column for Messrs. Boyle, Drazin, Pigott, Miller, and Golwas represent employer contributions to our 401(k) plan in the fiscal year ended December 31, 2024. Amounts reported in this column for Mr. Pigott represent the following: $7,000 in employer contributions to our 401(k) plan for the fiscal year ended December 31, 2024 and $23,644 for reimbursement of legal fees</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184</w:t>
      </w:r>
    </w:p>
    <w:p>
      <w:pPr>
        <w:sectPr>
          <w:pgSz w:w="11900" w:h="16838" w:orient="portrait"/>
          <w:cols w:equalWidth="0" w:num="1">
            <w:col w:w="10500"/>
          </w:cols>
          <w:pgMar w:left="320" w:top="420" w:right="10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2" w:lineRule="exact"/>
        <w:rPr>
          <w:sz w:val="20"/>
          <w:szCs w:val="20"/>
          <w:color w:val="auto"/>
        </w:rPr>
      </w:pPr>
    </w:p>
    <w:p>
      <w:pPr>
        <w:ind w:left="1120"/>
        <w:spacing w:after="0" w:line="238" w:lineRule="auto"/>
        <w:rPr>
          <w:sz w:val="20"/>
          <w:szCs w:val="20"/>
          <w:color w:val="auto"/>
        </w:rPr>
      </w:pPr>
      <w:r>
        <w:rPr>
          <w:rFonts w:ascii="Times New Roman" w:cs="Times New Roman" w:eastAsia="Times New Roman" w:hAnsi="Times New Roman"/>
          <w:sz w:val="13"/>
          <w:szCs w:val="13"/>
          <w:color w:val="auto"/>
        </w:rPr>
        <w:t>incurred by Mr. Pigott in connection with the Pigott transition agreement. Amounts reported in this column for Mr. Shryock represent the following: $226,842 for relocation benefits in connection with his transition to the Chicago area, and a related tax gross-up of $57,201 with respect to the relocation benefit.</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Grants of Plan-Based Awards in 2024</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following table provides information with respect to grants of plan-based awards to our Named Executive Officers during the 2024 fiscal</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year.</w:t>
      </w:r>
    </w:p>
    <w:p>
      <w:pPr>
        <w:spacing w:after="0" w:line="199" w:lineRule="exact"/>
        <w:rPr>
          <w:sz w:val="20"/>
          <w:szCs w:val="20"/>
          <w:color w:val="auto"/>
        </w:rPr>
      </w:pPr>
    </w:p>
    <w:tbl>
      <w:tblPr>
        <w:tblLayout w:type="fixed"/>
        <w:tblInd w:w="740" w:type="dxa"/>
        <w:tblCellMar>
          <w:top w:w="0" w:type="dxa"/>
          <w:left w:w="0" w:type="dxa"/>
          <w:bottom w:w="0" w:type="dxa"/>
          <w:right w:w="0" w:type="dxa"/>
        </w:tblCellMar>
      </w:tblPr>
      <w:tr>
        <w:trPr>
          <w:trHeight w:val="126"/>
        </w:trPr>
        <w:tc>
          <w:tcPr>
            <w:tcW w:w="2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60" w:type="dxa"/>
            <w:vAlign w:val="bottom"/>
            <w:gridSpan w:val="5"/>
            <w:vMerge w:val="restart"/>
          </w:tcPr>
          <w:p>
            <w:pPr>
              <w:jc w:val="center"/>
              <w:ind w:right="580"/>
              <w:spacing w:after="0"/>
              <w:rPr>
                <w:sz w:val="20"/>
                <w:szCs w:val="20"/>
                <w:color w:val="auto"/>
              </w:rPr>
            </w:pPr>
            <w:r>
              <w:rPr>
                <w:rFonts w:ascii="Times New Roman" w:cs="Times New Roman" w:eastAsia="Times New Roman" w:hAnsi="Times New Roman"/>
                <w:sz w:val="11"/>
                <w:szCs w:val="11"/>
                <w:b w:val="1"/>
                <w:bCs w:val="1"/>
                <w:color w:val="auto"/>
              </w:rPr>
              <w:t>Estimated Future</w:t>
            </w: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Estimated Future</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Stock</w:t>
            </w:r>
          </w:p>
        </w:tc>
        <w:tc>
          <w:tcPr>
            <w:tcW w:w="6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7"/>
              </w:rPr>
              <w:t>All Other</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gridSpan w:val="5"/>
            <w:vMerge w:val="continue"/>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14"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6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52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580" w:type="dxa"/>
            <w:vAlign w:val="bottom"/>
            <w:gridSpan w:val="2"/>
          </w:tcPr>
          <w:p>
            <w:pPr>
              <w:jc w:val="center"/>
              <w:ind w:right="20"/>
              <w:spacing w:after="0" w:line="114" w:lineRule="exact"/>
              <w:rPr>
                <w:sz w:val="20"/>
                <w:szCs w:val="20"/>
                <w:color w:val="auto"/>
              </w:rPr>
            </w:pPr>
            <w:r>
              <w:rPr>
                <w:rFonts w:ascii="Times New Roman" w:cs="Times New Roman" w:eastAsia="Times New Roman" w:hAnsi="Times New Roman"/>
                <w:sz w:val="11"/>
                <w:szCs w:val="11"/>
                <w:b w:val="1"/>
                <w:bCs w:val="1"/>
                <w:color w:val="auto"/>
                <w:w w:val="97"/>
              </w:rPr>
              <w:t>Date 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6"/>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rPr>
              <w:t>Payouts Under Non-Equity</w:t>
            </w:r>
          </w:p>
        </w:tc>
        <w:tc>
          <w:tcPr>
            <w:tcW w:w="2060" w:type="dxa"/>
            <w:vAlign w:val="bottom"/>
            <w:gridSpan w:val="8"/>
          </w:tcPr>
          <w:p>
            <w:pPr>
              <w:jc w:val="right"/>
              <w:ind w:right="320"/>
              <w:spacing w:after="0" w:line="120" w:lineRule="exact"/>
              <w:rPr>
                <w:sz w:val="20"/>
                <w:szCs w:val="20"/>
                <w:color w:val="auto"/>
              </w:rPr>
            </w:pPr>
            <w:r>
              <w:rPr>
                <w:rFonts w:ascii="Times New Roman" w:cs="Times New Roman" w:eastAsia="Times New Roman" w:hAnsi="Times New Roman"/>
                <w:sz w:val="11"/>
                <w:szCs w:val="11"/>
                <w:b w:val="1"/>
                <w:bCs w:val="1"/>
                <w:color w:val="auto"/>
              </w:rPr>
              <w:t>Payouts Under Equity Incentive</w:t>
            </w:r>
          </w:p>
        </w:tc>
        <w:tc>
          <w:tcPr>
            <w:tcW w:w="7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68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52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rPr>
              <w:t>or Base</w:t>
            </w:r>
          </w:p>
        </w:tc>
        <w:tc>
          <w:tcPr>
            <w:tcW w:w="58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20" w:type="dxa"/>
            <w:vAlign w:val="bottom"/>
            <w:tcBorders>
              <w:bottom w:val="single" w:sz="8" w:color="auto"/>
            </w:tcBorders>
            <w:gridSpan w:val="5"/>
          </w:tcPr>
          <w:p>
            <w:pPr>
              <w:jc w:val="center"/>
              <w:spacing w:after="0" w:line="88" w:lineRule="exact"/>
              <w:rPr>
                <w:sz w:val="20"/>
                <w:szCs w:val="20"/>
                <w:color w:val="auto"/>
              </w:rPr>
            </w:pPr>
            <w:r>
              <w:rPr>
                <w:rFonts w:ascii="Times New Roman" w:cs="Times New Roman" w:eastAsia="Times New Roman" w:hAnsi="Times New Roman"/>
                <w:sz w:val="7"/>
                <w:szCs w:val="7"/>
                <w:b w:val="1"/>
                <w:bCs w:val="1"/>
                <w:color w:val="auto"/>
              </w:rPr>
              <w:t>Incentive Plan Awards</w:t>
            </w:r>
            <w:r>
              <w:rPr>
                <w:rFonts w:ascii="Times New Roman" w:cs="Times New Roman" w:eastAsia="Times New Roman" w:hAnsi="Times New Roman"/>
                <w:sz w:val="10"/>
                <w:szCs w:val="10"/>
                <w:b w:val="1"/>
                <w:bCs w:val="1"/>
                <w:color w:val="auto"/>
                <w:vertAlign w:val="superscript"/>
              </w:rPr>
              <w:t>(2)</w:t>
            </w:r>
          </w:p>
        </w:tc>
        <w:tc>
          <w:tcPr>
            <w:tcW w:w="1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3"/>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Plan Awards</w:t>
            </w:r>
          </w:p>
        </w:tc>
        <w:tc>
          <w:tcPr>
            <w:tcW w:w="5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right="220"/>
              <w:spacing w:after="0" w:line="100" w:lineRule="exact"/>
              <w:rPr>
                <w:sz w:val="20"/>
                <w:szCs w:val="20"/>
                <w:color w:val="auto"/>
              </w:rPr>
            </w:pPr>
            <w:r>
              <w:rPr>
                <w:rFonts w:ascii="Times New Roman" w:cs="Times New Roman" w:eastAsia="Times New Roman" w:hAnsi="Times New Roman"/>
                <w:sz w:val="11"/>
                <w:szCs w:val="11"/>
                <w:b w:val="1"/>
                <w:bCs w:val="1"/>
                <w:color w:val="auto"/>
              </w:rPr>
              <w:t>of Shares</w:t>
            </w:r>
          </w:p>
        </w:tc>
        <w:tc>
          <w:tcPr>
            <w:tcW w:w="68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520" w:type="dxa"/>
            <w:vAlign w:val="bottom"/>
            <w:gridSpan w:val="2"/>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580" w:type="dxa"/>
            <w:vAlign w:val="bottom"/>
            <w:gridSpan w:val="2"/>
          </w:tcPr>
          <w:p>
            <w:pPr>
              <w:jc w:val="center"/>
              <w:ind w:right="20"/>
              <w:spacing w:after="0" w:line="100" w:lineRule="exact"/>
              <w:rPr>
                <w:sz w:val="20"/>
                <w:szCs w:val="20"/>
                <w:color w:val="auto"/>
              </w:rPr>
            </w:pPr>
            <w:r>
              <w:rPr>
                <w:rFonts w:ascii="Times New Roman" w:cs="Times New Roman" w:eastAsia="Times New Roman" w:hAnsi="Times New Roman"/>
                <w:sz w:val="11"/>
                <w:szCs w:val="11"/>
                <w:b w:val="1"/>
                <w:bCs w:val="1"/>
                <w:color w:val="auto"/>
              </w:rPr>
              <w:t>Stock and</w:t>
            </w:r>
          </w:p>
        </w:tc>
        <w:tc>
          <w:tcPr>
            <w:tcW w:w="0" w:type="dxa"/>
            <w:vAlign w:val="bottom"/>
          </w:tcPr>
          <w:p>
            <w:pPr>
              <w:spacing w:after="0"/>
              <w:rPr>
                <w:sz w:val="1"/>
                <w:szCs w:val="1"/>
                <w:color w:val="auto"/>
              </w:rPr>
            </w:pPr>
          </w:p>
        </w:tc>
      </w:tr>
      <w:tr>
        <w:trPr>
          <w:trHeight w:val="118"/>
        </w:trPr>
        <w:tc>
          <w:tcPr>
            <w:tcW w:w="2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1"/>
                <w:szCs w:val="11"/>
                <w:b w:val="1"/>
                <w:bCs w:val="1"/>
                <w:color w:val="auto"/>
              </w:rPr>
              <w:t>of Stock</w:t>
            </w:r>
          </w:p>
        </w:tc>
        <w:tc>
          <w:tcPr>
            <w:tcW w:w="6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52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58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0" w:type="dxa"/>
            <w:vAlign w:val="bottom"/>
          </w:tcPr>
          <w:p>
            <w:pPr>
              <w:spacing w:after="0"/>
              <w:rPr>
                <w:sz w:val="1"/>
                <w:szCs w:val="1"/>
                <w:color w:val="auto"/>
              </w:rPr>
            </w:pPr>
          </w:p>
        </w:tc>
      </w:tr>
      <w:tr>
        <w:trPr>
          <w:trHeight w:val="120"/>
        </w:trPr>
        <w:tc>
          <w:tcPr>
            <w:tcW w:w="23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0"/>
                <w:szCs w:val="10"/>
                <w:color w:val="auto"/>
              </w:rPr>
            </w:pPr>
          </w:p>
        </w:tc>
        <w:tc>
          <w:tcPr>
            <w:tcW w:w="720" w:type="dxa"/>
            <w:vAlign w:val="bottom"/>
            <w:gridSpan w:val="2"/>
          </w:tcPr>
          <w:p>
            <w:pPr>
              <w:ind w:left="140"/>
              <w:spacing w:after="0" w:line="120" w:lineRule="exact"/>
              <w:rPr>
                <w:sz w:val="20"/>
                <w:szCs w:val="20"/>
                <w:color w:val="auto"/>
              </w:rPr>
            </w:pPr>
            <w:r>
              <w:rPr>
                <w:rFonts w:ascii="Times New Roman" w:cs="Times New Roman" w:eastAsia="Times New Roman" w:hAnsi="Times New Roman"/>
                <w:sz w:val="11"/>
                <w:szCs w:val="11"/>
                <w:b w:val="1"/>
                <w:bCs w:val="1"/>
                <w:color w:val="auto"/>
              </w:rPr>
              <w:t>Grant</w:t>
            </w:r>
          </w:p>
        </w:tc>
        <w:tc>
          <w:tcPr>
            <w:tcW w:w="80" w:type="dxa"/>
            <w:vAlign w:val="bottom"/>
          </w:tcPr>
          <w:p>
            <w:pPr>
              <w:spacing w:after="0"/>
              <w:rPr>
                <w:sz w:val="10"/>
                <w:szCs w:val="10"/>
                <w:color w:val="auto"/>
              </w:rPr>
            </w:pPr>
          </w:p>
        </w:tc>
        <w:tc>
          <w:tcPr>
            <w:tcW w:w="4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b w:val="1"/>
                <w:bCs w:val="1"/>
                <w:color w:val="auto"/>
                <w:w w:val="95"/>
              </w:rPr>
              <w:t>Threshold</w:t>
            </w:r>
          </w:p>
        </w:tc>
        <w:tc>
          <w:tcPr>
            <w:tcW w:w="120" w:type="dxa"/>
            <w:vAlign w:val="bottom"/>
          </w:tcPr>
          <w:p>
            <w:pPr>
              <w:spacing w:after="0"/>
              <w:rPr>
                <w:sz w:val="10"/>
                <w:szCs w:val="10"/>
                <w:color w:val="auto"/>
              </w:rPr>
            </w:pPr>
          </w:p>
        </w:tc>
        <w:tc>
          <w:tcPr>
            <w:tcW w:w="680" w:type="dxa"/>
            <w:vAlign w:val="bottom"/>
            <w:gridSpan w:val="2"/>
          </w:tcPr>
          <w:p>
            <w:pPr>
              <w:ind w:left="120"/>
              <w:spacing w:after="0" w:line="120" w:lineRule="exact"/>
              <w:rPr>
                <w:sz w:val="20"/>
                <w:szCs w:val="20"/>
                <w:color w:val="auto"/>
              </w:rPr>
            </w:pPr>
            <w:r>
              <w:rPr>
                <w:rFonts w:ascii="Times New Roman" w:cs="Times New Roman" w:eastAsia="Times New Roman" w:hAnsi="Times New Roman"/>
                <w:sz w:val="11"/>
                <w:szCs w:val="11"/>
                <w:b w:val="1"/>
                <w:bCs w:val="1"/>
                <w:color w:val="auto"/>
              </w:rPr>
              <w:t>Target</w:t>
            </w:r>
          </w:p>
        </w:tc>
        <w:tc>
          <w:tcPr>
            <w:tcW w:w="660" w:type="dxa"/>
            <w:vAlign w:val="bottom"/>
            <w:gridSpan w:val="2"/>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Maximum</w:t>
            </w:r>
          </w:p>
        </w:tc>
        <w:tc>
          <w:tcPr>
            <w:tcW w:w="52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Threshold</w:t>
            </w:r>
          </w:p>
        </w:tc>
        <w:tc>
          <w:tcPr>
            <w:tcW w:w="100" w:type="dxa"/>
            <w:vAlign w:val="bottom"/>
          </w:tcPr>
          <w:p>
            <w:pPr>
              <w:spacing w:after="0"/>
              <w:rPr>
                <w:sz w:val="10"/>
                <w:szCs w:val="10"/>
                <w:color w:val="auto"/>
              </w:rPr>
            </w:pPr>
          </w:p>
        </w:tc>
        <w:tc>
          <w:tcPr>
            <w:tcW w:w="800" w:type="dxa"/>
            <w:vAlign w:val="bottom"/>
            <w:gridSpan w:val="3"/>
          </w:tcPr>
          <w:p>
            <w:pPr>
              <w:jc w:val="center"/>
              <w:ind w:right="260"/>
              <w:spacing w:after="0" w:line="120" w:lineRule="exact"/>
              <w:rPr>
                <w:sz w:val="20"/>
                <w:szCs w:val="20"/>
                <w:color w:val="auto"/>
              </w:rPr>
            </w:pPr>
            <w:r>
              <w:rPr>
                <w:rFonts w:ascii="Times New Roman" w:cs="Times New Roman" w:eastAsia="Times New Roman" w:hAnsi="Times New Roman"/>
                <w:sz w:val="11"/>
                <w:szCs w:val="11"/>
                <w:b w:val="1"/>
                <w:bCs w:val="1"/>
                <w:color w:val="auto"/>
                <w:w w:val="94"/>
              </w:rPr>
              <w:t>Target</w:t>
            </w:r>
          </w:p>
        </w:tc>
        <w:tc>
          <w:tcPr>
            <w:tcW w:w="64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7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b w:val="1"/>
                <w:bCs w:val="1"/>
                <w:color w:val="auto"/>
              </w:rPr>
              <w:t>or Units</w:t>
            </w:r>
          </w:p>
        </w:tc>
        <w:tc>
          <w:tcPr>
            <w:tcW w:w="68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520" w:type="dxa"/>
            <w:vAlign w:val="bottom"/>
            <w:gridSpan w:val="2"/>
          </w:tcPr>
          <w:p>
            <w:pPr>
              <w:jc w:val="center"/>
              <w:ind w:right="120"/>
              <w:spacing w:after="0" w:line="120"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58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0" w:type="dxa"/>
            <w:vAlign w:val="bottom"/>
          </w:tcPr>
          <w:p>
            <w:pPr>
              <w:spacing w:after="0"/>
              <w:rPr>
                <w:sz w:val="1"/>
                <w:szCs w:val="1"/>
                <w:color w:val="auto"/>
              </w:rPr>
            </w:pPr>
          </w:p>
        </w:tc>
      </w:tr>
      <w:tr>
        <w:trPr>
          <w:trHeight w:val="137"/>
        </w:trPr>
        <w:tc>
          <w:tcPr>
            <w:tcW w:w="23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ind w:left="120"/>
              <w:spacing w:after="0" w:line="138" w:lineRule="exact"/>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5"/>
                <w:szCs w:val="15"/>
                <w:b w:val="1"/>
                <w:bCs w:val="1"/>
                <w:color w:val="auto"/>
                <w:vertAlign w:val="superscript"/>
              </w:rPr>
              <w:t>(1)</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Options (#)</w:t>
            </w:r>
          </w:p>
        </w:tc>
        <w:tc>
          <w:tcPr>
            <w:tcW w:w="1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w:t>
            </w:r>
          </w:p>
        </w:tc>
        <w:tc>
          <w:tcPr>
            <w:tcW w:w="12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3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James M. Boyle</w:t>
            </w:r>
          </w:p>
        </w:tc>
        <w:tc>
          <w:tcPr>
            <w:tcW w:w="8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0</w:t>
            </w: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1,250,000</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ind w:left="40"/>
              <w:spacing w:after="0" w:line="124" w:lineRule="exact"/>
              <w:rPr>
                <w:sz w:val="20"/>
                <w:szCs w:val="20"/>
                <w:color w:val="auto"/>
              </w:rPr>
            </w:pPr>
            <w:r>
              <w:rPr>
                <w:rFonts w:ascii="Times New Roman" w:cs="Times New Roman" w:eastAsia="Times New Roman" w:hAnsi="Times New Roman"/>
                <w:sz w:val="13"/>
                <w:szCs w:val="13"/>
                <w:color w:val="auto"/>
                <w:w w:val="92"/>
              </w:rPr>
              <w:t>1,875,000</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223,611</w:t>
            </w:r>
          </w:p>
        </w:tc>
        <w:tc>
          <w:tcPr>
            <w:tcW w:w="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2,555,556</w:t>
            </w:r>
          </w:p>
        </w:tc>
        <w:tc>
          <w:tcPr>
            <w:tcW w:w="2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3,833,333</w:t>
            </w: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1,201,111</w:t>
            </w: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rPr>
                <w:sz w:val="11"/>
                <w:szCs w:val="11"/>
                <w:color w:val="auto"/>
              </w:rPr>
            </w:pPr>
          </w:p>
        </w:tc>
        <w:tc>
          <w:tcPr>
            <w:tcW w:w="80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Michael B. Drazin</w:t>
            </w: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688,500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1,012,500</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537,037</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w w:val="92"/>
              </w:rPr>
              <w:t>2,148,148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w w:val="96"/>
              </w:rPr>
              <w:t>3,222,222</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1,009,630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3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James M. Pigott</w:t>
            </w:r>
          </w:p>
        </w:tc>
        <w:tc>
          <w:tcPr>
            <w:tcW w:w="80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1,100,000</w:t>
            </w:r>
          </w:p>
        </w:tc>
        <w:tc>
          <w:tcPr>
            <w:tcW w:w="6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w w:val="99"/>
              </w:rPr>
              <w:t>1,650,000</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223,611</w:t>
            </w:r>
          </w:p>
        </w:tc>
        <w:tc>
          <w:tcPr>
            <w:tcW w:w="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2,555,556</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3,833,333</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1,201,111</w:t>
            </w: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rPr>
                <w:sz w:val="11"/>
                <w:szCs w:val="11"/>
                <w:color w:val="auto"/>
              </w:rPr>
            </w:pPr>
          </w:p>
        </w:tc>
        <w:tc>
          <w:tcPr>
            <w:tcW w:w="800" w:type="dxa"/>
            <w:vAlign w:val="bottom"/>
            <w:gridSpan w:val="3"/>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Christopher P. Shryock</w:t>
            </w:r>
          </w:p>
        </w:tc>
        <w:tc>
          <w:tcPr>
            <w:tcW w:w="8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7/1/2024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248,625</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365,625</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138,889</w:t>
            </w:r>
          </w:p>
        </w:tc>
        <w:tc>
          <w:tcPr>
            <w:tcW w:w="88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color w:val="auto"/>
              </w:rPr>
              <w:t>555,556</w:t>
            </w:r>
          </w:p>
        </w:tc>
        <w:tc>
          <w:tcPr>
            <w:tcW w:w="20" w:type="dxa"/>
            <w:vAlign w:val="bottom"/>
          </w:tcPr>
          <w:p>
            <w:pPr>
              <w:spacing w:after="0"/>
              <w:rPr>
                <w:sz w:val="14"/>
                <w:szCs w:val="14"/>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833,333</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261,111</w:t>
            </w:r>
          </w:p>
        </w:tc>
        <w:tc>
          <w:tcPr>
            <w:tcW w:w="0" w:type="dxa"/>
            <w:vAlign w:val="bottom"/>
          </w:tcPr>
          <w:p>
            <w:pPr>
              <w:spacing w:after="0"/>
              <w:rPr>
                <w:sz w:val="1"/>
                <w:szCs w:val="1"/>
                <w:color w:val="auto"/>
              </w:rPr>
            </w:pPr>
          </w:p>
        </w:tc>
      </w:tr>
      <w:tr>
        <w:trPr>
          <w:trHeight w:val="78"/>
        </w:trPr>
        <w:tc>
          <w:tcPr>
            <w:tcW w:w="232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6,976,744</w:t>
            </w:r>
            <w:r>
              <w:rPr>
                <w:rFonts w:ascii="Times New Roman" w:cs="Times New Roman" w:eastAsia="Times New Roman" w:hAnsi="Times New Roman"/>
                <w:sz w:val="9"/>
                <w:szCs w:val="9"/>
                <w:color w:val="auto"/>
              </w:rPr>
              <w:t>(4)</w:t>
            </w: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320" w:type="dxa"/>
            <w:vAlign w:val="bottom"/>
          </w:tcPr>
          <w:p>
            <w:pPr>
              <w:spacing w:after="0"/>
              <w:rPr>
                <w:sz w:val="13"/>
                <w:szCs w:val="13"/>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9/27/2024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3,976,744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Stephen L. Miller</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615,400</w:t>
            </w:r>
          </w:p>
        </w:tc>
        <w:tc>
          <w:tcPr>
            <w:tcW w:w="6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905,000</w:t>
            </w:r>
          </w:p>
        </w:tc>
        <w:tc>
          <w:tcPr>
            <w:tcW w:w="5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500,000</w:t>
            </w:r>
          </w:p>
        </w:tc>
        <w:tc>
          <w:tcPr>
            <w:tcW w:w="6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2"/>
              </w:rPr>
              <w:t>2,000,000</w:t>
            </w: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6"/>
              </w:rPr>
              <w:t>3,000,000</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940,000</w:t>
            </w:r>
          </w:p>
        </w:tc>
        <w:tc>
          <w:tcPr>
            <w:tcW w:w="0" w:type="dxa"/>
            <w:vAlign w:val="bottom"/>
          </w:tcPr>
          <w:p>
            <w:pPr>
              <w:spacing w:after="0"/>
              <w:rPr>
                <w:sz w:val="1"/>
                <w:szCs w:val="1"/>
                <w:color w:val="auto"/>
              </w:rPr>
            </w:pPr>
          </w:p>
        </w:tc>
      </w:tr>
      <w:tr>
        <w:trPr>
          <w:trHeight w:val="112"/>
        </w:trPr>
        <w:tc>
          <w:tcPr>
            <w:tcW w:w="2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gridSpan w:val="2"/>
            <w:vMerge w:val="continue"/>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40" w:type="dxa"/>
            <w:vAlign w:val="bottom"/>
            <w:gridSpan w:val="2"/>
            <w:vMerge w:val="continue"/>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3,703,704</w:t>
            </w:r>
            <w:r>
              <w:rPr>
                <w:rFonts w:ascii="Times New Roman" w:cs="Times New Roman" w:eastAsia="Times New Roman" w:hAnsi="Times New Roman"/>
                <w:sz w:val="9"/>
                <w:szCs w:val="9"/>
                <w:color w:val="auto"/>
              </w:rPr>
              <w:t>(5)</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1,740,741</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0"/>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gridSpan w:val="3"/>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(6)</w:t>
            </w: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0"/>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80" w:type="dxa"/>
            <w:vAlign w:val="bottom"/>
            <w:gridSpan w:val="3"/>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(7)</w:t>
            </w: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0"/>
              </w:rPr>
              <w:t>3/29/2024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(8)</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3"/>
                <w:szCs w:val="13"/>
                <w:color w:val="auto"/>
              </w:rPr>
              <w:t>2/13/2024</w:t>
            </w:r>
            <w:r>
              <w:rPr>
                <w:rFonts w:ascii="Times New Roman" w:cs="Times New Roman" w:eastAsia="Times New Roman" w:hAnsi="Times New Roman"/>
                <w:sz w:val="9"/>
                <w:szCs w:val="9"/>
                <w:color w:val="auto"/>
              </w:rPr>
              <w:t>(3)</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743,750</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9"/>
              </w:rPr>
              <w:t>1,093,750</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305,556</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w w:val="92"/>
              </w:rPr>
              <w:t>2,037,037</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w w:val="96"/>
              </w:rPr>
              <w:t>3,055,556</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color w:val="auto"/>
              </w:rPr>
              <w:t>957,407</w:t>
            </w:r>
          </w:p>
        </w:tc>
        <w:tc>
          <w:tcPr>
            <w:tcW w:w="0" w:type="dxa"/>
            <w:vAlign w:val="bottom"/>
          </w:tcPr>
          <w:p>
            <w:pPr>
              <w:spacing w:after="0"/>
              <w:rPr>
                <w:sz w:val="1"/>
                <w:szCs w:val="1"/>
                <w:color w:val="auto"/>
              </w:rPr>
            </w:pPr>
          </w:p>
        </w:tc>
      </w:tr>
      <w:tr>
        <w:trPr>
          <w:trHeight w:val="112"/>
        </w:trPr>
        <w:tc>
          <w:tcPr>
            <w:tcW w:w="232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67310</wp:posOffset>
            </wp:positionV>
            <wp:extent cx="68453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10" w:lineRule="exact"/>
        <w:rPr>
          <w:sz w:val="20"/>
          <w:szCs w:val="20"/>
          <w:color w:val="auto"/>
        </w:rPr>
      </w:pPr>
    </w:p>
    <w:p>
      <w:pPr>
        <w:ind w:left="1120" w:hanging="382"/>
        <w:spacing w:after="0"/>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column, the grant date for the awards is the grant date or, if earlier, the service inception date determined under ASC Topic 718.</w:t>
      </w:r>
    </w:p>
    <w:p>
      <w:pPr>
        <w:ind w:left="1120" w:right="2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in this column reflect the cash incentive award opportunity range under our AIP, the terms of which are summarized under “—Compensation Elements—Annual Incentive Compensation” above.</w:t>
      </w:r>
    </w:p>
    <w:p>
      <w:pPr>
        <w:ind w:left="1120" w:right="2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MIP Awards are initially expressed as “dollars at work,” which are delivered in Time-Vested Units in the following fiscal year depending on Company and individual performance relative to the 2024 MIP performance goals, as summarized under “—Compensation Elements—Long-Term Equity Incentive Compensation—2024 Management Incentive Plan” and in footnote 3 to the Summary Compensation Table. The number of Time-Vested Units reflected in the table above reflect the threshold, target and maximum “dollars at work” awarded to the Named Executive Officer as of the service inception date, divided by the threshold value (equal to the value of a Class A Unit) on such date.</w:t>
      </w:r>
    </w:p>
    <w:p>
      <w:pPr>
        <w:spacing w:after="0" w:line="1" w:lineRule="exact"/>
        <w:rPr>
          <w:rFonts w:ascii="Times New Roman" w:cs="Times New Roman" w:eastAsia="Times New Roman" w:hAnsi="Times New Roman"/>
          <w:sz w:val="13"/>
          <w:szCs w:val="13"/>
          <w:color w:val="auto"/>
        </w:rPr>
      </w:pPr>
    </w:p>
    <w:p>
      <w:pPr>
        <w:ind w:left="1120" w:right="6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 Time-Vested Units granted to Mr. Shryock in connection with the commencement of employment,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1120" w:right="4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Units granted to Mr. Miller as part of his Key Talent Award, that vest over 5 years, with 20% vesting on the 12-month anniversary of the vesting commencement date and an additional 20% vesting every year thereafter. The grant date fair value of these awards is calculated in accordance with ASC Topic 718. See footnote 3 to the Summary Compensation Table.</w:t>
      </w:r>
    </w:p>
    <w:p>
      <w:pPr>
        <w:ind w:left="1120" w:right="22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(2.25x MOIC). The grant date fair value of the Performance-Vested Units is calculated in accordance with ASC Topic 718 and based on the probable outcome of the performance conditions on the date of grant. See footnote 3 to the Summary Compensation Table.</w:t>
      </w:r>
    </w:p>
    <w:p>
      <w:pPr>
        <w:ind w:left="1120" w:right="220" w:hanging="382"/>
        <w:spacing w:after="0" w:line="211"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(2.50x MOIC). The grant date fair value of the Performance-Vested Units is calculated in accordance with ASC Topic 718 and based on the probable outcome of the performance conditions on the date of grant. See footnote 3 to the Summary Compensation Table.</w:t>
      </w:r>
    </w:p>
    <w:p>
      <w:pPr>
        <w:ind w:left="1120" w:right="220" w:hanging="382"/>
        <w:spacing w:after="0" w:line="222" w:lineRule="auto"/>
        <w:tabs>
          <w:tab w:leader="none" w:pos="112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granted to Mr. Miller as part of his Key Talent Award, that vest based on achievement of performance metrics tied to multiples of our Sponsors’ invested capital in Holdings (2.75x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185</w:t>
      </w:r>
    </w:p>
    <w:p>
      <w:pPr>
        <w:sectPr>
          <w:pgSz w:w="11900" w:h="16838" w:orient="portrait"/>
          <w:cols w:equalWidth="0" w:num="1">
            <w:col w:w="10500"/>
          </w:cols>
          <w:pgMar w:left="320" w:top="420" w:right="10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right="3240"/>
        <w:spacing w:after="0" w:line="376" w:lineRule="auto"/>
        <w:rPr>
          <w:sz w:val="20"/>
          <w:szCs w:val="20"/>
          <w:color w:val="auto"/>
        </w:rPr>
      </w:pPr>
      <w:r>
        <w:rPr>
          <w:rFonts w:ascii="Times New Roman" w:cs="Times New Roman" w:eastAsia="Times New Roman" w:hAnsi="Times New Roman"/>
          <w:sz w:val="16"/>
          <w:szCs w:val="16"/>
          <w:b w:val="1"/>
          <w:bCs w:val="1"/>
          <w:color w:val="auto"/>
        </w:rPr>
        <w:t xml:space="preserve">Narrative Disclosure to Summary Compensation Table and Grants of Plan-Based Awards Table </w:t>
      </w:r>
      <w:r>
        <w:rPr>
          <w:rFonts w:ascii="Times New Roman" w:cs="Times New Roman" w:eastAsia="Times New Roman" w:hAnsi="Times New Roman"/>
          <w:sz w:val="16"/>
          <w:szCs w:val="16"/>
          <w:b w:val="1"/>
          <w:bCs w:val="1"/>
          <w:i w:val="1"/>
          <w:iCs w:val="1"/>
          <w:color w:val="auto"/>
        </w:rPr>
        <w:t>Agreements with Named Executive Officers</w:t>
      </w:r>
    </w:p>
    <w:p>
      <w:pPr>
        <w:ind w:left="740" w:right="360" w:firstLine="391"/>
        <w:spacing w:after="0" w:line="265" w:lineRule="auto"/>
        <w:rPr>
          <w:sz w:val="20"/>
          <w:szCs w:val="20"/>
          <w:color w:val="auto"/>
        </w:rPr>
      </w:pPr>
      <w:r>
        <w:rPr>
          <w:rFonts w:ascii="Times New Roman" w:cs="Times New Roman" w:eastAsia="Times New Roman" w:hAnsi="Times New Roman"/>
          <w:sz w:val="16"/>
          <w:szCs w:val="16"/>
          <w:color w:val="auto"/>
        </w:rPr>
        <w:t>The following descriptions of the employment agreements and other agreements with certain Named Executive Officers are qualified in their entirety by the full terms and conditions thereof. Each employment and other agreement, including any amendments, is filed as an exhibit to the registration statement of which this prospectus forms a part and is incorporated herein by reference.</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Employment Agreement with Mr. Boyle</w:t>
      </w:r>
    </w:p>
    <w:p>
      <w:pPr>
        <w:spacing w:after="0" w:line="105"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provides for (i) an initial salary of $1,250,000, subject to periodic review for increase, (ii) eligibility to receive an annual bonus, with a target bonus equal to 100% of base salary, and (iii) for each service year during the employment term, eligibility to receive annual grant of Class B Units of the Aggregator with target value of approximately $3,450,000. Mr. Boyle is also entitled to participate in our employee benefit arrangements and to receive reimbursement for business expense in accordance with our business expense policy.</w:t>
      </w:r>
    </w:p>
    <w:p>
      <w:pPr>
        <w:spacing w:after="0" w:line="164" w:lineRule="exact"/>
        <w:rPr>
          <w:sz w:val="20"/>
          <w:szCs w:val="20"/>
          <w:color w:val="auto"/>
        </w:rPr>
      </w:pPr>
    </w:p>
    <w:p>
      <w:pPr>
        <w:ind w:left="740" w:right="520" w:firstLine="391"/>
        <w:spacing w:after="0" w:line="281" w:lineRule="auto"/>
        <w:rPr>
          <w:sz w:val="20"/>
          <w:szCs w:val="20"/>
          <w:color w:val="auto"/>
        </w:rPr>
      </w:pPr>
      <w:r>
        <w:rPr>
          <w:rFonts w:ascii="Times New Roman" w:cs="Times New Roman" w:eastAsia="Times New Roman" w:hAnsi="Times New Roman"/>
          <w:sz w:val="16"/>
          <w:szCs w:val="16"/>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Upon a termination of Mr. Boyle’s employment due to his death or as a result of his disability, Mr. Boyle will be entitled to any prior year bonus.</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Boyle employment agreement contains restrictive covenants, including confidentiality of information, assignment of intellectual</w:t>
      </w:r>
    </w:p>
    <w:p>
      <w:pPr>
        <w:spacing w:after="0" w:line="24"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6"/>
          <w:szCs w:val="16"/>
          <w:color w:val="auto"/>
        </w:rPr>
        <w:t>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p>
    <w:p>
      <w:pPr>
        <w:spacing w:after="0" w:line="2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Employment Agreement and Transition and Separation Agreement with Mr. Pigott</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The Pigott transition agreement provides that Mr. Pigott’s last day of employment with us will be December 31, 2025 or an earlier date determined by Medline. Through the termination date, Mr. Pigott will continue to perform his current duties and responsibilities as President of Medline. He will also continue to receive his base salary, be eligible to earn a bonus, participate in Medline health and welfare benefits, and vest in his outstanding Class B Units pursuant to the applicable award agreements. Effective December 31, 2025, Mr. Pigott will retire as President of Medline. Mr. Pigott’s departure is for personal reasons and is not the result of any disagreement with management or our board of directors on any matter relating to our operations, policies, or practices.</w:t>
      </w:r>
    </w:p>
    <w:p>
      <w:pPr>
        <w:spacing w:after="0" w:line="1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186</w:t>
      </w:r>
    </w:p>
    <w:p>
      <w:pPr>
        <w:sectPr>
          <w:pgSz w:w="11900" w:h="16838" w:orient="portrait"/>
          <w:cols w:equalWidth="0" w:num="1">
            <w:col w:w="10500"/>
          </w:cols>
          <w:pgMar w:left="320" w:top="420" w:right="10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240" w:firstLine="391"/>
        <w:spacing w:after="0" w:line="265" w:lineRule="auto"/>
        <w:rPr>
          <w:sz w:val="20"/>
          <w:szCs w:val="20"/>
          <w:color w:val="auto"/>
        </w:rPr>
      </w:pPr>
      <w:r>
        <w:rPr>
          <w:rFonts w:ascii="Times New Roman" w:cs="Times New Roman" w:eastAsia="Times New Roman" w:hAnsi="Times New Roman"/>
          <w:sz w:val="16"/>
          <w:szCs w:val="16"/>
          <w:color w:val="auto"/>
        </w:rPr>
        <w:t>Pursuant to the terms of the Pigott transition agreement, upon the earlier of December 31, 2025 or Mr. Pigott’s termination by Medline without “cause” (as defined in the Pigott employment agreement), he will be entitled to receive the following severance payments and benefits, in addition to certain accrued obligations:</w:t>
      </w:r>
    </w:p>
    <w:p>
      <w:pPr>
        <w:spacing w:after="0" w:line="73" w:lineRule="exact"/>
        <w:rPr>
          <w:sz w:val="20"/>
          <w:szCs w:val="20"/>
          <w:color w:val="auto"/>
        </w:rPr>
      </w:pPr>
    </w:p>
    <w:p>
      <w:pPr>
        <w:ind w:left="1600" w:right="280" w:hanging="383"/>
        <w:spacing w:after="0" w:line="281" w:lineRule="auto"/>
        <w:tabs>
          <w:tab w:leader="none" w:pos="16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$4,125,000, representing 1.5 times the sum of Mr. Pigott’s base salary and estimated target annual bonus for 2025, payable in monthly installments in accordance with our standard payroll practices over a period of 18 months;</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but unpaid prior year annual bonus;</w:t>
      </w:r>
    </w:p>
    <w:p>
      <w:pPr>
        <w:spacing w:after="0" w:line="115" w:lineRule="exact"/>
        <w:rPr>
          <w:rFonts w:ascii="Times New Roman" w:cs="Times New Roman" w:eastAsia="Times New Roman" w:hAnsi="Times New Roman"/>
          <w:sz w:val="16"/>
          <w:szCs w:val="16"/>
          <w:color w:val="auto"/>
        </w:rPr>
      </w:pPr>
    </w:p>
    <w:p>
      <w:pPr>
        <w:ind w:left="1600" w:right="400" w:hanging="383"/>
        <w:spacing w:after="0" w:line="265" w:lineRule="auto"/>
        <w:tabs>
          <w:tab w:leader="none" w:pos="16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earned annual bonus for the calendar year in which the termination occurs without pro-rating if the termination occurs prior to December 31, 2025, payable at the same time we generally pay annual bonuses to active employees and using the same performance conditions we generally use to calculate annual bonuses for active employees;</w:t>
      </w:r>
    </w:p>
    <w:p>
      <w:pPr>
        <w:spacing w:after="0" w:line="73" w:lineRule="exact"/>
        <w:rPr>
          <w:rFonts w:ascii="Times New Roman" w:cs="Times New Roman" w:eastAsia="Times New Roman" w:hAnsi="Times New Roman"/>
          <w:sz w:val="16"/>
          <w:szCs w:val="16"/>
          <w:color w:val="auto"/>
        </w:rPr>
      </w:pPr>
    </w:p>
    <w:p>
      <w:pPr>
        <w:ind w:left="1600" w:right="460" w:hanging="383"/>
        <w:spacing w:after="0" w:line="265" w:lineRule="auto"/>
        <w:tabs>
          <w:tab w:leader="none" w:pos="16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coverage and participation under our medical and dental benefit plans, at active employee rates, for 18 months following termination of employment or, if earlier, until the date on which Mr. Pigott becomes eligible for medical and dental benefits from a subsequent employer; and</w:t>
      </w:r>
    </w:p>
    <w:p>
      <w:pPr>
        <w:spacing w:after="0" w:line="73" w:lineRule="exact"/>
        <w:rPr>
          <w:rFonts w:ascii="Times New Roman" w:cs="Times New Roman" w:eastAsia="Times New Roman" w:hAnsi="Times New Roman"/>
          <w:sz w:val="16"/>
          <w:szCs w:val="16"/>
          <w:color w:val="auto"/>
        </w:rPr>
      </w:pPr>
    </w:p>
    <w:p>
      <w:pPr>
        <w:ind w:left="1600" w:right="60" w:hanging="383"/>
        <w:spacing w:after="0" w:line="260" w:lineRule="auto"/>
        <w:tabs>
          <w:tab w:leader="none" w:pos="16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Accelerated vesting on the termination date with respect to the following Class B Units held by Mr. Pigott: (i) 10% of the Time-Vested Units granted on October 21, 2021 (i.e., 3,483,349.9 Time-Vested Units), (ii) 15% of the Time-Vested Units granted on April 1, 2023 (i.e., 720,000 Time-Vested Units), (iii) 5% of the Time-Vested Units granted on October 1, 2023 (i.e., 346,153.85 Time-Vested Units), and (iv) 15% of the Time-Vested Units granted on March 29, 2024 (i.e., 533,333.4 Time-Vested Units).</w:t>
      </w:r>
    </w:p>
    <w:p>
      <w:pPr>
        <w:spacing w:after="0" w:line="161"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If we terminate Mr. Pigott’s employment without cause prior to December 31, 2025, Mr. Pigott will also receive a lump sum payment equal to his base salary for the period from the termination date through December 31, 2025. In addition, if Mr. Pigott’s employment is terminated by us without cause prior to December 31, 2025, the actual number of Time-Vested Units that become vested upon such termination will be determined as set forth below under the heading “Potential Payments Upon Termination or Change in Control—Accelerated Vesting of Equity Awards,” except that an additional 5% of the Time-Vested Units granted to Mr. Pigott on October 21, 2021 will become vested.</w:t>
      </w:r>
    </w:p>
    <w:p>
      <w:pPr>
        <w:spacing w:after="0" w:line="165"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44"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Pigott’s employment with us and until the 18-month anniversary of his termination.</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Executive Severance Plan</w:t>
      </w:r>
    </w:p>
    <w:p>
      <w:pPr>
        <w:spacing w:after="0" w:line="107"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his employment agreement. We amended and restated the Executive Severance Plan in connection with this offering.</w:t>
      </w:r>
    </w:p>
    <w:p>
      <w:pPr>
        <w:spacing w:after="0" w:line="164" w:lineRule="exact"/>
        <w:rPr>
          <w:sz w:val="20"/>
          <w:szCs w:val="20"/>
          <w:color w:val="auto"/>
        </w:rPr>
      </w:pPr>
    </w:p>
    <w:p>
      <w:pPr>
        <w:ind w:left="740" w:firstLine="391"/>
        <w:spacing w:after="0" w:line="281" w:lineRule="auto"/>
        <w:rPr>
          <w:sz w:val="20"/>
          <w:szCs w:val="20"/>
          <w:color w:val="auto"/>
        </w:rPr>
      </w:pPr>
      <w:r>
        <w:rPr>
          <w:rFonts w:ascii="Times New Roman" w:cs="Times New Roman" w:eastAsia="Times New Roman" w:hAnsi="Times New Roman"/>
          <w:sz w:val="16"/>
          <w:szCs w:val="16"/>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187</w:t>
      </w:r>
    </w:p>
    <w:p>
      <w:pPr>
        <w:sectPr>
          <w:pgSz w:w="11900" w:h="16838" w:orient="portrait"/>
          <w:cols w:equalWidth="0" w:num="1">
            <w:col w:w="10480"/>
          </w:cols>
          <w:pgMar w:left="320" w:top="420" w:right="10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20" w:firstLine="391"/>
        <w:spacing w:after="0" w:line="281" w:lineRule="auto"/>
        <w:rPr>
          <w:sz w:val="20"/>
          <w:szCs w:val="20"/>
          <w:color w:val="auto"/>
        </w:rPr>
      </w:pPr>
      <w:r>
        <w:rPr>
          <w:rFonts w:ascii="Times New Roman" w:cs="Times New Roman" w:eastAsia="Times New Roman" w:hAnsi="Times New Roman"/>
          <w:sz w:val="16"/>
          <w:szCs w:val="16"/>
          <w:color w:val="auto"/>
        </w:rPr>
        <w:t>In connection with a Qualifying Separation prior to a Change in Control (as defined in the Severance Plan), the severance payments and benefits consist of the following:</w:t>
      </w:r>
    </w:p>
    <w:p>
      <w:pPr>
        <w:spacing w:after="0" w:line="60" w:lineRule="exact"/>
        <w:rPr>
          <w:sz w:val="20"/>
          <w:szCs w:val="20"/>
          <w:color w:val="auto"/>
        </w:rPr>
      </w:pPr>
    </w:p>
    <w:p>
      <w:pPr>
        <w:ind w:left="1600" w:right="60" w:hanging="383"/>
        <w:spacing w:after="0" w:line="255" w:lineRule="auto"/>
        <w:tabs>
          <w:tab w:leader="none" w:pos="160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Boyle: (i) a lump sum cash payment equal to two (2) times the sum of his then-current base salary plus target annual bonus; (ii)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80" w:lineRule="exact"/>
        <w:rPr>
          <w:rFonts w:ascii="Times New Roman" w:cs="Times New Roman" w:eastAsia="Times New Roman" w:hAnsi="Times New Roman"/>
          <w:sz w:val="16"/>
          <w:szCs w:val="16"/>
          <w:color w:val="auto"/>
        </w:rPr>
      </w:pPr>
    </w:p>
    <w:p>
      <w:pPr>
        <w:ind w:left="1600" w:right="180" w:hanging="383"/>
        <w:spacing w:after="0" w:line="283" w:lineRule="auto"/>
        <w:tabs>
          <w:tab w:leader="none" w:pos="160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of Messrs. Drazin, Shryock, Miller, and Golwas: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44" w:lineRule="exact"/>
        <w:rPr>
          <w:sz w:val="20"/>
          <w:szCs w:val="20"/>
          <w:color w:val="auto"/>
        </w:rPr>
      </w:pPr>
    </w:p>
    <w:p>
      <w:pPr>
        <w:ind w:left="740" w:right="420" w:firstLine="391"/>
        <w:spacing w:after="0" w:line="281" w:lineRule="auto"/>
        <w:rPr>
          <w:sz w:val="20"/>
          <w:szCs w:val="20"/>
          <w:color w:val="auto"/>
        </w:rPr>
      </w:pPr>
      <w:r>
        <w:rPr>
          <w:rFonts w:ascii="Times New Roman" w:cs="Times New Roman" w:eastAsia="Times New Roman" w:hAnsi="Times New Roman"/>
          <w:sz w:val="16"/>
          <w:szCs w:val="16"/>
          <w:color w:val="auto"/>
        </w:rPr>
        <w:t>In connection with a Qualifying Separation occurring upon or within 24 months (for Mr. Boyle) or 18 months (for Messrs. Drazin, Shryock, Miller, and Golwas) following a Change in Control, the severance benefits and payments consist of the following:</w:t>
      </w:r>
    </w:p>
    <w:p>
      <w:pPr>
        <w:spacing w:after="0" w:line="60" w:lineRule="exact"/>
        <w:rPr>
          <w:sz w:val="20"/>
          <w:szCs w:val="20"/>
          <w:color w:val="auto"/>
        </w:rPr>
      </w:pPr>
    </w:p>
    <w:p>
      <w:pPr>
        <w:ind w:left="1600" w:right="60" w:hanging="383"/>
        <w:spacing w:after="0" w:line="260" w:lineRule="auto"/>
        <w:tabs>
          <w:tab w:leader="none" w:pos="16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76" w:lineRule="exact"/>
        <w:rPr>
          <w:rFonts w:ascii="Times New Roman" w:cs="Times New Roman" w:eastAsia="Times New Roman" w:hAnsi="Times New Roman"/>
          <w:sz w:val="16"/>
          <w:szCs w:val="16"/>
          <w:color w:val="auto"/>
        </w:rPr>
      </w:pPr>
    </w:p>
    <w:p>
      <w:pPr>
        <w:ind w:left="1600" w:right="100" w:hanging="383"/>
        <w:spacing w:after="0" w:line="265" w:lineRule="auto"/>
        <w:tabs>
          <w:tab w:leader="none" w:pos="160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of Messrs. Drazin, Shryock, Miller, and Golwas: (i) a lump sum cash payment equal to two (2) times the sum of his then-current base salary plus target annual bonus; (ii) the Prior Year Bonus; (iii) the Pro-Rata Bonus; (iv) the CIC COBRA Benefit; and (v) the Outplacement Benefit.</w:t>
      </w:r>
    </w:p>
    <w:p>
      <w:pPr>
        <w:spacing w:after="0" w:line="157"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6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61" w:lineRule="exact"/>
        <w:rPr>
          <w:sz w:val="20"/>
          <w:szCs w:val="20"/>
          <w:color w:val="auto"/>
        </w:rPr>
      </w:pPr>
    </w:p>
    <w:p>
      <w:pPr>
        <w:ind w:left="740" w:right="140" w:firstLine="391"/>
        <w:spacing w:after="0" w:line="257" w:lineRule="auto"/>
        <w:rPr>
          <w:sz w:val="20"/>
          <w:szCs w:val="20"/>
          <w:color w:val="auto"/>
        </w:rPr>
      </w:pPr>
      <w:r>
        <w:rPr>
          <w:rFonts w:ascii="Times New Roman" w:cs="Times New Roman" w:eastAsia="Times New Roman" w:hAnsi="Times New Roman"/>
          <w:sz w:val="16"/>
          <w:szCs w:val="16"/>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188</w:t>
      </w:r>
    </w:p>
    <w:p>
      <w:pPr>
        <w:sectPr>
          <w:pgSz w:w="11900" w:h="16838" w:orient="portrait"/>
          <w:cols w:equalWidth="0" w:num="1">
            <w:col w:w="10480"/>
          </w:cols>
          <w:pgMar w:left="320" w:top="421" w:right="10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Equity Awards</w:t>
      </w:r>
    </w:p>
    <w:p>
      <w:pPr>
        <w:spacing w:after="0" w:line="107" w:lineRule="exact"/>
        <w:rPr>
          <w:sz w:val="20"/>
          <w:szCs w:val="20"/>
          <w:color w:val="auto"/>
        </w:rPr>
      </w:pPr>
    </w:p>
    <w:p>
      <w:pPr>
        <w:ind w:left="740" w:right="20" w:firstLine="391"/>
        <w:spacing w:after="0" w:line="256" w:lineRule="auto"/>
        <w:rPr>
          <w:sz w:val="20"/>
          <w:szCs w:val="20"/>
          <w:color w:val="auto"/>
        </w:rPr>
      </w:pPr>
      <w:r>
        <w:rPr>
          <w:rFonts w:ascii="Times New Roman" w:cs="Times New Roman" w:eastAsia="Times New Roman" w:hAnsi="Times New Roman"/>
          <w:sz w:val="16"/>
          <w:szCs w:val="16"/>
          <w:color w:val="auto"/>
        </w:rPr>
        <w:t>In 2021, in connection with our acquisition by our Sponsors, we adopted the Medline Management Aggregator LLC Equity Incentive Plan, which we refer to as the MIP, pursuant to which we grant the Named Executive Officers and other employees awards of Class B Units of the Aggregator. In 2024, the Class B Units granted to our Named Executive Officers consisted of Time-Vested Units and, for Mr. Miller, Performance-Based Units. For each Class B Unit of the Aggregator issued, Medline Holdings issues a Class B Unit in Medline Holdings to Medline Management Aggregator LLC on a one-for-one basis. The Time-Vested Units vest 20% per year on each of the first five anniversaries of the vesting commencement date, subject to the Named Executive Officer’s continued employment with us through each applicable vesting date.</w:t>
      </w:r>
    </w:p>
    <w:p>
      <w:pPr>
        <w:spacing w:after="0" w:line="164" w:lineRule="exact"/>
        <w:rPr>
          <w:sz w:val="20"/>
          <w:szCs w:val="20"/>
          <w:color w:val="auto"/>
        </w:rPr>
      </w:pPr>
    </w:p>
    <w:p>
      <w:pPr>
        <w:ind w:left="740" w:right="40" w:firstLine="391"/>
        <w:spacing w:after="0" w:line="272" w:lineRule="auto"/>
        <w:rPr>
          <w:sz w:val="20"/>
          <w:szCs w:val="20"/>
          <w:color w:val="auto"/>
        </w:rPr>
      </w:pPr>
      <w:r>
        <w:rPr>
          <w:rFonts w:ascii="Times New Roman" w:cs="Times New Roman" w:eastAsia="Times New Roman" w:hAnsi="Times New Roman"/>
          <w:sz w:val="15"/>
          <w:szCs w:val="15"/>
          <w:color w:val="auto"/>
        </w:rPr>
        <w:t>The Performance-Vested Units granted to Mr. Miller vest based on achievement of performance metrics tied to MOIC.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our Sponsors that were received in respect of Class A Units of Holdings in connection with this offering).</w:t>
      </w:r>
    </w:p>
    <w:p>
      <w:pPr>
        <w:spacing w:after="0" w:line="2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Call Rights</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Pursuant to each award agreement, the Aggregator has the right to repurchase vested Class B Units held by each Named Executive Officer in connection with any termination of employment (or, for Messrs. Boyle and Pigott, in connection with certain termination events) or breach of restrictive covenants applicable to the Named Executive Officer (the “Call Right”). For Messrs. Boyle and Pigott, the Call Right applies only in connection with a termination by us for cause, due to the executive’s death or disability, or the executive’s resignation without good reason. The repurchase price for repurchased Class B Units is equal to fair market value, except if the Call Right is exercised in connection with a termination for cause (or resignation when grounds for cause exist) or restrictive covenant violation, in which case the repurchase price is the lesser of fair market value and cost. In addition, if a Named Executive Officer engages in a competitive business following termination, the Call Right can be exercised for 12 months following the Named Executive Officer’s engagement in a competitive business at a repurchase price equal to fair market value for each repurchased Class B Unit. The aggregate repurchase value is converted into a number of Class A Units of the Aggregator, which are then repurchased.</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Put Rights</w:t>
      </w:r>
    </w:p>
    <w:p>
      <w:pPr>
        <w:spacing w:after="0" w:line="105"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In addition, the award agreements permit each Named Executive Officer to sell (the “Put Right”) up to 20% of the Named Executive Officer’s vested Class B Units on each interim liquidity date. The first interim liquidity date occurs on October 21, 2026, and subsequent interim liquidity dates occur every three years thereafter. The Named Executive Officer must be employed on the interim liquidity date to be eligible to exercise the Put Right, except the Named Executive Officer can exercise the Put Right upon an interim liquidity date that occurs within 12 months of a termination other than for cause (or resignation when grounds for cause exist). The Put Right lapses on an initial public offering.</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Acceleration; Forfeiture</w:t>
      </w:r>
    </w:p>
    <w:p>
      <w:pPr>
        <w:spacing w:after="0" w:line="105" w:lineRule="exact"/>
        <w:rPr>
          <w:sz w:val="20"/>
          <w:szCs w:val="20"/>
          <w:color w:val="auto"/>
        </w:rPr>
      </w:pPr>
    </w:p>
    <w:p>
      <w:pPr>
        <w:ind w:left="740" w:right="260" w:firstLine="391"/>
        <w:spacing w:after="0" w:line="281" w:lineRule="auto"/>
        <w:rPr>
          <w:sz w:val="20"/>
          <w:szCs w:val="20"/>
          <w:color w:val="auto"/>
        </w:rPr>
      </w:pPr>
      <w:r>
        <w:rPr>
          <w:rFonts w:ascii="Times New Roman" w:cs="Times New Roman" w:eastAsia="Times New Roman" w:hAnsi="Times New Roman"/>
          <w:sz w:val="16"/>
          <w:szCs w:val="16"/>
          <w:color w:val="auto"/>
        </w:rPr>
        <w:t>Except for accelerated vesting that may occur in connection with certain termination events for Messrs. Boyle and Pigott, all unvested Class B Units are forfeited upon a termination of employment. Upon the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189</w:t>
      </w:r>
    </w:p>
    <w:p>
      <w:pPr>
        <w:sectPr>
          <w:pgSz w:w="11900" w:h="16838" w:orient="portrait"/>
          <w:cols w:equalWidth="0" w:num="1">
            <w:col w:w="10480"/>
          </w:cols>
          <w:pgMar w:left="320" w:top="421" w:right="10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spacing w:after="0" w:line="265" w:lineRule="auto"/>
        <w:rPr>
          <w:sz w:val="20"/>
          <w:szCs w:val="20"/>
          <w:color w:val="auto"/>
        </w:rPr>
      </w:pPr>
      <w:r>
        <w:rPr>
          <w:rFonts w:ascii="Times New Roman" w:cs="Times New Roman" w:eastAsia="Times New Roman" w:hAnsi="Times New Roman"/>
          <w:sz w:val="16"/>
          <w:szCs w:val="16"/>
          <w:color w:val="auto"/>
        </w:rPr>
        <w:t>occurrence of a sale transaction (defined as described below), certain Time-Vested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 End</w:t>
      </w:r>
    </w:p>
    <w:p>
      <w:pPr>
        <w:spacing w:after="0" w:line="105" w:lineRule="exact"/>
        <w:rPr>
          <w:sz w:val="20"/>
          <w:szCs w:val="20"/>
          <w:color w:val="auto"/>
        </w:rPr>
      </w:pPr>
    </w:p>
    <w:p>
      <w:pPr>
        <w:ind w:left="740" w:right="72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includes certain information with respect to outstanding equity awards held by our Named Executive Officers as of December 31, 2024.</w:t>
      </w:r>
    </w:p>
    <w:p>
      <w:pPr>
        <w:spacing w:after="0" w:line="167" w:lineRule="exact"/>
        <w:rPr>
          <w:sz w:val="20"/>
          <w:szCs w:val="20"/>
          <w:color w:val="auto"/>
        </w:rPr>
      </w:pPr>
    </w:p>
    <w:tbl>
      <w:tblPr>
        <w:tblLayout w:type="fixed"/>
        <w:tblInd w:w="740" w:type="dxa"/>
        <w:tblCellMar>
          <w:top w:w="0" w:type="dxa"/>
          <w:left w:w="0" w:type="dxa"/>
          <w:bottom w:w="0" w:type="dxa"/>
          <w:right w:w="0" w:type="dxa"/>
        </w:tblCellMar>
      </w:tblPr>
      <w:tr>
        <w:trPr>
          <w:trHeight w:val="137"/>
        </w:trPr>
        <w:tc>
          <w:tcPr>
            <w:tcW w:w="2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4"/>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jc w:val="center"/>
              <w:spacing w:after="0" w:line="94" w:lineRule="exact"/>
              <w:rPr>
                <w:sz w:val="20"/>
                <w:szCs w:val="20"/>
                <w:color w:val="auto"/>
              </w:rPr>
            </w:pPr>
            <w:r>
              <w:rPr>
                <w:rFonts w:ascii="Times New Roman" w:cs="Times New Roman" w:eastAsia="Times New Roman" w:hAnsi="Times New Roman"/>
                <w:sz w:val="10"/>
                <w:szCs w:val="10"/>
                <w:b w:val="1"/>
                <w:bCs w:val="1"/>
                <w:color w:val="auto"/>
              </w:rPr>
              <w:t>Equity</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rPr>
              <w:t>Equity</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Plan</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Plan</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rPr>
              <w:t>Market</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Equity</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1"/>
                <w:szCs w:val="11"/>
                <w:b w:val="1"/>
                <w:bCs w:val="1"/>
                <w:color w:val="auto"/>
              </w:rPr>
              <w:t>Number</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9"/>
              </w:rPr>
              <w:t>or Payout</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of</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rPr>
              <w:t>Plan</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Market</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8"/>
              </w:rPr>
              <w:t>Shares,</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32"/>
              <w:spacing w:after="0" w:line="120"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9"/>
              </w:rPr>
              <w:t>Units or</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32"/>
              <w:spacing w:after="0" w:line="120"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78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Other</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7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52"/>
              <w:spacing w:after="0" w:line="120"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78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8"/>
              </w:rPr>
              <w:t>Rights</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58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Option</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2"/>
          </w:tcPr>
          <w:p>
            <w:pPr>
              <w:jc w:val="center"/>
              <w:ind w:right="232"/>
              <w:spacing w:after="0" w:line="120"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That Have</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7"/>
              </w:rPr>
              <w:t>That</w:t>
            </w:r>
          </w:p>
        </w:tc>
        <w:tc>
          <w:tcPr>
            <w:tcW w:w="0" w:type="dxa"/>
            <w:vAlign w:val="bottom"/>
          </w:tcPr>
          <w:p>
            <w:pPr>
              <w:spacing w:after="0"/>
              <w:rPr>
                <w:sz w:val="1"/>
                <w:szCs w:val="1"/>
                <w:color w:val="auto"/>
              </w:rPr>
            </w:pPr>
          </w:p>
        </w:tc>
      </w:tr>
      <w:tr>
        <w:trPr>
          <w:trHeight w:val="120"/>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w w:val="99"/>
              </w:rPr>
              <w:t>Service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Options</w:t>
            </w:r>
          </w:p>
        </w:tc>
        <w:tc>
          <w:tcPr>
            <w:tcW w:w="76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5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880" w:type="dxa"/>
            <w:vAlign w:val="bottom"/>
            <w:gridSpan w:val="2"/>
          </w:tcPr>
          <w:p>
            <w:pPr>
              <w:jc w:val="center"/>
              <w:ind w:right="232"/>
              <w:spacing w:after="0" w:line="120"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rPr>
              <w:t>Not</w:t>
            </w:r>
          </w:p>
        </w:tc>
        <w:tc>
          <w:tcPr>
            <w:tcW w:w="5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0" w:type="dxa"/>
            <w:vAlign w:val="bottom"/>
          </w:tcPr>
          <w:p>
            <w:pPr>
              <w:spacing w:after="0"/>
              <w:rPr>
                <w:sz w:val="1"/>
                <w:szCs w:val="1"/>
                <w:color w:val="auto"/>
              </w:rPr>
            </w:pPr>
          </w:p>
        </w:tc>
      </w:tr>
      <w:tr>
        <w:trPr>
          <w:trHeight w:val="120"/>
        </w:trPr>
        <w:tc>
          <w:tcPr>
            <w:tcW w:w="2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40" w:type="dxa"/>
            <w:vAlign w:val="bottom"/>
          </w:tcPr>
          <w:p>
            <w:pPr>
              <w:spacing w:after="0"/>
              <w:rPr>
                <w:sz w:val="10"/>
                <w:szCs w:val="10"/>
                <w:color w:val="auto"/>
              </w:rPr>
            </w:pPr>
          </w:p>
        </w:tc>
        <w:tc>
          <w:tcPr>
            <w:tcW w:w="66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1"/>
                <w:szCs w:val="11"/>
                <w:b w:val="1"/>
                <w:bCs w:val="1"/>
                <w:color w:val="auto"/>
              </w:rPr>
              <w:t>Inception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10"/>
                <w:szCs w:val="10"/>
                <w:color w:val="auto"/>
              </w:rPr>
            </w:pPr>
          </w:p>
        </w:tc>
        <w:tc>
          <w:tcPr>
            <w:tcW w:w="7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1"/>
                <w:szCs w:val="11"/>
                <w:b w:val="1"/>
                <w:bCs w:val="1"/>
                <w:color w:val="auto"/>
              </w:rPr>
              <w:t>Options</w:t>
            </w:r>
          </w:p>
        </w:tc>
        <w:tc>
          <w:tcPr>
            <w:tcW w:w="580" w:type="dxa"/>
            <w:vAlign w:val="bottom"/>
            <w:gridSpan w:val="2"/>
          </w:tcPr>
          <w:p>
            <w:pPr>
              <w:jc w:val="center"/>
              <w:ind w:right="160"/>
              <w:spacing w:after="0" w:line="120" w:lineRule="exact"/>
              <w:rPr>
                <w:sz w:val="20"/>
                <w:szCs w:val="20"/>
                <w:color w:val="auto"/>
              </w:rPr>
            </w:pPr>
            <w:r>
              <w:rPr>
                <w:rFonts w:ascii="Times New Roman" w:cs="Times New Roman" w:eastAsia="Times New Roman" w:hAnsi="Times New Roman"/>
                <w:sz w:val="11"/>
                <w:szCs w:val="11"/>
                <w:b w:val="1"/>
                <w:bCs w:val="1"/>
                <w:color w:val="auto"/>
              </w:rPr>
              <w:t>Price</w:t>
            </w:r>
          </w:p>
        </w:tc>
        <w:tc>
          <w:tcPr>
            <w:tcW w:w="70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880" w:type="dxa"/>
            <w:vAlign w:val="bottom"/>
            <w:gridSpan w:val="2"/>
          </w:tcPr>
          <w:p>
            <w:pPr>
              <w:jc w:val="center"/>
              <w:ind w:right="232"/>
              <w:spacing w:after="0" w:line="120" w:lineRule="exact"/>
              <w:rPr>
                <w:sz w:val="20"/>
                <w:szCs w:val="20"/>
                <w:color w:val="auto"/>
              </w:rPr>
            </w:pPr>
            <w:r>
              <w:rPr>
                <w:rFonts w:ascii="Times New Roman" w:cs="Times New Roman" w:eastAsia="Times New Roman" w:hAnsi="Times New Roman"/>
                <w:sz w:val="11"/>
                <w:szCs w:val="11"/>
                <w:b w:val="1"/>
                <w:bCs w:val="1"/>
                <w:color w:val="auto"/>
              </w:rPr>
              <w:t>Vested</w:t>
            </w:r>
          </w:p>
        </w:tc>
        <w:tc>
          <w:tcPr>
            <w:tcW w:w="78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1"/>
                <w:szCs w:val="11"/>
                <w:b w:val="1"/>
                <w:bCs w:val="1"/>
                <w:color w:val="auto"/>
              </w:rPr>
              <w:t>Vested</w:t>
            </w:r>
          </w:p>
        </w:tc>
        <w:tc>
          <w:tcPr>
            <w:tcW w:w="840" w:type="dxa"/>
            <w:vAlign w:val="bottom"/>
            <w:gridSpan w:val="2"/>
          </w:tcPr>
          <w:p>
            <w:pPr>
              <w:jc w:val="center"/>
              <w:ind w:right="300"/>
              <w:spacing w:after="0" w:line="120" w:lineRule="exact"/>
              <w:rPr>
                <w:sz w:val="20"/>
                <w:szCs w:val="20"/>
                <w:color w:val="auto"/>
              </w:rPr>
            </w:pPr>
            <w:r>
              <w:rPr>
                <w:rFonts w:ascii="Times New Roman" w:cs="Times New Roman" w:eastAsia="Times New Roman" w:hAnsi="Times New Roman"/>
                <w:sz w:val="11"/>
                <w:szCs w:val="11"/>
                <w:b w:val="1"/>
                <w:bCs w:val="1"/>
                <w:color w:val="auto"/>
                <w:w w:val="94"/>
              </w:rPr>
              <w:t>Vested</w:t>
            </w:r>
          </w:p>
        </w:tc>
        <w:tc>
          <w:tcPr>
            <w:tcW w:w="50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1"/>
                <w:szCs w:val="11"/>
                <w:b w:val="1"/>
                <w:bCs w:val="1"/>
                <w:color w:val="auto"/>
              </w:rPr>
              <w:t>Vested</w:t>
            </w:r>
          </w:p>
        </w:tc>
        <w:tc>
          <w:tcPr>
            <w:tcW w:w="0" w:type="dxa"/>
            <w:vAlign w:val="bottom"/>
          </w:tcPr>
          <w:p>
            <w:pPr>
              <w:spacing w:after="0"/>
              <w:rPr>
                <w:sz w:val="1"/>
                <w:szCs w:val="1"/>
                <w:color w:val="auto"/>
              </w:rPr>
            </w:pPr>
          </w:p>
        </w:tc>
      </w:tr>
      <w:tr>
        <w:trPr>
          <w:trHeight w:val="137"/>
        </w:trPr>
        <w:tc>
          <w:tcPr>
            <w:tcW w:w="20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40" w:type="dxa"/>
            <w:vAlign w:val="bottom"/>
          </w:tcPr>
          <w:p>
            <w:pPr>
              <w:spacing w:after="0"/>
              <w:rPr>
                <w:sz w:val="11"/>
                <w:szCs w:val="11"/>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9"/>
              </w:rPr>
              <w:t>Unexercisable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60" w:type="dxa"/>
            <w:vAlign w:val="bottom"/>
          </w:tcPr>
          <w:p>
            <w:pPr>
              <w:spacing w:after="0"/>
              <w:rPr>
                <w:sz w:val="11"/>
                <w:szCs w:val="11"/>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1"/>
                <w:szCs w:val="11"/>
                <w:color w:val="auto"/>
              </w:rPr>
            </w:pP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8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60" w:type="dxa"/>
            <w:vAlign w:val="bottom"/>
            <w:tcBorders>
              <w:top w:val="single" w:sz="8" w:color="auto"/>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James M. Boyle</w:t>
            </w: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10/21/2021</w:t>
            </w: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10/21/2021</w:t>
            </w:r>
          </w:p>
        </w:tc>
        <w:tc>
          <w:tcPr>
            <w:tcW w:w="2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13,933,400</w:t>
            </w:r>
          </w:p>
        </w:tc>
        <w:tc>
          <w:tcPr>
            <w:tcW w:w="280" w:type="dxa"/>
            <w:vAlign w:val="bottom"/>
            <w:tcBorders>
              <w:top w:val="single" w:sz="8" w:color="CCEEFF"/>
            </w:tcBorders>
            <w:shd w:val="clear" w:color="auto" w:fill="CCEEFF"/>
          </w:tcPr>
          <w:p>
            <w:pPr>
              <w:jc w:val="right"/>
              <w:ind w:right="112"/>
              <w:spacing w:after="0" w:line="104" w:lineRule="exact"/>
              <w:rPr>
                <w:sz w:val="20"/>
                <w:szCs w:val="20"/>
                <w:color w:val="auto"/>
              </w:rPr>
            </w:pPr>
            <w:r>
              <w:rPr>
                <w:rFonts w:ascii="Times New Roman" w:cs="Times New Roman" w:eastAsia="Times New Roman" w:hAnsi="Times New Roman"/>
                <w:sz w:val="10"/>
                <w:szCs w:val="10"/>
                <w:color w:val="auto"/>
                <w:w w:val="85"/>
              </w:rPr>
              <w:t>(1)</w:t>
            </w:r>
          </w:p>
        </w:tc>
        <w:tc>
          <w:tcPr>
            <w:tcW w:w="60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11,704,056</w:t>
            </w: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3,840,000</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2,918,400</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12,923,077</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8,658,461</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(3)</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(4)</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5,384,615</w:t>
            </w:r>
            <w:r>
              <w:rPr>
                <w:rFonts w:ascii="Times New Roman" w:cs="Times New Roman" w:eastAsia="Times New Roman" w:hAnsi="Times New Roman"/>
                <w:sz w:val="9"/>
                <w:szCs w:val="9"/>
                <w:color w:val="auto"/>
              </w:rPr>
              <w:t>(5)</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3,555,556</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1,742,222</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3/28/2025</w:t>
            </w:r>
            <w:r>
              <w:rPr>
                <w:rFonts w:ascii="Times New Roman" w:cs="Times New Roman" w:eastAsia="Times New Roman" w:hAnsi="Times New Roman"/>
                <w:sz w:val="9"/>
                <w:szCs w:val="9"/>
                <w:color w:val="auto"/>
              </w:rPr>
              <w:t>(2)</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3"/>
                <w:szCs w:val="13"/>
                <w:color w:val="auto"/>
              </w:rPr>
              <w:t>2,581,441</w:t>
            </w:r>
            <w:r>
              <w:rPr>
                <w:rFonts w:ascii="Times New Roman" w:cs="Times New Roman" w:eastAsia="Times New Roman" w:hAnsi="Times New Roman"/>
                <w:sz w:val="9"/>
                <w:szCs w:val="9"/>
                <w:color w:val="auto"/>
              </w:rPr>
              <w:t>(2)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Michael B. Drazin</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color w:val="auto"/>
              </w:rPr>
              <w:t>10/21/2021</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280"/>
              <w:spacing w:after="0" w:line="112" w:lineRule="exact"/>
              <w:rPr>
                <w:sz w:val="20"/>
                <w:szCs w:val="20"/>
                <w:color w:val="auto"/>
              </w:rPr>
            </w:pPr>
            <w:r>
              <w:rPr>
                <w:rFonts w:ascii="Times New Roman" w:cs="Times New Roman" w:eastAsia="Times New Roman" w:hAnsi="Times New Roman"/>
                <w:sz w:val="12"/>
                <w:szCs w:val="12"/>
                <w:color w:val="auto"/>
              </w:rPr>
              <w:t>10/21/2021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112"/>
              <w:spacing w:after="0" w:line="112" w:lineRule="exact"/>
              <w:rPr>
                <w:sz w:val="20"/>
                <w:szCs w:val="20"/>
                <w:color w:val="auto"/>
              </w:rPr>
            </w:pPr>
            <w:r>
              <w:rPr>
                <w:rFonts w:ascii="Times New Roman" w:cs="Times New Roman" w:eastAsia="Times New Roman" w:hAnsi="Times New Roman"/>
                <w:sz w:val="12"/>
                <w:szCs w:val="12"/>
                <w:color w:val="auto"/>
              </w:rPr>
              <w:t>12,540,060</w:t>
            </w:r>
            <w:r>
              <w:rPr>
                <w:rFonts w:ascii="Times New Roman" w:cs="Times New Roman" w:eastAsia="Times New Roman" w:hAnsi="Times New Roman"/>
                <w:sz w:val="8"/>
                <w:szCs w:val="8"/>
                <w:color w:val="auto"/>
              </w:rPr>
              <w:t>(1)</w:t>
            </w:r>
          </w:p>
        </w:tc>
        <w:tc>
          <w:tcPr>
            <w:tcW w:w="7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10,533,650</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80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4/1/2023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3,088,429</w:t>
            </w:r>
            <w:r>
              <w:rPr>
                <w:rFonts w:ascii="Times New Roman" w:cs="Times New Roman" w:eastAsia="Times New Roman" w:hAnsi="Times New Roman"/>
                <w:sz w:val="9"/>
                <w:szCs w:val="9"/>
                <w:color w:val="auto"/>
              </w:rPr>
              <w:t>(1)</w:t>
            </w:r>
          </w:p>
        </w:tc>
        <w:tc>
          <w:tcPr>
            <w:tcW w:w="7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2,347,206</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80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3/29/2023</w:t>
            </w:r>
          </w:p>
        </w:tc>
        <w:tc>
          <w:tcPr>
            <w:tcW w:w="104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3,207,666</w:t>
            </w:r>
            <w:r>
              <w:rPr>
                <w:rFonts w:ascii="Times New Roman" w:cs="Times New Roman" w:eastAsia="Times New Roman" w:hAnsi="Times New Roman"/>
                <w:sz w:val="9"/>
                <w:szCs w:val="9"/>
                <w:color w:val="auto"/>
              </w:rPr>
              <w:t>(1)</w:t>
            </w:r>
          </w:p>
        </w:tc>
        <w:tc>
          <w:tcPr>
            <w:tcW w:w="7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1,571,756</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3/28/2025</w:t>
            </w:r>
            <w:r>
              <w:rPr>
                <w:rFonts w:ascii="Times New Roman" w:cs="Times New Roman" w:eastAsia="Times New Roman" w:hAnsi="Times New Roman"/>
                <w:sz w:val="9"/>
                <w:szCs w:val="9"/>
                <w:color w:val="auto"/>
              </w:rPr>
              <w:t>(2)</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3"/>
                <w:szCs w:val="13"/>
                <w:color w:val="auto"/>
              </w:rPr>
              <w:t>2,208,122</w:t>
            </w:r>
            <w:r>
              <w:rPr>
                <w:rFonts w:ascii="Times New Roman" w:cs="Times New Roman" w:eastAsia="Times New Roman" w:hAnsi="Times New Roman"/>
                <w:sz w:val="9"/>
                <w:szCs w:val="9"/>
                <w:color w:val="auto"/>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James M. Pigott</w:t>
            </w:r>
          </w:p>
        </w:tc>
        <w:tc>
          <w:tcPr>
            <w:tcW w:w="800" w:type="dxa"/>
            <w:vAlign w:val="bottom"/>
            <w:gridSpan w:val="3"/>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2"/>
                <w:szCs w:val="12"/>
                <w:color w:val="auto"/>
              </w:rPr>
              <w:t>10/21/2021</w:t>
            </w:r>
          </w:p>
        </w:tc>
        <w:tc>
          <w:tcPr>
            <w:tcW w:w="104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2"/>
                <w:szCs w:val="12"/>
                <w:color w:val="auto"/>
              </w:rPr>
              <w:t>10/21/2021</w:t>
            </w: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12"/>
              <w:spacing w:after="0" w:line="112" w:lineRule="exact"/>
              <w:rPr>
                <w:sz w:val="20"/>
                <w:szCs w:val="20"/>
                <w:color w:val="auto"/>
              </w:rPr>
            </w:pPr>
            <w:r>
              <w:rPr>
                <w:rFonts w:ascii="Times New Roman" w:cs="Times New Roman" w:eastAsia="Times New Roman" w:hAnsi="Times New Roman"/>
                <w:sz w:val="12"/>
                <w:szCs w:val="12"/>
                <w:color w:val="auto"/>
              </w:rPr>
              <w:t>13,933,400</w:t>
            </w:r>
            <w:r>
              <w:rPr>
                <w:rFonts w:ascii="Times New Roman" w:cs="Times New Roman" w:eastAsia="Times New Roman" w:hAnsi="Times New Roman"/>
                <w:sz w:val="8"/>
                <w:szCs w:val="8"/>
                <w:color w:val="auto"/>
              </w:rPr>
              <w:t>(1)</w:t>
            </w:r>
          </w:p>
        </w:tc>
        <w:tc>
          <w:tcPr>
            <w:tcW w:w="7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11,704,056</w:t>
            </w: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3,840,000</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2,918,400</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5,538,462</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3,710,769</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(3)</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(4)</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10/1/2023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2,307,692</w:t>
            </w:r>
            <w:r>
              <w:rPr>
                <w:rFonts w:ascii="Times New Roman" w:cs="Times New Roman" w:eastAsia="Times New Roman" w:hAnsi="Times New Roman"/>
                <w:sz w:val="9"/>
                <w:szCs w:val="9"/>
                <w:color w:val="auto"/>
              </w:rPr>
              <w:t>(5)</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3,555,556</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1,742,222</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3/28/2025</w:t>
            </w:r>
            <w:r>
              <w:rPr>
                <w:rFonts w:ascii="Times New Roman" w:cs="Times New Roman" w:eastAsia="Times New Roman" w:hAnsi="Times New Roman"/>
                <w:sz w:val="9"/>
                <w:szCs w:val="9"/>
                <w:color w:val="auto"/>
              </w:rPr>
              <w:t>(2)</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3"/>
                <w:szCs w:val="13"/>
                <w:color w:val="auto"/>
              </w:rPr>
              <w:t>2,581,441</w:t>
            </w:r>
            <w:r>
              <w:rPr>
                <w:rFonts w:ascii="Times New Roman" w:cs="Times New Roman" w:eastAsia="Times New Roman" w:hAnsi="Times New Roman"/>
                <w:sz w:val="9"/>
                <w:szCs w:val="9"/>
                <w:color w:val="auto"/>
              </w:rPr>
              <w:t>(2)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Christopher P. Shryock</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color w:val="auto"/>
              </w:rPr>
              <w:t>7/1/2024</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3/28/2025</w:t>
            </w:r>
            <w:r>
              <w:rPr>
                <w:rFonts w:ascii="Times New Roman" w:cs="Times New Roman" w:eastAsia="Times New Roman" w:hAnsi="Times New Roman"/>
                <w:sz w:val="8"/>
                <w:szCs w:val="8"/>
                <w:color w:val="auto"/>
              </w:rPr>
              <w:t>(2)</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112"/>
              <w:spacing w:after="0" w:line="112" w:lineRule="exact"/>
              <w:rPr>
                <w:sz w:val="20"/>
                <w:szCs w:val="20"/>
                <w:color w:val="auto"/>
              </w:rPr>
            </w:pPr>
            <w:r>
              <w:rPr>
                <w:rFonts w:ascii="Times New Roman" w:cs="Times New Roman" w:eastAsia="Times New Roman" w:hAnsi="Times New Roman"/>
                <w:sz w:val="12"/>
                <w:szCs w:val="12"/>
                <w:color w:val="auto"/>
              </w:rPr>
              <w:t>571,066</w:t>
            </w:r>
            <w:r>
              <w:rPr>
                <w:rFonts w:ascii="Times New Roman" w:cs="Times New Roman" w:eastAsia="Times New Roman" w:hAnsi="Times New Roman"/>
                <w:sz w:val="8"/>
                <w:szCs w:val="8"/>
                <w:color w:val="auto"/>
              </w:rPr>
              <w:t>(2)</w:t>
            </w:r>
          </w:p>
        </w:tc>
        <w:tc>
          <w:tcPr>
            <w:tcW w:w="7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0</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9/27/2024</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9/27/2024</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3"/>
                <w:szCs w:val="13"/>
                <w:color w:val="auto"/>
              </w:rPr>
              <w:t>6,976,744</w:t>
            </w:r>
            <w:r>
              <w:rPr>
                <w:rFonts w:ascii="Times New Roman" w:cs="Times New Roman" w:eastAsia="Times New Roman" w:hAnsi="Times New Roman"/>
                <w:sz w:val="9"/>
                <w:szCs w:val="9"/>
                <w:color w:val="auto"/>
              </w:rPr>
              <w:t>(6)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837,209</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Stephen L. Miller</w:t>
            </w:r>
          </w:p>
        </w:tc>
        <w:tc>
          <w:tcPr>
            <w:tcW w:w="800" w:type="dxa"/>
            <w:vAlign w:val="bottom"/>
            <w:gridSpan w:val="3"/>
            <w:shd w:val="clear" w:color="auto" w:fill="CCEEFF"/>
          </w:tcPr>
          <w:p>
            <w:pPr>
              <w:jc w:val="right"/>
              <w:ind w:right="40"/>
              <w:spacing w:after="0" w:line="112" w:lineRule="exact"/>
              <w:rPr>
                <w:sz w:val="20"/>
                <w:szCs w:val="20"/>
                <w:color w:val="auto"/>
              </w:rPr>
            </w:pPr>
            <w:r>
              <w:rPr>
                <w:rFonts w:ascii="Times New Roman" w:cs="Times New Roman" w:eastAsia="Times New Roman" w:hAnsi="Times New Roman"/>
                <w:sz w:val="12"/>
                <w:szCs w:val="12"/>
                <w:color w:val="auto"/>
              </w:rPr>
              <w:t>7/1/2022</w:t>
            </w:r>
          </w:p>
        </w:tc>
        <w:tc>
          <w:tcPr>
            <w:tcW w:w="1040" w:type="dxa"/>
            <w:vAlign w:val="bottom"/>
            <w:gridSpan w:val="3"/>
            <w:shd w:val="clear" w:color="auto" w:fill="CCEEFF"/>
          </w:tcPr>
          <w:p>
            <w:pPr>
              <w:jc w:val="right"/>
              <w:ind w:right="280"/>
              <w:spacing w:after="0" w:line="112" w:lineRule="exact"/>
              <w:rPr>
                <w:sz w:val="20"/>
                <w:szCs w:val="20"/>
                <w:color w:val="auto"/>
              </w:rPr>
            </w:pPr>
            <w:r>
              <w:rPr>
                <w:rFonts w:ascii="Times New Roman" w:cs="Times New Roman" w:eastAsia="Times New Roman" w:hAnsi="Times New Roman"/>
                <w:sz w:val="12"/>
                <w:szCs w:val="12"/>
                <w:color w:val="auto"/>
              </w:rPr>
              <w:t>7/1/2022</w:t>
            </w:r>
          </w:p>
        </w:tc>
        <w:tc>
          <w:tcPr>
            <w:tcW w:w="6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gridSpan w:val="2"/>
            <w:shd w:val="clear" w:color="auto" w:fill="CCEEFF"/>
          </w:tcPr>
          <w:p>
            <w:pPr>
              <w:jc w:val="right"/>
              <w:ind w:right="112"/>
              <w:spacing w:after="0" w:line="112" w:lineRule="exact"/>
              <w:rPr>
                <w:sz w:val="20"/>
                <w:szCs w:val="20"/>
                <w:color w:val="auto"/>
              </w:rPr>
            </w:pPr>
            <w:r>
              <w:rPr>
                <w:rFonts w:ascii="Times New Roman" w:cs="Times New Roman" w:eastAsia="Times New Roman" w:hAnsi="Times New Roman"/>
                <w:sz w:val="12"/>
                <w:szCs w:val="12"/>
                <w:color w:val="auto"/>
              </w:rPr>
              <w:t>6,000,000</w:t>
            </w:r>
            <w:r>
              <w:rPr>
                <w:rFonts w:ascii="Times New Roman" w:cs="Times New Roman" w:eastAsia="Times New Roman" w:hAnsi="Times New Roman"/>
                <w:sz w:val="8"/>
                <w:szCs w:val="8"/>
                <w:color w:val="auto"/>
              </w:rPr>
              <w:t>(1)</w:t>
            </w:r>
          </w:p>
        </w:tc>
        <w:tc>
          <w:tcPr>
            <w:tcW w:w="780" w:type="dxa"/>
            <w:vAlign w:val="bottom"/>
            <w:gridSpan w:val="2"/>
            <w:shd w:val="clear" w:color="auto" w:fill="CCEEFF"/>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4,980,000</w:t>
            </w: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4/1/2023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1,200,000</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912,000</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3/29/2023</w:t>
            </w: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3,000,000</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1,470,000</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3,703,704</w:t>
            </w:r>
            <w:r>
              <w:rPr>
                <w:rFonts w:ascii="Times New Roman" w:cs="Times New Roman" w:eastAsia="Times New Roman" w:hAnsi="Times New Roman"/>
                <w:sz w:val="9"/>
                <w:szCs w:val="9"/>
                <w:color w:val="auto"/>
              </w:rPr>
              <w:t>(1)</w:t>
            </w:r>
          </w:p>
        </w:tc>
        <w:tc>
          <w:tcPr>
            <w:tcW w:w="7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1,814,815</w:t>
            </w: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(3)</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(4)</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617,284</w:t>
            </w:r>
            <w:r>
              <w:rPr>
                <w:rFonts w:ascii="Times New Roman" w:cs="Times New Roman" w:eastAsia="Times New Roman" w:hAnsi="Times New Roman"/>
                <w:sz w:val="9"/>
                <w:szCs w:val="9"/>
                <w:color w:val="auto"/>
              </w:rPr>
              <w:t>(5)</w:t>
            </w:r>
          </w:p>
        </w:tc>
        <w:tc>
          <w:tcPr>
            <w:tcW w:w="48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2/13/2024</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4/1/2025</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3"/>
                <w:szCs w:val="13"/>
                <w:color w:val="auto"/>
              </w:rPr>
              <w:t>2,055,838</w:t>
            </w:r>
            <w:r>
              <w:rPr>
                <w:rFonts w:ascii="Times New Roman" w:cs="Times New Roman" w:eastAsia="Times New Roman" w:hAnsi="Times New Roman"/>
                <w:sz w:val="9"/>
                <w:szCs w:val="9"/>
                <w:color w:val="auto"/>
              </w:rPr>
              <w:t>(2)</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Douglas P. Golwas</w:t>
            </w:r>
          </w:p>
        </w:tc>
        <w:tc>
          <w:tcPr>
            <w:tcW w:w="140" w:type="dxa"/>
            <w:vAlign w:val="bottom"/>
          </w:tcPr>
          <w:p>
            <w:pPr>
              <w:spacing w:after="0"/>
              <w:rPr>
                <w:sz w:val="9"/>
                <w:szCs w:val="9"/>
                <w:color w:val="auto"/>
              </w:rPr>
            </w:pPr>
          </w:p>
        </w:tc>
        <w:tc>
          <w:tcPr>
            <w:tcW w:w="620" w:type="dxa"/>
            <w:vAlign w:val="bottom"/>
          </w:tcPr>
          <w:p>
            <w:pPr>
              <w:jc w:val="right"/>
              <w:spacing w:after="0" w:line="112" w:lineRule="exact"/>
              <w:rPr>
                <w:sz w:val="20"/>
                <w:szCs w:val="20"/>
                <w:color w:val="auto"/>
              </w:rPr>
            </w:pPr>
            <w:r>
              <w:rPr>
                <w:rFonts w:ascii="Times New Roman" w:cs="Times New Roman" w:eastAsia="Times New Roman" w:hAnsi="Times New Roman"/>
                <w:sz w:val="12"/>
                <w:szCs w:val="12"/>
                <w:color w:val="auto"/>
              </w:rPr>
              <w:t>10/21/2023</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tcPr>
          <w:p>
            <w:pPr>
              <w:jc w:val="right"/>
              <w:ind w:right="280"/>
              <w:spacing w:after="0" w:line="112" w:lineRule="exact"/>
              <w:rPr>
                <w:sz w:val="20"/>
                <w:szCs w:val="20"/>
                <w:color w:val="auto"/>
              </w:rPr>
            </w:pPr>
            <w:r>
              <w:rPr>
                <w:rFonts w:ascii="Times New Roman" w:cs="Times New Roman" w:eastAsia="Times New Roman" w:hAnsi="Times New Roman"/>
                <w:sz w:val="12"/>
                <w:szCs w:val="12"/>
                <w:color w:val="auto"/>
              </w:rPr>
              <w:t>10/21/2021</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gridSpan w:val="2"/>
          </w:tcPr>
          <w:p>
            <w:pPr>
              <w:jc w:val="right"/>
              <w:ind w:right="112"/>
              <w:spacing w:after="0" w:line="112" w:lineRule="exact"/>
              <w:rPr>
                <w:sz w:val="20"/>
                <w:szCs w:val="20"/>
                <w:color w:val="auto"/>
              </w:rPr>
            </w:pPr>
            <w:r>
              <w:rPr>
                <w:rFonts w:ascii="Times New Roman" w:cs="Times New Roman" w:eastAsia="Times New Roman" w:hAnsi="Times New Roman"/>
                <w:sz w:val="12"/>
                <w:szCs w:val="12"/>
                <w:color w:val="auto"/>
              </w:rPr>
              <w:t>8,708,375</w:t>
            </w:r>
            <w:r>
              <w:rPr>
                <w:rFonts w:ascii="Times New Roman" w:cs="Times New Roman" w:eastAsia="Times New Roman" w:hAnsi="Times New Roman"/>
                <w:sz w:val="8"/>
                <w:szCs w:val="8"/>
                <w:color w:val="auto"/>
              </w:rPr>
              <w:t>(1)</w:t>
            </w:r>
          </w:p>
        </w:tc>
        <w:tc>
          <w:tcPr>
            <w:tcW w:w="780" w:type="dxa"/>
            <w:vAlign w:val="bottom"/>
            <w:gridSpan w:val="2"/>
          </w:tcPr>
          <w:p>
            <w:pPr>
              <w:jc w:val="right"/>
              <w:ind w:right="180"/>
              <w:spacing w:after="0" w:line="112" w:lineRule="exact"/>
              <w:rPr>
                <w:sz w:val="20"/>
                <w:szCs w:val="20"/>
                <w:color w:val="auto"/>
              </w:rPr>
            </w:pPr>
            <w:r>
              <w:rPr>
                <w:rFonts w:ascii="Times New Roman" w:cs="Times New Roman" w:eastAsia="Times New Roman" w:hAnsi="Times New Roman"/>
                <w:sz w:val="12"/>
                <w:szCs w:val="12"/>
                <w:color w:val="auto"/>
              </w:rPr>
              <w:t>7,315,035</w:t>
            </w: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80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4/1/2022</w:t>
            </w:r>
          </w:p>
        </w:tc>
        <w:tc>
          <w:tcPr>
            <w:tcW w:w="104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4/1/2023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2,400,000</w:t>
            </w:r>
            <w:r>
              <w:rPr>
                <w:rFonts w:ascii="Times New Roman" w:cs="Times New Roman" w:eastAsia="Times New Roman" w:hAnsi="Times New Roman"/>
                <w:sz w:val="9"/>
                <w:szCs w:val="9"/>
                <w:color w:val="auto"/>
              </w:rPr>
              <w:t>(1)</w:t>
            </w:r>
          </w:p>
        </w:tc>
        <w:tc>
          <w:tcPr>
            <w:tcW w:w="7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1,824,000</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60" w:type="dxa"/>
            <w:vAlign w:val="bottom"/>
          </w:tcPr>
          <w:p>
            <w:pPr>
              <w:spacing w:after="0"/>
              <w:rPr>
                <w:sz w:val="11"/>
                <w:szCs w:val="11"/>
                <w:color w:val="auto"/>
              </w:rPr>
            </w:pPr>
          </w:p>
        </w:tc>
        <w:tc>
          <w:tcPr>
            <w:tcW w:w="80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3/29/2023</w:t>
            </w:r>
          </w:p>
        </w:tc>
        <w:tc>
          <w:tcPr>
            <w:tcW w:w="1040" w:type="dxa"/>
            <w:vAlign w:val="bottom"/>
            <w:gridSpan w:val="3"/>
          </w:tcPr>
          <w:p>
            <w:pPr>
              <w:jc w:val="right"/>
              <w:ind w:right="280"/>
              <w:spacing w:after="0" w:line="132" w:lineRule="exact"/>
              <w:rPr>
                <w:sz w:val="20"/>
                <w:szCs w:val="20"/>
                <w:color w:val="auto"/>
              </w:rPr>
            </w:pPr>
            <w:r>
              <w:rPr>
                <w:rFonts w:ascii="Times New Roman" w:cs="Times New Roman" w:eastAsia="Times New Roman" w:hAnsi="Times New Roman"/>
                <w:sz w:val="13"/>
                <w:szCs w:val="13"/>
                <w:color w:val="auto"/>
              </w:rPr>
              <w:t>3/29/2024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right"/>
              <w:ind w:right="112"/>
              <w:spacing w:after="0" w:line="132" w:lineRule="exact"/>
              <w:rPr>
                <w:sz w:val="20"/>
                <w:szCs w:val="20"/>
                <w:color w:val="auto"/>
              </w:rPr>
            </w:pPr>
            <w:r>
              <w:rPr>
                <w:rFonts w:ascii="Times New Roman" w:cs="Times New Roman" w:eastAsia="Times New Roman" w:hAnsi="Times New Roman"/>
                <w:sz w:val="13"/>
                <w:szCs w:val="13"/>
                <w:color w:val="auto"/>
              </w:rPr>
              <w:t>2,222,222</w:t>
            </w:r>
            <w:r>
              <w:rPr>
                <w:rFonts w:ascii="Times New Roman" w:cs="Times New Roman" w:eastAsia="Times New Roman" w:hAnsi="Times New Roman"/>
                <w:sz w:val="9"/>
                <w:szCs w:val="9"/>
                <w:color w:val="auto"/>
              </w:rPr>
              <w:t>(1)</w:t>
            </w:r>
          </w:p>
        </w:tc>
        <w:tc>
          <w:tcPr>
            <w:tcW w:w="7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1,088,889</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2/13/2024</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3/28/2025</w:t>
            </w:r>
            <w:r>
              <w:rPr>
                <w:rFonts w:ascii="Times New Roman" w:cs="Times New Roman" w:eastAsia="Times New Roman" w:hAnsi="Times New Roman"/>
                <w:sz w:val="9"/>
                <w:szCs w:val="9"/>
                <w:color w:val="auto"/>
              </w:rPr>
              <w:t>(2)</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3"/>
                <w:szCs w:val="13"/>
                <w:color w:val="auto"/>
              </w:rPr>
              <w:t>2,093,909</w:t>
            </w:r>
            <w:r>
              <w:rPr>
                <w:rFonts w:ascii="Times New Roman" w:cs="Times New Roman" w:eastAsia="Times New Roman" w:hAnsi="Times New Roman"/>
                <w:sz w:val="9"/>
                <w:szCs w:val="9"/>
                <w:color w:val="auto"/>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67310</wp:posOffset>
            </wp:positionV>
            <wp:extent cx="68453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14" w:lineRule="exact"/>
        <w:rPr>
          <w:sz w:val="20"/>
          <w:szCs w:val="20"/>
          <w:color w:val="auto"/>
        </w:rPr>
      </w:pPr>
    </w:p>
    <w:p>
      <w:pPr>
        <w:ind w:left="1120" w:right="340" w:hanging="382"/>
        <w:spacing w:after="0" w:line="238" w:lineRule="auto"/>
        <w:tabs>
          <w:tab w:leader="none" w:pos="11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Units that vest over 5 years, with 20% vesting on the 12-month anniversary of the vesting commencement date, which is the same as the grant date, and an additional 20% vesting every year thereafter. For Messrs. Boyle and Pigott, a portion of Time-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190</w:t>
      </w:r>
    </w:p>
    <w:p>
      <w:pPr>
        <w:sectPr>
          <w:pgSz w:w="11900" w:h="16838" w:orient="portrait"/>
          <w:cols w:equalWidth="0" w:num="1">
            <w:col w:w="10500"/>
          </w:cols>
          <w:pgMar w:left="320" w:top="421" w:right="10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2" w:lineRule="exact"/>
        <w:rPr>
          <w:sz w:val="20"/>
          <w:szCs w:val="20"/>
          <w:color w:val="auto"/>
        </w:rPr>
      </w:pPr>
    </w:p>
    <w:p>
      <w:pPr>
        <w:ind w:left="1120" w:right="20"/>
        <w:spacing w:after="0" w:line="214" w:lineRule="auto"/>
        <w:rPr>
          <w:sz w:val="20"/>
          <w:szCs w:val="20"/>
          <w:color w:val="auto"/>
        </w:rPr>
      </w:pPr>
      <w:r>
        <w:rPr>
          <w:rFonts w:ascii="Times New Roman" w:cs="Times New Roman" w:eastAsia="Times New Roman" w:hAnsi="Times New Roman"/>
          <w:sz w:val="13"/>
          <w:szCs w:val="13"/>
          <w:color w:val="auto"/>
        </w:rPr>
        <w:t>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by multiplying (x) 20% of the Time-Vested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Management Incentive Plan Awards, which awards are initially expressed as “dollars at work” and converted into a number of Time-Vested Units in the fiscal year following the service inception date based on Company and individual performance against the performance goals specified in the Management Incentive Plan. For additional details, see “—Compensation Elements—Long-Term Equity Incentive Compensation—2024 Management Incentive Plan” and footnote 3 to the Summary Compensation Table above.</w:t>
      </w:r>
    </w:p>
    <w:p>
      <w:pPr>
        <w:spacing w:after="0" w:line="1" w:lineRule="exact"/>
        <w:rPr>
          <w:sz w:val="20"/>
          <w:szCs w:val="20"/>
          <w:color w:val="auto"/>
        </w:rPr>
      </w:pPr>
    </w:p>
    <w:p>
      <w:pPr>
        <w:ind w:left="1120" w:right="60" w:hanging="382"/>
        <w:spacing w:after="0" w:line="229" w:lineRule="auto"/>
        <w:tabs>
          <w:tab w:leader="none" w:pos="1120"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2024 MIP Awards based on actual performance through December 31, 2024. The earned “dollars at work” for the 2024 MIP were converted into a number of Time-Based Units on March 28, 2025. Each Named Executive Officer received a grant of a number of Time-Based Units determined by dividing the “dollars at work” earned under the 2024 MIP Award by the threshold value on the grant date. The actual number of Time-Based Units granted to each Named Executive Officer is: Mr. Boyle - 2,581,441; Mr. Drazin - 2,208,122; Mr. Pigott - 2,581,441; Mr. Shryock - 571,066; Mr. Miller - 2,055,838; and Mr. Golwas - 2,093,909. The Time-Based Units granted on March 28, 2025 in respect of the 2024 MIP are intended to be “profits interests” for U.S. federal income tax purposes and therefore only have value if the equity value of our company increases above a specified threshold. No increase in equity value has occurred since the grant date and therefore the Time-Based Units granted in respect of the 2024 MIP have no value. For additional details, see “— Compensation Elements—Long-Term Equity Incentive Compensation—2024 Management Incentive Plan” and footnote 3 to the Summary Compensation Table above.</w:t>
      </w:r>
    </w:p>
    <w:p>
      <w:pPr>
        <w:jc w:val="both"/>
        <w:ind w:left="1120" w:hanging="382"/>
        <w:spacing w:after="0" w:line="211" w:lineRule="auto"/>
        <w:tabs>
          <w:tab w:leader="none" w:pos="11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1120" w:hanging="382"/>
        <w:spacing w:after="0" w:line="211" w:lineRule="auto"/>
        <w:tabs>
          <w:tab w:leader="none" w:pos="11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jc w:val="both"/>
        <w:ind w:left="1120" w:hanging="382"/>
        <w:spacing w:after="0" w:line="211" w:lineRule="auto"/>
        <w:tabs>
          <w:tab w:leader="none" w:pos="11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1120" w:right="420" w:hanging="382"/>
        <w:spacing w:after="0" w:line="227" w:lineRule="auto"/>
        <w:tabs>
          <w:tab w:leader="none" w:pos="11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Units that vest over 5 years, with 20% vesting on the 12-month anniversary of the vesting commencement date and an additional 20% vesting every year thereafter.</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Option Exercises and Stock Vested During the Fiscal Year 2024</w:t>
      </w:r>
    </w:p>
    <w:p>
      <w:pPr>
        <w:spacing w:after="0" w:line="105"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provides information regarding the amounts received by our Named Executive Officers upon exercise of options or similar instruments or the vesting of stock or similar instruments during the fiscal year ended December 31, 2024.</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4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220" w:type="dxa"/>
            <w:vAlign w:val="bottom"/>
          </w:tcPr>
          <w:p>
            <w:pPr>
              <w:spacing w:after="0"/>
              <w:rPr>
                <w:sz w:val="13"/>
                <w:szCs w:val="13"/>
                <w:color w:val="auto"/>
              </w:rPr>
            </w:pPr>
          </w:p>
        </w:tc>
        <w:tc>
          <w:tcPr>
            <w:tcW w:w="2040" w:type="dxa"/>
            <w:vAlign w:val="bottom"/>
            <w:tcBorders>
              <w:bottom w:val="single" w:sz="8" w:color="auto"/>
            </w:tcBorders>
            <w:gridSpan w:val="3"/>
          </w:tcPr>
          <w:p>
            <w:pPr>
              <w:jc w:val="right"/>
              <w:ind w:right="56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4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18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060" w:type="dxa"/>
            <w:vAlign w:val="bottom"/>
            <w:gridSpan w:val="2"/>
            <w:vMerge w:val="continue"/>
          </w:tcPr>
          <w:p>
            <w:pPr>
              <w:spacing w:after="0"/>
              <w:rPr>
                <w:sz w:val="11"/>
                <w:szCs w:val="11"/>
                <w:color w:val="auto"/>
              </w:rPr>
            </w:pPr>
          </w:p>
        </w:tc>
        <w:tc>
          <w:tcPr>
            <w:tcW w:w="11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1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8"/>
              </w:rPr>
              <w:t>Acquired on</w:t>
            </w:r>
          </w:p>
        </w:tc>
        <w:tc>
          <w:tcPr>
            <w:tcW w:w="94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b w:val="1"/>
                <w:bCs w:val="1"/>
                <w:color w:val="auto"/>
                <w:w w:val="95"/>
              </w:rPr>
              <w:t>Realized on</w:t>
            </w:r>
          </w:p>
        </w:tc>
        <w:tc>
          <w:tcPr>
            <w:tcW w:w="0" w:type="dxa"/>
            <w:vAlign w:val="bottom"/>
          </w:tcPr>
          <w:p>
            <w:pPr>
              <w:spacing w:after="0"/>
              <w:rPr>
                <w:sz w:val="1"/>
                <w:szCs w:val="1"/>
                <w:color w:val="auto"/>
              </w:rPr>
            </w:pPr>
          </w:p>
        </w:tc>
      </w:tr>
      <w:tr>
        <w:trPr>
          <w:trHeight w:val="132"/>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06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rPr>
              <w:t>on Exercise</w:t>
            </w:r>
          </w:p>
        </w:tc>
        <w:tc>
          <w:tcPr>
            <w:tcW w:w="11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94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0" w:type="dxa"/>
            <w:vAlign w:val="bottom"/>
          </w:tcPr>
          <w:p>
            <w:pPr>
              <w:spacing w:after="0"/>
              <w:rPr>
                <w:sz w:val="1"/>
                <w:szCs w:val="1"/>
                <w:color w:val="auto"/>
              </w:rPr>
            </w:pPr>
          </w:p>
        </w:tc>
      </w:tr>
      <w:tr>
        <w:trPr>
          <w:trHeight w:val="154"/>
        </w:trPr>
        <w:tc>
          <w:tcPr>
            <w:tcW w:w="4740" w:type="dxa"/>
            <w:vAlign w:val="bottom"/>
            <w:gridSpan w:val="2"/>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9"/>
                <w:szCs w:val="9"/>
                <w:b w:val="1"/>
                <w:bCs w:val="1"/>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Boyle</w:t>
            </w: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11,157,469</w:t>
            </w:r>
          </w:p>
        </w:tc>
        <w:tc>
          <w:tcPr>
            <w:tcW w:w="2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8,525,443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Michael B. Drazin</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7,042,137</w:t>
            </w:r>
          </w:p>
        </w:tc>
        <w:tc>
          <w:tcPr>
            <w:tcW w:w="24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5,676,042</w:t>
            </w:r>
          </w:p>
        </w:tc>
        <w:tc>
          <w:tcPr>
            <w:tcW w:w="0" w:type="dxa"/>
            <w:vAlign w:val="bottom"/>
          </w:tcPr>
          <w:p>
            <w:pPr>
              <w:spacing w:after="0"/>
              <w:rPr>
                <w:sz w:val="1"/>
                <w:szCs w:val="1"/>
                <w:color w:val="auto"/>
              </w:rPr>
            </w:pPr>
          </w:p>
        </w:tc>
      </w:tr>
      <w:tr>
        <w:trPr>
          <w:trHeight w:val="192"/>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M. Pigott</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9,311,315</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7,288,520</w:t>
            </w:r>
          </w:p>
        </w:tc>
        <w:tc>
          <w:tcPr>
            <w:tcW w:w="0" w:type="dxa"/>
            <w:vAlign w:val="bottom"/>
          </w:tcPr>
          <w:p>
            <w:pPr>
              <w:spacing w:after="0"/>
              <w:rPr>
                <w:sz w:val="1"/>
                <w:szCs w:val="1"/>
                <w:color w:val="auto"/>
              </w:rPr>
            </w:pPr>
          </w:p>
        </w:tc>
      </w:tr>
      <w:tr>
        <w:trPr>
          <w:trHeight w:val="192"/>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Christopher P. Shryock</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0" w:type="dxa"/>
            <w:vAlign w:val="bottom"/>
          </w:tcPr>
          <w:p>
            <w:pPr>
              <w:spacing w:after="0"/>
              <w:rPr>
                <w:sz w:val="1"/>
                <w:szCs w:val="1"/>
                <w:color w:val="auto"/>
              </w:rPr>
            </w:pPr>
          </w:p>
        </w:tc>
      </w:tr>
      <w:tr>
        <w:trPr>
          <w:trHeight w:val="192"/>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L. Miller</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2,300,000</w:t>
            </w:r>
          </w:p>
        </w:tc>
        <w:tc>
          <w:tcPr>
            <w:tcW w:w="2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1,579,000</w:t>
            </w:r>
          </w:p>
        </w:tc>
        <w:tc>
          <w:tcPr>
            <w:tcW w:w="0" w:type="dxa"/>
            <w:vAlign w:val="bottom"/>
          </w:tcPr>
          <w:p>
            <w:pPr>
              <w:spacing w:after="0"/>
              <w:rPr>
                <w:sz w:val="1"/>
                <w:szCs w:val="1"/>
                <w:color w:val="auto"/>
              </w:rPr>
            </w:pPr>
          </w:p>
        </w:tc>
      </w:tr>
      <w:tr>
        <w:trPr>
          <w:trHeight w:val="208"/>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Douglas P. Golwas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4,954,187</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3,975,517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65405</wp:posOffset>
            </wp:positionV>
            <wp:extent cx="68453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07" w:lineRule="exact"/>
        <w:rPr>
          <w:sz w:val="20"/>
          <w:szCs w:val="20"/>
          <w:color w:val="auto"/>
        </w:rPr>
      </w:pPr>
    </w:p>
    <w:p>
      <w:pPr>
        <w:ind w:left="1120" w:hanging="382"/>
        <w:spacing w:after="0"/>
        <w:tabs>
          <w:tab w:leader="none" w:pos="11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Time-Vested Units that vested during fiscal 2024.</w:t>
      </w:r>
    </w:p>
    <w:p>
      <w:pPr>
        <w:ind w:left="1120" w:right="100" w:hanging="382"/>
        <w:spacing w:after="0" w:line="227" w:lineRule="auto"/>
        <w:tabs>
          <w:tab w:leader="none" w:pos="11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191</w:t>
      </w:r>
    </w:p>
    <w:p>
      <w:pPr>
        <w:sectPr>
          <w:pgSz w:w="11900" w:h="16838" w:orient="portrait"/>
          <w:cols w:equalWidth="0" w:num="1">
            <w:col w:w="10480"/>
          </w:cols>
          <w:pgMar w:left="320" w:top="420" w:right="10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Potential Payments Upon Termination or Change in Control</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Severance Benefits Upon Termination</w:t>
      </w:r>
    </w:p>
    <w:p>
      <w:pPr>
        <w:spacing w:after="0" w:line="107" w:lineRule="exact"/>
        <w:rPr>
          <w:sz w:val="20"/>
          <w:szCs w:val="20"/>
          <w:color w:val="auto"/>
        </w:rPr>
      </w:pPr>
    </w:p>
    <w:p>
      <w:pPr>
        <w:ind w:left="740" w:right="40" w:firstLine="391"/>
        <w:spacing w:after="0" w:line="279" w:lineRule="auto"/>
        <w:rPr>
          <w:sz w:val="20"/>
          <w:szCs w:val="20"/>
          <w:color w:val="auto"/>
        </w:rPr>
      </w:pPr>
      <w:r>
        <w:rPr>
          <w:rFonts w:ascii="Times New Roman" w:cs="Times New Roman" w:eastAsia="Times New Roman" w:hAnsi="Times New Roman"/>
          <w:sz w:val="15"/>
          <w:szCs w:val="15"/>
          <w:color w:val="auto"/>
        </w:rPr>
        <w:t>Each of our Named Executive Officers other than Mr. Pigott is entitled to severance payments and benefits as set forth in the Severance Plan. The severance payments and benefits payable to Mr. Pigott in connection with his forthcoming departure are set forth in his transition agreement. These severance payments and benefits are summarized 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Accelerated Vesting of Equity Awards</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p>
    <w:p>
      <w:pPr>
        <w:spacing w:after="0" w:line="16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accordance with the Pigott transition agreement, in connection with Mr. Pigott’s termination by us without cause, provided Mr. Pigott executes and does not revoke a release of claims, a pro-rata portion of each award of Time-Vested Units granted to him that would vest on the next anniversary of the applicable vesting commencement date occurring after the termination date will become vested upon such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termination, and the denominator of which is 4. For the Time-Vested Units granted to Mr. Pigott in October 2021, in addition to the pro-rata portion of the Time-Based Units that vest, another 5% of the Time-Based Units will become vested upon termination.</w:t>
      </w:r>
    </w:p>
    <w:p>
      <w:pPr>
        <w:spacing w:after="0" w:line="164" w:lineRule="exact"/>
        <w:rPr>
          <w:sz w:val="20"/>
          <w:szCs w:val="20"/>
          <w:color w:val="auto"/>
        </w:rPr>
      </w:pPr>
    </w:p>
    <w:p>
      <w:pPr>
        <w:ind w:left="740" w:right="160" w:firstLine="391"/>
        <w:spacing w:after="0" w:line="260" w:lineRule="auto"/>
        <w:rPr>
          <w:sz w:val="20"/>
          <w:szCs w:val="20"/>
          <w:color w:val="auto"/>
        </w:rPr>
      </w:pPr>
      <w:r>
        <w:rPr>
          <w:rFonts w:ascii="Times New Roman" w:cs="Times New Roman" w:eastAsia="Times New Roman" w:hAnsi="Times New Roman"/>
          <w:sz w:val="16"/>
          <w:szCs w:val="16"/>
          <w:color w:val="auto"/>
        </w:rPr>
        <w:t>Upon any other termination with respect to Messrs. Boyle and Pigott, all unvested Time-Vested Units and unvested Performance-Vested Units will, in each case, terminate and be forfeited immediately for no consideration. Upon any termination with respect to Messrs. Drazin, Shryock, Miller, and Golwas, all unvested Time-Vested Units (and, for Mr. Miller, all unvested Performance-Vested Units) will terminate and be forfeited immediately for no consideration.</w:t>
      </w:r>
    </w:p>
    <w:p>
      <w:pPr>
        <w:spacing w:after="0" w:line="161" w:lineRule="exact"/>
        <w:rPr>
          <w:sz w:val="20"/>
          <w:szCs w:val="20"/>
          <w:color w:val="auto"/>
        </w:rPr>
      </w:pPr>
    </w:p>
    <w:p>
      <w:pPr>
        <w:ind w:left="740" w:right="60" w:firstLine="391"/>
        <w:spacing w:after="0" w:line="272" w:lineRule="auto"/>
        <w:rPr>
          <w:sz w:val="20"/>
          <w:szCs w:val="20"/>
          <w:color w:val="auto"/>
        </w:rPr>
      </w:pPr>
      <w:r>
        <w:rPr>
          <w:rFonts w:ascii="Times New Roman" w:cs="Times New Roman" w:eastAsia="Times New Roman" w:hAnsi="Times New Roman"/>
          <w:sz w:val="15"/>
          <w:szCs w:val="15"/>
          <w:color w:val="auto"/>
        </w:rPr>
        <w:t>In the event of a sale transaction (defined as described below), certain outstanding Time-Vested Unit awards held by certain of our Named Executive Officers will become fully vested. Specifically, all Class B Units granted to Messrs. Boyle, Drazin, Pigott, and Golwas in October 2021 will become fully vested upon a sale transaction occurring while the Named Executive Officer is employed. In addition, the Time-Vested Units granted to Messrs. Boyle and Pigott in October 2023 and the Time-Vested Units granted to Mr. Miller in connection with his Key Talent Award will become fully vested upon a sale transaction occurring while the Named Executive Officer is employed. For purposes of accelerated vesting of certain Time-Vested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 This offering does not constitute a sale transaction.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192</w:t>
      </w:r>
    </w:p>
    <w:p>
      <w:pPr>
        <w:sectPr>
          <w:pgSz w:w="11900" w:h="16838" w:orient="portrait"/>
          <w:cols w:equalWidth="0" w:num="1">
            <w:col w:w="10480"/>
          </w:cols>
          <w:pgMar w:left="320" w:top="420" w:right="10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Assuming a termination of employment effective as of December 31, 2024 (i) by us without cause, (ii) by the executive for good reason or</w:t>
      </w:r>
    </w:p>
    <w:p>
      <w:pPr>
        <w:spacing w:after="0" w:line="24" w:lineRule="exact"/>
        <w:rPr>
          <w:sz w:val="20"/>
          <w:szCs w:val="20"/>
          <w:color w:val="auto"/>
        </w:rPr>
      </w:pPr>
    </w:p>
    <w:p>
      <w:pPr>
        <w:ind w:left="740" w:right="40" w:hanging="2"/>
        <w:spacing w:after="0" w:line="254" w:lineRule="auto"/>
        <w:tabs>
          <w:tab w:leader="none" w:pos="1019"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executive’s death or disability, each of the specified Named Executive Officers would have received the severance payments and benefits set forth in the table below. In addition, assuming the occurrence of a sale transaction effective on December 31, 2024, each of the specified Named Executive Officers would have realized the value in respect of accelerated vesting of certain Time-Vested Units set forth in the table below.</w:t>
      </w:r>
    </w:p>
    <w:p>
      <w:pPr>
        <w:spacing w:after="0" w:line="101" w:lineRule="exact"/>
        <w:rPr>
          <w:sz w:val="20"/>
          <w:szCs w:val="20"/>
          <w:color w:val="auto"/>
        </w:rPr>
      </w:pPr>
    </w:p>
    <w:tbl>
      <w:tblPr>
        <w:tblLayout w:type="fixed"/>
        <w:tblInd w:w="740" w:type="dxa"/>
        <w:tblCellMar>
          <w:top w:w="0" w:type="dxa"/>
          <w:left w:w="0" w:type="dxa"/>
          <w:bottom w:w="0" w:type="dxa"/>
          <w:right w:w="0" w:type="dxa"/>
        </w:tblCellMar>
      </w:tblPr>
      <w:tr>
        <w:trPr>
          <w:trHeight w:val="138"/>
        </w:trPr>
        <w:tc>
          <w:tcPr>
            <w:tcW w:w="2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26"/>
              <w:spacing w:after="0"/>
              <w:rPr>
                <w:sz w:val="20"/>
                <w:szCs w:val="20"/>
                <w:color w:val="auto"/>
              </w:rPr>
            </w:pPr>
            <w:r>
              <w:rPr>
                <w:rFonts w:ascii="Times New Roman" w:cs="Times New Roman" w:eastAsia="Times New Roman" w:hAnsi="Times New Roman"/>
                <w:sz w:val="12"/>
                <w:szCs w:val="12"/>
                <w:b w:val="1"/>
                <w:bCs w:val="1"/>
                <w:color w:val="auto"/>
                <w:w w:val="95"/>
              </w:rPr>
              <w:t>Termination</w:t>
            </w: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426"/>
              <w:spacing w:after="0" w:line="132" w:lineRule="exact"/>
              <w:rPr>
                <w:sz w:val="20"/>
                <w:szCs w:val="20"/>
                <w:color w:val="auto"/>
              </w:rPr>
            </w:pPr>
            <w:r>
              <w:rPr>
                <w:rFonts w:ascii="Times New Roman" w:cs="Times New Roman" w:eastAsia="Times New Roman" w:hAnsi="Times New Roman"/>
                <w:sz w:val="12"/>
                <w:szCs w:val="12"/>
                <w:b w:val="1"/>
                <w:bCs w:val="1"/>
                <w:color w:val="auto"/>
              </w:rPr>
              <w:t>Without Cause</w:t>
            </w:r>
          </w:p>
        </w:tc>
        <w:tc>
          <w:tcPr>
            <w:tcW w:w="1220" w:type="dxa"/>
            <w:vAlign w:val="bottom"/>
            <w:gridSpan w:val="2"/>
          </w:tcPr>
          <w:p>
            <w:pPr>
              <w:jc w:val="center"/>
              <w:ind w:right="326"/>
              <w:spacing w:after="0" w:line="132" w:lineRule="exact"/>
              <w:rPr>
                <w:sz w:val="20"/>
                <w:szCs w:val="20"/>
                <w:color w:val="auto"/>
              </w:rPr>
            </w:pPr>
            <w:r>
              <w:rPr>
                <w:rFonts w:ascii="Times New Roman" w:cs="Times New Roman" w:eastAsia="Times New Roman" w:hAnsi="Times New Roman"/>
                <w:sz w:val="12"/>
                <w:szCs w:val="12"/>
                <w:b w:val="1"/>
                <w:bCs w:val="1"/>
                <w:color w:val="auto"/>
                <w:w w:val="98"/>
              </w:rPr>
              <w:t>Termination</w:t>
            </w:r>
          </w:p>
        </w:tc>
        <w:tc>
          <w:tcPr>
            <w:tcW w:w="110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8"/>
              </w:rPr>
              <w:t>Termination</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426"/>
              <w:spacing w:after="0" w:line="132" w:lineRule="exact"/>
              <w:rPr>
                <w:sz w:val="20"/>
                <w:szCs w:val="20"/>
                <w:color w:val="auto"/>
              </w:rPr>
            </w:pPr>
            <w:r>
              <w:rPr>
                <w:rFonts w:ascii="Times New Roman" w:cs="Times New Roman" w:eastAsia="Times New Roman" w:hAnsi="Times New Roman"/>
                <w:sz w:val="12"/>
                <w:szCs w:val="12"/>
                <w:b w:val="1"/>
                <w:bCs w:val="1"/>
                <w:color w:val="auto"/>
              </w:rPr>
              <w:t>or for Good</w:t>
            </w:r>
          </w:p>
        </w:tc>
        <w:tc>
          <w:tcPr>
            <w:tcW w:w="1220" w:type="dxa"/>
            <w:vAlign w:val="bottom"/>
            <w:gridSpan w:val="2"/>
          </w:tcPr>
          <w:p>
            <w:pPr>
              <w:jc w:val="center"/>
              <w:ind w:right="326"/>
              <w:spacing w:after="0" w:line="132" w:lineRule="exact"/>
              <w:rPr>
                <w:sz w:val="20"/>
                <w:szCs w:val="20"/>
                <w:color w:val="auto"/>
              </w:rPr>
            </w:pPr>
            <w:r>
              <w:rPr>
                <w:rFonts w:ascii="Times New Roman" w:cs="Times New Roman" w:eastAsia="Times New Roman" w:hAnsi="Times New Roman"/>
                <w:sz w:val="12"/>
                <w:szCs w:val="12"/>
                <w:b w:val="1"/>
                <w:bCs w:val="1"/>
                <w:color w:val="auto"/>
                <w:w w:val="98"/>
              </w:rPr>
              <w:t>Without Cause</w:t>
            </w:r>
          </w:p>
        </w:tc>
        <w:tc>
          <w:tcPr>
            <w:tcW w:w="110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4"/>
              </w:rPr>
              <w:t>Due to</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426"/>
              <w:spacing w:after="0" w:line="132" w:lineRule="exact"/>
              <w:rPr>
                <w:sz w:val="20"/>
                <w:szCs w:val="20"/>
                <w:color w:val="auto"/>
              </w:rPr>
            </w:pPr>
            <w:r>
              <w:rPr>
                <w:rFonts w:ascii="Times New Roman" w:cs="Times New Roman" w:eastAsia="Times New Roman" w:hAnsi="Times New Roman"/>
                <w:sz w:val="12"/>
                <w:szCs w:val="12"/>
                <w:b w:val="1"/>
                <w:bCs w:val="1"/>
                <w:color w:val="auto"/>
              </w:rPr>
              <w:t>Reason</w:t>
            </w:r>
          </w:p>
        </w:tc>
        <w:tc>
          <w:tcPr>
            <w:tcW w:w="1220" w:type="dxa"/>
            <w:vAlign w:val="bottom"/>
            <w:gridSpan w:val="2"/>
          </w:tcPr>
          <w:p>
            <w:pPr>
              <w:jc w:val="center"/>
              <w:ind w:right="326"/>
              <w:spacing w:after="0" w:line="132" w:lineRule="exact"/>
              <w:rPr>
                <w:sz w:val="20"/>
                <w:szCs w:val="20"/>
                <w:color w:val="auto"/>
              </w:rPr>
            </w:pPr>
            <w:r>
              <w:rPr>
                <w:rFonts w:ascii="Times New Roman" w:cs="Times New Roman" w:eastAsia="Times New Roman" w:hAnsi="Times New Roman"/>
                <w:sz w:val="12"/>
                <w:szCs w:val="12"/>
                <w:b w:val="1"/>
                <w:bCs w:val="1"/>
                <w:color w:val="auto"/>
                <w:w w:val="98"/>
              </w:rPr>
              <w:t>or for Good</w:t>
            </w:r>
          </w:p>
        </w:tc>
        <w:tc>
          <w:tcPr>
            <w:tcW w:w="110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Death or</w:t>
            </w:r>
          </w:p>
        </w:tc>
        <w:tc>
          <w:tcPr>
            <w:tcW w:w="10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3"/>
              </w:rPr>
              <w:t>Sale</w:t>
            </w:r>
          </w:p>
        </w:tc>
        <w:tc>
          <w:tcPr>
            <w:tcW w:w="0" w:type="dxa"/>
            <w:vAlign w:val="bottom"/>
          </w:tcPr>
          <w:p>
            <w:pPr>
              <w:spacing w:after="0"/>
              <w:rPr>
                <w:sz w:val="1"/>
                <w:szCs w:val="1"/>
                <w:color w:val="auto"/>
              </w:rPr>
            </w:pPr>
          </w:p>
        </w:tc>
      </w:tr>
      <w:tr>
        <w:trPr>
          <w:trHeight w:val="132"/>
        </w:trPr>
        <w:tc>
          <w:tcPr>
            <w:tcW w:w="22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80" w:type="dxa"/>
            <w:vAlign w:val="bottom"/>
          </w:tcPr>
          <w:p>
            <w:pPr>
              <w:spacing w:after="0"/>
              <w:rPr>
                <w:sz w:val="11"/>
                <w:szCs w:val="11"/>
                <w:color w:val="auto"/>
              </w:rPr>
            </w:pPr>
          </w:p>
        </w:tc>
        <w:tc>
          <w:tcPr>
            <w:tcW w:w="2540" w:type="dxa"/>
            <w:vAlign w:val="bottom"/>
            <w:vMerge w:val="restart"/>
          </w:tcPr>
          <w:p>
            <w:pPr>
              <w:ind w:left="920"/>
              <w:spacing w:after="0"/>
              <w:rPr>
                <w:sz w:val="20"/>
                <w:szCs w:val="20"/>
                <w:color w:val="auto"/>
              </w:rPr>
            </w:pPr>
            <w:r>
              <w:rPr>
                <w:rFonts w:ascii="Times New Roman" w:cs="Times New Roman" w:eastAsia="Times New Roman" w:hAnsi="Times New Roman"/>
                <w:sz w:val="12"/>
                <w:szCs w:val="12"/>
                <w:b w:val="1"/>
                <w:bCs w:val="1"/>
                <w:color w:val="auto"/>
              </w:rPr>
              <w:t>Payment Type</w:t>
            </w:r>
          </w:p>
        </w:tc>
        <w:tc>
          <w:tcPr>
            <w:tcW w:w="100" w:type="dxa"/>
            <w:vAlign w:val="bottom"/>
          </w:tcPr>
          <w:p>
            <w:pPr>
              <w:spacing w:after="0"/>
              <w:rPr>
                <w:sz w:val="11"/>
                <w:szCs w:val="11"/>
                <w:color w:val="auto"/>
              </w:rPr>
            </w:pPr>
          </w:p>
        </w:tc>
        <w:tc>
          <w:tcPr>
            <w:tcW w:w="1340" w:type="dxa"/>
            <w:vAlign w:val="bottom"/>
            <w:gridSpan w:val="2"/>
          </w:tcPr>
          <w:p>
            <w:pPr>
              <w:jc w:val="center"/>
              <w:ind w:right="426"/>
              <w:spacing w:after="0" w:line="132" w:lineRule="exact"/>
              <w:rPr>
                <w:sz w:val="20"/>
                <w:szCs w:val="20"/>
                <w:color w:val="auto"/>
              </w:rPr>
            </w:pPr>
            <w:r>
              <w:rPr>
                <w:rFonts w:ascii="Times New Roman" w:cs="Times New Roman" w:eastAsia="Times New Roman" w:hAnsi="Times New Roman"/>
                <w:sz w:val="12"/>
                <w:szCs w:val="12"/>
                <w:b w:val="1"/>
                <w:bCs w:val="1"/>
                <w:color w:val="auto"/>
              </w:rPr>
              <w:t>–Non-CIC</w:t>
            </w:r>
          </w:p>
        </w:tc>
        <w:tc>
          <w:tcPr>
            <w:tcW w:w="1220" w:type="dxa"/>
            <w:vAlign w:val="bottom"/>
            <w:gridSpan w:val="2"/>
          </w:tcPr>
          <w:p>
            <w:pPr>
              <w:jc w:val="center"/>
              <w:ind w:right="326"/>
              <w:spacing w:after="0" w:line="132" w:lineRule="exact"/>
              <w:rPr>
                <w:sz w:val="20"/>
                <w:szCs w:val="20"/>
                <w:color w:val="auto"/>
              </w:rPr>
            </w:pPr>
            <w:r>
              <w:rPr>
                <w:rFonts w:ascii="Times New Roman" w:cs="Times New Roman" w:eastAsia="Times New Roman" w:hAnsi="Times New Roman"/>
                <w:sz w:val="12"/>
                <w:szCs w:val="12"/>
                <w:b w:val="1"/>
                <w:bCs w:val="1"/>
                <w:color w:val="auto"/>
              </w:rPr>
              <w:t>Reason – CIC</w:t>
            </w:r>
          </w:p>
        </w:tc>
        <w:tc>
          <w:tcPr>
            <w:tcW w:w="1100" w:type="dxa"/>
            <w:vAlign w:val="bottom"/>
            <w:gridSpan w:val="2"/>
          </w:tcPr>
          <w:p>
            <w:pPr>
              <w:jc w:val="center"/>
              <w:ind w:right="380"/>
              <w:spacing w:after="0" w:line="132" w:lineRule="exact"/>
              <w:rPr>
                <w:sz w:val="20"/>
                <w:szCs w:val="20"/>
                <w:color w:val="auto"/>
              </w:rPr>
            </w:pPr>
            <w:r>
              <w:rPr>
                <w:rFonts w:ascii="Times New Roman" w:cs="Times New Roman" w:eastAsia="Times New Roman" w:hAnsi="Times New Roman"/>
                <w:sz w:val="12"/>
                <w:szCs w:val="12"/>
                <w:b w:val="1"/>
                <w:bCs w:val="1"/>
                <w:color w:val="auto"/>
                <w:w w:val="97"/>
              </w:rPr>
              <w:t>Disability</w:t>
            </w:r>
          </w:p>
        </w:tc>
        <w:tc>
          <w:tcPr>
            <w:tcW w:w="104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2"/>
                <w:szCs w:val="12"/>
                <w:b w:val="1"/>
                <w:bCs w:val="1"/>
                <w:color w:val="auto"/>
                <w:w w:val="96"/>
              </w:rPr>
              <w:t>Transaction</w:t>
            </w:r>
          </w:p>
        </w:tc>
        <w:tc>
          <w:tcPr>
            <w:tcW w:w="0" w:type="dxa"/>
            <w:vAlign w:val="bottom"/>
          </w:tcPr>
          <w:p>
            <w:pPr>
              <w:spacing w:after="0"/>
              <w:rPr>
                <w:sz w:val="1"/>
                <w:szCs w:val="1"/>
                <w:color w:val="auto"/>
              </w:rPr>
            </w:pPr>
          </w:p>
        </w:tc>
      </w:tr>
      <w:tr>
        <w:trPr>
          <w:trHeight w:val="147"/>
        </w:trPr>
        <w:tc>
          <w:tcPr>
            <w:tcW w:w="22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vMerge w:val="continue"/>
          </w:tcPr>
          <w:p>
            <w:pPr>
              <w:spacing w:after="0"/>
              <w:rPr>
                <w:sz w:val="12"/>
                <w:szCs w:val="12"/>
                <w:color w:val="auto"/>
              </w:rPr>
            </w:pPr>
          </w:p>
        </w:tc>
        <w:tc>
          <w:tcPr>
            <w:tcW w:w="960" w:type="dxa"/>
            <w:vAlign w:val="bottom"/>
            <w:gridSpan w:val="2"/>
          </w:tcPr>
          <w:p>
            <w:pPr>
              <w:jc w:val="center"/>
              <w:ind w:left="3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48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James M. Boyle</w:t>
            </w:r>
          </w:p>
        </w:tc>
        <w:tc>
          <w:tcPr>
            <w:tcW w:w="180" w:type="dxa"/>
            <w:vAlign w:val="bottom"/>
            <w:tcBorders>
              <w:top w:val="single" w:sz="8" w:color="CCEEFF"/>
            </w:tcBorders>
            <w:shd w:val="clear" w:color="auto" w:fill="CCEEFF"/>
          </w:tcPr>
          <w:p>
            <w:pPr>
              <w:spacing w:after="0"/>
              <w:rPr>
                <w:sz w:val="13"/>
                <w:szCs w:val="13"/>
                <w:color w:val="auto"/>
              </w:rPr>
            </w:pPr>
          </w:p>
        </w:tc>
        <w:tc>
          <w:tcPr>
            <w:tcW w:w="254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5,000,000</w:t>
            </w:r>
          </w:p>
        </w:tc>
        <w:tc>
          <w:tcPr>
            <w:tcW w:w="480" w:type="dxa"/>
            <w:vAlign w:val="bottom"/>
            <w:tcBorders>
              <w:top w:val="single" w:sz="8" w:color="CCEEFF"/>
            </w:tcBorders>
            <w:shd w:val="clear" w:color="auto" w:fill="CCEEFF"/>
          </w:tcPr>
          <w:p>
            <w:pPr>
              <w:jc w:val="right"/>
              <w:ind w:right="306"/>
              <w:spacing w:after="0" w:line="120" w:lineRule="exact"/>
              <w:rPr>
                <w:sz w:val="20"/>
                <w:szCs w:val="20"/>
                <w:color w:val="auto"/>
              </w:rPr>
            </w:pPr>
            <w:r>
              <w:rPr>
                <w:rFonts w:ascii="Times New Roman" w:cs="Times New Roman" w:eastAsia="Times New Roman" w:hAnsi="Times New Roman"/>
                <w:sz w:val="11"/>
                <w:szCs w:val="11"/>
                <w:color w:val="auto"/>
                <w:w w:val="77"/>
              </w:rPr>
              <w:t>(1)</w:t>
            </w:r>
          </w:p>
        </w:tc>
        <w:tc>
          <w:tcPr>
            <w:tcW w:w="8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7,500,000</w:t>
            </w:r>
          </w:p>
        </w:tc>
        <w:tc>
          <w:tcPr>
            <w:tcW w:w="380" w:type="dxa"/>
            <w:vAlign w:val="bottom"/>
            <w:tcBorders>
              <w:top w:val="single" w:sz="8" w:color="CCEEFF"/>
            </w:tcBorders>
            <w:shd w:val="clear" w:color="auto" w:fill="CCEEFF"/>
          </w:tcPr>
          <w:p>
            <w:pPr>
              <w:jc w:val="right"/>
              <w:ind w:right="206"/>
              <w:spacing w:after="0" w:line="120" w:lineRule="exact"/>
              <w:rPr>
                <w:sz w:val="20"/>
                <w:szCs w:val="20"/>
                <w:color w:val="auto"/>
              </w:rPr>
            </w:pPr>
            <w:r>
              <w:rPr>
                <w:rFonts w:ascii="Times New Roman" w:cs="Times New Roman" w:eastAsia="Times New Roman" w:hAnsi="Times New Roman"/>
                <w:sz w:val="11"/>
                <w:szCs w:val="11"/>
                <w:color w:val="auto"/>
                <w:w w:val="77"/>
              </w:rPr>
              <w:t>(8)</w:t>
            </w:r>
          </w:p>
        </w:tc>
        <w:tc>
          <w:tcPr>
            <w:tcW w:w="7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20"/>
                <w:szCs w:val="20"/>
                <w:color w:val="auto"/>
                <w:vertAlign w:val="superscript"/>
              </w:rPr>
              <w:t>(2)</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20"/>
                <w:szCs w:val="20"/>
                <w:color w:val="auto"/>
                <w:vertAlign w:val="superscript"/>
              </w:rPr>
              <w:t>(2)</w:t>
            </w:r>
          </w:p>
        </w:tc>
        <w:tc>
          <w:tcPr>
            <w:tcW w:w="1100" w:type="dxa"/>
            <w:vAlign w:val="bottom"/>
            <w:gridSpan w:val="2"/>
            <w:shd w:val="clear" w:color="auto" w:fill="CCEEFF"/>
          </w:tcPr>
          <w:p>
            <w:pPr>
              <w:jc w:val="right"/>
              <w:ind w:right="260"/>
              <w:spacing w:after="0" w:line="180" w:lineRule="exact"/>
              <w:rPr>
                <w:sz w:val="20"/>
                <w:szCs w:val="20"/>
                <w:color w:val="auto"/>
              </w:rPr>
            </w:pPr>
            <w:r>
              <w:rPr>
                <w:rFonts w:ascii="Times New Roman" w:cs="Times New Roman" w:eastAsia="Times New Roman" w:hAnsi="Times New Roman"/>
                <w:sz w:val="14"/>
                <w:szCs w:val="14"/>
                <w:color w:val="auto"/>
              </w:rPr>
              <w:t>1,250,000</w:t>
            </w:r>
            <w:r>
              <w:rPr>
                <w:rFonts w:ascii="Times New Roman" w:cs="Times New Roman" w:eastAsia="Times New Roman" w:hAnsi="Times New Roman"/>
                <w:sz w:val="20"/>
                <w:szCs w:val="20"/>
                <w:color w:val="auto"/>
                <w:vertAlign w:val="superscript"/>
              </w:rPr>
              <w:t>(2)</w:t>
            </w: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39,549</w:t>
            </w:r>
            <w:r>
              <w:rPr>
                <w:rFonts w:ascii="Times New Roman" w:cs="Times New Roman" w:eastAsia="Times New Roman" w:hAnsi="Times New Roman"/>
                <w:sz w:val="20"/>
                <w:szCs w:val="20"/>
                <w:color w:val="auto"/>
                <w:vertAlign w:val="superscript"/>
              </w:rPr>
              <w:t>(3)</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(9)</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0</w:t>
            </w: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Outplacement benefits</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6"/>
              <w:spacing w:after="0" w:line="192" w:lineRule="exact"/>
              <w:rPr>
                <w:sz w:val="20"/>
                <w:szCs w:val="20"/>
                <w:color w:val="auto"/>
              </w:rPr>
            </w:pPr>
            <w:r>
              <w:rPr>
                <w:rFonts w:ascii="Times New Roman" w:cs="Times New Roman" w:eastAsia="Times New Roman" w:hAnsi="Times New Roman"/>
                <w:sz w:val="14"/>
                <w:szCs w:val="14"/>
                <w:color w:val="auto"/>
              </w:rPr>
              <w:t>2,899,805</w:t>
            </w:r>
            <w:r>
              <w:rPr>
                <w:rFonts w:ascii="Times New Roman" w:cs="Times New Roman" w:eastAsia="Times New Roman" w:hAnsi="Times New Roman"/>
                <w:sz w:val="21"/>
                <w:szCs w:val="21"/>
                <w:color w:val="auto"/>
                <w:vertAlign w:val="superscript"/>
              </w:rPr>
              <w:t>(5)</w:t>
            </w:r>
          </w:p>
        </w:tc>
        <w:tc>
          <w:tcPr>
            <w:tcW w:w="1220" w:type="dxa"/>
            <w:vAlign w:val="bottom"/>
            <w:gridSpan w:val="2"/>
            <w:shd w:val="clear" w:color="auto" w:fill="CCEEFF"/>
          </w:tcPr>
          <w:p>
            <w:pPr>
              <w:jc w:val="right"/>
              <w:ind w:right="206"/>
              <w:spacing w:after="0" w:line="192" w:lineRule="exact"/>
              <w:rPr>
                <w:sz w:val="20"/>
                <w:szCs w:val="20"/>
                <w:color w:val="auto"/>
              </w:rPr>
            </w:pPr>
            <w:r>
              <w:rPr>
                <w:rFonts w:ascii="Times New Roman" w:cs="Times New Roman" w:eastAsia="Times New Roman" w:hAnsi="Times New Roman"/>
                <w:sz w:val="14"/>
                <w:szCs w:val="14"/>
                <w:color w:val="auto"/>
              </w:rPr>
              <w:t>2,899,805</w:t>
            </w:r>
            <w:r>
              <w:rPr>
                <w:rFonts w:ascii="Times New Roman" w:cs="Times New Roman" w:eastAsia="Times New Roman" w:hAnsi="Times New Roman"/>
                <w:sz w:val="21"/>
                <w:szCs w:val="21"/>
                <w:color w:val="auto"/>
                <w:vertAlign w:val="superscript"/>
              </w:rPr>
              <w:t>(5)</w:t>
            </w:r>
          </w:p>
        </w:tc>
        <w:tc>
          <w:tcPr>
            <w:tcW w:w="1100" w:type="dxa"/>
            <w:vAlign w:val="bottom"/>
            <w:gridSpan w:val="2"/>
            <w:shd w:val="clear" w:color="auto" w:fill="CCEEFF"/>
          </w:tcPr>
          <w:p>
            <w:pPr>
              <w:jc w:val="right"/>
              <w:ind w:right="260"/>
              <w:spacing w:after="0" w:line="192" w:lineRule="exact"/>
              <w:rPr>
                <w:sz w:val="20"/>
                <w:szCs w:val="20"/>
                <w:color w:val="auto"/>
              </w:rPr>
            </w:pPr>
            <w:r>
              <w:rPr>
                <w:rFonts w:ascii="Times New Roman" w:cs="Times New Roman" w:eastAsia="Times New Roman" w:hAnsi="Times New Roman"/>
                <w:sz w:val="14"/>
                <w:szCs w:val="14"/>
                <w:color w:val="auto"/>
              </w:rPr>
              <w:t>2,899,805</w:t>
            </w:r>
            <w:r>
              <w:rPr>
                <w:rFonts w:ascii="Times New Roman" w:cs="Times New Roman" w:eastAsia="Times New Roman" w:hAnsi="Times New Roman"/>
                <w:sz w:val="21"/>
                <w:szCs w:val="21"/>
                <w:color w:val="auto"/>
                <w:vertAlign w:val="superscript"/>
              </w:rPr>
              <w:t>(5)</w:t>
            </w:r>
          </w:p>
        </w:tc>
        <w:tc>
          <w:tcPr>
            <w:tcW w:w="104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4"/>
                <w:szCs w:val="14"/>
                <w:color w:val="auto"/>
              </w:rPr>
              <w:t>20,362,517</w:t>
            </w:r>
            <w:r>
              <w:rPr>
                <w:rFonts w:ascii="Times New Roman" w:cs="Times New Roman" w:eastAsia="Times New Roman" w:hAnsi="Times New Roman"/>
                <w:sz w:val="21"/>
                <w:szCs w:val="21"/>
                <w:color w:val="auto"/>
                <w:vertAlign w:val="superscript"/>
              </w:rPr>
              <w:t>(6)</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9,249,354</w:t>
            </w:r>
          </w:p>
        </w:tc>
        <w:tc>
          <w:tcPr>
            <w:tcW w:w="4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4"/>
                <w:szCs w:val="14"/>
                <w:b w:val="1"/>
                <w:bCs w:val="1"/>
                <w:color w:val="auto"/>
              </w:rPr>
              <w:t>11,755,004</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4,149,805</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20,362,517</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Michael B. Drazin</w:t>
            </w:r>
          </w:p>
        </w:tc>
        <w:tc>
          <w:tcPr>
            <w:tcW w:w="18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spacing w:after="0"/>
              <w:rPr>
                <w:sz w:val="14"/>
                <w:szCs w:val="14"/>
                <w:color w:val="auto"/>
              </w:rPr>
            </w:pPr>
          </w:p>
        </w:tc>
        <w:tc>
          <w:tcPr>
            <w:tcW w:w="1340" w:type="dxa"/>
            <w:vAlign w:val="bottom"/>
            <w:gridSpan w:val="2"/>
          </w:tcPr>
          <w:p>
            <w:pPr>
              <w:jc w:val="right"/>
              <w:ind w:right="306"/>
              <w:spacing w:after="0" w:line="167" w:lineRule="exact"/>
              <w:rPr>
                <w:sz w:val="20"/>
                <w:szCs w:val="20"/>
                <w:color w:val="auto"/>
              </w:rPr>
            </w:pPr>
            <w:r>
              <w:rPr>
                <w:rFonts w:ascii="Times New Roman" w:cs="Times New Roman" w:eastAsia="Times New Roman" w:hAnsi="Times New Roman"/>
                <w:sz w:val="13"/>
                <w:szCs w:val="13"/>
                <w:color w:val="auto"/>
              </w:rPr>
              <w:t>2,247,750</w:t>
            </w:r>
            <w:r>
              <w:rPr>
                <w:rFonts w:ascii="Times New Roman" w:cs="Times New Roman" w:eastAsia="Times New Roman" w:hAnsi="Times New Roman"/>
                <w:sz w:val="19"/>
                <w:szCs w:val="19"/>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2,997,000</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688,500</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688,500</w:t>
            </w:r>
            <w:r>
              <w:rPr>
                <w:rFonts w:ascii="Times New Roman" w:cs="Times New Roman" w:eastAsia="Times New Roman" w:hAnsi="Times New Roman"/>
                <w:sz w:val="20"/>
                <w:szCs w:val="20"/>
                <w:color w:val="auto"/>
                <w:vertAlign w:val="superscript"/>
              </w:rPr>
              <w:t>(2)</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33,899</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(9)</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Outplacement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4"/>
                <w:szCs w:val="14"/>
                <w:color w:val="auto"/>
              </w:rPr>
              <w:t>10,533,650</w:t>
            </w:r>
            <w:r>
              <w:rPr>
                <w:rFonts w:ascii="Times New Roman" w:cs="Times New Roman" w:eastAsia="Times New Roman" w:hAnsi="Times New Roman"/>
                <w:sz w:val="20"/>
                <w:szCs w:val="20"/>
                <w:color w:val="auto"/>
                <w:vertAlign w:val="superscript"/>
              </w:rPr>
              <w:t>(6)</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3,030,149</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3,790,699</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10,533,650</w:t>
            </w:r>
          </w:p>
        </w:tc>
        <w:tc>
          <w:tcPr>
            <w:tcW w:w="0" w:type="dxa"/>
            <w:vAlign w:val="bottom"/>
          </w:tcPr>
          <w:p>
            <w:pPr>
              <w:spacing w:after="0"/>
              <w:rPr>
                <w:sz w:val="1"/>
                <w:szCs w:val="1"/>
                <w:color w:val="auto"/>
              </w:rPr>
            </w:pPr>
          </w:p>
        </w:tc>
      </w:tr>
      <w:tr>
        <w:trPr>
          <w:trHeight w:val="17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M. Pigott</w:t>
            </w: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4"/>
                <w:szCs w:val="14"/>
                <w:color w:val="auto"/>
              </w:rPr>
              <w:t>Cash severance</w:t>
            </w:r>
            <w:r>
              <w:rPr>
                <w:rFonts w:ascii="Times New Roman" w:cs="Times New Roman" w:eastAsia="Times New Roman" w:hAnsi="Times New Roman"/>
                <w:sz w:val="20"/>
                <w:szCs w:val="20"/>
                <w:color w:val="auto"/>
                <w:vertAlign w:val="superscript"/>
              </w:rPr>
              <w:t>(1)</w:t>
            </w:r>
          </w:p>
        </w:tc>
        <w:tc>
          <w:tcPr>
            <w:tcW w:w="1440" w:type="dxa"/>
            <w:vAlign w:val="bottom"/>
            <w:gridSpan w:val="3"/>
            <w:shd w:val="clear" w:color="auto" w:fill="CCEEFF"/>
          </w:tcPr>
          <w:p>
            <w:pPr>
              <w:jc w:val="right"/>
              <w:ind w:right="306"/>
              <w:spacing w:after="0" w:line="173" w:lineRule="exact"/>
              <w:rPr>
                <w:sz w:val="20"/>
                <w:szCs w:val="20"/>
                <w:color w:val="auto"/>
              </w:rPr>
            </w:pPr>
            <w:r>
              <w:rPr>
                <w:rFonts w:ascii="Times New Roman" w:cs="Times New Roman" w:eastAsia="Times New Roman" w:hAnsi="Times New Roman"/>
                <w:sz w:val="14"/>
                <w:szCs w:val="14"/>
                <w:color w:val="auto"/>
              </w:rPr>
              <w:t>5,225,000</w:t>
            </w:r>
            <w:r>
              <w:rPr>
                <w:rFonts w:ascii="Times New Roman" w:cs="Times New Roman" w:eastAsia="Times New Roman" w:hAnsi="Times New Roman"/>
                <w:sz w:val="20"/>
                <w:szCs w:val="20"/>
                <w:color w:val="auto"/>
                <w:vertAlign w:val="superscript"/>
              </w:rPr>
              <w:t>(7)</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1,100,000</w:t>
            </w:r>
            <w:r>
              <w:rPr>
                <w:rFonts w:ascii="Times New Roman" w:cs="Times New Roman" w:eastAsia="Times New Roman" w:hAnsi="Times New Roman"/>
                <w:sz w:val="20"/>
                <w:szCs w:val="20"/>
                <w:color w:val="auto"/>
                <w:vertAlign w:val="superscript"/>
              </w:rPr>
              <w:t>(2)</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(3)</w:t>
            </w: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06"/>
              <w:spacing w:after="0" w:line="192" w:lineRule="exact"/>
              <w:rPr>
                <w:sz w:val="20"/>
                <w:szCs w:val="20"/>
                <w:color w:val="auto"/>
              </w:rPr>
            </w:pPr>
            <w:r>
              <w:rPr>
                <w:rFonts w:ascii="Times New Roman" w:cs="Times New Roman" w:eastAsia="Times New Roman" w:hAnsi="Times New Roman"/>
                <w:sz w:val="14"/>
                <w:szCs w:val="14"/>
                <w:color w:val="auto"/>
              </w:rPr>
              <w:t>2,590,575</w:t>
            </w:r>
            <w:r>
              <w:rPr>
                <w:rFonts w:ascii="Times New Roman" w:cs="Times New Roman" w:eastAsia="Times New Roman" w:hAnsi="Times New Roman"/>
                <w:sz w:val="21"/>
                <w:szCs w:val="21"/>
                <w:color w:val="auto"/>
                <w:vertAlign w:val="superscript"/>
              </w:rPr>
              <w:t>(5)</w:t>
            </w: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14"/>
                <w:szCs w:val="14"/>
                <w:color w:val="auto"/>
              </w:rPr>
              <w:t>15,414,825</w:t>
            </w:r>
            <w:r>
              <w:rPr>
                <w:rFonts w:ascii="Times New Roman" w:cs="Times New Roman" w:eastAsia="Times New Roman" w:hAnsi="Times New Roman"/>
                <w:sz w:val="21"/>
                <w:szCs w:val="21"/>
                <w:color w:val="auto"/>
                <w:vertAlign w:val="superscript"/>
              </w:rPr>
              <w:t>(6)</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8,960,774</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15,414,825</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Christopher P. Shryock</w:t>
            </w:r>
          </w:p>
        </w:tc>
        <w:tc>
          <w:tcPr>
            <w:tcW w:w="18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spacing w:after="0"/>
              <w:rPr>
                <w:sz w:val="14"/>
                <w:szCs w:val="14"/>
                <w:color w:val="auto"/>
              </w:rPr>
            </w:pPr>
          </w:p>
        </w:tc>
        <w:tc>
          <w:tcPr>
            <w:tcW w:w="1340" w:type="dxa"/>
            <w:vAlign w:val="bottom"/>
            <w:gridSpan w:val="2"/>
          </w:tcPr>
          <w:p>
            <w:pPr>
              <w:jc w:val="right"/>
              <w:ind w:right="306"/>
              <w:spacing w:after="0" w:line="167" w:lineRule="exact"/>
              <w:rPr>
                <w:sz w:val="20"/>
                <w:szCs w:val="20"/>
                <w:color w:val="auto"/>
              </w:rPr>
            </w:pPr>
            <w:r>
              <w:rPr>
                <w:rFonts w:ascii="Times New Roman" w:cs="Times New Roman" w:eastAsia="Times New Roman" w:hAnsi="Times New Roman"/>
                <w:sz w:val="13"/>
                <w:szCs w:val="13"/>
                <w:color w:val="auto"/>
              </w:rPr>
              <w:t>1,720,875</w:t>
            </w:r>
            <w:r>
              <w:rPr>
                <w:rFonts w:ascii="Times New Roman" w:cs="Times New Roman" w:eastAsia="Times New Roman" w:hAnsi="Times New Roman"/>
                <w:sz w:val="19"/>
                <w:szCs w:val="19"/>
                <w:color w:val="auto"/>
                <w:vertAlign w:val="superscript"/>
              </w:rPr>
              <w:t>(1)</w:t>
            </w:r>
          </w:p>
        </w:tc>
        <w:tc>
          <w:tcPr>
            <w:tcW w:w="1220" w:type="dxa"/>
            <w:vAlign w:val="bottom"/>
            <w:gridSpan w:val="2"/>
          </w:tcPr>
          <w:p>
            <w:pPr>
              <w:jc w:val="right"/>
              <w:ind w:right="206"/>
              <w:spacing w:after="0" w:line="167" w:lineRule="exact"/>
              <w:rPr>
                <w:sz w:val="20"/>
                <w:szCs w:val="20"/>
                <w:color w:val="auto"/>
              </w:rPr>
            </w:pPr>
            <w:r>
              <w:rPr>
                <w:rFonts w:ascii="Times New Roman" w:cs="Times New Roman" w:eastAsia="Times New Roman" w:hAnsi="Times New Roman"/>
                <w:sz w:val="13"/>
                <w:szCs w:val="13"/>
                <w:color w:val="auto"/>
              </w:rPr>
              <w:t>2,294,500</w:t>
            </w:r>
            <w:r>
              <w:rPr>
                <w:rFonts w:ascii="Times New Roman" w:cs="Times New Roman" w:eastAsia="Times New Roman" w:hAnsi="Times New Roman"/>
                <w:sz w:val="19"/>
                <w:szCs w:val="19"/>
                <w:color w:val="auto"/>
                <w:vertAlign w:val="superscript"/>
              </w:rPr>
              <w:t>(8)</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497,250</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497,250</w:t>
            </w:r>
            <w:r>
              <w:rPr>
                <w:rFonts w:ascii="Times New Roman" w:cs="Times New Roman" w:eastAsia="Times New Roman" w:hAnsi="Times New Roman"/>
                <w:sz w:val="20"/>
                <w:szCs w:val="20"/>
                <w:color w:val="auto"/>
                <w:vertAlign w:val="superscript"/>
              </w:rPr>
              <w:t>(2)</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33,899</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(9)</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Outplacement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tcPr>
          <w:p>
            <w:pPr>
              <w:spacing w:after="0"/>
              <w:rPr>
                <w:sz w:val="15"/>
                <w:szCs w:val="15"/>
                <w:color w:val="auto"/>
              </w:rPr>
            </w:pPr>
          </w:p>
        </w:tc>
        <w:tc>
          <w:tcPr>
            <w:tcW w:w="1340" w:type="dxa"/>
            <w:vAlign w:val="bottom"/>
            <w:gridSpan w:val="2"/>
          </w:tcPr>
          <w:p>
            <w:pPr>
              <w:jc w:val="right"/>
              <w:ind w:right="426"/>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32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2,312,024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2,896,949</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3"/>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Stephen L. Miller</w:t>
            </w: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1440" w:type="dxa"/>
            <w:vAlign w:val="bottom"/>
            <w:gridSpan w:val="3"/>
            <w:shd w:val="clear" w:color="auto" w:fill="CCEEFF"/>
          </w:tcPr>
          <w:p>
            <w:pPr>
              <w:jc w:val="right"/>
              <w:ind w:right="306"/>
              <w:spacing w:after="0" w:line="173" w:lineRule="exact"/>
              <w:rPr>
                <w:sz w:val="20"/>
                <w:szCs w:val="20"/>
                <w:color w:val="auto"/>
              </w:rPr>
            </w:pPr>
            <w:r>
              <w:rPr>
                <w:rFonts w:ascii="Times New Roman" w:cs="Times New Roman" w:eastAsia="Times New Roman" w:hAnsi="Times New Roman"/>
                <w:sz w:val="14"/>
                <w:szCs w:val="14"/>
                <w:color w:val="auto"/>
              </w:rPr>
              <w:t>2,009,100</w:t>
            </w:r>
            <w:r>
              <w:rPr>
                <w:rFonts w:ascii="Times New Roman" w:cs="Times New Roman" w:eastAsia="Times New Roman" w:hAnsi="Times New Roman"/>
                <w:sz w:val="20"/>
                <w:szCs w:val="20"/>
                <w:color w:val="auto"/>
                <w:vertAlign w:val="superscript"/>
              </w:rPr>
              <w:t>(1)</w:t>
            </w:r>
          </w:p>
        </w:tc>
        <w:tc>
          <w:tcPr>
            <w:tcW w:w="1220" w:type="dxa"/>
            <w:vAlign w:val="bottom"/>
            <w:gridSpan w:val="2"/>
            <w:shd w:val="clear" w:color="auto" w:fill="CCEEFF"/>
          </w:tcPr>
          <w:p>
            <w:pPr>
              <w:jc w:val="right"/>
              <w:ind w:right="206"/>
              <w:spacing w:after="0" w:line="173" w:lineRule="exact"/>
              <w:rPr>
                <w:sz w:val="20"/>
                <w:szCs w:val="20"/>
                <w:color w:val="auto"/>
              </w:rPr>
            </w:pPr>
            <w:r>
              <w:rPr>
                <w:rFonts w:ascii="Times New Roman" w:cs="Times New Roman" w:eastAsia="Times New Roman" w:hAnsi="Times New Roman"/>
                <w:sz w:val="14"/>
                <w:szCs w:val="14"/>
                <w:color w:val="auto"/>
              </w:rPr>
              <w:t>2,678,800</w:t>
            </w:r>
            <w:r>
              <w:rPr>
                <w:rFonts w:ascii="Times New Roman" w:cs="Times New Roman" w:eastAsia="Times New Roman" w:hAnsi="Times New Roman"/>
                <w:sz w:val="20"/>
                <w:szCs w:val="20"/>
                <w:color w:val="auto"/>
                <w:vertAlign w:val="superscript"/>
              </w:rPr>
              <w:t>(8)</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615,400</w:t>
            </w:r>
            <w:r>
              <w:rPr>
                <w:rFonts w:ascii="Times New Roman" w:cs="Times New Roman" w:eastAsia="Times New Roman" w:hAnsi="Times New Roman"/>
                <w:sz w:val="20"/>
                <w:szCs w:val="20"/>
                <w:color w:val="auto"/>
                <w:vertAlign w:val="superscript"/>
              </w:rPr>
              <w:t>(2)</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615,400</w:t>
            </w:r>
            <w:r>
              <w:rPr>
                <w:rFonts w:ascii="Times New Roman" w:cs="Times New Roman" w:eastAsia="Times New Roman" w:hAnsi="Times New Roman"/>
                <w:sz w:val="20"/>
                <w:szCs w:val="20"/>
                <w:color w:val="auto"/>
                <w:vertAlign w:val="superscript"/>
              </w:rPr>
              <w:t>(2)</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33,899</w:t>
            </w:r>
            <w:r>
              <w:rPr>
                <w:rFonts w:ascii="Times New Roman" w:cs="Times New Roman" w:eastAsia="Times New Roman" w:hAnsi="Times New Roman"/>
                <w:sz w:val="20"/>
                <w:szCs w:val="20"/>
                <w:color w:val="auto"/>
                <w:vertAlign w:val="superscript"/>
              </w:rPr>
              <w:t>(3)</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(9)</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Outplacement benefits</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line="192" w:lineRule="exact"/>
              <w:rPr>
                <w:sz w:val="20"/>
                <w:szCs w:val="20"/>
                <w:color w:val="auto"/>
              </w:rPr>
            </w:pPr>
            <w:r>
              <w:rPr>
                <w:rFonts w:ascii="Times New Roman" w:cs="Times New Roman" w:eastAsia="Times New Roman" w:hAnsi="Times New Roman"/>
                <w:sz w:val="22"/>
                <w:szCs w:val="22"/>
                <w:color w:val="auto"/>
                <w:vertAlign w:val="subscript"/>
              </w:rPr>
              <w:t>0</w:t>
            </w:r>
            <w:r>
              <w:rPr>
                <w:rFonts w:ascii="Times New Roman" w:cs="Times New Roman" w:eastAsia="Times New Roman" w:hAnsi="Times New Roman"/>
                <w:sz w:val="9"/>
                <w:szCs w:val="9"/>
                <w:color w:val="auto"/>
              </w:rPr>
              <w:t>(6)</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2,718,399</w:t>
            </w: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3,399,399</w:t>
            </w: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0</w:t>
            </w:r>
          </w:p>
        </w:tc>
        <w:tc>
          <w:tcPr>
            <w:tcW w:w="0" w:type="dxa"/>
            <w:vAlign w:val="bottom"/>
          </w:tcPr>
          <w:p>
            <w:pPr>
              <w:spacing w:after="0"/>
              <w:rPr>
                <w:sz w:val="1"/>
                <w:szCs w:val="1"/>
                <w:color w:val="auto"/>
              </w:rPr>
            </w:pPr>
          </w:p>
        </w:tc>
      </w:tr>
      <w:tr>
        <w:trPr>
          <w:trHeight w:val="167"/>
        </w:trPr>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Douglas P. Golwas</w:t>
            </w:r>
          </w:p>
        </w:tc>
        <w:tc>
          <w:tcPr>
            <w:tcW w:w="18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Cash severance</w:t>
            </w:r>
          </w:p>
        </w:tc>
        <w:tc>
          <w:tcPr>
            <w:tcW w:w="100" w:type="dxa"/>
            <w:vAlign w:val="bottom"/>
          </w:tcPr>
          <w:p>
            <w:pPr>
              <w:spacing w:after="0"/>
              <w:rPr>
                <w:sz w:val="14"/>
                <w:szCs w:val="14"/>
                <w:color w:val="auto"/>
              </w:rPr>
            </w:pPr>
          </w:p>
        </w:tc>
        <w:tc>
          <w:tcPr>
            <w:tcW w:w="1340" w:type="dxa"/>
            <w:vAlign w:val="bottom"/>
            <w:gridSpan w:val="2"/>
          </w:tcPr>
          <w:p>
            <w:pPr>
              <w:jc w:val="right"/>
              <w:ind w:right="306"/>
              <w:spacing w:after="0" w:line="167" w:lineRule="exact"/>
              <w:rPr>
                <w:sz w:val="20"/>
                <w:szCs w:val="20"/>
                <w:color w:val="auto"/>
              </w:rPr>
            </w:pPr>
            <w:r>
              <w:rPr>
                <w:rFonts w:ascii="Times New Roman" w:cs="Times New Roman" w:eastAsia="Times New Roman" w:hAnsi="Times New Roman"/>
                <w:sz w:val="13"/>
                <w:szCs w:val="13"/>
                <w:color w:val="auto"/>
              </w:rPr>
              <w:t>2,165,625</w:t>
            </w:r>
            <w:r>
              <w:rPr>
                <w:rFonts w:ascii="Times New Roman" w:cs="Times New Roman" w:eastAsia="Times New Roman" w:hAnsi="Times New Roman"/>
                <w:sz w:val="19"/>
                <w:szCs w:val="19"/>
                <w:color w:val="auto"/>
                <w:vertAlign w:val="superscript"/>
              </w:rPr>
              <w:t>(1)</w:t>
            </w:r>
          </w:p>
        </w:tc>
        <w:tc>
          <w:tcPr>
            <w:tcW w:w="1220" w:type="dxa"/>
            <w:vAlign w:val="bottom"/>
            <w:gridSpan w:val="2"/>
          </w:tcPr>
          <w:p>
            <w:pPr>
              <w:jc w:val="right"/>
              <w:ind w:right="206"/>
              <w:spacing w:after="0" w:line="167" w:lineRule="exact"/>
              <w:rPr>
                <w:sz w:val="20"/>
                <w:szCs w:val="20"/>
                <w:color w:val="auto"/>
              </w:rPr>
            </w:pPr>
            <w:r>
              <w:rPr>
                <w:rFonts w:ascii="Times New Roman" w:cs="Times New Roman" w:eastAsia="Times New Roman" w:hAnsi="Times New Roman"/>
                <w:sz w:val="13"/>
                <w:szCs w:val="13"/>
                <w:color w:val="auto"/>
              </w:rPr>
              <w:t>2,887,500</w:t>
            </w:r>
            <w:r>
              <w:rPr>
                <w:rFonts w:ascii="Times New Roman" w:cs="Times New Roman" w:eastAsia="Times New Roman" w:hAnsi="Times New Roman"/>
                <w:sz w:val="19"/>
                <w:szCs w:val="19"/>
                <w:color w:val="auto"/>
                <w:vertAlign w:val="superscript"/>
              </w:rPr>
              <w:t>(8)</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Prior Year Bonus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743,750</w:t>
            </w:r>
            <w:r>
              <w:rPr>
                <w:rFonts w:ascii="Times New Roman" w:cs="Times New Roman" w:eastAsia="Times New Roman" w:hAnsi="Times New Roman"/>
                <w:sz w:val="20"/>
                <w:szCs w:val="20"/>
                <w:color w:val="auto"/>
                <w:vertAlign w:val="superscript"/>
              </w:rPr>
              <w:t>(2)</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743,750</w:t>
            </w:r>
            <w:r>
              <w:rPr>
                <w:rFonts w:ascii="Times New Roman" w:cs="Times New Roman" w:eastAsia="Times New Roman" w:hAnsi="Times New Roman"/>
                <w:sz w:val="20"/>
                <w:szCs w:val="20"/>
                <w:color w:val="auto"/>
                <w:vertAlign w:val="superscript"/>
              </w:rPr>
              <w:t>(2)</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Health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33,899</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45,199</w:t>
            </w:r>
            <w:r>
              <w:rPr>
                <w:rFonts w:ascii="Times New Roman" w:cs="Times New Roman" w:eastAsia="Times New Roman" w:hAnsi="Times New Roman"/>
                <w:sz w:val="20"/>
                <w:szCs w:val="20"/>
                <w:color w:val="auto"/>
                <w:vertAlign w:val="superscript"/>
              </w:rPr>
              <w:t>(9)</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Outplacement benefits</w:t>
            </w:r>
          </w:p>
        </w:tc>
        <w:tc>
          <w:tcPr>
            <w:tcW w:w="1440" w:type="dxa"/>
            <w:vAlign w:val="bottom"/>
            <w:gridSpan w:val="3"/>
          </w:tcPr>
          <w:p>
            <w:pPr>
              <w:jc w:val="right"/>
              <w:ind w:right="3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1220" w:type="dxa"/>
            <w:vAlign w:val="bottom"/>
            <w:gridSpan w:val="2"/>
          </w:tcPr>
          <w:p>
            <w:pPr>
              <w:jc w:val="right"/>
              <w:ind w:right="206"/>
              <w:spacing w:after="0" w:line="180" w:lineRule="exact"/>
              <w:rPr>
                <w:sz w:val="20"/>
                <w:szCs w:val="20"/>
                <w:color w:val="auto"/>
              </w:rPr>
            </w:pPr>
            <w:r>
              <w:rPr>
                <w:rFonts w:ascii="Times New Roman" w:cs="Times New Roman" w:eastAsia="Times New Roman" w:hAnsi="Times New Roman"/>
                <w:sz w:val="14"/>
                <w:szCs w:val="14"/>
                <w:color w:val="auto"/>
              </w:rPr>
              <w:t>60,000</w:t>
            </w:r>
            <w:r>
              <w:rPr>
                <w:rFonts w:ascii="Times New Roman" w:cs="Times New Roman" w:eastAsia="Times New Roman" w:hAnsi="Times New Roman"/>
                <w:sz w:val="20"/>
                <w:szCs w:val="20"/>
                <w:color w:val="auto"/>
                <w:vertAlign w:val="superscript"/>
              </w:rPr>
              <w:t>(4)</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Class B Unit Vesting</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160"/>
              <w:spacing w:after="0" w:line="178" w:lineRule="exact"/>
              <w:rPr>
                <w:sz w:val="20"/>
                <w:szCs w:val="20"/>
                <w:color w:val="auto"/>
              </w:rPr>
            </w:pPr>
            <w:r>
              <w:rPr>
                <w:rFonts w:ascii="Times New Roman" w:cs="Times New Roman" w:eastAsia="Times New Roman" w:hAnsi="Times New Roman"/>
                <w:sz w:val="14"/>
                <w:szCs w:val="14"/>
                <w:color w:val="auto"/>
              </w:rPr>
              <w:t>7,315,035</w:t>
            </w:r>
            <w:r>
              <w:rPr>
                <w:rFonts w:ascii="Times New Roman" w:cs="Times New Roman" w:eastAsia="Times New Roman" w:hAnsi="Times New Roman"/>
                <w:sz w:val="20"/>
                <w:szCs w:val="20"/>
                <w:color w:val="auto"/>
                <w:vertAlign w:val="superscript"/>
              </w:rPr>
              <w:t>(6)</w:t>
            </w:r>
          </w:p>
        </w:tc>
        <w:tc>
          <w:tcPr>
            <w:tcW w:w="0" w:type="dxa"/>
            <w:vAlign w:val="bottom"/>
          </w:tcPr>
          <w:p>
            <w:pPr>
              <w:spacing w:after="0"/>
              <w:rPr>
                <w:sz w:val="1"/>
                <w:szCs w:val="1"/>
                <w:color w:val="auto"/>
              </w:rPr>
            </w:pPr>
          </w:p>
        </w:tc>
      </w:tr>
      <w:tr>
        <w:trPr>
          <w:trHeight w:val="188"/>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3,003,274</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3,736,199</w:t>
            </w: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7,315,035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80010</wp:posOffset>
            </wp:positionV>
            <wp:extent cx="68453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134" w:lineRule="exact"/>
        <w:rPr>
          <w:sz w:val="20"/>
          <w:szCs w:val="20"/>
          <w:color w:val="auto"/>
        </w:rPr>
      </w:pPr>
    </w:p>
    <w:p>
      <w:pPr>
        <w:ind w:left="1120" w:right="60" w:hanging="382"/>
        <w:spacing w:after="0" w:line="237" w:lineRule="auto"/>
        <w:tabs>
          <w:tab w:leader="none" w:pos="1120" w:val="left"/>
        </w:tabs>
        <w:numPr>
          <w:ilvl w:val="0"/>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reported for Mr. Boyle reflects a cash severance payment consisting of two times the sum of his annual base salary ($1,250,000) and target bonus for 2024 ($1,250,000), paid in a lump sum. The amounts reported for Messrs. Drazin, Shryock, Miller and Golwas reflect a cash severance payment consisting of one and one-half times each individual’s base salary ($810,000, $650,000, $724,000, and $700,000, respectively) and target bonus for 2024 ($688,500, $497,250, $615,400, and $743,750, respectively), paid in a lump sum.</w:t>
      </w:r>
    </w:p>
    <w:p>
      <w:pPr>
        <w:ind w:left="1120" w:hanging="382"/>
        <w:spacing w:after="0" w:line="211" w:lineRule="auto"/>
        <w:tabs>
          <w:tab w:leader="none" w:pos="11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each Named Executive Officer’s annual bonus earned for 2024, pro-rated for the period of service during 2024.</w:t>
      </w:r>
    </w:p>
    <w:p>
      <w:pPr>
        <w:ind w:left="1120" w:right="340" w:hanging="382"/>
        <w:spacing w:after="0" w:line="211" w:lineRule="auto"/>
        <w:tabs>
          <w:tab w:leader="none" w:pos="11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cost of providing the Named Executive Officer with continued medical, dental and vision insurance under COBRA for a period of 21 months (for Mr. Boyle) and 18 months (for Messrs. Drazin, Shryock, Miller and Golwas) based on monthly COBRA rates in effect as of December 31, 2024.</w:t>
      </w:r>
    </w:p>
    <w:p>
      <w:pPr>
        <w:ind w:left="1120" w:hanging="382"/>
        <w:spacing w:after="0"/>
        <w:tabs>
          <w:tab w:leader="none" w:pos="1120" w:val="left"/>
        </w:tabs>
        <w:numPr>
          <w:ilvl w:val="0"/>
          <w:numId w:val="1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the cost of outplacement services for a period of 12 months.</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193</w:t>
      </w:r>
    </w:p>
    <w:p>
      <w:pPr>
        <w:sectPr>
          <w:pgSz w:w="11900" w:h="16838" w:orient="portrait"/>
          <w:cols w:equalWidth="0" w:num="1">
            <w:col w:w="10500"/>
          </w:cols>
          <w:pgMar w:left="320" w:top="420" w:right="10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2" w:lineRule="exact"/>
        <w:rPr>
          <w:sz w:val="20"/>
          <w:szCs w:val="20"/>
          <w:color w:val="auto"/>
        </w:rPr>
      </w:pPr>
    </w:p>
    <w:p>
      <w:pPr>
        <w:ind w:left="1120" w:hanging="382"/>
        <w:spacing w:after="0" w:line="217" w:lineRule="auto"/>
        <w:tabs>
          <w:tab w:leader="none" w:pos="1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the amounts reported reflect partial accelerated vesting of the Time-Vested Units in the event of termination by us without cause, by Mr. Boyle for good reason, and due to disability. For Mr. Pigott, the amount reported reflects partial accelerated vesting of the Time-Vested Units in accordance with the Pigott transition agreement. The amounts reported for the Time-Vested Units are based upon the appreciation in the value of our business from and after the date of grant through the date of our most recent valuation prior to December 31, 2024.</w:t>
      </w:r>
    </w:p>
    <w:p>
      <w:pPr>
        <w:ind w:left="1120" w:hanging="382"/>
        <w:spacing w:after="0" w:line="211" w:lineRule="auto"/>
        <w:tabs>
          <w:tab w:leader="none" w:pos="1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the value of accelerated vesting of Time-Vested Units in the event of a sale transaction. The amounts reported for the Time-Vested Units are based upon the appreciation in the value of our business from and after the date of grant through the date of our most recent valuation prior to December 31, 2024. For Mr. Boyle, the value of accelerated vesting consists of $11,704,056 for Time-Vested Units granted in October 2021 and $8,658,461 for Time-Vested Units granted in October 2023. For Mr. Pigott, the value of accelerated vesting consists of $11,704,056 for Time-Vested Units granted in October 2021 and $3,710,769 for Time-Vested Units granted in October 2023. For Messrs. Drazin and Golwas, the value of accelerated vesting relates to Time-Vested Units granted in October 2021.</w:t>
      </w:r>
    </w:p>
    <w:p>
      <w:pPr>
        <w:spacing w:after="0" w:line="1" w:lineRule="exact"/>
        <w:rPr>
          <w:rFonts w:ascii="Times New Roman" w:cs="Times New Roman" w:eastAsia="Times New Roman" w:hAnsi="Times New Roman"/>
          <w:sz w:val="13"/>
          <w:szCs w:val="13"/>
          <w:color w:val="auto"/>
        </w:rPr>
      </w:pPr>
    </w:p>
    <w:p>
      <w:pPr>
        <w:ind w:left="1120" w:hanging="382"/>
        <w:spacing w:after="0" w:line="211" w:lineRule="auto"/>
        <w:tabs>
          <w:tab w:leader="none" w:pos="1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reflects the cash severance payment due to Mr. Pigott pursuant to the Pigott transition agreement, consisting of one and one-half times the sum of his base salary</w:t>
      </w:r>
    </w:p>
    <w:p>
      <w:pPr>
        <w:ind w:left="1120" w:right="40"/>
        <w:spacing w:after="0" w:line="21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($1,100,000) and estimated target bonus for 2025 ($1,650,000), which is paid over 18 months, plus an additional $1,100,000 for base salary through December 31, 2025, which is paid in a lump sum.</w:t>
      </w:r>
    </w:p>
    <w:p>
      <w:pPr>
        <w:ind w:left="1120" w:hanging="382"/>
        <w:spacing w:after="0" w:line="211" w:lineRule="auto"/>
        <w:tabs>
          <w:tab w:leader="none" w:pos="1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 reported for Mr. Boyle reflects a cash severance payment consisting of three times the sum of his annual base salary ($1,250,000) and target bonus for 2024 ($1,250,000), paid in a lump sum. The amounts reported for Messrs. Drazin, Shryock, Miller and Golwas reflect a cash severance payment consisting of two times each individual’s base salary ($810,000, $650,000, $724,000, and $700,000, respectively) and target bonus for 2024 ($688,500, $497,250, $615,400, and $743,750, respectively), paid in a lump sum.</w:t>
      </w:r>
    </w:p>
    <w:p>
      <w:pPr>
        <w:ind w:left="1120" w:right="100" w:hanging="382"/>
        <w:spacing w:after="0" w:line="227" w:lineRule="auto"/>
        <w:tabs>
          <w:tab w:leader="none" w:pos="112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Amounts reported reflect the cost of providing each Named Executive Officer with continued medical, dental and vision insurance under COBRA for a period of 24 months based on monthly COBRA rates in effect as of December 31, 2024.</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105"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Galanti and Sweet, are currently entitled to compensation consisting of:</w:t>
      </w:r>
    </w:p>
    <w:p>
      <w:pPr>
        <w:spacing w:after="0" w:line="73" w:lineRule="exact"/>
        <w:rPr>
          <w:sz w:val="20"/>
          <w:szCs w:val="20"/>
          <w:color w:val="auto"/>
        </w:rPr>
      </w:pPr>
    </w:p>
    <w:p>
      <w:pPr>
        <w:ind w:left="1600" w:hanging="383"/>
        <w:spacing w:after="0"/>
        <w:tabs>
          <w:tab w:leader="none" w:pos="16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 cash retainer of $125,000 per year;</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Committee chair cash retainers of $25,000 (Audit) and $20,000 (Compensation, Nominating and Governance, and Risk);</w:t>
      </w:r>
    </w:p>
    <w:p>
      <w:pPr>
        <w:spacing w:after="0" w:line="115" w:lineRule="exact"/>
        <w:rPr>
          <w:rFonts w:ascii="Times New Roman" w:cs="Times New Roman" w:eastAsia="Times New Roman" w:hAnsi="Times New Roman"/>
          <w:sz w:val="16"/>
          <w:szCs w:val="16"/>
          <w:color w:val="auto"/>
        </w:rPr>
      </w:pPr>
    </w:p>
    <w:p>
      <w:pPr>
        <w:ind w:left="1600" w:right="340" w:hanging="383"/>
        <w:spacing w:after="0" w:line="281" w:lineRule="auto"/>
        <w:tabs>
          <w:tab w:leader="none" w:pos="16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Initial equity award of RSUs with a grant date fair value of $300,000, that cliff vest on March 27, 2027 (for Mr. Sweet) and March 30, 2027 (for Mr. Galanti); and</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Beginning in 2026, an annual equity award of RSUs with a grant date fair value of $200,000, vesting on the first anniversary of grant.</w:t>
      </w:r>
    </w:p>
    <w:p>
      <w:pPr>
        <w:spacing w:after="0" w:line="199"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The form and amount of compensation for our non-employee directors was established based on recommendations from management’s compensation consultant, Korn Ferry, based on benchmarking against the peer group used for 2025 Named Executive Officer compensation. We anticipate that we will review our director compensation program in connection with this offering and make such changes as we determine are necessary or appropriate for our status as a public company.</w:t>
      </w:r>
    </w:p>
    <w:p>
      <w:pPr>
        <w:spacing w:after="0" w:line="161" w:lineRule="exact"/>
        <w:rPr>
          <w:sz w:val="20"/>
          <w:szCs w:val="20"/>
          <w:color w:val="auto"/>
        </w:rPr>
      </w:pPr>
    </w:p>
    <w:p>
      <w:pPr>
        <w:ind w:left="740" w:right="100" w:firstLine="391"/>
        <w:spacing w:after="0" w:line="257" w:lineRule="auto"/>
        <w:rPr>
          <w:sz w:val="20"/>
          <w:szCs w:val="20"/>
          <w:color w:val="auto"/>
        </w:rPr>
      </w:pPr>
      <w:r>
        <w:rPr>
          <w:rFonts w:ascii="Times New Roman" w:cs="Times New Roman" w:eastAsia="Times New Roman" w:hAnsi="Times New Roman"/>
          <w:sz w:val="16"/>
          <w:szCs w:val="16"/>
          <w:color w:val="auto"/>
        </w:rPr>
        <w:t>During 2024, James Abrams (our former Chief Operating Officer), Charles Mills (our former Chief Executive Officer), and Andrew Mills (our former President) served as members of our board of directors. In connection with their service, each of Messrs. Abrams, Mills, and Mills received a quarterly cash retainer of $50,000. The board of directors believed the annual retainers for Messrs. Abrams, Mills, and Mills was appropriate in light of their familiarity with our business from their tenures as senior executives. They received no other compensation or benefits for their service, nor will they receive compensation for services following the completion of this offering.</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194</w:t>
      </w:r>
    </w:p>
    <w:p>
      <w:pPr>
        <w:sectPr>
          <w:pgSz w:w="11900" w:h="16838" w:orient="portrait"/>
          <w:cols w:equalWidth="0" w:num="1">
            <w:col w:w="10500"/>
          </w:cols>
          <w:pgMar w:left="320" w:top="421" w:right="10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34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provides summary information concerning compensation paid or accrued by us to or on behalf of Messrs. Abrams, Mills, Mills, and Sweet for services rendered to us as directors during the last fiscal year.</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7"/>
              </w:rPr>
              <w:t>Fees</w:t>
            </w: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6"/>
              </w:rPr>
              <w:t>Pension Value</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22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4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Earned</w:t>
            </w:r>
          </w:p>
        </w:tc>
        <w:tc>
          <w:tcPr>
            <w:tcW w:w="112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0" w:type="dxa"/>
            <w:vAlign w:val="bottom"/>
            <w:gridSpan w:val="2"/>
            <w:vMerge w:val="continue"/>
          </w:tcPr>
          <w:p>
            <w:pPr>
              <w:spacing w:after="0"/>
              <w:rPr>
                <w:sz w:val="11"/>
                <w:szCs w:val="11"/>
                <w:color w:val="auto"/>
              </w:rPr>
            </w:pPr>
          </w:p>
        </w:tc>
        <w:tc>
          <w:tcPr>
            <w:tcW w:w="122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Nonqualified</w:t>
            </w:r>
          </w:p>
        </w:tc>
        <w:tc>
          <w:tcPr>
            <w:tcW w:w="12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center"/>
              <w:ind w:right="4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or Paid</w:t>
            </w:r>
          </w:p>
        </w:tc>
        <w:tc>
          <w:tcPr>
            <w:tcW w:w="1120" w:type="dxa"/>
            <w:vAlign w:val="bottom"/>
            <w:gridSpan w:val="2"/>
            <w:vMerge w:val="continue"/>
          </w:tcPr>
          <w:p>
            <w:pPr>
              <w:spacing w:after="0"/>
              <w:rPr>
                <w:sz w:val="11"/>
                <w:szCs w:val="11"/>
                <w:color w:val="auto"/>
              </w:rPr>
            </w:pPr>
          </w:p>
        </w:tc>
        <w:tc>
          <w:tcPr>
            <w:tcW w:w="12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122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200" w:type="dxa"/>
            <w:vAlign w:val="bottom"/>
            <w:gridSpan w:val="2"/>
            <w:vMerge w:val="continue"/>
          </w:tcPr>
          <w:p>
            <w:pPr>
              <w:spacing w:after="0"/>
              <w:rPr>
                <w:sz w:val="11"/>
                <w:szCs w:val="11"/>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2"/>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in Cash</w:t>
            </w:r>
          </w:p>
        </w:tc>
        <w:tc>
          <w:tcPr>
            <w:tcW w:w="1120" w:type="dxa"/>
            <w:vAlign w:val="bottom"/>
            <w:gridSpan w:val="2"/>
          </w:tcPr>
          <w:p>
            <w:pPr>
              <w:jc w:val="center"/>
              <w:ind w:right="560"/>
              <w:spacing w:after="0" w:line="132"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12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2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20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00" w:type="dxa"/>
            <w:vAlign w:val="bottom"/>
            <w:gridSpan w:val="2"/>
            <w:vMerge w:val="continue"/>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20" w:type="dxa"/>
            <w:vAlign w:val="bottom"/>
          </w:tcPr>
          <w:p>
            <w:pPr>
              <w:spacing w:after="0"/>
              <w:rPr>
                <w:sz w:val="13"/>
                <w:szCs w:val="13"/>
                <w:color w:val="auto"/>
              </w:rPr>
            </w:pPr>
          </w:p>
        </w:tc>
        <w:tc>
          <w:tcPr>
            <w:tcW w:w="580" w:type="dxa"/>
            <w:vAlign w:val="bottom"/>
          </w:tcPr>
          <w:p>
            <w:pPr>
              <w:jc w:val="right"/>
              <w:ind w:right="146"/>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D. Abrams</w:t>
            </w:r>
          </w:p>
        </w:tc>
        <w:tc>
          <w:tcPr>
            <w:tcW w:w="3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74"/>
              </w:rPr>
              <w:t>0</w:t>
            </w:r>
          </w:p>
        </w:tc>
        <w:tc>
          <w:tcPr>
            <w:tcW w:w="4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4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74"/>
              </w:rPr>
              <w:t>0</w:t>
            </w: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Charles N. Mills</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192"/>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J. Mills</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150,000</w:t>
            </w:r>
          </w:p>
        </w:tc>
        <w:tc>
          <w:tcPr>
            <w:tcW w:w="0" w:type="dxa"/>
            <w:vAlign w:val="bottom"/>
          </w:tcPr>
          <w:p>
            <w:pPr>
              <w:spacing w:after="0"/>
              <w:rPr>
                <w:sz w:val="1"/>
                <w:szCs w:val="1"/>
                <w:color w:val="auto"/>
              </w:rPr>
            </w:pPr>
          </w:p>
        </w:tc>
      </w:tr>
      <w:tr>
        <w:trPr>
          <w:trHeight w:val="315"/>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Thomas W. Sweet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38,676</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w w:val="97"/>
              </w:rPr>
              <w:t>300,000</w:t>
            </w:r>
            <w:r>
              <w:rPr>
                <w:rFonts w:ascii="Times New Roman" w:cs="Times New Roman" w:eastAsia="Times New Roman" w:hAnsi="Times New Roman"/>
                <w:sz w:val="23"/>
                <w:szCs w:val="23"/>
                <w:color w:val="auto"/>
                <w:w w:val="97"/>
                <w:vertAlign w:val="superscript"/>
              </w:rPr>
              <w:t>(1)</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0</w:t>
            </w:r>
          </w:p>
        </w:tc>
        <w:tc>
          <w:tcPr>
            <w:tcW w:w="12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338,676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-1270</wp:posOffset>
            </wp:positionV>
            <wp:extent cx="68453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5" w:lineRule="exact"/>
        <w:rPr>
          <w:sz w:val="20"/>
          <w:szCs w:val="20"/>
          <w:color w:val="auto"/>
        </w:rPr>
      </w:pPr>
    </w:p>
    <w:p>
      <w:pPr>
        <w:ind w:left="1120" w:right="240" w:hanging="382"/>
        <w:spacing w:after="0" w:line="229" w:lineRule="auto"/>
        <w:tabs>
          <w:tab w:leader="none" w:pos="11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amount represents the aggregate grant date fair value of 174,419 RSUs granted to Mr. Sweet on September 27, 2024 in connection with his commencement of service as a member of the board of directors. The grant date fair value was calculated in accordance with ASC Topic 718. As of December 31, 2024, all of Mr. Sweet’s RSU awards remained outstanding.</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Compensation Arrangements to be Adopted in Connection with this Offering</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Omnibus Incentive Plan</w:t>
      </w:r>
    </w:p>
    <w:p>
      <w:pPr>
        <w:spacing w:after="0" w:line="107" w:lineRule="exact"/>
        <w:rPr>
          <w:sz w:val="20"/>
          <w:szCs w:val="20"/>
          <w:color w:val="auto"/>
        </w:rPr>
      </w:pPr>
    </w:p>
    <w:p>
      <w:pPr>
        <w:ind w:left="740" w:right="320" w:firstLine="391"/>
        <w:spacing w:after="0" w:line="265" w:lineRule="auto"/>
        <w:rPr>
          <w:sz w:val="20"/>
          <w:szCs w:val="20"/>
          <w:color w:val="auto"/>
        </w:rPr>
      </w:pPr>
      <w:r>
        <w:rPr>
          <w:rFonts w:ascii="Times New Roman" w:cs="Times New Roman" w:eastAsia="Times New Roman" w:hAnsi="Times New Roman"/>
          <w:sz w:val="16"/>
          <w:szCs w:val="16"/>
          <w:color w:val="auto"/>
        </w:rPr>
        <w:t>In connection with this offering, our Board of Directors expects to adopt, and we expect our stockholders to approve, the Medline Inc. 2025 Omnibus Incentive Plan, which we refer to as the Omnibus Incentive Plan, prior to the completion of the offering. The term “Board of Directors” as used in this “Omnibus Incentive Plan” section refers to the board of directors of Medline.</w:t>
      </w:r>
    </w:p>
    <w:p>
      <w:pPr>
        <w:spacing w:after="0" w:line="155" w:lineRule="exact"/>
        <w:rPr>
          <w:sz w:val="20"/>
          <w:szCs w:val="20"/>
          <w:color w:val="auto"/>
        </w:rPr>
      </w:pPr>
    </w:p>
    <w:p>
      <w:pPr>
        <w:ind w:left="740" w:right="20" w:firstLine="39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Purpose. </w:t>
      </w:r>
      <w:r>
        <w:rPr>
          <w:rFonts w:ascii="Times New Roman" w:cs="Times New Roman" w:eastAsia="Times New Roman" w:hAnsi="Times New Roman"/>
          <w:sz w:val="16"/>
          <w:szCs w:val="16"/>
          <w:color w:val="auto"/>
        </w:rPr>
        <w:t>The purpose of our Omnibus Incentive Plan is to provide a means through which to attract and retain key personnel and to provide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means 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58" w:lineRule="exact"/>
        <w:rPr>
          <w:sz w:val="20"/>
          <w:szCs w:val="20"/>
          <w:color w:val="auto"/>
        </w:rPr>
      </w:pPr>
    </w:p>
    <w:p>
      <w:pPr>
        <w:ind w:left="740" w:right="80" w:firstLine="391"/>
        <w:spacing w:after="0" w:line="275" w:lineRule="auto"/>
        <w:rPr>
          <w:sz w:val="20"/>
          <w:szCs w:val="20"/>
          <w:color w:val="auto"/>
        </w:rPr>
      </w:pPr>
      <w:r>
        <w:rPr>
          <w:rFonts w:ascii="Times New Roman" w:cs="Times New Roman" w:eastAsia="Times New Roman" w:hAnsi="Times New Roman"/>
          <w:sz w:val="15"/>
          <w:szCs w:val="15"/>
          <w:i w:val="1"/>
          <w:iCs w:val="1"/>
          <w:color w:val="auto"/>
        </w:rPr>
        <w:t>Eligibility</w:t>
      </w:r>
      <w:r>
        <w:rPr>
          <w:rFonts w:ascii="Times New Roman" w:cs="Times New Roman" w:eastAsia="Times New Roman" w:hAnsi="Times New Roman"/>
          <w:sz w:val="15"/>
          <w:szCs w:val="15"/>
          <w:color w:val="auto"/>
        </w:rPr>
        <w:t>. Eligible participants are any (i) individual employed by Medline or any of its subsidiaries, provided that no employee covered by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collective bargaining agreement will be eligible to receive awards under our Omnibus Incentive Plan unless and to the extent such eligibility is set forth in a collective bargaining agreement or in an agreement or instrument related thereto; (ii) director or officer of Medline or any of its subsidiaries; or</w:t>
      </w:r>
    </w:p>
    <w:p>
      <w:pPr>
        <w:ind w:left="740" w:hanging="2"/>
        <w:spacing w:after="0" w:line="253" w:lineRule="auto"/>
        <w:tabs>
          <w:tab w:leader="none" w:pos="1019"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consultant or advisor to Holdings or any of its subsidiaries,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(as defined herein) or its designee that they have been selected to participate in our Omnibus Incentive Plan.</w:t>
      </w:r>
    </w:p>
    <w:p>
      <w:pPr>
        <w:spacing w:after="0" w:line="164"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Our Omnibus Incentive Plan will be administered by the compensation committee of our Board of Directors, or such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our Class A common stock to be covered by, or with respect to which payments, rights, or other matters are to be calculated in connection with,</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195</w:t>
      </w:r>
    </w:p>
    <w:p>
      <w:pPr>
        <w:sectPr>
          <w:pgSz w:w="11900" w:h="16838" w:orient="portrait"/>
          <w:cols w:equalWidth="0" w:num="1">
            <w:col w:w="10500"/>
          </w:cols>
          <w:pgMar w:left="320" w:top="421" w:right="10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57" w:lineRule="auto"/>
        <w:rPr>
          <w:sz w:val="20"/>
          <w:szCs w:val="20"/>
          <w:color w:val="auto"/>
        </w:rPr>
      </w:pPr>
      <w:r>
        <w:rPr>
          <w:rFonts w:ascii="Times New Roman" w:cs="Times New Roman" w:eastAsia="Times New Roman" w:hAnsi="Times New Roman"/>
          <w:sz w:val="16"/>
          <w:szCs w:val="16"/>
          <w:color w:val="auto"/>
        </w:rPr>
        <w:t>awards; (iv) determine the terms and conditions of any award; (v) determine whether, to what extent, and under what circumstances awards may be settled in, or exercised for, cash, shares of our Class A common stock, or Common Units, as applicable, other securities, other awards, or other property, or canceled, forfeited, or suspended and the method or methods by which awards may be settled, exercised, canceled, forfeited, or suspended;</w:t>
      </w:r>
    </w:p>
    <w:p>
      <w:pPr>
        <w:ind w:left="740" w:right="20" w:hanging="2"/>
        <w:spacing w:after="0" w:line="266" w:lineRule="auto"/>
        <w:tabs>
          <w:tab w:leader="none" w:pos="1010"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whether, to what extent, and under what circumstances the delivery of cash, shares of our Class A common stock, other securities, other awards, or other property and other amounts payable with respect to an award will be deferred either automatically or at the election of the participant or of the Committee; (vii) 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w:t>
      </w:r>
    </w:p>
    <w:p>
      <w:pPr>
        <w:spacing w:after="0" w:line="2" w:lineRule="exact"/>
        <w:rPr>
          <w:rFonts w:ascii="Times New Roman" w:cs="Times New Roman" w:eastAsia="Times New Roman" w:hAnsi="Times New Roman"/>
          <w:sz w:val="15"/>
          <w:szCs w:val="15"/>
          <w:color w:val="auto"/>
        </w:rPr>
      </w:pPr>
    </w:p>
    <w:p>
      <w:pPr>
        <w:ind w:left="740" w:right="20" w:hanging="2"/>
        <w:spacing w:after="0" w:line="273" w:lineRule="auto"/>
        <w:tabs>
          <w:tab w:leader="none" w:pos="1010"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150" w:lineRule="exact"/>
        <w:rPr>
          <w:sz w:val="20"/>
          <w:szCs w:val="20"/>
          <w:color w:val="auto"/>
        </w:rPr>
      </w:pPr>
    </w:p>
    <w:p>
      <w:pPr>
        <w:ind w:left="740" w:firstLine="391"/>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Awards Subject to our Omnibus Incentive Plan. </w:t>
      </w:r>
      <w:r>
        <w:rPr>
          <w:rFonts w:ascii="Times New Roman" w:cs="Times New Roman" w:eastAsia="Times New Roman" w:hAnsi="Times New Roman"/>
          <w:sz w:val="16"/>
          <w:szCs w:val="16"/>
          <w:color w:val="auto"/>
        </w:rPr>
        <w:t>Our Omnibus Incentive Plan provides that the total number of shares of our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or Common Units (collectively, “Interests”) that may be issued under our Omnibus Incentive Plan is equal to no more than 60,000,000 shares of our Class A common stock (excluding shares of Class A common stock received by, or to be received by, participants in connection with the exchange for, conversion into, redemption of, or substitution for Common Units or for such other equity or equity-based awards issued by Medline Holdings (or a predecessor or affiliate thereof) and exchangeable for, convertible into or redeemable or substitutable for, shares of Class A common stock), or the “Absolute Share Limit”; provided, however, that the Absolute Share Limit shall be increased on the first day of each fiscal year beginning with the 2026 fiscal year in an amount equal to the least of (x) 54,000,000 Interests, (y) 4.0% of the total number of Interests outstanding on the last day of the immediately preceding fiscal year, and (z) a lower number of Interests as determined by our Board of Directors. Of this amount, the maximum number of Interests for which incentive stock options may be granted is 60,000,000; and during a single fiscal year, each non-employee director shall be granted a number of Interests subject to awards, taken together with any cash fees paid to such non-employee director during the fiscal year, equal to a total value of $1,000,000 or such lower amount as determined by our Board of Directors. Unless otherwise determined by the Committee, shares of our Class A common stock delivered by us or our affiliates upon exchange of Common Units or other equity securities of any of our subsidiaries that have been issued under our Omnibus Incentive Plan shall be issued under our Omnibus Incentive Plan. Except for “Substitute Awards” (as described below), to the extent that an award expires or is canceled, forfeited, terminated, settled in cash, or otherwise is settled without issuance to the participant of the full number of Interests to which the award related, the unissued shares will again be available for grant under our Omnibus Incentive Plan. Shares of our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our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11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196</w:t>
      </w:r>
    </w:p>
    <w:p>
      <w:pPr>
        <w:sectPr>
          <w:pgSz w:w="11900" w:h="16838" w:orient="portrait"/>
          <w:cols w:equalWidth="0" w:num="1">
            <w:col w:w="10500"/>
          </w:cols>
          <w:pgMar w:left="320" w:top="420" w:right="10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right="20" w:firstLine="391"/>
        <w:spacing w:after="0" w:line="269" w:lineRule="auto"/>
        <w:rPr>
          <w:sz w:val="20"/>
          <w:szCs w:val="20"/>
          <w:color w:val="auto"/>
        </w:rPr>
      </w:pPr>
      <w:r>
        <w:rPr>
          <w:rFonts w:ascii="Times New Roman" w:cs="Times New Roman" w:eastAsia="Times New Roman" w:hAnsi="Times New Roman"/>
          <w:sz w:val="15"/>
          <w:szCs w:val="15"/>
          <w:i w:val="1"/>
          <w:iCs w:val="1"/>
          <w:color w:val="auto"/>
        </w:rPr>
        <w:t>Grants</w:t>
      </w:r>
      <w:r>
        <w:rPr>
          <w:rFonts w:ascii="Times New Roman" w:cs="Times New Roman" w:eastAsia="Times New Roman" w:hAnsi="Times New Roman"/>
          <w:sz w:val="15"/>
          <w:szCs w:val="15"/>
          <w:color w:val="auto"/>
        </w:rPr>
        <w:t>. All awards granted under our Omnibus Incentive Plan will vest and become exercisable in such manner and on such date or dates or upon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event or events as determined by the Committee, including, without limitation, attainment of Performance Conditions. As used herein, “Performance Conditions” means specific levels of performance of Medline (and/or one or more members of its subsidiaries, divisions, or operational and/or business units, product lines, brands, business segments, administrative departments, or any combination of the foregoing), which may be determined in accordance with GAAP or on a non-GAAP basis 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w:t>
      </w:r>
    </w:p>
    <w:p>
      <w:pPr>
        <w:spacing w:after="0" w:line="1" w:lineRule="exact"/>
        <w:rPr>
          <w:sz w:val="20"/>
          <w:szCs w:val="20"/>
          <w:color w:val="auto"/>
        </w:rPr>
      </w:pPr>
    </w:p>
    <w:p>
      <w:pPr>
        <w:jc w:val="both"/>
        <w:ind w:left="740" w:right="560" w:hanging="2"/>
        <w:spacing w:after="0" w:line="266" w:lineRule="auto"/>
        <w:tabs>
          <w:tab w:leader="none" w:pos="966"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productivity ratios; (xi) share price (including, but not limited to, growth measures and total stockholder return); (xii) expense targets or cost reduction goals, general and administrative expense savings; (xiii) operating efficiency; (xiv) objective measures of customer/client satisfaction;</w:t>
      </w:r>
    </w:p>
    <w:p>
      <w:pPr>
        <w:ind w:left="1040" w:hanging="302"/>
        <w:spacing w:after="0"/>
        <w:tabs>
          <w:tab w:leader="none" w:pos="1040" w:val="left"/>
        </w:tabs>
        <w:numPr>
          <w:ilvl w:val="0"/>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working capital targets; (xvi) measures of economic value added or other ‘value creation’ metrics; (xvii) enterprise value; (xviii) sales;</w:t>
      </w:r>
    </w:p>
    <w:p>
      <w:pPr>
        <w:spacing w:after="0" w:line="7" w:lineRule="exact"/>
        <w:rPr>
          <w:rFonts w:ascii="Times New Roman" w:cs="Times New Roman" w:eastAsia="Times New Roman" w:hAnsi="Times New Roman"/>
          <w:sz w:val="16"/>
          <w:szCs w:val="16"/>
          <w:color w:val="auto"/>
        </w:rPr>
      </w:pPr>
    </w:p>
    <w:p>
      <w:pPr>
        <w:ind w:left="740" w:right="120" w:hanging="2"/>
        <w:spacing w:after="0" w:line="251" w:lineRule="auto"/>
        <w:tabs>
          <w:tab w:leader="none" w:pos="109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return; (xx) customer/client retention; (xxi) competitive market metrics; (xxii) 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Medline or its subsidiaries as a whole or any divisions or operational and/or business units, product lines, brands, business segments, or administrative departments of Medline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65" w:lineRule="exact"/>
        <w:rPr>
          <w:sz w:val="20"/>
          <w:szCs w:val="20"/>
          <w:color w:val="auto"/>
        </w:rPr>
      </w:pPr>
    </w:p>
    <w:p>
      <w:pPr>
        <w:ind w:left="740" w:firstLine="391"/>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Options. </w:t>
      </w:r>
      <w:r>
        <w:rPr>
          <w:rFonts w:ascii="Times New Roman" w:cs="Times New Roman" w:eastAsia="Times New Roman" w:hAnsi="Times New Roman"/>
          <w:sz w:val="15"/>
          <w:szCs w:val="15"/>
          <w:color w:val="auto"/>
        </w:rPr>
        <w:t>Under our Omnibus Incentive Plan, the Committee may grant non-qualified stock options and incentive stock options with terms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in respect of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our Class A common stock as to which a stock option is exercised may be paid to us, to the extent permitted by law (i) in cash, check, cash equivalent, and/or shares of our Class A common stock valued at the fair market value at the time the option is exercised; provided, that such shares of our Class A common stock are not subject to any pledge or other security interest and have been held by the participant for at least six months (or such other period as established from time to time by the Committee in order to avoid adverse accounting treatment applying GAAP) or</w:t>
      </w:r>
    </w:p>
    <w:p>
      <w:pPr>
        <w:spacing w:after="0" w:line="4" w:lineRule="exact"/>
        <w:rPr>
          <w:sz w:val="20"/>
          <w:szCs w:val="20"/>
          <w:color w:val="auto"/>
        </w:rPr>
      </w:pPr>
    </w:p>
    <w:p>
      <w:pPr>
        <w:ind w:left="5500" w:right="4180" w:hanging="4762"/>
        <w:spacing w:after="0" w:line="358" w:lineRule="auto"/>
        <w:tabs>
          <w:tab w:leader="none" w:pos="969"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such other method as the Committee may permit in its sole discretion, including, 197</w:t>
      </w:r>
    </w:p>
    <w:p>
      <w:pPr>
        <w:sectPr>
          <w:pgSz w:w="11900" w:h="16838" w:orient="portrait"/>
          <w:cols w:equalWidth="0" w:num="1">
            <w:col w:w="10500"/>
          </w:cols>
          <w:pgMar w:left="320" w:top="420" w:right="10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without limitation: (a) in other property having a fair market value on the date of exercise equal to the exercise price, (b) if there is a public market for the shares of our Class A common stock at such time, by means of a broker-assisted “cashless exercise” pursuant to which we are delivered (including telephonically to the extent permitted by the Committee) a copy of irrevocable instructions to a stockbroker to sell the shares of our Class A common stock otherwise issuable upon the exercise of the option and to deliver promptly to us an amount equal to the exercise price or (c) a “net exercise” procedure effected by withholding the minimum number of shares of our Class A common stock otherwise issuable in respect of an option that is needed to pay the exercise price. Any fractional shares of our Class A common stock shall be settled in cash.</w:t>
      </w:r>
    </w:p>
    <w:p>
      <w:pPr>
        <w:spacing w:after="0" w:line="162"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Stock Appreciation Rights. </w:t>
      </w:r>
      <w:r>
        <w:rPr>
          <w:rFonts w:ascii="Times New Roman" w:cs="Times New Roman" w:eastAsia="Times New Roman" w:hAnsi="Times New Roman"/>
          <w:sz w:val="16"/>
          <w:szCs w:val="16"/>
          <w:color w:val="auto"/>
        </w:rPr>
        <w:t>The Committee may grant stock appreciation rights (“SARs”) under our Omnibus Incentive Plan, with terms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determined by the Committee that are not inconsistent with our Omnibus Incentive Plan. The Committee may also award SARs independent of any option. Generally, each SAR will entitle the participant upon exercise to an amount (in cash, shares of our Class A common stock, or a combination of cash and shares, as determined by the Committee) equal to the product of (i) the excess of (a) the fair market value on the exercise date of one share of our Class A common stock over (b) the strike price per share of our Class A common stock covered by the SAR, times (ii) the number of shares of our Class A common stock covered by the SAR, less any taxes required to be withheld. The strike price per share of our Class A common stock covered by a SAR will be determined by the Committee at the time of grant but in no event may such amount be less than 100% of the fair market value of a share of our Class A common stock on the date the SAR is granted (other than in the case of SARs granted in substitution of previously granted awards).</w:t>
      </w:r>
    </w:p>
    <w:p>
      <w:pPr>
        <w:spacing w:after="0" w:line="164" w:lineRule="exact"/>
        <w:rPr>
          <w:sz w:val="20"/>
          <w:szCs w:val="20"/>
          <w:color w:val="auto"/>
        </w:rPr>
      </w:pPr>
    </w:p>
    <w:p>
      <w:pPr>
        <w:ind w:left="740" w:right="260" w:firstLine="391"/>
        <w:spacing w:after="0" w:line="256" w:lineRule="auto"/>
        <w:rPr>
          <w:sz w:val="20"/>
          <w:szCs w:val="20"/>
          <w:color w:val="auto"/>
        </w:rPr>
      </w:pPr>
      <w:r>
        <w:rPr>
          <w:rFonts w:ascii="Times New Roman" w:cs="Times New Roman" w:eastAsia="Times New Roman" w:hAnsi="Times New Roman"/>
          <w:sz w:val="16"/>
          <w:szCs w:val="16"/>
          <w:i w:val="1"/>
          <w:iCs w:val="1"/>
          <w:color w:val="auto"/>
        </w:rPr>
        <w:t xml:space="preserve">Restricted Stock and Restricted Stock Units. </w:t>
      </w:r>
      <w:r>
        <w:rPr>
          <w:rFonts w:ascii="Times New Roman" w:cs="Times New Roman" w:eastAsia="Times New Roman" w:hAnsi="Times New Roman"/>
          <w:sz w:val="16"/>
          <w:szCs w:val="16"/>
          <w:color w:val="auto"/>
        </w:rPr>
        <w:t>The Committee may grant restricted shares of Class A common stock or restricted stock units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(“RSUs”). RSUs represent the right to receive, upon vesting and the expiration of any applicable restricted period, one share of our Class A common stock for each RSU, or, in the sole discretion of the Committee, the cash value thereof (or any combination thereof). As to restricted shares of our Class A common stock, subject to the other provisions of our Omnibus Incentive Plan, the holder will generally have the rights and privileges of a stockholder as to such restricted shares of our Class A common stock, including, without limitation, the right to vote such restricted shares of our Class A common stock.</w:t>
      </w:r>
    </w:p>
    <w:p>
      <w:pPr>
        <w:spacing w:after="0" w:line="164"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i w:val="1"/>
          <w:iCs w:val="1"/>
          <w:color w:val="auto"/>
        </w:rPr>
        <w:t>Common Units</w:t>
      </w:r>
      <w:r>
        <w:rPr>
          <w:rFonts w:ascii="Times New Roman" w:cs="Times New Roman" w:eastAsia="Times New Roman" w:hAnsi="Times New Roman"/>
          <w:sz w:val="16"/>
          <w:szCs w:val="16"/>
          <w:color w:val="auto"/>
        </w:rPr>
        <w:t>. The Committee may issue awards in the form of Common Units or other classes of limited partnership units in Medline Holdings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pursuant to Medline Holdings’ limited partnership agreement. Common Unit awards will be valued by reference to, or otherwise determined by reference to or based on, our shares of Class A common stock. Common Unit awards may be (i) convertible, exchangeable, or redeemable for other limited partnership interests in Medline Holdings or our shares of Class A common stock or (ii) valued by reference to the book value, fair value, or performance of Medline Holdings. For purposes of calculating the number of our shares of Class A common stock in respect of Common Unit awards relative to the total number of our shares of Class A common stock available for issuance under our Omnibus Incentive Plan, the Committee will establish, in good faith, the maximum number of our shares of Class A common stock to which a participant receiving a Common Unit award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our shares of Class A common stock in respect of such Common Unit award will be reduced accordingly by the Committee, and the number of our shares Class A common stock available under our Omnibus Incentive Plan will be increased by one share for each share so reduced. The Committee will determine all other terms of Common Unit awards.</w:t>
      </w:r>
    </w:p>
    <w:p>
      <w:pPr>
        <w:spacing w:after="0" w:line="163" w:lineRule="exact"/>
        <w:rPr>
          <w:sz w:val="20"/>
          <w:szCs w:val="20"/>
          <w:color w:val="auto"/>
        </w:rPr>
      </w:pPr>
    </w:p>
    <w:p>
      <w:pPr>
        <w:ind w:left="740" w:right="16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Other Equity-Based Awards and Other Cash-Based Awards. </w:t>
      </w:r>
      <w:r>
        <w:rPr>
          <w:rFonts w:ascii="Times New Roman" w:cs="Times New Roman" w:eastAsia="Times New Roman" w:hAnsi="Times New Roman"/>
          <w:sz w:val="16"/>
          <w:szCs w:val="16"/>
          <w:color w:val="auto"/>
        </w:rPr>
        <w:t>The Committee may grant other equity-based or other cash-based awards under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Omnibus Incentive Plan, with terms and conditions determined by the Committee that are not inconsistent with our Omnibus Incentive Plan.</w:t>
      </w:r>
    </w:p>
    <w:p>
      <w:pPr>
        <w:spacing w:after="0" w:line="139" w:lineRule="exact"/>
        <w:rPr>
          <w:sz w:val="20"/>
          <w:szCs w:val="20"/>
          <w:color w:val="auto"/>
        </w:rPr>
      </w:pPr>
    </w:p>
    <w:p>
      <w:pPr>
        <w:ind w:left="740" w:right="10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Effect of Certain Events on Our Omnibus Incentive Plan and Awards. </w:t>
      </w:r>
      <w:r>
        <w:rPr>
          <w:rFonts w:ascii="Times New Roman" w:cs="Times New Roman" w:eastAsia="Times New Roman" w:hAnsi="Times New Roman"/>
          <w:sz w:val="16"/>
          <w:szCs w:val="16"/>
          <w:color w:val="auto"/>
        </w:rPr>
        <w:t>In the event of (i) any dividend (other than regular cash dividends) or other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distribution (whether in the form of cash, shares of our Class A common</w:t>
      </w:r>
    </w:p>
    <w:p>
      <w:pPr>
        <w:spacing w:after="0" w:line="8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198</w:t>
      </w:r>
    </w:p>
    <w:p>
      <w:pPr>
        <w:sectPr>
          <w:pgSz w:w="11900" w:h="16838" w:orient="portrait"/>
          <w:cols w:equalWidth="0" w:num="1">
            <w:col w:w="10500"/>
          </w:cols>
          <w:pgMar w:left="320" w:top="420" w:right="107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stock, other securities, or other property), recapitalization, stock split, reverse stock split, reorganization, merger,</w:t>
      </w:r>
    </w:p>
    <w:p>
      <w:pPr>
        <w:spacing w:after="0" w:line="24" w:lineRule="exact"/>
        <w:rPr>
          <w:sz w:val="20"/>
          <w:szCs w:val="20"/>
          <w:color w:val="auto"/>
        </w:rPr>
      </w:pPr>
    </w:p>
    <w:p>
      <w:pPr>
        <w:ind w:left="740" w:right="160"/>
        <w:spacing w:after="0" w:line="266" w:lineRule="auto"/>
        <w:rPr>
          <w:sz w:val="20"/>
          <w:szCs w:val="20"/>
          <w:color w:val="auto"/>
        </w:rPr>
      </w:pPr>
      <w:r>
        <w:rPr>
          <w:rFonts w:ascii="Times New Roman" w:cs="Times New Roman" w:eastAsia="Times New Roman" w:hAnsi="Times New Roman"/>
          <w:sz w:val="15"/>
          <w:szCs w:val="15"/>
          <w:color w:val="auto"/>
        </w:rPr>
        <w:t>consolidation, split-up, split-off, spin-off, combination, repurchase, or exchange of shares of our Class A common stock, Common Units, or other securities, issuance of warrants or other rights to acquire shares of our Class A common stock or other securities, or other similar corporate transaction or event that affects the shares of our Class A common stock (including a “Change in Control,” as defined in our Omnibus Incentive Plan); or</w:t>
      </w:r>
    </w:p>
    <w:p>
      <w:pPr>
        <w:spacing w:after="0" w:line="1" w:lineRule="exact"/>
        <w:rPr>
          <w:sz w:val="20"/>
          <w:szCs w:val="20"/>
          <w:color w:val="auto"/>
        </w:rPr>
      </w:pPr>
    </w:p>
    <w:p>
      <w:pPr>
        <w:ind w:left="740" w:hanging="2"/>
        <w:spacing w:after="0" w:line="250" w:lineRule="auto"/>
        <w:tabs>
          <w:tab w:leader="none" w:pos="975"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our Omnibus Incentive Plan with respect to the number of awards which may be granted thereunder; (b) the number of our Interests or other securities (or number and kind of other securities or other property) which may be issued in respect of awards or with respect to which awards may be granted under our Omnibus Incentive Plan or any sub-plan; and (c) the terms of any outstanding award, including, without limitation, (x) the number of Interests or other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 (ii) 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our Class A common stock received or to be received by other holders of our shares of Class A common stock in such event), including, without limitation, in the case of stock options and SARs, a cash payment equal to the excess, if any, of the fair market value of the shares of our Class A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172"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Non-transferability of Awards. </w:t>
      </w:r>
      <w:r>
        <w:rPr>
          <w:rFonts w:ascii="Times New Roman" w:cs="Times New Roman" w:eastAsia="Times New Roman" w:hAnsi="Times New Roman"/>
          <w:sz w:val="16"/>
          <w:szCs w:val="16"/>
          <w:color w:val="auto"/>
        </w:rPr>
        <w:t>No award will be permitted to be assigned, alienated, pledged, attached, sold, or otherwise transferred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encumbered 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64" w:lineRule="exact"/>
        <w:rPr>
          <w:sz w:val="20"/>
          <w:szCs w:val="20"/>
          <w:color w:val="auto"/>
        </w:rPr>
      </w:pPr>
    </w:p>
    <w:p>
      <w:pPr>
        <w:ind w:left="740" w:right="60" w:firstLine="39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Our Board of Directors may amend, alter, suspend, discontinue or terminate our Omnibus Incentive Plan or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portion thereof at any time; provided, that no such amendment, alteration, suspension, discontinuance, or termination may be made without stockholder approval if (i) such approval is necessary to comply with any regulatory requirement applicable to our Omnibus Incentive Plan or for changes in GAAP to new accounting standards; (ii) it would materially increase the number of securities which may be issued under our Omnibus Incentive Plan (except for adjustments in connection with certain corporate events); or</w:t>
      </w:r>
    </w:p>
    <w:p>
      <w:pPr>
        <w:spacing w:after="0" w:line="10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199</w:t>
      </w:r>
    </w:p>
    <w:p>
      <w:pPr>
        <w:sectPr>
          <w:pgSz w:w="11900" w:h="16838" w:orient="portrait"/>
          <w:cols w:equalWidth="0" w:num="1">
            <w:col w:w="10500"/>
          </w:cols>
          <w:pgMar w:left="320" w:top="420" w:right="10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hanging="2"/>
        <w:spacing w:after="0" w:line="265" w:lineRule="auto"/>
        <w:tabs>
          <w:tab w:leader="none" w:pos="1019"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would materially modify the requirements for participation in our Omnibus Incentive Plan; provided, further, that any such amendment, alteration, suspension, discontinuance, or termination that would materially adversely affect the rights of any participant or any holder or beneficiary of any award will not to that extent be effective without such individual’s consent.</w:t>
      </w:r>
    </w:p>
    <w:p>
      <w:pPr>
        <w:spacing w:after="0" w:line="157"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 (ii) the Committee may not cancel any outstanding option or SAR and 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66"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i w:val="1"/>
          <w:iCs w:val="1"/>
          <w:color w:val="auto"/>
        </w:rPr>
        <w:t xml:space="preserve">Dividends and Dividend Equivalents. </w:t>
      </w:r>
      <w:r>
        <w:rPr>
          <w:rFonts w:ascii="Times New Roman" w:cs="Times New Roman" w:eastAsia="Times New Roman" w:hAnsi="Times New Roman"/>
          <w:sz w:val="16"/>
          <w:szCs w:val="16"/>
          <w:color w:val="auto"/>
        </w:rPr>
        <w:t>The Committee in its sole discretion may provide as part of an award dividends or dividend equivalents,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our Class A common stock having a fair market value equal to the amount of such dividends, upon the settlement of the RSUs and, if such RSUs are forfeited, the participant shall have no right to such dividends.</w:t>
      </w:r>
    </w:p>
    <w:p>
      <w:pPr>
        <w:spacing w:after="0" w:line="164" w:lineRule="exact"/>
        <w:rPr>
          <w:sz w:val="20"/>
          <w:szCs w:val="20"/>
          <w:color w:val="auto"/>
        </w:rPr>
      </w:pPr>
    </w:p>
    <w:p>
      <w:pPr>
        <w:jc w:val="both"/>
        <w:ind w:left="740" w:right="140" w:firstLine="391"/>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Clawback/Repayment. </w:t>
      </w:r>
      <w:r>
        <w:rPr>
          <w:rFonts w:ascii="Times New Roman" w:cs="Times New Roman" w:eastAsia="Times New Roman" w:hAnsi="Times New Roman"/>
          <w:sz w:val="16"/>
          <w:szCs w:val="16"/>
          <w:color w:val="auto"/>
        </w:rPr>
        <w:t>All awards are subject to reduction, cancellation, forfeiture, or recoupment to the extent necessary to comply with (i) 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61" w:lineRule="exact"/>
        <w:rPr>
          <w:sz w:val="20"/>
          <w:szCs w:val="20"/>
          <w:color w:val="auto"/>
        </w:rPr>
      </w:pPr>
    </w:p>
    <w:p>
      <w:pPr>
        <w:ind w:left="740" w:right="40" w:firstLine="39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Detrimental Activity. </w:t>
      </w:r>
      <w:r>
        <w:rPr>
          <w:rFonts w:ascii="Times New Roman" w:cs="Times New Roman" w:eastAsia="Times New Roman" w:hAnsi="Times New Roman"/>
          <w:sz w:val="16"/>
          <w:szCs w:val="16"/>
          <w:color w:val="auto"/>
        </w:rPr>
        <w:t>If a participant has engaged in any detrimental activity, as defined in our Omnibus Incentive Plan, as determined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 xml:space="preserve">Purpose. </w:t>
      </w:r>
      <w:r>
        <w:rPr>
          <w:rFonts w:ascii="Times New Roman" w:cs="Times New Roman" w:eastAsia="Times New Roman" w:hAnsi="Times New Roman"/>
          <w:sz w:val="16"/>
          <w:szCs w:val="16"/>
          <w:color w:val="auto"/>
        </w:rPr>
        <w:t>In connection with this offering, our Board of Directors expects to adopt, and we expect our stockholders to approve, the Medline Inc.</w:t>
      </w:r>
    </w:p>
    <w:p>
      <w:pPr>
        <w:spacing w:after="0" w:line="26" w:lineRule="exact"/>
        <w:rPr>
          <w:sz w:val="20"/>
          <w:szCs w:val="20"/>
          <w:color w:val="auto"/>
        </w:rPr>
      </w:pPr>
    </w:p>
    <w:p>
      <w:pPr>
        <w:jc w:val="both"/>
        <w:ind w:left="740" w:right="360"/>
        <w:spacing w:after="0" w:line="254" w:lineRule="auto"/>
        <w:rPr>
          <w:sz w:val="20"/>
          <w:szCs w:val="20"/>
          <w:color w:val="auto"/>
        </w:rPr>
      </w:pPr>
      <w:r>
        <w:rPr>
          <w:rFonts w:ascii="Times New Roman" w:cs="Times New Roman" w:eastAsia="Times New Roman" w:hAnsi="Times New Roman"/>
          <w:sz w:val="16"/>
          <w:szCs w:val="16"/>
          <w:color w:val="auto"/>
        </w:rPr>
        <w:t>2025 Employee Stock Purchase Plan, which we refer to as the ESPP, prior to the completion of the offering. The ESPP is intended to give eligible employees an opportunity to acquire shares of our common stock and promote our best interests and enhance our long-term performance. The term “Board of Directors” as used in this “Employee Stock Purchase Plan” section refers to the Board of Directors of Medline Inc.</w:t>
      </w:r>
    </w:p>
    <w:p>
      <w:pPr>
        <w:spacing w:after="0" w:line="166"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Under the ESPP, we may authorize offerings that qualify as being under an “employee stock purchase plan” under Section 423 of the Code. We may also authorize offerings under the ESPP that are not intended to comply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200</w:t>
      </w:r>
    </w:p>
    <w:p>
      <w:pPr>
        <w:sectPr>
          <w:pgSz w:w="11900" w:h="16838" w:orient="portrait"/>
          <w:cols w:equalWidth="0" w:num="1">
            <w:col w:w="10500"/>
          </w:cols>
          <w:pgMar w:left="320" w:top="420" w:right="10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with the requirements of Section 423 of the Code, which may, but are not required to, be made pursuant to any rules, procedures or sub-plans adopted by the compensation committee of our Board of Directors for such purpose.</w:t>
      </w:r>
    </w:p>
    <w:p>
      <w:pPr>
        <w:spacing w:after="0" w:line="142" w:lineRule="exact"/>
        <w:rPr>
          <w:sz w:val="20"/>
          <w:szCs w:val="20"/>
          <w:color w:val="auto"/>
        </w:rPr>
      </w:pPr>
    </w:p>
    <w:p>
      <w:pPr>
        <w:ind w:left="740" w:right="100" w:firstLine="391"/>
        <w:spacing w:after="0" w:line="255" w:lineRule="auto"/>
        <w:rPr>
          <w:sz w:val="20"/>
          <w:szCs w:val="20"/>
          <w:color w:val="auto"/>
        </w:rPr>
      </w:pPr>
      <w:r>
        <w:rPr>
          <w:rFonts w:ascii="Times New Roman" w:cs="Times New Roman" w:eastAsia="Times New Roman" w:hAnsi="Times New Roman"/>
          <w:sz w:val="16"/>
          <w:szCs w:val="16"/>
          <w:i w:val="1"/>
          <w:iCs w:val="1"/>
          <w:color w:val="auto"/>
        </w:rPr>
        <w:t>Shares Reserved for the ESPP</w:t>
      </w:r>
      <w:r>
        <w:rPr>
          <w:rFonts w:ascii="Times New Roman" w:cs="Times New Roman" w:eastAsia="Times New Roman" w:hAnsi="Times New Roman"/>
          <w:sz w:val="16"/>
          <w:szCs w:val="16"/>
          <w:color w:val="auto"/>
        </w:rPr>
        <w:t>. The aggregate number of shares of our common stock that may be issued under the ESPP may not exceed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20,000,000 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least of (x) 14,000,000 shares of common stock and (y) 1.0% of the total number of shares of our common stock outstanding on the last day of the immediately preceding fiscal year, and (z) a lower number of shares of common stock as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64" w:lineRule="exact"/>
        <w:rPr>
          <w:sz w:val="20"/>
          <w:szCs w:val="20"/>
          <w:color w:val="auto"/>
        </w:rPr>
      </w:pPr>
    </w:p>
    <w:p>
      <w:pPr>
        <w:ind w:left="740" w:right="60" w:firstLine="391"/>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Administration. </w:t>
      </w:r>
      <w:r>
        <w:rPr>
          <w:rFonts w:ascii="Times New Roman" w:cs="Times New Roman" w:eastAsia="Times New Roman" w:hAnsi="Times New Roman"/>
          <w:sz w:val="15"/>
          <w:szCs w:val="15"/>
          <w:color w:val="auto"/>
        </w:rPr>
        <w:t>The ESPP will be administered by the compensation committee of our Board of Directors unless the Board of Directors elects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administer 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w:t>
      </w:r>
    </w:p>
    <w:p>
      <w:pPr>
        <w:spacing w:after="0" w:line="3" w:lineRule="exact"/>
        <w:rPr>
          <w:sz w:val="20"/>
          <w:szCs w:val="20"/>
          <w:color w:val="auto"/>
        </w:rPr>
      </w:pPr>
    </w:p>
    <w:p>
      <w:pPr>
        <w:ind w:left="740" w:right="40" w:hanging="2"/>
        <w:spacing w:after="0" w:line="251" w:lineRule="auto"/>
        <w:tabs>
          <w:tab w:leader="none" w:pos="957"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terms and provisions of the purchase rights granted under the ESPP; (d) determine eligibility and adjudicate all disputed claims filed under the ESPP; and (e) 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67" w:lineRule="exact"/>
        <w:rPr>
          <w:sz w:val="20"/>
          <w:szCs w:val="20"/>
          <w:color w:val="auto"/>
        </w:rPr>
      </w:pPr>
    </w:p>
    <w:p>
      <w:pPr>
        <w:ind w:left="740" w:firstLine="391"/>
        <w:spacing w:after="0" w:line="261" w:lineRule="auto"/>
        <w:rPr>
          <w:sz w:val="20"/>
          <w:szCs w:val="20"/>
          <w:color w:val="auto"/>
        </w:rPr>
      </w:pPr>
      <w:r>
        <w:rPr>
          <w:rFonts w:ascii="Times New Roman" w:cs="Times New Roman" w:eastAsia="Times New Roman" w:hAnsi="Times New Roman"/>
          <w:sz w:val="16"/>
          <w:szCs w:val="16"/>
          <w:i w:val="1"/>
          <w:iCs w:val="1"/>
          <w:color w:val="auto"/>
        </w:rPr>
        <w:t>Effective Date</w:t>
      </w:r>
      <w:r>
        <w:rPr>
          <w:rFonts w:ascii="Times New Roman" w:cs="Times New Roman" w:eastAsia="Times New Roman" w:hAnsi="Times New Roman"/>
          <w:sz w:val="16"/>
          <w:szCs w:val="16"/>
          <w:color w:val="auto"/>
        </w:rPr>
        <w:t>. The ESPP will become effective on or about the date of this offering. However, no offering periods will commence under the ESPP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until 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58" w:lineRule="exact"/>
        <w:rPr>
          <w:sz w:val="20"/>
          <w:szCs w:val="20"/>
          <w:color w:val="auto"/>
        </w:rPr>
      </w:pPr>
    </w:p>
    <w:p>
      <w:pPr>
        <w:ind w:left="740" w:firstLine="391"/>
        <w:spacing w:after="0" w:line="273" w:lineRule="auto"/>
        <w:rPr>
          <w:sz w:val="20"/>
          <w:szCs w:val="20"/>
          <w:color w:val="auto"/>
        </w:rPr>
      </w:pPr>
      <w:r>
        <w:rPr>
          <w:rFonts w:ascii="Times New Roman" w:cs="Times New Roman" w:eastAsia="Times New Roman" w:hAnsi="Times New Roman"/>
          <w:sz w:val="15"/>
          <w:szCs w:val="15"/>
          <w:i w:val="1"/>
          <w:iCs w:val="1"/>
          <w:color w:val="auto"/>
        </w:rPr>
        <w:t>Eligible Participants</w:t>
      </w:r>
      <w:r>
        <w:rPr>
          <w:rFonts w:ascii="Times New Roman" w:cs="Times New Roman" w:eastAsia="Times New Roman" w:hAnsi="Times New Roman"/>
          <w:sz w:val="15"/>
          <w:szCs w:val="15"/>
          <w:color w:val="auto"/>
        </w:rPr>
        <w:t>. Subject to the compensation committee’s ability to exclude certain groups of employees on a uniform and nondiscriminatory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w:t>
      </w:r>
    </w:p>
    <w:p>
      <w:pPr>
        <w:ind w:left="740" w:right="120"/>
        <w:spacing w:after="0" w:line="271" w:lineRule="auto"/>
        <w:rPr>
          <w:sz w:val="20"/>
          <w:szCs w:val="20"/>
          <w:color w:val="auto"/>
        </w:rPr>
      </w:pPr>
      <w:r>
        <w:rPr>
          <w:rFonts w:ascii="Times New Roman" w:cs="Times New Roman" w:eastAsia="Times New Roman" w:hAnsi="Times New Roman"/>
          <w:sz w:val="15"/>
          <w:szCs w:val="15"/>
          <w:color w:val="auto"/>
        </w:rPr>
        <w:t xml:space="preserve">year;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Medline Inc., whether now existing or existing in the future, that has been designated by the compensation committee from time to time in its sole discretion as eligible to participate in the ESPP. The compensation committee may designate subsidiaries or affiliates of Medline Inc. as designated companies in an offering that does not satisfy the requirements of</w:t>
      </w:r>
    </w:p>
    <w:p>
      <w:pPr>
        <w:spacing w:after="0" w:line="9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201</w:t>
      </w:r>
    </w:p>
    <w:p>
      <w:pPr>
        <w:sectPr>
          <w:pgSz w:w="11900" w:h="16838" w:orient="portrait"/>
          <w:cols w:equalWidth="0" w:num="1">
            <w:col w:w="10500"/>
          </w:cols>
          <w:pgMar w:left="320" w:top="420" w:right="10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60" w:lineRule="auto"/>
        <w:rPr>
          <w:sz w:val="20"/>
          <w:szCs w:val="20"/>
          <w:color w:val="auto"/>
        </w:rPr>
      </w:pPr>
      <w:r>
        <w:rPr>
          <w:rFonts w:ascii="Times New Roman" w:cs="Times New Roman" w:eastAsia="Times New Roman" w:hAnsi="Times New Roman"/>
          <w:sz w:val="16"/>
          <w:szCs w:val="16"/>
          <w:color w:val="auto"/>
        </w:rPr>
        <w:t xml:space="preserve">Section 423 of the Code. For offerings that, when taken together with the ESPP, comply with Section 423 of the Code and the regulations thereunder, only Medline Inc. and its subsidiaries may be designated companies;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at any given time, a subsidiary that is a designated company under a Section 423 Code-compliant offering will not be a designated company under an offering that does not comply with Section 423 of the Code.</w:t>
      </w:r>
    </w:p>
    <w:p>
      <w:pPr>
        <w:spacing w:after="0" w:line="159"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i w:val="1"/>
          <w:iCs w:val="1"/>
          <w:color w:val="auto"/>
        </w:rPr>
        <w:t>Contributions</w:t>
      </w:r>
      <w:r>
        <w:rPr>
          <w:rFonts w:ascii="Times New Roman" w:cs="Times New Roman" w:eastAsia="Times New Roman" w:hAnsi="Times New Roman"/>
          <w:sz w:val="16"/>
          <w:szCs w:val="16"/>
          <w:color w:val="auto"/>
        </w:rPr>
        <w:t>. A participant may acquire common stock under the ESPP by authorizing the use of contributions to purchase shares of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64" w:lineRule="exact"/>
        <w:rPr>
          <w:sz w:val="20"/>
          <w:szCs w:val="20"/>
          <w:color w:val="auto"/>
        </w:rPr>
      </w:pPr>
    </w:p>
    <w:p>
      <w:pPr>
        <w:jc w:val="both"/>
        <w:ind w:left="740" w:right="60" w:firstLine="391"/>
        <w:spacing w:after="0" w:line="267" w:lineRule="auto"/>
        <w:rPr>
          <w:sz w:val="20"/>
          <w:szCs w:val="20"/>
          <w:color w:val="auto"/>
        </w:rPr>
      </w:pPr>
      <w:r>
        <w:rPr>
          <w:rFonts w:ascii="Times New Roman" w:cs="Times New Roman" w:eastAsia="Times New Roman" w:hAnsi="Times New Roman"/>
          <w:sz w:val="16"/>
          <w:szCs w:val="16"/>
          <w:i w:val="1"/>
          <w:iCs w:val="1"/>
          <w:color w:val="auto"/>
        </w:rPr>
        <w:t>Offering Periods and Purchase Price</w:t>
      </w:r>
      <w:r>
        <w:rPr>
          <w:rFonts w:ascii="Times New Roman" w:cs="Times New Roman" w:eastAsia="Times New Roman" w:hAnsi="Times New Roman"/>
          <w:sz w:val="16"/>
          <w:szCs w:val="16"/>
          <w:color w:val="auto"/>
        </w:rPr>
        <w:t>. The ESPP generally provides for two six-month offering periods, with one purchase period in each offering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period. The compensation committee has the authority to change the duration of a purchase period;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change is announced a reasonable period of time prior to its effective date and the purchase period is not greater than 27 months.</w:t>
      </w:r>
    </w:p>
    <w:p>
      <w:pPr>
        <w:spacing w:after="0" w:line="15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 no participant may purchase shares of common stock with a fair market value (as of the date of purchase right grant) in excess of $25,000 (or local equivalent)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64"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64"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202</w:t>
      </w:r>
    </w:p>
    <w:p>
      <w:pPr>
        <w:sectPr>
          <w:pgSz w:w="11900" w:h="16838" w:orient="portrait"/>
          <w:cols w:equalWidth="0" w:num="1">
            <w:col w:w="10500"/>
          </w:cols>
          <w:pgMar w:left="320" w:top="420" w:right="10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right="38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Rights as Stockholder</w:t>
      </w:r>
      <w:r>
        <w:rPr>
          <w:rFonts w:ascii="Times New Roman" w:cs="Times New Roman" w:eastAsia="Times New Roman" w:hAnsi="Times New Roman"/>
          <w:sz w:val="16"/>
          <w:szCs w:val="16"/>
          <w:color w:val="auto"/>
        </w:rPr>
        <w:t>. A participant will have no rights as a stockholder with respect to our shares that the participant has a purchase right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purchase in any offering until those shares are issued to the participant.</w:t>
      </w:r>
    </w:p>
    <w:p>
      <w:pPr>
        <w:spacing w:after="0" w:line="139" w:lineRule="exact"/>
        <w:rPr>
          <w:sz w:val="20"/>
          <w:szCs w:val="20"/>
          <w:color w:val="auto"/>
        </w:rPr>
      </w:pPr>
    </w:p>
    <w:p>
      <w:pPr>
        <w:ind w:left="740" w:right="24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Rights Not Transferable</w:t>
      </w:r>
      <w:r>
        <w:rPr>
          <w:rFonts w:ascii="Times New Roman" w:cs="Times New Roman" w:eastAsia="Times New Roman" w:hAnsi="Times New Roman"/>
          <w:sz w:val="16"/>
          <w:szCs w:val="16"/>
          <w:color w:val="auto"/>
        </w:rPr>
        <w:t>. A participant’s rights under the ESPP will be exercisable only by the participant and are not transferable other than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will or the laws of descent or distribution.</w:t>
      </w:r>
    </w:p>
    <w:p>
      <w:pPr>
        <w:spacing w:after="0" w:line="139"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i w:val="1"/>
          <w:iCs w:val="1"/>
          <w:color w:val="auto"/>
        </w:rPr>
        <w:t>Effect of a Change in Control; Adjustments</w:t>
      </w:r>
      <w:r>
        <w:rPr>
          <w:rFonts w:ascii="Times New Roman" w:cs="Times New Roman" w:eastAsia="Times New Roman" w:hAnsi="Times New Roman"/>
          <w:sz w:val="16"/>
          <w:szCs w:val="16"/>
          <w:color w:val="auto"/>
        </w:rPr>
        <w:t>. If there is any change in the outstanding shares of our common stock because of a merger, change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control (as defined in the Omnibus Incentive Plan), consolidation, recapitalization or reorganization involving Medline Inc., or if our Board of Directors declares a stock dividend, stock split distributable in shares of common stock or reverse stock split, other distribution or combination or reclassification of our common stock, or if there is a similar change in the capital stock structure of Medline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85" w:lineRule="exact"/>
        <w:rPr>
          <w:sz w:val="20"/>
          <w:szCs w:val="20"/>
          <w:color w:val="auto"/>
        </w:rPr>
      </w:pPr>
    </w:p>
    <w:p>
      <w:pPr>
        <w:ind w:left="1600" w:hanging="383"/>
        <w:spacing w:after="0"/>
        <w:tabs>
          <w:tab w:leader="none" w:pos="16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or substitution of purchase rights by a successor entity (or parent or subsidiary of such successor);</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selection of a date on which all outstanding purchase rights will be exercised on or before the consummation date of the change in control;</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termination of outstanding purchase rights and refund of accumulated contributions to each participant prior to the change in control; or</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continuation of outstanding purchase rights unchanged.</w:t>
      </w:r>
    </w:p>
    <w:p>
      <w:pPr>
        <w:spacing w:after="0" w:line="19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i w:val="1"/>
          <w:iCs w:val="1"/>
          <w:color w:val="auto"/>
        </w:rPr>
        <w:t>Amendment and Termination</w:t>
      </w:r>
      <w:r>
        <w:rPr>
          <w:rFonts w:ascii="Times New Roman" w:cs="Times New Roman" w:eastAsia="Times New Roman" w:hAnsi="Times New Roman"/>
          <w:sz w:val="16"/>
          <w:szCs w:val="16"/>
          <w:color w:val="auto"/>
        </w:rPr>
        <w:t>. The ESPP may be amended, altered, suspended and/or terminated at any time by our Board of Directors;</w:t>
      </w:r>
      <w:r>
        <w:rPr>
          <w:rFonts w:ascii="Times New Roman" w:cs="Times New Roman" w:eastAsia="Times New Roman" w:hAnsi="Times New Roman"/>
          <w:sz w:val="16"/>
          <w:szCs w:val="16"/>
          <w:i w:val="1"/>
          <w:iCs w:val="1"/>
          <w:color w:val="auto"/>
        </w:rPr>
        <w:t xml:space="preserve"> 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that 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 (a) 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Treatment of Existing Equity Interests</w:t>
      </w:r>
    </w:p>
    <w:p>
      <w:pPr>
        <w:spacing w:after="0" w:line="107"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All Class B Units held by the Continuing Incentive Unitholders will be converted into Incentive Units in connection with the Reclassification, as described above under “Organizational Structure.” The Incentive Units will be subject to the same terms and conditions as applied to the Class B Units immediately prior to the Reclassification. In addition, CUPI Units held by the Continuing Common Unitholders will be converted into Common Units in connection with the Reclassification, as described above under “Organizational Structure.”</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203</w:t>
      </w:r>
    </w:p>
    <w:p>
      <w:pPr>
        <w:sectPr>
          <w:pgSz w:w="11900" w:h="16838" w:orient="portrait"/>
          <w:cols w:equalWidth="0" w:num="1">
            <w:col w:w="10500"/>
          </w:cols>
          <w:pgMar w:left="320" w:top="420" w:right="10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68" w:lineRule="auto"/>
        <w:rPr>
          <w:sz w:val="20"/>
          <w:szCs w:val="20"/>
          <w:color w:val="auto"/>
        </w:rPr>
      </w:pPr>
      <w:r>
        <w:rPr>
          <w:rFonts w:ascii="Times New Roman" w:cs="Times New Roman" w:eastAsia="Times New Roman" w:hAnsi="Times New Roman"/>
          <w:sz w:val="15"/>
          <w:szCs w:val="15"/>
          <w:color w:val="auto"/>
        </w:rPr>
        <w:t>In addition, in connection with the Reclassification, CUPI Units and all vested and unvested Class B Units held by Exchanging Unitholders that are not reclassified into Units will be directly or indirectly exchanged for shares of Class A common stock (in the case of CUPI Units and vested Class B Units) and restricted shares of Class A common stock (in the case of unvested Class B Units). The number of shares of Class A common stock delivered in respect of the units held by the Exchanging CUPI Unitholders and Exchanging Class B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the unit would have received. CUPI Units and vested Class B Units will be converted into fully vested shares of Class A common stock and unvested Class B Units will be converted into restricted shares of Class A common stock, which will be subject to vesting terms that are the same as those applicable to the unvested Class B Units immediately prior to the Reclassification, as described above. The precise number of shares of Class A common stock delivered in respect of Class B Units and CUPI Units will be determined based on the initial public offering price. The aggregate number of shares of Class A common stock issued to Exchanging Class B Unitholders and Exchanging CUPI Unitholders will be 3,916,707, or approximately 0.5% of the total of</w:t>
      </w:r>
    </w:p>
    <w:p>
      <w:pPr>
        <w:spacing w:after="0" w:line="5" w:lineRule="exact"/>
        <w:rPr>
          <w:sz w:val="20"/>
          <w:szCs w:val="20"/>
          <w:color w:val="auto"/>
        </w:rPr>
      </w:pPr>
    </w:p>
    <w:p>
      <w:pPr>
        <w:ind w:left="740" w:right="60"/>
        <w:spacing w:after="0" w:line="253" w:lineRule="auto"/>
        <w:rPr>
          <w:sz w:val="20"/>
          <w:szCs w:val="20"/>
          <w:color w:val="auto"/>
        </w:rPr>
      </w:pPr>
      <w:r>
        <w:rPr>
          <w:rFonts w:ascii="Times New Roman" w:cs="Times New Roman" w:eastAsia="Times New Roman" w:hAnsi="Times New Roman"/>
          <w:sz w:val="16"/>
          <w:szCs w:val="16"/>
          <w:color w:val="auto"/>
        </w:rPr>
        <w:t>799,799,804 shares of Class A common stock issued and outstanding following this offering and the consummation of the transactions contemplated by the Reclassification. The total number of restricted shares of Class A common stock issued to Exchanging Class B Unitholders in respect of unvested Class B Units will be 1,982,467, or approximately 0.2% of the total of 799,799,804 shares of Class A common stock issued and outstanding following this offering and the consummation of the transactions contemplated by the Reclassification.</w:t>
      </w:r>
    </w:p>
    <w:p>
      <w:pPr>
        <w:spacing w:after="0" w:line="166" w:lineRule="exact"/>
        <w:rPr>
          <w:sz w:val="20"/>
          <w:szCs w:val="20"/>
          <w:color w:val="auto"/>
        </w:rPr>
      </w:pPr>
    </w:p>
    <w:p>
      <w:pPr>
        <w:ind w:left="740" w:right="20" w:firstLine="391"/>
        <w:spacing w:after="0" w:line="316" w:lineRule="auto"/>
        <w:rPr>
          <w:sz w:val="20"/>
          <w:szCs w:val="20"/>
          <w:color w:val="auto"/>
        </w:rPr>
      </w:pPr>
      <w:r>
        <w:rPr>
          <w:rFonts w:ascii="Times New Roman" w:cs="Times New Roman" w:eastAsia="Times New Roman" w:hAnsi="Times New Roman"/>
          <w:sz w:val="15"/>
          <w:szCs w:val="15"/>
          <w:color w:val="auto"/>
        </w:rPr>
        <w:t>In connection with the Reclassification, 490,021 RSUs in respect of Class A Units will be exchanged for RSUs in respect of shares of Class A common stock. The exchanged RSUs will remain subject to vesting terms that are the same as those that apply immediately prior to the Reclassification.</w:t>
      </w:r>
    </w:p>
    <w:p>
      <w:pPr>
        <w:spacing w:after="0" w:line="21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Equity Award Grants</w:t>
      </w:r>
    </w:p>
    <w:p>
      <w:pPr>
        <w:spacing w:after="0" w:line="107"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In connection with the Reclassification, we intend to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These stock options will have an exercise price per share that is equal to the initial public offering price per share and will vest according to the same vesting schedule as the corresponding Class B Units, in respect of which they are being granted, except that no stock option will vest until the later of the date that is 180 days following the completion of this offering and the existing vesting date of the underlying Class B Unit. The aggregate number of stock options granted to certain Exchanging Class B Unitholders will be 6,770,442.</w:t>
      </w:r>
    </w:p>
    <w:p>
      <w:pPr>
        <w:spacing w:after="0" w:line="164"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In addition, in connection with the Reclassification, we intend to grant RSUs in respect of shares of Class A common stock under the Omnibus Incentive Plan to certain Exchanging Unitholders to compensate them for the loss of opportunity to participate in the tax receivable agreement, in which they would have had the opportunity to participate had their units not been exchanged for shares of Class A common stock. These RSUs will vest according to the same vesting schedule as the corresponding unit, except that no RSU will vest until the later of the date that is 180 days following the completion of this offering and the existing vesting date of the underlying units. The aggregate number of RSUs granted to such Exchanging Unitholders will be 490,021.</w:t>
      </w:r>
    </w:p>
    <w:p>
      <w:pPr>
        <w:spacing w:after="0" w:line="164"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We also intend to grant RSUs in respect of share of Class A common stock under the Omnibus Incentive Plan to an independent non-employee member of the board of directors who will be appointed in connection with this offering. These RSUs will vest on March 30, 2027. The number of RSUs granted to such member of the board of directors will be 10,345.</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204</w:t>
      </w:r>
    </w:p>
    <w:p>
      <w:pPr>
        <w:sectPr>
          <w:pgSz w:w="11900" w:h="16838" w:orient="portrait"/>
          <w:cols w:equalWidth="0" w:num="1">
            <w:col w:w="10500"/>
          </w:cols>
          <w:pgMar w:left="320" w:top="420" w:right="10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CERTAIN RELATIONSHIPS AND RELATED PERSON TRANSACTIONS</w:t>
      </w:r>
    </w:p>
    <w:p>
      <w:pPr>
        <w:spacing w:after="0" w:line="199" w:lineRule="exact"/>
        <w:rPr>
          <w:sz w:val="20"/>
          <w:szCs w:val="20"/>
          <w:color w:val="auto"/>
        </w:rPr>
      </w:pPr>
    </w:p>
    <w:p>
      <w:pPr>
        <w:ind w:left="740" w:right="12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Director Nomination Agreements</w:t>
      </w:r>
    </w:p>
    <w:p>
      <w:pPr>
        <w:spacing w:after="0" w:line="10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In connection with this offering, we intend to enter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will have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will depend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has been advised by the Designating Stockholders that at the time of this offering Blackstone, Carlyle, H&amp;F, and the Mills Family each intend to designate two directors. See “Management—Background and Experience of Directors” for information regarding which of the directors of Medline Inc. will be designated by the relevant Designating Stockholder.</w:t>
      </w:r>
    </w:p>
    <w:p>
      <w:pPr>
        <w:spacing w:after="0" w:line="166" w:lineRule="exact"/>
        <w:rPr>
          <w:sz w:val="20"/>
          <w:szCs w:val="20"/>
          <w:color w:val="auto"/>
        </w:rPr>
      </w:pPr>
    </w:p>
    <w:p>
      <w:pPr>
        <w:ind w:left="740" w:right="420" w:firstLine="391"/>
        <w:spacing w:after="0" w:line="265" w:lineRule="auto"/>
        <w:rPr>
          <w:sz w:val="20"/>
          <w:szCs w:val="20"/>
          <w:color w:val="auto"/>
        </w:rPr>
      </w:pPr>
      <w:r>
        <w:rPr>
          <w:rFonts w:ascii="Times New Roman" w:cs="Times New Roman" w:eastAsia="Times New Roman" w:hAnsi="Times New Roman"/>
          <w:sz w:val="16"/>
          <w:szCs w:val="16"/>
          <w:color w:val="auto"/>
        </w:rPr>
        <w:t>Each of our Designating Stockholders (other than the Mills Family) will agree,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57" w:lineRule="exact"/>
        <w:rPr>
          <w:sz w:val="20"/>
          <w:szCs w:val="20"/>
          <w:color w:val="auto"/>
        </w:rPr>
      </w:pPr>
    </w:p>
    <w:p>
      <w:pPr>
        <w:ind w:left="740" w:right="680" w:firstLine="391"/>
        <w:spacing w:after="0" w:line="281" w:lineRule="auto"/>
        <w:rPr>
          <w:sz w:val="20"/>
          <w:szCs w:val="20"/>
          <w:color w:val="auto"/>
        </w:rPr>
      </w:pPr>
      <w:r>
        <w:rPr>
          <w:rFonts w:ascii="Times New Roman" w:cs="Times New Roman" w:eastAsia="Times New Roman" w:hAnsi="Times New Roman"/>
          <w:sz w:val="16"/>
          <w:szCs w:val="16"/>
          <w:color w:val="auto"/>
        </w:rPr>
        <w:t>For so long as the director nomination agreements remain in effect, Designated Directors may be removed only with the consent of the Designating Stockholder that designated such Designated Director.</w:t>
      </w:r>
    </w:p>
    <w:p>
      <w:pPr>
        <w:spacing w:after="0" w:line="144"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In addition, the director nomination agreements will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Information and Access Agreement</w:t>
      </w:r>
    </w:p>
    <w:p>
      <w:pPr>
        <w:spacing w:after="0" w:line="105"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In connection with this offering, we intend to enter into an information and access agreement with Hux that, among other things, permits Hux to designate one non-voting observer to our board of directors for so long as Hux continues to beneficially own at least 5% of the outstanding shares of Class A common stock, assuming</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205</w:t>
      </w:r>
    </w:p>
    <w:p>
      <w:pPr>
        <w:sectPr>
          <w:pgSz w:w="11900" w:h="16838" w:orient="portrait"/>
          <w:cols w:equalWidth="0" w:num="1">
            <w:col w:w="10420"/>
          </w:cols>
          <w:pgMar w:left="320" w:top="421" w:right="11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spacing w:after="0" w:line="265" w:lineRule="auto"/>
        <w:rPr>
          <w:sz w:val="20"/>
          <w:szCs w:val="20"/>
          <w:color w:val="auto"/>
        </w:rPr>
      </w:pPr>
      <w:r>
        <w:rPr>
          <w:rFonts w:ascii="Times New Roman" w:cs="Times New Roman" w:eastAsia="Times New Roman" w:hAnsi="Times New Roman"/>
          <w:sz w:val="16"/>
          <w:szCs w:val="16"/>
          <w:color w:val="auto"/>
        </w:rPr>
        <w:t>exchange of all Common Units. In addition, the information and access agreement will in certain circumstances permit Hux and its affiliates to assign their rights and obligations under the agreement, in whole or in part. Moreover, the information and access agreement provides Hux and its affiliates with information rights.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Exchange Agreement</w:t>
      </w:r>
    </w:p>
    <w:p>
      <w:pPr>
        <w:spacing w:after="0" w:line="10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In connection with the Reorganization Transactions and Offering Transactions, we will enter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0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In connection with the Offering Transactions, we will enter into a registration rights agreement with our Principal Stockholders and our Other Pre-IPO Investors,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Tax Receivable Agreement</w:t>
      </w:r>
    </w:p>
    <w:p>
      <w:pPr>
        <w:spacing w:after="0" w:line="105" w:lineRule="exact"/>
        <w:rPr>
          <w:sz w:val="20"/>
          <w:szCs w:val="20"/>
          <w:color w:val="auto"/>
        </w:rPr>
      </w:pPr>
    </w:p>
    <w:p>
      <w:pPr>
        <w:ind w:left="740" w:right="80" w:firstLine="391"/>
        <w:spacing w:after="0" w:line="252" w:lineRule="auto"/>
        <w:rPr>
          <w:sz w:val="20"/>
          <w:szCs w:val="20"/>
          <w:color w:val="auto"/>
        </w:rPr>
      </w:pPr>
      <w:r>
        <w:rPr>
          <w:rFonts w:ascii="Times New Roman" w:cs="Times New Roman" w:eastAsia="Times New Roman" w:hAnsi="Times New Roman"/>
          <w:sz w:val="16"/>
          <w:szCs w:val="16"/>
          <w:color w:val="auto"/>
        </w:rPr>
        <w:t>In connection with the Reorganization Transactions, Medline Inc. will enter into a tax receivable agreement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206</w:t>
      </w:r>
    </w:p>
    <w:p>
      <w:pPr>
        <w:sectPr>
          <w:pgSz w:w="11900" w:h="16838" w:orient="portrait"/>
          <w:cols w:equalWidth="0" w:num="1">
            <w:col w:w="10500"/>
          </w:cols>
          <w:pgMar w:left="320" w:top="421" w:right="10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1" w:lineRule="auto"/>
        <w:rPr>
          <w:sz w:val="20"/>
          <w:szCs w:val="20"/>
          <w:color w:val="auto"/>
        </w:rPr>
      </w:pPr>
      <w:r>
        <w:rPr>
          <w:rFonts w:ascii="Times New Roman" w:cs="Times New Roman" w:eastAsia="Times New Roman" w:hAnsi="Times New Roman"/>
          <w:sz w:val="16"/>
          <w:szCs w:val="16"/>
          <w:color w:val="auto"/>
        </w:rPr>
        <w:t>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89" w:lineRule="exact"/>
        <w:rPr>
          <w:sz w:val="20"/>
          <w:szCs w:val="20"/>
          <w:color w:val="auto"/>
        </w:rPr>
      </w:pPr>
    </w:p>
    <w:p>
      <w:pPr>
        <w:ind w:left="1600" w:hanging="383"/>
        <w:spacing w:after="0" w:line="258" w:lineRule="auto"/>
        <w:tabs>
          <w:tab w:leader="none" w:pos="1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timing of purchases or exchanges</w:t>
      </w:r>
      <w:r>
        <w:rPr>
          <w:rFonts w:ascii="Times New Roman" w:cs="Times New Roman" w:eastAsia="Times New Roman" w:hAnsi="Times New Roman"/>
          <w:sz w:val="16"/>
          <w:szCs w:val="16"/>
          <w:color w:val="auto"/>
        </w:rPr>
        <w:t>—for instance, the increase in any tax deductions will vary depending on the fair market value, which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76" w:lineRule="exact"/>
        <w:rPr>
          <w:rFonts w:ascii="Times New Roman" w:cs="Times New Roman" w:eastAsia="Times New Roman" w:hAnsi="Times New Roman"/>
          <w:sz w:val="16"/>
          <w:szCs w:val="16"/>
          <w:color w:val="auto"/>
        </w:rPr>
      </w:pPr>
    </w:p>
    <w:p>
      <w:pPr>
        <w:ind w:left="1600" w:right="20" w:hanging="383"/>
        <w:spacing w:after="0" w:line="267" w:lineRule="auto"/>
        <w:tabs>
          <w:tab w:leader="none" w:pos="1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price of shares of Class A common stock at the time of the purchase or exchange</w:t>
      </w:r>
      <w:r>
        <w:rPr>
          <w:rFonts w:ascii="Times New Roman" w:cs="Times New Roman" w:eastAsia="Times New Roman" w:hAnsi="Times New Roman"/>
          <w:sz w:val="16"/>
          <w:szCs w:val="16"/>
          <w:color w:val="auto"/>
        </w:rPr>
        <w:t>—the increase in any tax deductions, as well as the tax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basis increase in other assets, of Medline Holdings, is directly proportional to the price of shares of Class A common stock at the time of the purchase or exchange;</w:t>
      </w:r>
    </w:p>
    <w:p>
      <w:pPr>
        <w:spacing w:after="0" w:line="68" w:lineRule="exact"/>
        <w:rPr>
          <w:rFonts w:ascii="Times New Roman" w:cs="Times New Roman" w:eastAsia="Times New Roman" w:hAnsi="Times New Roman"/>
          <w:sz w:val="16"/>
          <w:szCs w:val="16"/>
          <w:color w:val="auto"/>
        </w:rPr>
      </w:pPr>
    </w:p>
    <w:p>
      <w:pPr>
        <w:ind w:left="1600" w:right="240" w:hanging="383"/>
        <w:spacing w:after="0" w:line="284" w:lineRule="auto"/>
        <w:tabs>
          <w:tab w:leader="none" w:pos="1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extent to which such purchases or exchanges do not result in a basis adjustment</w:t>
      </w:r>
      <w:r>
        <w:rPr>
          <w:rFonts w:ascii="Times New Roman" w:cs="Times New Roman" w:eastAsia="Times New Roman" w:hAnsi="Times New Roman"/>
          <w:sz w:val="16"/>
          <w:szCs w:val="16"/>
          <w:color w:val="auto"/>
        </w:rPr>
        <w:t>—if a purchase or an exchange does not result in 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increase to existing basis, increased deductions will not be available;</w:t>
      </w:r>
    </w:p>
    <w:p>
      <w:pPr>
        <w:spacing w:after="0" w:line="55" w:lineRule="exact"/>
        <w:rPr>
          <w:rFonts w:ascii="Times New Roman" w:cs="Times New Roman" w:eastAsia="Times New Roman" w:hAnsi="Times New Roman"/>
          <w:sz w:val="16"/>
          <w:szCs w:val="16"/>
          <w:color w:val="auto"/>
        </w:rPr>
      </w:pPr>
    </w:p>
    <w:p>
      <w:pPr>
        <w:ind w:left="1600" w:right="200" w:hanging="383"/>
        <w:spacing w:after="0" w:line="284" w:lineRule="auto"/>
        <w:tabs>
          <w:tab w:leader="none" w:pos="1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amount of tax attributes</w:t>
      </w:r>
      <w:r>
        <w:rPr>
          <w:rFonts w:ascii="Times New Roman" w:cs="Times New Roman" w:eastAsia="Times New Roman" w:hAnsi="Times New Roman"/>
          <w:sz w:val="16"/>
          <w:szCs w:val="16"/>
          <w:color w:val="auto"/>
        </w:rPr>
        <w:t>—the amount of applicable tax attributes of the Blocker Companies at the time of the Blocker Transfers will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impact the amount and timing of payments under the tax receivable agreement;</w:t>
      </w:r>
    </w:p>
    <w:p>
      <w:pPr>
        <w:spacing w:after="0" w:line="55" w:lineRule="exact"/>
        <w:rPr>
          <w:rFonts w:ascii="Times New Roman" w:cs="Times New Roman" w:eastAsia="Times New Roman" w:hAnsi="Times New Roman"/>
          <w:sz w:val="16"/>
          <w:szCs w:val="16"/>
          <w:color w:val="auto"/>
        </w:rPr>
      </w:pPr>
    </w:p>
    <w:p>
      <w:pPr>
        <w:ind w:left="1600" w:right="60" w:hanging="383"/>
        <w:spacing w:after="0" w:line="261" w:lineRule="auto"/>
        <w:tabs>
          <w:tab w:leader="none" w:pos="160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changes in tax rates</w:t>
      </w:r>
      <w:r>
        <w:rPr>
          <w:rFonts w:ascii="Times New Roman" w:cs="Times New Roman" w:eastAsia="Times New Roman" w:hAnsi="Times New Roman"/>
          <w:sz w:val="16"/>
          <w:szCs w:val="16"/>
          <w:color w:val="auto"/>
        </w:rPr>
        <w:t>—payments under the tax receivable agreement will be calculated using the actual U.S. federal income tax rate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effect for 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1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207</w:t>
      </w:r>
    </w:p>
    <w:p>
      <w:pPr>
        <w:sectPr>
          <w:pgSz w:w="11900" w:h="16838" w:orient="portrait"/>
          <w:cols w:equalWidth="0" w:num="1">
            <w:col w:w="10480"/>
          </w:cols>
          <w:pgMar w:left="320" w:top="420" w:right="109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1600" w:hanging="383"/>
        <w:spacing w:after="0" w:line="255" w:lineRule="auto"/>
        <w:tabs>
          <w:tab w:leader="none" w:pos="160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the amount and timing of our income</w:t>
      </w:r>
      <w:r>
        <w:rPr>
          <w:rFonts w:ascii="Times New Roman" w:cs="Times New Roman" w:eastAsia="Times New Roman" w:hAnsi="Times New Roman"/>
          <w:sz w:val="16"/>
          <w:szCs w:val="16"/>
          <w:color w:val="auto"/>
        </w:rPr>
        <w:t>—Medline Inc. is obligated to pay 90% of the cash tax benefits under the tax receivable agreement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66" w:lineRule="exact"/>
        <w:rPr>
          <w:sz w:val="20"/>
          <w:szCs w:val="20"/>
          <w:color w:val="auto"/>
        </w:rPr>
      </w:pPr>
    </w:p>
    <w:p>
      <w:pPr>
        <w:ind w:left="740" w:right="200" w:firstLine="391"/>
        <w:spacing w:after="0" w:line="255" w:lineRule="auto"/>
        <w:rPr>
          <w:sz w:val="20"/>
          <w:szCs w:val="20"/>
          <w:color w:val="auto"/>
        </w:rPr>
      </w:pPr>
      <w:r>
        <w:rPr>
          <w:rFonts w:ascii="Times New Roman" w:cs="Times New Roman" w:eastAsia="Times New Roman" w:hAnsi="Times New Roman"/>
          <w:sz w:val="16"/>
          <w:szCs w:val="16"/>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6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64" w:lineRule="exact"/>
        <w:rPr>
          <w:sz w:val="20"/>
          <w:szCs w:val="20"/>
          <w:color w:val="auto"/>
        </w:rPr>
      </w:pPr>
    </w:p>
    <w:p>
      <w:pPr>
        <w:jc w:val="both"/>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61"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64"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Decisions made by our pre-IPO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208</w:t>
      </w:r>
    </w:p>
    <w:p>
      <w:pPr>
        <w:sectPr>
          <w:pgSz w:w="11900" w:h="16838" w:orient="portrait"/>
          <w:cols w:equalWidth="0" w:num="1">
            <w:col w:w="10500"/>
          </w:cols>
          <w:pgMar w:left="320" w:top="420" w:right="10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this offering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Medline Holdings Amended and Restated Limited Partnership Agreement</w:t>
      </w:r>
    </w:p>
    <w:p>
      <w:pPr>
        <w:spacing w:after="0" w:line="105" w:lineRule="exact"/>
        <w:rPr>
          <w:sz w:val="20"/>
          <w:szCs w:val="20"/>
          <w:color w:val="auto"/>
        </w:rPr>
      </w:pPr>
    </w:p>
    <w:p>
      <w:pPr>
        <w:jc w:val="both"/>
        <w:ind w:left="740" w:right="100" w:firstLine="391"/>
        <w:spacing w:after="0" w:line="265" w:lineRule="auto"/>
        <w:rPr>
          <w:sz w:val="20"/>
          <w:szCs w:val="20"/>
          <w:color w:val="auto"/>
        </w:rPr>
      </w:pPr>
      <w:r>
        <w:rPr>
          <w:rFonts w:ascii="Times New Roman" w:cs="Times New Roman" w:eastAsia="Times New Roman" w:hAnsi="Times New Roman"/>
          <w:sz w:val="16"/>
          <w:szCs w:val="16"/>
          <w:color w:val="auto"/>
        </w:rPr>
        <w:t>As a result of the Reorganization Transactions and Offering Transactions, Medline Inc. will directly or indirectly hold Common Units in Medline Holdings and will be the sole general partner of Medline Holdings. Accordingly, Medline Inc. will operate and control all of the business and affairs of Medline Holdings, and, through Medline Holdings and its operating entity subsidiaries, conduct our business.</w:t>
      </w:r>
    </w:p>
    <w:p>
      <w:pPr>
        <w:spacing w:after="0" w:line="157"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Pursuant to the amended and restated limited partnership agreement of Medline Holdings as it will be in effect at the time of this offering,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67" w:lineRule="exact"/>
        <w:rPr>
          <w:sz w:val="20"/>
          <w:szCs w:val="20"/>
          <w:color w:val="auto"/>
        </w:rPr>
      </w:pPr>
    </w:p>
    <w:p>
      <w:pPr>
        <w:ind w:left="740" w:right="80" w:firstLine="391"/>
        <w:spacing w:after="0" w:line="273" w:lineRule="auto"/>
        <w:rPr>
          <w:sz w:val="20"/>
          <w:szCs w:val="20"/>
          <w:color w:val="auto"/>
        </w:rPr>
      </w:pPr>
      <w:r>
        <w:rPr>
          <w:rFonts w:ascii="Times New Roman" w:cs="Times New Roman" w:eastAsia="Times New Roman" w:hAnsi="Times New Roman"/>
          <w:sz w:val="15"/>
          <w:szCs w:val="15"/>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will provide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55" w:lineRule="exact"/>
        <w:rPr>
          <w:sz w:val="20"/>
          <w:szCs w:val="20"/>
          <w:color w:val="auto"/>
        </w:rPr>
      </w:pPr>
    </w:p>
    <w:p>
      <w:pPr>
        <w:ind w:left="740" w:right="60" w:firstLine="391"/>
        <w:spacing w:after="0" w:line="254" w:lineRule="auto"/>
        <w:rPr>
          <w:sz w:val="20"/>
          <w:szCs w:val="20"/>
          <w:color w:val="auto"/>
        </w:rPr>
      </w:pPr>
      <w:r>
        <w:rPr>
          <w:rFonts w:ascii="Times New Roman" w:cs="Times New Roman" w:eastAsia="Times New Roman" w:hAnsi="Times New Roman"/>
          <w:sz w:val="16"/>
          <w:szCs w:val="16"/>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as described below. An unvested Incentive Unit will not be exchangeable unless and until such Incentive Unit vests.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209</w:t>
      </w:r>
    </w:p>
    <w:p>
      <w:pPr>
        <w:sectPr>
          <w:pgSz w:w="11900" w:h="16838" w:orient="portrait"/>
          <w:cols w:equalWidth="0" w:num="1">
            <w:col w:w="10500"/>
          </w:cols>
          <w:pgMar w:left="320" w:top="420" w:right="10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The amended and restated limited partnership agreement of Medline Holdings will also provide that substantially all expenses incurred by or attributable to Medline Inc. (such as expenses incurred in connection with this offering), but not including obligations incurred under the tax receivable agreement by Medline Inc., income tax expenses of Medline Inc. and payments on indebtedness incurred by Medline Inc., will be borne by Medline Holdings.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Participation in this Offering</w:t>
      </w:r>
    </w:p>
    <w:p>
      <w:pPr>
        <w:spacing w:after="0" w:line="105" w:lineRule="exact"/>
        <w:rPr>
          <w:sz w:val="20"/>
          <w:szCs w:val="20"/>
          <w:color w:val="auto"/>
        </w:rPr>
      </w:pPr>
    </w:p>
    <w:p>
      <w:pPr>
        <w:ind w:left="740" w:right="20" w:firstLine="391"/>
        <w:spacing w:after="0" w:line="283" w:lineRule="auto"/>
        <w:rPr>
          <w:sz w:val="20"/>
          <w:szCs w:val="20"/>
          <w:color w:val="auto"/>
        </w:rPr>
      </w:pPr>
      <w:r>
        <w:rPr>
          <w:rFonts w:ascii="Times New Roman" w:cs="Times New Roman" w:eastAsia="Times New Roman" w:hAnsi="Times New Roman"/>
          <w:sz w:val="15"/>
          <w:szCs w:val="15"/>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Because this indication of interest is not a binding agreement or commitment to purchase, members of the Mills Family and their affiliates may determine to purchase more, less, or no shares in this offering or the underwriters may determine to sell more, less, or no shares to members of the Mills Family and their affiliates.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Services Agreements</w:t>
      </w:r>
    </w:p>
    <w:p>
      <w:pPr>
        <w:spacing w:after="0" w:line="105" w:lineRule="exact"/>
        <w:rPr>
          <w:sz w:val="20"/>
          <w:szCs w:val="20"/>
          <w:color w:val="auto"/>
        </w:rPr>
      </w:pPr>
    </w:p>
    <w:p>
      <w:pPr>
        <w:ind w:left="740" w:right="100" w:firstLine="391"/>
        <w:spacing w:after="0" w:line="254" w:lineRule="auto"/>
        <w:rPr>
          <w:sz w:val="20"/>
          <w:szCs w:val="20"/>
          <w:color w:val="auto"/>
        </w:rPr>
      </w:pPr>
      <w:r>
        <w:rPr>
          <w:rFonts w:ascii="Times New Roman" w:cs="Times New Roman" w:eastAsia="Times New Roman" w:hAnsi="Times New Roman"/>
          <w:sz w:val="16"/>
          <w:szCs w:val="16"/>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6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 made payments pursuant to the Services Agreements to BX Management totaling $270 thousand, $360 thousand, $711 thousand, and $784</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thousand in the years ended December 31, 2022, 2023, 2024 and the nine months ended September 27, 2025, respectively. We made payments pursuant</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 the Services Agreements to Carlyle Management totaling $244 thousand and $60 thousand in the year ended December 31, 2023 and the nine months</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ended September 27, 2025, respectively. We made payments pursuant to the Services Agreements to H&amp;F Management totaling $120 thousand and</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$133 thousand in the year ended December 31, 2024 and the nine months ended September 27, 2025, respectively. We have not made any payments to</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Mills Family Holdco pursuant to the Services Agreements. The Services Agreements will continue in effect following this offering.</w:t>
      </w: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05" w:lineRule="exact"/>
        <w:rPr>
          <w:sz w:val="20"/>
          <w:szCs w:val="20"/>
          <w:color w:val="auto"/>
        </w:rPr>
      </w:pPr>
    </w:p>
    <w:p>
      <w:pPr>
        <w:ind w:left="740" w:firstLine="391"/>
        <w:spacing w:after="0" w:line="274" w:lineRule="auto"/>
        <w:rPr>
          <w:sz w:val="20"/>
          <w:szCs w:val="20"/>
          <w:color w:val="auto"/>
        </w:rPr>
      </w:pPr>
      <w:r>
        <w:rPr>
          <w:rFonts w:ascii="Times New Roman" w:cs="Times New Roman" w:eastAsia="Times New Roman" w:hAnsi="Times New Roman"/>
          <w:sz w:val="15"/>
          <w:szCs w:val="15"/>
          <w:color w:val="auto"/>
        </w:rPr>
        <w:t>We intend to use the proceeds (net of underwriting discounts and commissions) from the issuance of 37,034,482 shares (which we estimate will be approximately $1,051 million) and from any issuance of shares pursuant to any exercise by the underwriters of their option to purchase up to 32,405,172 additional shares (which we estimate will be approximately $919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210</w:t>
      </w:r>
    </w:p>
    <w:p>
      <w:pPr>
        <w:sectPr>
          <w:pgSz w:w="11900" w:h="16838" w:orient="portrait"/>
          <w:cols w:equalWidth="0" w:num="1">
            <w:col w:w="10500"/>
          </w:cols>
          <w:pgMar w:left="320" w:top="420" w:right="10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Other Transactions</w:t>
      </w:r>
    </w:p>
    <w:p>
      <w:pPr>
        <w:spacing w:after="0" w:line="10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February 2023, Andrew Mills, a member of our board of directors, received an allocation of term loans under our Senior Secured Credit Facilities (as defined herein), of which $17.8 million and $17.7 million principal remained outstanding as of December 31, 2024 and September 27, 2025, respectively. Borrowings under the Senior Secured Credit Facilities bear interest at a floating rate as further described in “Description of Certain Indebtedness—Senior Secured Credit Facilities—Interest rate and fees.” For the years ended December 31, 2024, 2023 and the nine months ended September 27, 2025, the Company paid Mr. Mills $1.9 million, $0.2 million and $0.1 million in principal and $1.6 million, $1.6 million and $1.1 million in interest, respectively, under the Senior Secured Credit Facilities. For additional details on the terms of the Senior Secured Credit Facilities, see “Description of Certain Indebtedness—Senior Secured Credit Facilities.”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Statement of Policy Regarding Transactions with Related Persons</w:t>
      </w:r>
    </w:p>
    <w:p>
      <w:pPr>
        <w:spacing w:after="0" w:line="105"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color w:val="auto"/>
        </w:rPr>
        <w:t>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Indemnification of Directors and Officers</w:t>
      </w:r>
    </w:p>
    <w:p>
      <w:pPr>
        <w:spacing w:after="0" w:line="105"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Family and Other Relationships</w:t>
      </w:r>
    </w:p>
    <w:p>
      <w:pPr>
        <w:spacing w:after="0" w:line="105"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57" w:lineRule="exact"/>
        <w:rPr>
          <w:sz w:val="20"/>
          <w:szCs w:val="20"/>
          <w:color w:val="auto"/>
        </w:rPr>
      </w:pPr>
    </w:p>
    <w:p>
      <w:pPr>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Andrew Mills, a member of our board of directors, served as our President from 1997 to October 2023 and is the cousin of Charles Mills and the brother-in-law of James Abrams (our former Chief Operating Officer and director). During fiscal 2022 and fiscal 2023, Mr. Mills received total compensation of $1,236,135 and $394,036, respectively, including salary, bonus, and 401(k) contributions.</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211</w:t>
      </w:r>
    </w:p>
    <w:p>
      <w:pPr>
        <w:sectPr>
          <w:pgSz w:w="11900" w:h="16838" w:orient="portrait"/>
          <w:cols w:equalWidth="0" w:num="1">
            <w:col w:w="10500"/>
          </w:cols>
          <w:pgMar w:left="320" w:top="421" w:right="10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James Abrams served as a member of our board of directors from 2010 to 2025 and as our Chief Operating Officer from 1997 to October 2023 and is the brother of William J. Abrams, son of Robert Abrams and the brother-in-law of Andrew Mills. During fiscal 2022 and fiscal 2023, Mr. Abrams received total compensation of $1,212,199 and $487,717, respectively, including salary, bonus, and 401(k) contributions.</w:t>
      </w:r>
    </w:p>
    <w:p>
      <w:pPr>
        <w:spacing w:after="0" w:line="157" w:lineRule="exact"/>
        <w:rPr>
          <w:sz w:val="20"/>
          <w:szCs w:val="20"/>
          <w:color w:val="auto"/>
        </w:rPr>
      </w:pPr>
    </w:p>
    <w:p>
      <w:pPr>
        <w:ind w:left="740" w:firstLine="391"/>
        <w:spacing w:after="0" w:line="270" w:lineRule="auto"/>
        <w:rPr>
          <w:sz w:val="20"/>
          <w:szCs w:val="20"/>
          <w:color w:val="auto"/>
        </w:rPr>
      </w:pPr>
      <w:r>
        <w:rPr>
          <w:rFonts w:ascii="Times New Roman" w:cs="Times New Roman" w:eastAsia="Times New Roman" w:hAnsi="Times New Roman"/>
          <w:sz w:val="15"/>
          <w:szCs w:val="15"/>
          <w:color w:val="auto"/>
        </w:rPr>
        <w:t>William J. Abrams is the brother of James Abrams. Mr. Abrams joined Medline in 2009 and has served as our Executive Vice President, Supply Chain Solutions since 2023. During fiscal 2022, fiscal 2023, fiscal 2024, and for the nine months ended September 27, 2025, Mr. Abrams received total compensation of $1,791,278, $1,377,619, $1,913,951, and $1,383,790, respectively, including salary, bonus, equity awards, long term incentives, and 401(k) contributions. Mr. Abrams previously held units in the Company’s Managing Partner Program (the “MPU Program”). The MPU Program was a cash-based incentive plan designed to replicate the economics of owning Company common stock. The Managing Partner Units (“MPUs”) issued pursuant to the MPU Program entitled the MPU Unit holders the opportunity to earn both (i) a share of the Company’s “Adjusted Earnings before Taxes” (the Company’s audited consolidated earnings before taxes as determined in accordance with GAAP, as adjusted for certain items) (“Profit Sharing Distributions”) and (ii) special payments tied to certain liquidity events. In addition to regular Profit Sharing Distributions, executives who held MPUs and remained employed until a liquidity event were eligible to receive the “Liquidity Event MPU Amount,” which is an amount per MPU equal to the price per share of Company common stock paid to holders thereof in connection with the liquidity event, less the book value per share of the Company at the time of the liquidity event. The Sponsor Acquisition qualified as a liquidity event under the MPU Program and entitled MPU Unit holders, including Mr. Abrams, to the Liquidity Event MPU Amount to be paid 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each of fiscal 2022 and fiscal 2023, Mr. Abrams received distributions on his MPU Units of $11,938,474.</w:t>
      </w:r>
    </w:p>
    <w:p>
      <w:pPr>
        <w:spacing w:after="0" w:line="346" w:lineRule="exact"/>
        <w:rPr>
          <w:sz w:val="20"/>
          <w:szCs w:val="20"/>
          <w:color w:val="auto"/>
        </w:rPr>
      </w:pPr>
    </w:p>
    <w:p>
      <w:pPr>
        <w:ind w:left="740" w:right="240" w:firstLine="391"/>
        <w:spacing w:after="0" w:line="281" w:lineRule="auto"/>
        <w:rPr>
          <w:sz w:val="20"/>
          <w:szCs w:val="20"/>
          <w:color w:val="auto"/>
        </w:rPr>
      </w:pPr>
      <w:r>
        <w:rPr>
          <w:rFonts w:ascii="Times New Roman" w:cs="Times New Roman" w:eastAsia="Times New Roman" w:hAnsi="Times New Roman"/>
          <w:sz w:val="16"/>
          <w:szCs w:val="16"/>
          <w:color w:val="auto"/>
        </w:rPr>
        <w:t>Justin Mills is the son of Andrew Mills. Mr. Mills is currently employed by the Company as a sales representative in Acute Care. During fiscal 2024, Mr. Mills received total compensation of $222,784, including base salary, commission, and other benefits.</w:t>
      </w:r>
    </w:p>
    <w:p>
      <w:pPr>
        <w:spacing w:after="0" w:line="144" w:lineRule="exact"/>
        <w:rPr>
          <w:sz w:val="20"/>
          <w:szCs w:val="20"/>
          <w:color w:val="auto"/>
        </w:rPr>
      </w:pPr>
    </w:p>
    <w:p>
      <w:pPr>
        <w:jc w:val="both"/>
        <w:ind w:left="740" w:firstLine="391"/>
        <w:spacing w:after="0" w:line="265" w:lineRule="auto"/>
        <w:rPr>
          <w:sz w:val="20"/>
          <w:szCs w:val="20"/>
          <w:color w:val="auto"/>
        </w:rPr>
      </w:pPr>
      <w:r>
        <w:rPr>
          <w:rFonts w:ascii="Times New Roman" w:cs="Times New Roman" w:eastAsia="Times New Roman" w:hAnsi="Times New Roman"/>
          <w:sz w:val="16"/>
          <w:szCs w:val="16"/>
          <w:color w:val="auto"/>
        </w:rPr>
        <w:t>Robert Abrams is the father of James Abrams and William J. Abrams and is currently employed as the Company’s Corporate Purchasing Director. During fiscal 2022, fiscal 2023 and fiscal 2024, Mr. Abrams received total compensation of $133,173, $137,981 and $127,917, respectively, comprised of his base salary.</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MPU Rollover Investments</w:t>
      </w:r>
    </w:p>
    <w:p>
      <w:pPr>
        <w:spacing w:after="0" w:line="105"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65"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$18,306,416 of his Liquidity Event MPU Amount into Class A Units, of which $12,204,277 was funded by a loan from Medline Holdings; (iv) William J. Abrams reinvested $7,521,238 of his Liquidity Event MPU Amount into Class A Units, of which $5,014,159 was funded by a loan from</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212</w:t>
      </w:r>
    </w:p>
    <w:p>
      <w:pPr>
        <w:sectPr>
          <w:pgSz w:w="11900" w:h="16838" w:orient="portrait"/>
          <w:cols w:equalWidth="0" w:num="1">
            <w:col w:w="10480"/>
          </w:cols>
          <w:pgMar w:left="320" w:top="421" w:right="10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Medline Holdings; (v) Amanda Laabs reinvested $3,809,629 of her Liquidity Event MPU Amount into Class A Units, of which $2,539,753 was funded</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by a loan from Medline Holdings; (vi) Alex Liberman reinvested $6,996,528 of his Liquidity Event MPU Amount into Class A Units, of which</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$4,664,352 was funded by a loan from Medline Holdings; and (vii) Doug Golwas reinvested $7,068,825 of his Liquidity Event MPU Amount into Class</w:t>
      </w:r>
    </w:p>
    <w:p>
      <w:pPr>
        <w:spacing w:after="0" w:line="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 Units, of which $4,712,550 was funded by a loan from Medline Holdings. Loans from Medline Holdings under the Reinvestment Program bore</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interest at an annual interest rate of 0.25%, compounded annually. Aggregate interest payments paid during the life of the loans by Messrs. Boyle,</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Pigott, Abrams, Liberman and Golwas and Ms. Laabs totaled $20,454, $45,766, $18,803, $17,491, $17,672, and $9,524, respectively. All loans under</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Reinvestment Program were fully repaid as of October 20, 2023.</w:t>
      </w:r>
    </w:p>
    <w:p>
      <w:pPr>
        <w:spacing w:after="0" w:line="12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213</w:t>
      </w:r>
    </w:p>
    <w:p>
      <w:pPr>
        <w:sectPr>
          <w:pgSz w:w="11900" w:h="16838" w:orient="portrait"/>
          <w:cols w:equalWidth="0" w:num="1">
            <w:col w:w="10480"/>
          </w:cols>
          <w:pgMar w:left="320" w:top="421" w:right="10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PRINCIPAL STOCKHOLDERS</w:t>
      </w:r>
    </w:p>
    <w:p>
      <w:pPr>
        <w:spacing w:after="0" w:line="201"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The following tables set forth information regarding the beneficial ownership of shares of our Class A common stock and our Class B common stock by (1) each person known to us to beneficially own more than 5% of any class of the outstanding voting securities of Medline Inc., (2) each of our directors, director nominees, and named executive officers and (3) all of our directors, director nominees, and executive officers as a group.</w:t>
      </w:r>
    </w:p>
    <w:p>
      <w:pPr>
        <w:spacing w:after="0" w:line="157"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percentage of beneficial ownership of shares of our Class A common stock and our Class B common stock outstanding before the offering set forth below is based on the number of shares of our Class A common stock and our Class B common stock to be issued and outstanding immediately prior to the consummation of this offering. The percentage of beneficial ownership of our Class A common stock and our Class B common stock after the offering set forth below is based on shares of our Class A common stock and our Class B common stock to be issued and outstanding immediately after the offering. Beneficial ownership is determined in accordance with the rules of the SEC.</w:t>
      </w:r>
    </w:p>
    <w:p>
      <w:pPr>
        <w:spacing w:after="0" w:line="165" w:lineRule="exact"/>
        <w:rPr>
          <w:sz w:val="20"/>
          <w:szCs w:val="20"/>
          <w:color w:val="auto"/>
        </w:rPr>
      </w:pPr>
    </w:p>
    <w:p>
      <w:pPr>
        <w:ind w:left="740" w:right="140" w:firstLine="391"/>
        <w:spacing w:after="0" w:line="253" w:lineRule="auto"/>
        <w:rPr>
          <w:sz w:val="20"/>
          <w:szCs w:val="20"/>
          <w:color w:val="auto"/>
        </w:rPr>
      </w:pPr>
      <w:r>
        <w:rPr>
          <w:rFonts w:ascii="Times New Roman" w:cs="Times New Roman" w:eastAsia="Times New Roman" w:hAnsi="Times New Roman"/>
          <w:sz w:val="16"/>
          <w:szCs w:val="16"/>
          <w:color w:val="auto"/>
        </w:rPr>
        <w:t>In connection with this offering, we will issue to each Continuing Common Unitholder one share of Class B common stock for each Common Unit such Continuing Common Unitholder beneficially owns immediately prior to the consummation of this offering.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will hold all of the initially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214</w:t>
      </w:r>
    </w:p>
    <w:p>
      <w:pPr>
        <w:sectPr>
          <w:pgSz w:w="11900" w:h="16838" w:orient="portrait"/>
          <w:cols w:equalWidth="0" w:num="1">
            <w:col w:w="10460"/>
          </w:cols>
          <w:pgMar w:left="320" w:top="421" w:right="111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4"/>
              </w:rPr>
              <w:t>Class A Common Stock Beneficially Owned</w:t>
            </w:r>
            <w:r>
              <w:rPr>
                <w:rFonts w:ascii="Times New Roman" w:cs="Times New Roman" w:eastAsia="Times New Roman" w:hAnsi="Times New Roman"/>
                <w:sz w:val="14"/>
                <w:szCs w:val="14"/>
                <w:b w:val="1"/>
                <w:bCs w:val="1"/>
                <w:color w:val="auto"/>
                <w:w w:val="94"/>
                <w:vertAlign w:val="superscript"/>
              </w:rPr>
              <w:t>(1)</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jc w:val="center"/>
              <w:ind w:right="184"/>
              <w:spacing w:after="0"/>
              <w:rPr>
                <w:sz w:val="20"/>
                <w:szCs w:val="20"/>
                <w:color w:val="auto"/>
              </w:rPr>
            </w:pPr>
            <w:r>
              <w:rPr>
                <w:rFonts w:ascii="Times New Roman" w:cs="Times New Roman" w:eastAsia="Times New Roman" w:hAnsi="Times New Roman"/>
                <w:sz w:val="10"/>
                <w:szCs w:val="10"/>
                <w:b w:val="1"/>
                <w:bCs w:val="1"/>
                <w:color w:val="auto"/>
                <w:w w:val="94"/>
              </w:rPr>
              <w:t>Class B Common Stock Beneficially Owned</w:t>
            </w:r>
            <w:r>
              <w:rPr>
                <w:rFonts w:ascii="Times New Roman" w:cs="Times New Roman" w:eastAsia="Times New Roman" w:hAnsi="Times New Roman"/>
                <w:sz w:val="14"/>
                <w:szCs w:val="14"/>
                <w:b w:val="1"/>
                <w:bCs w:val="1"/>
                <w:color w:val="auto"/>
                <w:w w:val="94"/>
                <w:vertAlign w:val="superscript"/>
              </w:rPr>
              <w:t>(1)</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Borders>
              <w:bottom w:val="single" w:sz="8" w:color="auto"/>
            </w:tcBorders>
            <w:gridSpan w:val="3"/>
          </w:tcPr>
          <w:p>
            <w:pPr>
              <w:jc w:val="center"/>
              <w:ind w:left="402"/>
              <w:spacing w:after="0"/>
              <w:rPr>
                <w:sz w:val="20"/>
                <w:szCs w:val="20"/>
                <w:color w:val="auto"/>
              </w:rPr>
            </w:pPr>
            <w:r>
              <w:rPr>
                <w:rFonts w:ascii="Times New Roman" w:cs="Times New Roman" w:eastAsia="Times New Roman" w:hAnsi="Times New Roman"/>
                <w:sz w:val="10"/>
                <w:szCs w:val="10"/>
                <w:b w:val="1"/>
                <w:bCs w:val="1"/>
                <w:color w:val="auto"/>
                <w:w w:val="93"/>
              </w:rPr>
              <w:t>Combined Voting Power</w:t>
            </w:r>
            <w:r>
              <w:rPr>
                <w:rFonts w:ascii="Times New Roman" w:cs="Times New Roman" w:eastAsia="Times New Roman" w:hAnsi="Times New Roman"/>
                <w:sz w:val="14"/>
                <w:szCs w:val="14"/>
                <w:b w:val="1"/>
                <w:bCs w:val="1"/>
                <w:color w:val="auto"/>
                <w:w w:val="93"/>
                <w:vertAlign w:val="superscript"/>
              </w:rPr>
              <w:t>(</w:t>
            </w:r>
          </w:p>
        </w:tc>
        <w:tc>
          <w:tcPr>
            <w:tcW w:w="0" w:type="dxa"/>
            <w:vAlign w:val="bottom"/>
          </w:tcPr>
          <w:p>
            <w:pPr>
              <w:spacing w:after="0"/>
              <w:rPr>
                <w:sz w:val="1"/>
                <w:szCs w:val="1"/>
                <w:color w:val="auto"/>
              </w:rPr>
            </w:pPr>
          </w:p>
        </w:tc>
      </w:tr>
      <w:tr>
        <w:trPr>
          <w:trHeight w:val="86"/>
        </w:trPr>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After the</w:t>
            </w: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After the</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4"/>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8"/>
              </w:rPr>
              <w:t>After the</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660" w:type="dxa"/>
            <w:vAlign w:val="bottom"/>
          </w:tcPr>
          <w:p>
            <w:pPr>
              <w:spacing w:after="0"/>
              <w:rPr>
                <w:sz w:val="9"/>
                <w:szCs w:val="9"/>
                <w:color w:val="auto"/>
              </w:rPr>
            </w:pPr>
          </w:p>
        </w:tc>
        <w:tc>
          <w:tcPr>
            <w:tcW w:w="76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0"/>
                <w:szCs w:val="10"/>
                <w:b w:val="1"/>
                <w:bCs w:val="1"/>
                <w:color w:val="auto"/>
                <w:w w:val="93"/>
              </w:rPr>
              <w:t>After the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7"/>
              </w:rPr>
              <w:t>Transactions</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4"/>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3"/>
              </w:rPr>
              <w:t>Transactions</w:t>
            </w:r>
          </w:p>
        </w:tc>
        <w:tc>
          <w:tcPr>
            <w:tcW w:w="660" w:type="dxa"/>
            <w:vAlign w:val="bottom"/>
          </w:tcPr>
          <w:p>
            <w:pPr>
              <w:spacing w:after="0"/>
              <w:rPr>
                <w:sz w:val="9"/>
                <w:szCs w:val="9"/>
                <w:color w:val="auto"/>
              </w:rPr>
            </w:pPr>
          </w:p>
        </w:tc>
        <w:tc>
          <w:tcPr>
            <w:tcW w:w="76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T</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3"/>
              </w:rPr>
              <w:t>Transactions</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4"/>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Transactions</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4"/>
              </w:rPr>
              <w:t>Assuming</w:t>
            </w:r>
          </w:p>
        </w:tc>
        <w:tc>
          <w:tcPr>
            <w:tcW w:w="660" w:type="dxa"/>
            <w:vAlign w:val="bottom"/>
          </w:tcPr>
          <w:p>
            <w:pPr>
              <w:spacing w:after="0"/>
              <w:rPr>
                <w:sz w:val="9"/>
                <w:szCs w:val="9"/>
                <w:color w:val="auto"/>
              </w:rPr>
            </w:pPr>
          </w:p>
        </w:tc>
        <w:tc>
          <w:tcPr>
            <w:tcW w:w="76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0"/>
                <w:szCs w:val="10"/>
                <w:b w:val="1"/>
                <w:bCs w:val="1"/>
                <w:color w:val="auto"/>
                <w:w w:val="93"/>
              </w:rPr>
              <w:t>Transactions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Assuming</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4"/>
              </w:rPr>
              <w:t>Underwriters’</w:t>
            </w: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gridSpan w:val="4"/>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9"/>
              </w:rPr>
              <w:t>Assuming</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660" w:type="dxa"/>
            <w:vAlign w:val="bottom"/>
          </w:tcPr>
          <w:p>
            <w:pPr>
              <w:spacing w:after="0"/>
              <w:rPr>
                <w:sz w:val="9"/>
                <w:szCs w:val="9"/>
                <w:color w:val="auto"/>
              </w:rPr>
            </w:pPr>
          </w:p>
        </w:tc>
        <w:tc>
          <w:tcPr>
            <w:tcW w:w="760" w:type="dxa"/>
            <w:vAlign w:val="bottom"/>
          </w:tcPr>
          <w:p>
            <w:pPr>
              <w:jc w:val="center"/>
              <w:ind w:right="23"/>
              <w:spacing w:after="0" w:line="108" w:lineRule="exact"/>
              <w:rPr>
                <w:sz w:val="20"/>
                <w:szCs w:val="20"/>
                <w:color w:val="auto"/>
              </w:rPr>
            </w:pPr>
            <w:r>
              <w:rPr>
                <w:rFonts w:ascii="Times New Roman" w:cs="Times New Roman" w:eastAsia="Times New Roman" w:hAnsi="Times New Roman"/>
                <w:sz w:val="10"/>
                <w:szCs w:val="10"/>
                <w:b w:val="1"/>
                <w:bCs w:val="1"/>
                <w:color w:val="auto"/>
                <w:w w:val="94"/>
              </w:rPr>
              <w:t>Assuming</w:t>
            </w:r>
          </w:p>
        </w:tc>
        <w:tc>
          <w:tcPr>
            <w:tcW w:w="1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b w:val="1"/>
                <w:bCs w:val="1"/>
                <w:color w:val="auto"/>
              </w:rPr>
              <w:t>U</w:t>
            </w: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2"/>
              </w:rPr>
              <w:t>Prior to the</w:t>
            </w: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8"/>
              </w:rPr>
              <w:t>Underwriters’</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Option is</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7"/>
              </w:rPr>
              <w:t>Prior to the</w:t>
            </w:r>
          </w:p>
        </w:tc>
        <w:tc>
          <w:tcPr>
            <w:tcW w:w="1340" w:type="dxa"/>
            <w:vAlign w:val="bottom"/>
            <w:gridSpan w:val="4"/>
          </w:tcPr>
          <w:p>
            <w:pPr>
              <w:ind w:left="300"/>
              <w:spacing w:after="0" w:line="108" w:lineRule="exact"/>
              <w:rPr>
                <w:sz w:val="20"/>
                <w:szCs w:val="20"/>
                <w:color w:val="auto"/>
              </w:rPr>
            </w:pPr>
            <w:r>
              <w:rPr>
                <w:rFonts w:ascii="Times New Roman" w:cs="Times New Roman" w:eastAsia="Times New Roman" w:hAnsi="Times New Roman"/>
                <w:sz w:val="10"/>
                <w:szCs w:val="10"/>
                <w:b w:val="1"/>
                <w:bCs w:val="1"/>
                <w:color w:val="auto"/>
              </w:rPr>
              <w:t>Underwriters’</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1"/>
              </w:rPr>
              <w:t>Option is</w:t>
            </w:r>
          </w:p>
        </w:tc>
        <w:tc>
          <w:tcPr>
            <w:tcW w:w="660" w:type="dxa"/>
            <w:vAlign w:val="bottom"/>
          </w:tcPr>
          <w:p>
            <w:pPr>
              <w:jc w:val="center"/>
              <w:ind w:right="62"/>
              <w:spacing w:after="0" w:line="108" w:lineRule="exact"/>
              <w:rPr>
                <w:sz w:val="20"/>
                <w:szCs w:val="20"/>
                <w:color w:val="auto"/>
              </w:rPr>
            </w:pPr>
            <w:r>
              <w:rPr>
                <w:rFonts w:ascii="Times New Roman" w:cs="Times New Roman" w:eastAsia="Times New Roman" w:hAnsi="Times New Roman"/>
                <w:sz w:val="10"/>
                <w:szCs w:val="10"/>
                <w:b w:val="1"/>
                <w:bCs w:val="1"/>
                <w:color w:val="auto"/>
                <w:w w:val="92"/>
              </w:rPr>
              <w:t>Prior to the</w:t>
            </w:r>
          </w:p>
        </w:tc>
        <w:tc>
          <w:tcPr>
            <w:tcW w:w="760" w:type="dxa"/>
            <w:vAlign w:val="bottom"/>
          </w:tcPr>
          <w:p>
            <w:pPr>
              <w:jc w:val="center"/>
              <w:ind w:right="43"/>
              <w:spacing w:after="0" w:line="108" w:lineRule="exact"/>
              <w:rPr>
                <w:sz w:val="20"/>
                <w:szCs w:val="20"/>
                <w:color w:val="auto"/>
              </w:rPr>
            </w:pPr>
            <w:r>
              <w:rPr>
                <w:rFonts w:ascii="Times New Roman" w:cs="Times New Roman" w:eastAsia="Times New Roman" w:hAnsi="Times New Roman"/>
                <w:sz w:val="10"/>
                <w:szCs w:val="10"/>
                <w:b w:val="1"/>
                <w:bCs w:val="1"/>
                <w:color w:val="auto"/>
                <w:w w:val="94"/>
              </w:rPr>
              <w:t>Underwriters’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134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7"/>
              </w:rPr>
              <w:t>Option is Not</w:t>
            </w:r>
          </w:p>
        </w:tc>
        <w:tc>
          <w:tcPr>
            <w:tcW w:w="1320" w:type="dxa"/>
            <w:vAlign w:val="bottom"/>
            <w:gridSpan w:val="4"/>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Exercised in</w:t>
            </w:r>
          </w:p>
        </w:tc>
        <w:tc>
          <w:tcPr>
            <w:tcW w:w="1320" w:type="dxa"/>
            <w:vAlign w:val="bottom"/>
            <w:gridSpan w:val="3"/>
          </w:tcPr>
          <w:p>
            <w:pPr>
              <w:jc w:val="center"/>
              <w:ind w:right="160"/>
              <w:spacing w:after="0" w:line="108" w:lineRule="exact"/>
              <w:rPr>
                <w:sz w:val="20"/>
                <w:szCs w:val="20"/>
                <w:color w:val="auto"/>
              </w:rPr>
            </w:pPr>
            <w:r>
              <w:rPr>
                <w:rFonts w:ascii="Times New Roman" w:cs="Times New Roman" w:eastAsia="Times New Roman" w:hAnsi="Times New Roman"/>
                <w:sz w:val="10"/>
                <w:szCs w:val="10"/>
                <w:b w:val="1"/>
                <w:bCs w:val="1"/>
                <w:color w:val="auto"/>
                <w:w w:val="98"/>
              </w:rPr>
              <w:t>Offering</w:t>
            </w:r>
          </w:p>
        </w:tc>
        <w:tc>
          <w:tcPr>
            <w:tcW w:w="1340" w:type="dxa"/>
            <w:vAlign w:val="bottom"/>
            <w:gridSpan w:val="4"/>
          </w:tcPr>
          <w:p>
            <w:pPr>
              <w:ind w:left="320"/>
              <w:spacing w:after="0" w:line="108" w:lineRule="exact"/>
              <w:rPr>
                <w:sz w:val="20"/>
                <w:szCs w:val="20"/>
                <w:color w:val="auto"/>
              </w:rPr>
            </w:pPr>
            <w:r>
              <w:rPr>
                <w:rFonts w:ascii="Times New Roman" w:cs="Times New Roman" w:eastAsia="Times New Roman" w:hAnsi="Times New Roman"/>
                <w:sz w:val="10"/>
                <w:szCs w:val="10"/>
                <w:b w:val="1"/>
                <w:bCs w:val="1"/>
                <w:color w:val="auto"/>
              </w:rPr>
              <w:t>Option is Not</w:t>
            </w:r>
          </w:p>
        </w:tc>
        <w:tc>
          <w:tcPr>
            <w:tcW w:w="1320" w:type="dxa"/>
            <w:vAlign w:val="bottom"/>
            <w:gridSpan w:val="3"/>
          </w:tcPr>
          <w:p>
            <w:pPr>
              <w:jc w:val="center"/>
              <w:ind w:right="180"/>
              <w:spacing w:after="0" w:line="108" w:lineRule="exact"/>
              <w:rPr>
                <w:sz w:val="20"/>
                <w:szCs w:val="20"/>
                <w:color w:val="auto"/>
              </w:rPr>
            </w:pPr>
            <w:r>
              <w:rPr>
                <w:rFonts w:ascii="Times New Roman" w:cs="Times New Roman" w:eastAsia="Times New Roman" w:hAnsi="Times New Roman"/>
                <w:sz w:val="10"/>
                <w:szCs w:val="10"/>
                <w:b w:val="1"/>
                <w:bCs w:val="1"/>
                <w:color w:val="auto"/>
                <w:w w:val="95"/>
              </w:rPr>
              <w:t>Exercised in</w:t>
            </w:r>
          </w:p>
        </w:tc>
        <w:tc>
          <w:tcPr>
            <w:tcW w:w="660" w:type="dxa"/>
            <w:vAlign w:val="bottom"/>
          </w:tcPr>
          <w:p>
            <w:pPr>
              <w:jc w:val="center"/>
              <w:ind w:right="62"/>
              <w:spacing w:after="0" w:line="108" w:lineRule="exact"/>
              <w:rPr>
                <w:sz w:val="20"/>
                <w:szCs w:val="20"/>
                <w:color w:val="auto"/>
              </w:rPr>
            </w:pPr>
            <w:r>
              <w:rPr>
                <w:rFonts w:ascii="Times New Roman" w:cs="Times New Roman" w:eastAsia="Times New Roman" w:hAnsi="Times New Roman"/>
                <w:sz w:val="10"/>
                <w:szCs w:val="10"/>
                <w:b w:val="1"/>
                <w:bCs w:val="1"/>
                <w:color w:val="auto"/>
                <w:w w:val="92"/>
              </w:rPr>
              <w:t>Offering</w:t>
            </w:r>
          </w:p>
        </w:tc>
        <w:tc>
          <w:tcPr>
            <w:tcW w:w="760" w:type="dxa"/>
            <w:vAlign w:val="bottom"/>
          </w:tcPr>
          <w:p>
            <w:pPr>
              <w:jc w:val="center"/>
              <w:ind w:right="43"/>
              <w:spacing w:after="0" w:line="108" w:lineRule="exact"/>
              <w:rPr>
                <w:sz w:val="20"/>
                <w:szCs w:val="20"/>
                <w:color w:val="auto"/>
              </w:rPr>
            </w:pPr>
            <w:r>
              <w:rPr>
                <w:rFonts w:ascii="Times New Roman" w:cs="Times New Roman" w:eastAsia="Times New Roman" w:hAnsi="Times New Roman"/>
                <w:sz w:val="10"/>
                <w:szCs w:val="10"/>
                <w:b w:val="1"/>
                <w:bCs w:val="1"/>
                <w:color w:val="auto"/>
                <w:w w:val="94"/>
              </w:rPr>
              <w:t>Option is Not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5"/>
              </w:rPr>
              <w:t>Name of Beneficial Owner</w:t>
            </w:r>
          </w:p>
        </w:tc>
        <w:tc>
          <w:tcPr>
            <w:tcW w:w="132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Transactions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700" w:type="dxa"/>
            <w:vAlign w:val="bottom"/>
            <w:gridSpan w:val="2"/>
          </w:tcPr>
          <w:p>
            <w:pPr>
              <w:jc w:val="center"/>
              <w:ind w:left="384"/>
              <w:spacing w:after="0"/>
              <w:rPr>
                <w:sz w:val="20"/>
                <w:szCs w:val="20"/>
                <w:color w:val="auto"/>
              </w:rPr>
            </w:pPr>
            <w:r>
              <w:rPr>
                <w:rFonts w:ascii="Times New Roman" w:cs="Times New Roman" w:eastAsia="Times New Roman" w:hAnsi="Times New Roman"/>
                <w:sz w:val="10"/>
                <w:szCs w:val="10"/>
                <w:b w:val="1"/>
                <w:bCs w:val="1"/>
                <w:color w:val="auto"/>
              </w:rPr>
              <w:t>Full</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Transactions</w:t>
            </w:r>
          </w:p>
        </w:tc>
        <w:tc>
          <w:tcPr>
            <w:tcW w:w="134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Exercised</w:t>
            </w:r>
          </w:p>
        </w:tc>
        <w:tc>
          <w:tcPr>
            <w:tcW w:w="700" w:type="dxa"/>
            <w:vAlign w:val="bottom"/>
          </w:tcPr>
          <w:p>
            <w:pPr>
              <w:jc w:val="center"/>
              <w:ind w:left="404"/>
              <w:spacing w:after="0"/>
              <w:rPr>
                <w:sz w:val="20"/>
                <w:szCs w:val="20"/>
                <w:color w:val="auto"/>
              </w:rPr>
            </w:pPr>
            <w:r>
              <w:rPr>
                <w:rFonts w:ascii="Times New Roman" w:cs="Times New Roman" w:eastAsia="Times New Roman" w:hAnsi="Times New Roman"/>
                <w:sz w:val="10"/>
                <w:szCs w:val="10"/>
                <w:b w:val="1"/>
                <w:bCs w:val="1"/>
                <w:color w:val="auto"/>
                <w:w w:val="92"/>
              </w:rPr>
              <w:t>Full</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w w:val="97"/>
              </w:rPr>
              <w:t>Transactions</w:t>
            </w:r>
          </w:p>
        </w:tc>
        <w:tc>
          <w:tcPr>
            <w:tcW w:w="76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5"/>
              </w:rPr>
              <w:t>Exercised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120" w:type="dxa"/>
            <w:vAlign w:val="bottom"/>
            <w:tcBorders>
              <w:bottom w:val="single" w:sz="8" w:color="auto"/>
            </w:tcBorders>
            <w:vMerge w:val="continue"/>
          </w:tcPr>
          <w:p>
            <w:pPr>
              <w:spacing w:after="0"/>
              <w:rPr>
                <w:sz w:val="7"/>
                <w:szCs w:val="7"/>
                <w:color w:val="auto"/>
              </w:rPr>
            </w:pPr>
          </w:p>
        </w:tc>
        <w:tc>
          <w:tcPr>
            <w:tcW w:w="700" w:type="dxa"/>
            <w:vAlign w:val="bottom"/>
            <w:tcBorders>
              <w:top w:val="single" w:sz="8" w:color="auto"/>
            </w:tcBorders>
            <w:gridSpan w:val="2"/>
          </w:tcPr>
          <w:p>
            <w:pPr>
              <w:jc w:val="right"/>
              <w:ind w:right="220"/>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60" w:type="dxa"/>
            <w:vAlign w:val="bottom"/>
          </w:tcPr>
          <w:p>
            <w:pPr>
              <w:spacing w:after="0"/>
              <w:rPr>
                <w:sz w:val="7"/>
                <w:szCs w:val="7"/>
                <w:color w:val="auto"/>
              </w:rPr>
            </w:pPr>
          </w:p>
        </w:tc>
        <w:tc>
          <w:tcPr>
            <w:tcW w:w="700" w:type="dxa"/>
            <w:vAlign w:val="bottom"/>
            <w:tcBorders>
              <w:top w:val="single" w:sz="8" w:color="auto"/>
            </w:tcBorders>
          </w:tcPr>
          <w:p>
            <w:pPr>
              <w:jc w:val="right"/>
              <w:ind w:right="163"/>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80" w:type="dxa"/>
            <w:vAlign w:val="bottom"/>
          </w:tcPr>
          <w:p>
            <w:pPr>
              <w:spacing w:after="0"/>
              <w:rPr>
                <w:sz w:val="7"/>
                <w:szCs w:val="7"/>
                <w:color w:val="auto"/>
              </w:rPr>
            </w:pPr>
          </w:p>
        </w:tc>
        <w:tc>
          <w:tcPr>
            <w:tcW w:w="700" w:type="dxa"/>
            <w:vAlign w:val="bottom"/>
            <w:tcBorders>
              <w:top w:val="single" w:sz="8" w:color="auto"/>
            </w:tcBorders>
            <w:gridSpan w:val="2"/>
          </w:tcPr>
          <w:p>
            <w:pPr>
              <w:ind w:left="140"/>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60" w:type="dxa"/>
            <w:vAlign w:val="bottom"/>
          </w:tcPr>
          <w:p>
            <w:pPr>
              <w:spacing w:after="0"/>
              <w:rPr>
                <w:sz w:val="7"/>
                <w:szCs w:val="7"/>
                <w:color w:val="auto"/>
              </w:rPr>
            </w:pPr>
          </w:p>
        </w:tc>
        <w:tc>
          <w:tcPr>
            <w:tcW w:w="700" w:type="dxa"/>
            <w:vAlign w:val="bottom"/>
            <w:tcBorders>
              <w:top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60" w:type="dxa"/>
            <w:vAlign w:val="bottom"/>
          </w:tcPr>
          <w:p>
            <w:pPr>
              <w:spacing w:after="0"/>
              <w:rPr>
                <w:sz w:val="7"/>
                <w:szCs w:val="7"/>
                <w:color w:val="auto"/>
              </w:rPr>
            </w:pPr>
          </w:p>
        </w:tc>
        <w:tc>
          <w:tcPr>
            <w:tcW w:w="720" w:type="dxa"/>
            <w:vAlign w:val="bottom"/>
            <w:tcBorders>
              <w:top w:val="single" w:sz="8" w:color="auto"/>
            </w:tcBorders>
            <w:gridSpan w:val="2"/>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60" w:type="dxa"/>
            <w:vAlign w:val="bottom"/>
          </w:tcPr>
          <w:p>
            <w:pPr>
              <w:spacing w:after="0"/>
              <w:rPr>
                <w:sz w:val="7"/>
                <w:szCs w:val="7"/>
                <w:color w:val="auto"/>
              </w:rPr>
            </w:pPr>
          </w:p>
        </w:tc>
        <w:tc>
          <w:tcPr>
            <w:tcW w:w="700" w:type="dxa"/>
            <w:vAlign w:val="bottom"/>
            <w:tcBorders>
              <w:top w:val="single" w:sz="8" w:color="auto"/>
            </w:tcBorders>
          </w:tcPr>
          <w:p>
            <w:pPr>
              <w:jc w:val="right"/>
              <w:ind w:right="164"/>
              <w:spacing w:after="0" w:line="88" w:lineRule="exact"/>
              <w:rPr>
                <w:sz w:val="20"/>
                <w:szCs w:val="20"/>
                <w:color w:val="auto"/>
              </w:rPr>
            </w:pPr>
            <w:r>
              <w:rPr>
                <w:rFonts w:ascii="Times New Roman" w:cs="Times New Roman" w:eastAsia="Times New Roman" w:hAnsi="Times New Roman"/>
                <w:sz w:val="10"/>
                <w:szCs w:val="10"/>
                <w:b w:val="1"/>
                <w:bCs w:val="1"/>
                <w:color w:val="auto"/>
              </w:rPr>
              <w:t>Number</w:t>
            </w:r>
          </w:p>
        </w:tc>
        <w:tc>
          <w:tcPr>
            <w:tcW w:w="460" w:type="dxa"/>
            <w:vAlign w:val="bottom"/>
            <w:tcBorders>
              <w:top w:val="single" w:sz="8" w:color="auto"/>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w w:val="93"/>
              </w:rPr>
              <w:t>Percentage</w:t>
            </w:r>
          </w:p>
        </w:tc>
        <w:tc>
          <w:tcPr>
            <w:tcW w:w="16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ind w:right="103"/>
              <w:spacing w:after="0" w:line="88"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1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CCEEFF"/>
            </w:tcBorders>
            <w:vMerge w:val="restart"/>
            <w:shd w:val="clear" w:color="auto" w:fill="CCEEFF"/>
          </w:tcPr>
          <w:p>
            <w:pPr>
              <w:spacing w:after="0" w:line="136" w:lineRule="exact"/>
              <w:rPr>
                <w:sz w:val="20"/>
                <w:szCs w:val="20"/>
                <w:color w:val="auto"/>
              </w:rPr>
            </w:pPr>
            <w:r>
              <w:rPr>
                <w:rFonts w:ascii="Times New Roman" w:cs="Times New Roman" w:eastAsia="Times New Roman" w:hAnsi="Times New Roman"/>
                <w:sz w:val="11"/>
                <w:szCs w:val="11"/>
                <w:color w:val="auto"/>
              </w:rPr>
              <w:t>Blackstone</w:t>
            </w:r>
            <w:r>
              <w:rPr>
                <w:rFonts w:ascii="Times New Roman" w:cs="Times New Roman" w:eastAsia="Times New Roman" w:hAnsi="Times New Roman"/>
                <w:sz w:val="15"/>
                <w:szCs w:val="15"/>
                <w:color w:val="auto"/>
                <w:vertAlign w:val="superscript"/>
              </w:rPr>
              <w:t>(3)</w:t>
            </w: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20" w:type="dxa"/>
            <w:vAlign w:val="bottom"/>
            <w:tcBorders>
              <w:right w:val="single" w:sz="8" w:color="CCEEFF"/>
            </w:tcBorders>
            <w:vMerge w:val="continue"/>
            <w:shd w:val="clear" w:color="auto" w:fill="CCEEFF"/>
          </w:tcPr>
          <w:p>
            <w:pPr>
              <w:spacing w:after="0"/>
              <w:rPr>
                <w:sz w:val="10"/>
                <w:szCs w:val="10"/>
                <w:color w:val="auto"/>
              </w:rPr>
            </w:pPr>
          </w:p>
        </w:tc>
        <w:tc>
          <w:tcPr>
            <w:tcW w:w="62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2"/>
                <w:szCs w:val="12"/>
                <w:color w:val="auto"/>
                <w:w w:val="99"/>
              </w:rPr>
              <w:t>156,661,540</w:t>
            </w:r>
          </w:p>
        </w:tc>
        <w:tc>
          <w:tcPr>
            <w:tcW w:w="80" w:type="dxa"/>
            <w:vAlign w:val="bottom"/>
            <w:vMerge w:val="continue"/>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2"/>
                <w:szCs w:val="12"/>
                <w:color w:val="auto"/>
              </w:rPr>
              <w:t>25.8%</w:t>
            </w:r>
          </w:p>
        </w:tc>
        <w:tc>
          <w:tcPr>
            <w:tcW w:w="700" w:type="dxa"/>
            <w:vAlign w:val="bottom"/>
            <w:tcBorders>
              <w:right w:val="single" w:sz="8" w:color="CCEEFF"/>
            </w:tcBorders>
            <w:shd w:val="clear" w:color="auto" w:fill="CCEEFF"/>
          </w:tcPr>
          <w:p>
            <w:pPr>
              <w:jc w:val="center"/>
              <w:spacing w:after="0" w:line="116" w:lineRule="exact"/>
              <w:rPr>
                <w:sz w:val="20"/>
                <w:szCs w:val="20"/>
                <w:color w:val="auto"/>
              </w:rPr>
            </w:pPr>
            <w:r>
              <w:rPr>
                <w:rFonts w:ascii="Times New Roman" w:cs="Times New Roman" w:eastAsia="Times New Roman" w:hAnsi="Times New Roman"/>
                <w:sz w:val="12"/>
                <w:szCs w:val="12"/>
                <w:color w:val="auto"/>
                <w:w w:val="99"/>
              </w:rPr>
              <w:t>149,338,268</w:t>
            </w:r>
          </w:p>
        </w:tc>
        <w:tc>
          <w:tcPr>
            <w:tcW w:w="640" w:type="dxa"/>
            <w:vAlign w:val="bottom"/>
            <w:gridSpan w:val="2"/>
            <w:shd w:val="clear" w:color="auto" w:fill="CCEEFF"/>
          </w:tcPr>
          <w:p>
            <w:pPr>
              <w:jc w:val="right"/>
              <w:ind w:right="80"/>
              <w:spacing w:after="0" w:line="116" w:lineRule="exact"/>
              <w:rPr>
                <w:sz w:val="20"/>
                <w:szCs w:val="20"/>
                <w:color w:val="auto"/>
              </w:rPr>
            </w:pPr>
            <w:r>
              <w:rPr>
                <w:rFonts w:ascii="Times New Roman" w:cs="Times New Roman" w:eastAsia="Times New Roman" w:hAnsi="Times New Roman"/>
                <w:sz w:val="12"/>
                <w:szCs w:val="12"/>
                <w:color w:val="auto"/>
              </w:rPr>
              <w:t>18.7%</w:t>
            </w:r>
          </w:p>
        </w:tc>
        <w:tc>
          <w:tcPr>
            <w:tcW w:w="620" w:type="dxa"/>
            <w:vAlign w:val="bottom"/>
            <w:shd w:val="clear" w:color="auto" w:fill="CCEEFF"/>
          </w:tcPr>
          <w:p>
            <w:pPr>
              <w:jc w:val="center"/>
              <w:spacing w:after="0" w:line="116" w:lineRule="exact"/>
              <w:rPr>
                <w:sz w:val="20"/>
                <w:szCs w:val="20"/>
                <w:color w:val="auto"/>
              </w:rPr>
            </w:pPr>
            <w:r>
              <w:rPr>
                <w:rFonts w:ascii="Times New Roman" w:cs="Times New Roman" w:eastAsia="Times New Roman" w:hAnsi="Times New Roman"/>
                <w:sz w:val="12"/>
                <w:szCs w:val="12"/>
                <w:color w:val="auto"/>
                <w:w w:val="99"/>
              </w:rPr>
              <w:t>142,930,404</w:t>
            </w:r>
          </w:p>
        </w:tc>
        <w:tc>
          <w:tcPr>
            <w:tcW w:w="80" w:type="dxa"/>
            <w:vAlign w:val="bottom"/>
            <w:vMerge w:val="continue"/>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2"/>
                <w:szCs w:val="12"/>
                <w:color w:val="auto"/>
              </w:rPr>
              <w:t>17.6%</w:t>
            </w:r>
          </w:p>
        </w:tc>
        <w:tc>
          <w:tcPr>
            <w:tcW w:w="700" w:type="dxa"/>
            <w:vAlign w:val="bottom"/>
            <w:tcBorders>
              <w:right w:val="single" w:sz="8" w:color="CCEEFF"/>
            </w:tcBorders>
            <w:shd w:val="clear" w:color="auto" w:fill="CCEEFF"/>
          </w:tcPr>
          <w:p>
            <w:pPr>
              <w:jc w:val="right"/>
              <w:ind w:right="2"/>
              <w:spacing w:after="0" w:line="116" w:lineRule="exact"/>
              <w:rPr>
                <w:sz w:val="20"/>
                <w:szCs w:val="20"/>
                <w:color w:val="auto"/>
              </w:rPr>
            </w:pPr>
            <w:r>
              <w:rPr>
                <w:rFonts w:ascii="Times New Roman" w:cs="Times New Roman" w:eastAsia="Times New Roman" w:hAnsi="Times New Roman"/>
                <w:sz w:val="12"/>
                <w:szCs w:val="12"/>
                <w:color w:val="auto"/>
              </w:rPr>
              <w:t>79,327,072</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2"/>
                <w:szCs w:val="12"/>
                <w:color w:val="auto"/>
              </w:rPr>
              <w:t>15.0%</w:t>
            </w:r>
          </w:p>
        </w:tc>
        <w:tc>
          <w:tcPr>
            <w:tcW w:w="64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75,618,037</w:t>
            </w:r>
          </w:p>
        </w:tc>
        <w:tc>
          <w:tcPr>
            <w:tcW w:w="80" w:type="dxa"/>
            <w:vAlign w:val="bottom"/>
            <w:vMerge w:val="continue"/>
            <w:shd w:val="clear" w:color="auto" w:fill="CCEEFF"/>
          </w:tcPr>
          <w:p>
            <w:pPr>
              <w:spacing w:after="0"/>
              <w:rPr>
                <w:sz w:val="10"/>
                <w:szCs w:val="10"/>
                <w:color w:val="auto"/>
              </w:rPr>
            </w:pP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2"/>
                <w:szCs w:val="12"/>
                <w:color w:val="auto"/>
              </w:rPr>
              <w:t>14.7%</w:t>
            </w:r>
          </w:p>
        </w:tc>
        <w:tc>
          <w:tcPr>
            <w:tcW w:w="700" w:type="dxa"/>
            <w:vAlign w:val="bottom"/>
            <w:tcBorders>
              <w:right w:val="single" w:sz="8" w:color="CCEEFF"/>
            </w:tcBorders>
            <w:shd w:val="clear" w:color="auto" w:fill="CCEEFF"/>
          </w:tcPr>
          <w:p>
            <w:pPr>
              <w:jc w:val="right"/>
              <w:ind w:right="4"/>
              <w:spacing w:after="0" w:line="116" w:lineRule="exact"/>
              <w:rPr>
                <w:sz w:val="20"/>
                <w:szCs w:val="20"/>
                <w:color w:val="auto"/>
              </w:rPr>
            </w:pPr>
            <w:r>
              <w:rPr>
                <w:rFonts w:ascii="Times New Roman" w:cs="Times New Roman" w:eastAsia="Times New Roman" w:hAnsi="Times New Roman"/>
                <w:sz w:val="12"/>
                <w:szCs w:val="12"/>
                <w:color w:val="auto"/>
              </w:rPr>
              <w:t>72,372,632</w:t>
            </w:r>
          </w:p>
        </w:tc>
        <w:tc>
          <w:tcPr>
            <w:tcW w:w="620" w:type="dxa"/>
            <w:vAlign w:val="bottom"/>
            <w:gridSpan w:val="2"/>
            <w:shd w:val="clear" w:color="auto" w:fill="CCEEFF"/>
          </w:tcPr>
          <w:p>
            <w:pPr>
              <w:jc w:val="right"/>
              <w:ind w:right="60"/>
              <w:spacing w:after="0" w:line="116" w:lineRule="exact"/>
              <w:rPr>
                <w:sz w:val="20"/>
                <w:szCs w:val="20"/>
                <w:color w:val="auto"/>
              </w:rPr>
            </w:pPr>
            <w:r>
              <w:rPr>
                <w:rFonts w:ascii="Times New Roman" w:cs="Times New Roman" w:eastAsia="Times New Roman" w:hAnsi="Times New Roman"/>
                <w:sz w:val="12"/>
                <w:szCs w:val="12"/>
                <w:color w:val="auto"/>
              </w:rPr>
              <w:t>14.4%</w:t>
            </w:r>
          </w:p>
        </w:tc>
        <w:tc>
          <w:tcPr>
            <w:tcW w:w="6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20.8%</w:t>
            </w:r>
          </w:p>
        </w:tc>
        <w:tc>
          <w:tcPr>
            <w:tcW w:w="760" w:type="dxa"/>
            <w:vAlign w:val="bottom"/>
            <w:shd w:val="clear" w:color="auto" w:fill="CCEEFF"/>
          </w:tcPr>
          <w:p>
            <w:pPr>
              <w:jc w:val="right"/>
              <w:spacing w:after="0" w:line="116" w:lineRule="exact"/>
              <w:rPr>
                <w:sz w:val="20"/>
                <w:szCs w:val="20"/>
                <w:color w:val="auto"/>
              </w:rPr>
            </w:pPr>
            <w:r>
              <w:rPr>
                <w:rFonts w:ascii="Times New Roman" w:cs="Times New Roman" w:eastAsia="Times New Roman" w:hAnsi="Times New Roman"/>
                <w:sz w:val="12"/>
                <w:szCs w:val="12"/>
                <w:color w:val="auto"/>
              </w:rPr>
              <w:t>17.1%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Carlyle</w:t>
            </w:r>
            <w:r>
              <w:rPr>
                <w:rFonts w:ascii="Times New Roman" w:cs="Times New Roman" w:eastAsia="Times New Roman" w:hAnsi="Times New Roman"/>
                <w:sz w:val="15"/>
                <w:szCs w:val="15"/>
                <w:color w:val="auto"/>
                <w:vertAlign w:val="superscript"/>
              </w:rPr>
              <w:t>(4)</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158,245,640</w:t>
            </w: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26.0%</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150,848,328</w:t>
            </w:r>
          </w:p>
        </w:tc>
        <w:tc>
          <w:tcPr>
            <w:tcW w:w="6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18.9%</w:t>
            </w:r>
          </w:p>
        </w:tc>
        <w:tc>
          <w:tcPr>
            <w:tcW w:w="62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144,375,681</w:t>
            </w: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17.8%</w:t>
            </w:r>
          </w:p>
        </w:tc>
        <w:tc>
          <w:tcPr>
            <w:tcW w:w="70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77,742,972</w:t>
            </w: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14.7%</w:t>
            </w: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74,107,977</w:t>
            </w:r>
          </w:p>
        </w:tc>
        <w:tc>
          <w:tcPr>
            <w:tcW w:w="80" w:type="dxa"/>
            <w:vAlign w:val="bottom"/>
          </w:tcPr>
          <w:p>
            <w:pPr>
              <w:spacing w:after="0"/>
              <w:rPr>
                <w:sz w:val="11"/>
                <w:szCs w:val="11"/>
                <w:color w:val="auto"/>
              </w:rPr>
            </w:pP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14.4%</w:t>
            </w:r>
          </w:p>
        </w:tc>
        <w:tc>
          <w:tcPr>
            <w:tcW w:w="700" w:type="dxa"/>
            <w:vAlign w:val="bottom"/>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70,927,355</w:t>
            </w:r>
          </w:p>
        </w:tc>
        <w:tc>
          <w:tcPr>
            <w:tcW w:w="6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14.1%</w:t>
            </w:r>
          </w:p>
        </w:tc>
        <w:tc>
          <w:tcPr>
            <w:tcW w:w="6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20.8%</w:t>
            </w:r>
          </w:p>
        </w:tc>
        <w:tc>
          <w:tcPr>
            <w:tcW w:w="7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17.1%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H&amp;F</w:t>
            </w:r>
            <w:r>
              <w:rPr>
                <w:rFonts w:ascii="Times New Roman" w:cs="Times New Roman" w:eastAsia="Times New Roman" w:hAnsi="Times New Roman"/>
                <w:sz w:val="15"/>
                <w:szCs w:val="15"/>
                <w:color w:val="auto"/>
                <w:vertAlign w:val="superscript"/>
              </w:rPr>
              <w:t>(5)</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109,073,185</w:t>
            </w:r>
          </w:p>
        </w:tc>
        <w:tc>
          <w:tcPr>
            <w:tcW w:w="6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18.0%</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103,974,990</w:t>
            </w:r>
          </w:p>
        </w:tc>
        <w:tc>
          <w:tcPr>
            <w:tcW w:w="64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13.0%</w:t>
            </w: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99,514,069</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12.3%</w:t>
            </w:r>
          </w:p>
        </w:tc>
        <w:tc>
          <w:tcPr>
            <w:tcW w:w="700" w:type="dxa"/>
            <w:vAlign w:val="bottom"/>
            <w:tcBorders>
              <w:right w:val="single" w:sz="8" w:color="CCEEFF"/>
            </w:tcBorders>
            <w:shd w:val="clear" w:color="auto" w:fill="CCEEFF"/>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126,915,427</w:t>
            </w:r>
          </w:p>
        </w:tc>
        <w:tc>
          <w:tcPr>
            <w:tcW w:w="6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24.1%</w:t>
            </w:r>
          </w:p>
        </w:tc>
        <w:tc>
          <w:tcPr>
            <w:tcW w:w="6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120,981,315</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23.5%</w:t>
            </w:r>
          </w:p>
        </w:tc>
        <w:tc>
          <w:tcPr>
            <w:tcW w:w="700" w:type="dxa"/>
            <w:vAlign w:val="bottom"/>
            <w:tcBorders>
              <w:right w:val="single" w:sz="8" w:color="CCEEFF"/>
            </w:tcBorders>
            <w:shd w:val="clear" w:color="auto" w:fill="CCEEFF"/>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115,788,967</w:t>
            </w:r>
          </w:p>
        </w:tc>
        <w:tc>
          <w:tcPr>
            <w:tcW w:w="6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2"/>
                <w:szCs w:val="12"/>
                <w:color w:val="auto"/>
              </w:rPr>
              <w:t>23.1%</w:t>
            </w:r>
          </w:p>
        </w:tc>
        <w:tc>
          <w:tcPr>
            <w:tcW w:w="6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20.8%</w:t>
            </w:r>
          </w:p>
        </w:tc>
        <w:tc>
          <w:tcPr>
            <w:tcW w:w="7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17.1%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1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Mozart HoldCo, Inc.</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34,483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0"/>
                <w:szCs w:val="10"/>
                <w:color w:val="auto"/>
              </w:rPr>
            </w:pPr>
          </w:p>
        </w:tc>
        <w:tc>
          <w:tcPr>
            <w:tcW w:w="700" w:type="dxa"/>
            <w:vAlign w:val="bottom"/>
            <w:vMerge w:val="restart"/>
          </w:tcPr>
          <w:p>
            <w:pPr>
              <w:jc w:val="right"/>
              <w:ind w:right="3"/>
              <w:spacing w:after="0"/>
              <w:rPr>
                <w:sz w:val="20"/>
                <w:szCs w:val="20"/>
                <w:color w:val="auto"/>
              </w:rPr>
            </w:pPr>
            <w:r>
              <w:rPr>
                <w:rFonts w:ascii="Times New Roman" w:cs="Times New Roman" w:eastAsia="Times New Roman" w:hAnsi="Times New Roman"/>
                <w:sz w:val="12"/>
                <w:szCs w:val="12"/>
                <w:color w:val="auto"/>
              </w:rPr>
              <w:t>34,483</w:t>
            </w:r>
          </w:p>
        </w:tc>
        <w:tc>
          <w:tcPr>
            <w:tcW w:w="460" w:type="dxa"/>
            <w:vAlign w:val="bottom"/>
            <w:vMerge w:val="restart"/>
          </w:tcPr>
          <w:p>
            <w:pPr>
              <w:jc w:val="center"/>
              <w:ind w:left="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34,483</w:t>
            </w:r>
          </w:p>
        </w:tc>
        <w:tc>
          <w:tcPr>
            <w:tcW w:w="8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0"/>
                <w:szCs w:val="10"/>
                <w:color w:val="auto"/>
              </w:rPr>
            </w:pPr>
          </w:p>
        </w:tc>
        <w:tc>
          <w:tcPr>
            <w:tcW w:w="700" w:type="dxa"/>
            <w:vAlign w:val="bottom"/>
            <w:vMerge w:val="restart"/>
          </w:tcPr>
          <w:p>
            <w:pPr>
              <w:jc w:val="right"/>
              <w:ind w:right="2"/>
              <w:spacing w:after="0"/>
              <w:rPr>
                <w:sz w:val="20"/>
                <w:szCs w:val="20"/>
                <w:color w:val="auto"/>
              </w:rPr>
            </w:pPr>
            <w:r>
              <w:rPr>
                <w:rFonts w:ascii="Times New Roman" w:cs="Times New Roman" w:eastAsia="Times New Roman" w:hAnsi="Times New Roman"/>
                <w:sz w:val="12"/>
                <w:szCs w:val="12"/>
                <w:color w:val="auto"/>
              </w:rPr>
              <w:t>234,273,821</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44.4%</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234,273,821</w:t>
            </w:r>
          </w:p>
        </w:tc>
        <w:tc>
          <w:tcPr>
            <w:tcW w:w="80" w:type="dxa"/>
            <w:vAlign w:val="bottom"/>
          </w:tcPr>
          <w:p>
            <w:pPr>
              <w:spacing w:after="0"/>
              <w:rPr>
                <w:sz w:val="10"/>
                <w:szCs w:val="10"/>
                <w:color w:val="auto"/>
              </w:rPr>
            </w:pP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45.6%</w:t>
            </w:r>
          </w:p>
        </w:tc>
        <w:tc>
          <w:tcPr>
            <w:tcW w:w="700" w:type="dxa"/>
            <w:vAlign w:val="bottom"/>
            <w:vMerge w:val="restart"/>
          </w:tcPr>
          <w:p>
            <w:pPr>
              <w:jc w:val="right"/>
              <w:ind w:right="4"/>
              <w:spacing w:after="0"/>
              <w:rPr>
                <w:sz w:val="20"/>
                <w:szCs w:val="20"/>
                <w:color w:val="auto"/>
              </w:rPr>
            </w:pPr>
            <w:r>
              <w:rPr>
                <w:rFonts w:ascii="Times New Roman" w:cs="Times New Roman" w:eastAsia="Times New Roman" w:hAnsi="Times New Roman"/>
                <w:sz w:val="12"/>
                <w:szCs w:val="12"/>
                <w:color w:val="auto"/>
              </w:rPr>
              <w:t>234,273,821</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2"/>
                <w:szCs w:val="12"/>
                <w:color w:val="auto"/>
              </w:rPr>
              <w:t>46.6%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20.6%</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120" w:type="dxa"/>
            <w:vAlign w:val="bottom"/>
          </w:tcPr>
          <w:p>
            <w:pPr>
              <w:ind w:left="120"/>
              <w:spacing w:after="0"/>
              <w:rPr>
                <w:sz w:val="20"/>
                <w:szCs w:val="20"/>
                <w:color w:val="auto"/>
              </w:rPr>
            </w:pPr>
            <w:r>
              <w:rPr>
                <w:rFonts w:ascii="Times New Roman" w:cs="Times New Roman" w:eastAsia="Times New Roman" w:hAnsi="Times New Roman"/>
                <w:sz w:val="9"/>
                <w:szCs w:val="9"/>
                <w:color w:val="auto"/>
              </w:rPr>
              <w:t>(6)</w:t>
            </w:r>
          </w:p>
        </w:tc>
        <w:tc>
          <w:tcPr>
            <w:tcW w:w="70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GIC Private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20" w:type="dxa"/>
            <w:vAlign w:val="bottom"/>
            <w:tcBorders>
              <w:right w:val="single" w:sz="8" w:color="CCEEFF"/>
            </w:tcBorders>
            <w:shd w:val="clear" w:color="auto" w:fill="CCEEFF"/>
          </w:tcPr>
          <w:p>
            <w:pPr>
              <w:ind w:left="120"/>
              <w:spacing w:after="0" w:line="143" w:lineRule="exact"/>
              <w:rPr>
                <w:sz w:val="20"/>
                <w:szCs w:val="20"/>
                <w:color w:val="auto"/>
              </w:rPr>
            </w:pPr>
            <w:r>
              <w:rPr>
                <w:rFonts w:ascii="Times New Roman" w:cs="Times New Roman" w:eastAsia="Times New Roman" w:hAnsi="Times New Roman"/>
                <w:sz w:val="11"/>
                <w:szCs w:val="11"/>
                <w:color w:val="auto"/>
              </w:rPr>
              <w:t xml:space="preserve">Limited </w:t>
            </w:r>
            <w:r>
              <w:rPr>
                <w:rFonts w:ascii="Times New Roman" w:cs="Times New Roman" w:eastAsia="Times New Roman" w:hAnsi="Times New Roman"/>
                <w:sz w:val="16"/>
                <w:szCs w:val="16"/>
                <w:color w:val="auto"/>
                <w:vertAlign w:val="superscript"/>
              </w:rPr>
              <w:t>(7)</w:t>
            </w:r>
          </w:p>
        </w:tc>
        <w:tc>
          <w:tcPr>
            <w:tcW w:w="7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6"/>
              </w:rPr>
              <w:t>116,414,970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110,972,649</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106,210,619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13.1%</w:t>
            </w:r>
          </w:p>
        </w:tc>
        <w:tc>
          <w:tcPr>
            <w:tcW w:w="700" w:type="dxa"/>
            <w:vAlign w:val="bottom"/>
            <w:tcBorders>
              <w:right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Abu Dhabi</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120"/>
              <w:spacing w:after="0" w:line="132" w:lineRule="exact"/>
              <w:rPr>
                <w:sz w:val="20"/>
                <w:szCs w:val="20"/>
                <w:color w:val="auto"/>
              </w:rPr>
            </w:pPr>
            <w:r>
              <w:rPr>
                <w:rFonts w:ascii="Times New Roman" w:cs="Times New Roman" w:eastAsia="Times New Roman" w:hAnsi="Times New Roman"/>
                <w:sz w:val="12"/>
                <w:szCs w:val="12"/>
                <w:color w:val="auto"/>
              </w:rPr>
              <w:t>Investment</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120" w:type="dxa"/>
            <w:vAlign w:val="bottom"/>
          </w:tcPr>
          <w:p>
            <w:pPr>
              <w:ind w:left="120"/>
              <w:spacing w:after="0" w:line="143" w:lineRule="exact"/>
              <w:rPr>
                <w:sz w:val="20"/>
                <w:szCs w:val="20"/>
                <w:color w:val="auto"/>
              </w:rPr>
            </w:pPr>
            <w:r>
              <w:rPr>
                <w:rFonts w:ascii="Times New Roman" w:cs="Times New Roman" w:eastAsia="Times New Roman" w:hAnsi="Times New Roman"/>
                <w:sz w:val="11"/>
                <w:szCs w:val="11"/>
                <w:color w:val="auto"/>
              </w:rPr>
              <w:t>Authority</w:t>
            </w:r>
            <w:r>
              <w:rPr>
                <w:rFonts w:ascii="Times New Roman" w:cs="Times New Roman" w:eastAsia="Times New Roman" w:hAnsi="Times New Roman"/>
                <w:sz w:val="16"/>
                <w:szCs w:val="16"/>
                <w:color w:val="auto"/>
                <w:vertAlign w:val="superscript"/>
              </w:rPr>
              <w:t>(8)</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52,080,381</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8.6%</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49,645,659</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47,515,277</w:t>
            </w:r>
          </w:p>
        </w:tc>
        <w:tc>
          <w:tcPr>
            <w:tcW w:w="80" w:type="dxa"/>
            <w:vAlign w:val="bottom"/>
          </w:tcPr>
          <w:p>
            <w:pPr>
              <w:spacing w:after="0"/>
              <w:rPr>
                <w:sz w:val="12"/>
                <w:szCs w:val="1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5.9%</w:t>
            </w:r>
          </w:p>
        </w:tc>
        <w:tc>
          <w:tcPr>
            <w:tcW w:w="70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4"/>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James M. Boyle</w:t>
            </w:r>
            <w:r>
              <w:rPr>
                <w:rFonts w:ascii="Times New Roman" w:cs="Times New Roman" w:eastAsia="Times New Roman" w:hAnsi="Times New Roman"/>
                <w:sz w:val="15"/>
                <w:szCs w:val="15"/>
                <w:color w:val="auto"/>
                <w:vertAlign w:val="superscript"/>
              </w:rPr>
              <w:t>(9)</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1,665,293</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1,665,293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1,665,293</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James M. Pigott</w:t>
            </w:r>
            <w:r>
              <w:rPr>
                <w:rFonts w:ascii="Times New Roman" w:cs="Times New Roman" w:eastAsia="Times New Roman" w:hAnsi="Times New Roman"/>
                <w:sz w:val="15"/>
                <w:szCs w:val="15"/>
                <w:color w:val="auto"/>
                <w:vertAlign w:val="superscript"/>
              </w:rPr>
              <w:t>(10)</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2,219,508</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2,219,508</w:t>
            </w:r>
          </w:p>
        </w:tc>
        <w:tc>
          <w:tcPr>
            <w:tcW w:w="80" w:type="dxa"/>
            <w:vAlign w:val="bottom"/>
          </w:tcPr>
          <w:p>
            <w:pPr>
              <w:spacing w:after="0"/>
              <w:rPr>
                <w:sz w:val="11"/>
                <w:szCs w:val="11"/>
                <w:color w:val="auto"/>
              </w:rPr>
            </w:pPr>
          </w:p>
        </w:tc>
        <w:tc>
          <w:tcPr>
            <w:tcW w:w="4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700" w:type="dxa"/>
            <w:vAlign w:val="bottom"/>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2,219,508</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Michael B. Drazin</w:t>
            </w:r>
            <w:r>
              <w:rPr>
                <w:rFonts w:ascii="Times New Roman" w:cs="Times New Roman" w:eastAsia="Times New Roman" w:hAnsi="Times New Roman"/>
                <w:sz w:val="15"/>
                <w:szCs w:val="15"/>
                <w:color w:val="auto"/>
                <w:vertAlign w:val="superscript"/>
              </w:rPr>
              <w:t>(11)</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1,315,295</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1,315,295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1,315,295</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Stephen L. Miller</w:t>
            </w:r>
            <w:r>
              <w:rPr>
                <w:rFonts w:ascii="Times New Roman" w:cs="Times New Roman" w:eastAsia="Times New Roman" w:hAnsi="Times New Roman"/>
                <w:sz w:val="15"/>
                <w:szCs w:val="15"/>
                <w:color w:val="auto"/>
                <w:vertAlign w:val="superscript"/>
              </w:rPr>
              <w:t>(12)</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259,692</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259,692</w:t>
            </w:r>
          </w:p>
        </w:tc>
        <w:tc>
          <w:tcPr>
            <w:tcW w:w="80" w:type="dxa"/>
            <w:vAlign w:val="bottom"/>
          </w:tcPr>
          <w:p>
            <w:pPr>
              <w:spacing w:after="0"/>
              <w:rPr>
                <w:sz w:val="11"/>
                <w:szCs w:val="11"/>
                <w:color w:val="auto"/>
              </w:rPr>
            </w:pPr>
          </w:p>
        </w:tc>
        <w:tc>
          <w:tcPr>
            <w:tcW w:w="4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700" w:type="dxa"/>
            <w:vAlign w:val="bottom"/>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259,692</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Borders>
              <w:right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2"/>
                <w:szCs w:val="12"/>
                <w:color w:val="auto"/>
              </w:rPr>
              <w:t>Christopher P.</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tcBorders>
              <w:right w:val="single" w:sz="8" w:color="CCEEFF"/>
            </w:tcBorders>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120" w:type="dxa"/>
            <w:vAlign w:val="bottom"/>
            <w:tcBorders>
              <w:right w:val="single" w:sz="8" w:color="CCEEFF"/>
            </w:tcBorders>
            <w:shd w:val="clear" w:color="auto" w:fill="CCEEFF"/>
          </w:tcPr>
          <w:p>
            <w:pPr>
              <w:ind w:left="120"/>
              <w:spacing w:after="0" w:line="143" w:lineRule="exact"/>
              <w:rPr>
                <w:sz w:val="20"/>
                <w:szCs w:val="20"/>
                <w:color w:val="auto"/>
              </w:rPr>
            </w:pPr>
            <w:r>
              <w:rPr>
                <w:rFonts w:ascii="Times New Roman" w:cs="Times New Roman" w:eastAsia="Times New Roman" w:hAnsi="Times New Roman"/>
                <w:sz w:val="11"/>
                <w:szCs w:val="11"/>
                <w:color w:val="auto"/>
              </w:rPr>
              <w:t>Shryock</w:t>
            </w:r>
            <w:r>
              <w:rPr>
                <w:rFonts w:ascii="Times New Roman" w:cs="Times New Roman" w:eastAsia="Times New Roman" w:hAnsi="Times New Roman"/>
                <w:sz w:val="16"/>
                <w:szCs w:val="16"/>
                <w:color w:val="auto"/>
                <w:vertAlign w:val="superscript"/>
              </w:rPr>
              <w:t>(13)</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16,451</w:t>
            </w:r>
          </w:p>
        </w:tc>
        <w:tc>
          <w:tcPr>
            <w:tcW w:w="4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16,451</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2"/>
                <w:szCs w:val="12"/>
                <w:color w:val="auto"/>
              </w:rPr>
              <w:t>16,451</w:t>
            </w:r>
          </w:p>
        </w:tc>
        <w:tc>
          <w:tcPr>
            <w:tcW w:w="46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Douglas P. Golwas</w:t>
            </w:r>
            <w:r>
              <w:rPr>
                <w:rFonts w:ascii="Times New Roman" w:cs="Times New Roman" w:eastAsia="Times New Roman" w:hAnsi="Times New Roman"/>
                <w:sz w:val="15"/>
                <w:szCs w:val="15"/>
                <w:color w:val="auto"/>
                <w:vertAlign w:val="superscript"/>
              </w:rPr>
              <w:t>(14)</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1,046,016</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1,046,016</w:t>
            </w:r>
          </w:p>
        </w:tc>
        <w:tc>
          <w:tcPr>
            <w:tcW w:w="80" w:type="dxa"/>
            <w:vAlign w:val="bottom"/>
          </w:tcPr>
          <w:p>
            <w:pPr>
              <w:spacing w:after="0"/>
              <w:rPr>
                <w:sz w:val="11"/>
                <w:szCs w:val="11"/>
                <w:color w:val="auto"/>
              </w:rPr>
            </w:pPr>
          </w:p>
        </w:tc>
        <w:tc>
          <w:tcPr>
            <w:tcW w:w="4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700" w:type="dxa"/>
            <w:vAlign w:val="bottom"/>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1,046,016</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Joseph P. Baratta</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Jacob D. Best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Todd M. Bluedorn</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Richard A. Galanti</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Patrick J. Healy</w:t>
            </w:r>
            <w:r>
              <w:rPr>
                <w:rFonts w:ascii="Times New Roman" w:cs="Times New Roman" w:eastAsia="Times New Roman" w:hAnsi="Times New Roman"/>
                <w:sz w:val="15"/>
                <w:szCs w:val="15"/>
                <w:color w:val="auto"/>
                <w:vertAlign w:val="superscript"/>
              </w:rPr>
              <w:t>(15)</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3"/>
              <w:spacing w:after="0" w:line="132" w:lineRule="exact"/>
              <w:rPr>
                <w:sz w:val="20"/>
                <w:szCs w:val="20"/>
                <w:color w:val="auto"/>
              </w:rPr>
            </w:pPr>
            <w:r>
              <w:rPr>
                <w:rFonts w:ascii="Times New Roman" w:cs="Times New Roman" w:eastAsia="Times New Roman" w:hAnsi="Times New Roman"/>
                <w:sz w:val="12"/>
                <w:szCs w:val="12"/>
                <w:color w:val="auto"/>
              </w:rPr>
              <w:t>448,763</w:t>
            </w:r>
          </w:p>
        </w:tc>
        <w:tc>
          <w:tcPr>
            <w:tcW w:w="4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841,430</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1"/>
                <w:szCs w:val="11"/>
                <w:color w:val="auto"/>
              </w:rPr>
              <w:t>Andrew J. Mills</w:t>
            </w:r>
            <w:r>
              <w:rPr>
                <w:rFonts w:ascii="Times New Roman" w:cs="Times New Roman" w:eastAsia="Times New Roman" w:hAnsi="Times New Roman"/>
                <w:sz w:val="15"/>
                <w:szCs w:val="15"/>
                <w:color w:val="auto"/>
                <w:vertAlign w:val="superscript"/>
              </w:rPr>
              <w:t>(16)</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30,655</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30,655</w:t>
            </w:r>
          </w:p>
        </w:tc>
        <w:tc>
          <w:tcPr>
            <w:tcW w:w="80" w:type="dxa"/>
            <w:vAlign w:val="bottom"/>
          </w:tcPr>
          <w:p>
            <w:pPr>
              <w:spacing w:after="0"/>
              <w:rPr>
                <w:sz w:val="11"/>
                <w:szCs w:val="11"/>
                <w:color w:val="auto"/>
              </w:rPr>
            </w:pPr>
          </w:p>
        </w:tc>
        <w:tc>
          <w:tcPr>
            <w:tcW w:w="4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700" w:type="dxa"/>
            <w:vAlign w:val="bottom"/>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30,655</w:t>
            </w:r>
          </w:p>
        </w:tc>
        <w:tc>
          <w:tcPr>
            <w:tcW w:w="460" w:type="dxa"/>
            <w:vAlign w:val="bottom"/>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11"/>
                <w:szCs w:val="11"/>
                <w:color w:val="auto"/>
              </w:rPr>
            </w:pPr>
          </w:p>
        </w:tc>
        <w:tc>
          <w:tcPr>
            <w:tcW w:w="6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1"/>
                <w:szCs w:val="11"/>
                <w:color w:val="auto"/>
              </w:rPr>
              <w:t>Charles N. Mills</w:t>
            </w:r>
            <w:r>
              <w:rPr>
                <w:rFonts w:ascii="Times New Roman" w:cs="Times New Roman" w:eastAsia="Times New Roman" w:hAnsi="Times New Roman"/>
                <w:sz w:val="15"/>
                <w:szCs w:val="15"/>
                <w:color w:val="auto"/>
                <w:vertAlign w:val="superscript"/>
              </w:rPr>
              <w:t>(17)</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
              <w:spacing w:after="0" w:line="132" w:lineRule="exact"/>
              <w:rPr>
                <w:sz w:val="20"/>
                <w:szCs w:val="20"/>
                <w:color w:val="auto"/>
              </w:rPr>
            </w:pPr>
            <w:r>
              <w:rPr>
                <w:rFonts w:ascii="Times New Roman" w:cs="Times New Roman" w:eastAsia="Times New Roman" w:hAnsi="Times New Roman"/>
                <w:sz w:val="12"/>
                <w:szCs w:val="12"/>
                <w:color w:val="auto"/>
              </w:rPr>
              <w:t>64,005</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2"/>
                <w:szCs w:val="12"/>
                <w:color w:val="auto"/>
              </w:rPr>
              <w:t>64,005</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jc w:val="right"/>
              <w:ind w:right="4"/>
              <w:spacing w:after="0" w:line="132" w:lineRule="exact"/>
              <w:rPr>
                <w:sz w:val="20"/>
                <w:szCs w:val="20"/>
                <w:color w:val="auto"/>
              </w:rPr>
            </w:pPr>
            <w:r>
              <w:rPr>
                <w:rFonts w:ascii="Times New Roman" w:cs="Times New Roman" w:eastAsia="Times New Roman" w:hAnsi="Times New Roman"/>
                <w:sz w:val="12"/>
                <w:szCs w:val="12"/>
                <w:color w:val="auto"/>
              </w:rPr>
              <w:t>64,005</w:t>
            </w:r>
          </w:p>
        </w:tc>
        <w:tc>
          <w:tcPr>
            <w:tcW w:w="460" w:type="dxa"/>
            <w:vAlign w:val="bottom"/>
            <w:shd w:val="clear" w:color="auto" w:fill="CCEEFF"/>
          </w:tcPr>
          <w:p>
            <w:pPr>
              <w:jc w:val="center"/>
              <w:ind w:left="21"/>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Robert R. Schmidt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Anushka M. Sunder</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Thomas W. Sweet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Borders>
              <w:right w:val="single" w:sz="8" w:color="CCEEFF"/>
            </w:tcBorders>
            <w:shd w:val="clear" w:color="auto" w:fill="CCEEFF"/>
          </w:tcPr>
          <w:p>
            <w:pPr>
              <w:spacing w:after="0" w:line="132" w:lineRule="exact"/>
              <w:rPr>
                <w:sz w:val="20"/>
                <w:szCs w:val="20"/>
                <w:color w:val="auto"/>
              </w:rPr>
            </w:pPr>
            <w:r>
              <w:rPr>
                <w:rFonts w:ascii="Times New Roman" w:cs="Times New Roman" w:eastAsia="Times New Roman" w:hAnsi="Times New Roman"/>
                <w:sz w:val="12"/>
                <w:szCs w:val="12"/>
                <w:color w:val="auto"/>
              </w:rPr>
              <w:t>Stephen H. Wise</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center"/>
              <w:ind w:right="6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2"/>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gridSpan w:val="2"/>
            <w:shd w:val="clear" w:color="auto" w:fill="CCEEFF"/>
          </w:tcPr>
          <w:p>
            <w:pPr>
              <w:ind w:left="280"/>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right w:val="single" w:sz="8" w:color="CCEEFF"/>
            </w:tcBorders>
            <w:shd w:val="clear" w:color="auto" w:fill="CCEEFF"/>
          </w:tcPr>
          <w:p>
            <w:pPr>
              <w:jc w:val="right"/>
              <w:ind w:right="244"/>
              <w:spacing w:after="0" w:line="132"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center"/>
              <w:ind w:right="2"/>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line="121" w:lineRule="exact"/>
              <w:rPr>
                <w:sz w:val="20"/>
                <w:szCs w:val="20"/>
                <w:color w:val="auto"/>
              </w:rPr>
            </w:pPr>
            <w:r>
              <w:rPr>
                <w:rFonts w:ascii="Times New Roman" w:cs="Times New Roman" w:eastAsia="Times New Roman" w:hAnsi="Times New Roman"/>
                <w:sz w:val="12"/>
                <w:szCs w:val="12"/>
                <w:color w:val="auto"/>
              </w:rPr>
              <w:t>Directors, director</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120"/>
              <w:spacing w:after="0" w:line="132" w:lineRule="exact"/>
              <w:rPr>
                <w:sz w:val="20"/>
                <w:szCs w:val="20"/>
                <w:color w:val="auto"/>
              </w:rPr>
            </w:pPr>
            <w:r>
              <w:rPr>
                <w:rFonts w:ascii="Times New Roman" w:cs="Times New Roman" w:eastAsia="Times New Roman" w:hAnsi="Times New Roman"/>
                <w:sz w:val="12"/>
                <w:szCs w:val="12"/>
                <w:color w:val="auto"/>
              </w:rPr>
              <w:t>nominees, and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120"/>
              <w:spacing w:after="0" w:line="132" w:lineRule="exact"/>
              <w:rPr>
                <w:sz w:val="20"/>
                <w:szCs w:val="20"/>
                <w:color w:val="auto"/>
              </w:rPr>
            </w:pPr>
            <w:r>
              <w:rPr>
                <w:rFonts w:ascii="Times New Roman" w:cs="Times New Roman" w:eastAsia="Times New Roman" w:hAnsi="Times New Roman"/>
                <w:sz w:val="12"/>
                <w:szCs w:val="12"/>
                <w:color w:val="auto"/>
              </w:rPr>
              <w:t>executive officers</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20" w:type="dxa"/>
            <w:vAlign w:val="bottom"/>
          </w:tcPr>
          <w:p>
            <w:pPr>
              <w:ind w:left="120"/>
              <w:spacing w:after="0" w:line="132" w:lineRule="exact"/>
              <w:rPr>
                <w:sz w:val="20"/>
                <w:szCs w:val="20"/>
                <w:color w:val="auto"/>
              </w:rPr>
            </w:pPr>
            <w:r>
              <w:rPr>
                <w:rFonts w:ascii="Times New Roman" w:cs="Times New Roman" w:eastAsia="Times New Roman" w:hAnsi="Times New Roman"/>
                <w:sz w:val="12"/>
                <w:szCs w:val="12"/>
                <w:color w:val="auto"/>
              </w:rPr>
              <w:t>as a group</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11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(20 persons)</w:t>
            </w:r>
            <w:r>
              <w:rPr>
                <w:rFonts w:ascii="Times New Roman" w:cs="Times New Roman" w:eastAsia="Times New Roman" w:hAnsi="Times New Roman"/>
                <w:sz w:val="17"/>
                <w:szCs w:val="17"/>
                <w:color w:val="auto"/>
                <w:vertAlign w:val="superscript"/>
              </w:rPr>
              <w:t>(18)</w:t>
            </w: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448,763</w:t>
            </w:r>
          </w:p>
        </w:tc>
        <w:tc>
          <w:tcPr>
            <w:tcW w:w="460" w:type="dxa"/>
            <w:vAlign w:val="bottom"/>
          </w:tcPr>
          <w:p>
            <w:pPr>
              <w:jc w:val="center"/>
              <w:ind w:left="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841,430</w:t>
            </w:r>
          </w:p>
        </w:tc>
        <w:tc>
          <w:tcPr>
            <w:tcW w:w="8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9,284,920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9,284,920</w:t>
            </w:r>
          </w:p>
        </w:tc>
        <w:tc>
          <w:tcPr>
            <w:tcW w:w="8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2"/>
                <w:szCs w:val="12"/>
                <w:color w:val="auto"/>
              </w:rPr>
              <w:t>9,284,920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13970</wp:posOffset>
            </wp:positionV>
            <wp:extent cx="68453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4530" cy="7620"/>
                    </a:xfrm>
                    <a:prstGeom prst="rect">
                      <a:avLst/>
                    </a:prstGeom>
                    <a:noFill/>
                  </pic:spPr>
                </pic:pic>
              </a:graphicData>
            </a:graphic>
          </wp:anchor>
        </w:drawing>
      </w:r>
    </w:p>
    <w:p>
      <w:pPr>
        <w:spacing w:after="0" w:line="39" w:lineRule="exact"/>
        <w:rPr>
          <w:sz w:val="20"/>
          <w:szCs w:val="20"/>
          <w:color w:val="auto"/>
        </w:rPr>
      </w:pPr>
    </w:p>
    <w:p>
      <w:pPr>
        <w:ind w:left="1020" w:hanging="282"/>
        <w:spacing w:after="0"/>
        <w:tabs>
          <w:tab w:leader="none" w:pos="102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less than 1%.</w:t>
      </w:r>
    </w:p>
    <w:p>
      <w:pPr>
        <w:spacing w:after="0" w:line="6" w:lineRule="exact"/>
        <w:rPr>
          <w:sz w:val="20"/>
          <w:szCs w:val="20"/>
          <w:color w:val="auto"/>
        </w:rPr>
      </w:pPr>
    </w:p>
    <w:p>
      <w:pPr>
        <w:ind w:left="1020" w:right="920" w:hanging="282"/>
        <w:spacing w:after="0" w:line="229" w:lineRule="auto"/>
        <w:tabs>
          <w:tab w:leader="none" w:pos="10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terms of the exchange agreement, Common Units are exchangeable for shares of our Class A common stock on a one-for-one basis after the completion of this offering,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 Common Unitholders will hold all of the initially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ind w:left="1020" w:right="1200" w:hanging="282"/>
        <w:spacing w:after="0" w:line="229" w:lineRule="auto"/>
        <w:tabs>
          <w:tab w:leader="none" w:pos="10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percentage of voting power of the shares eligible to vote in the election of directors of Medline Inc. voting together as a single class. See “Description of Capital Stock—Common Stock.”</w:t>
      </w:r>
    </w:p>
    <w:p>
      <w:pPr>
        <w:ind w:left="1020" w:right="840" w:hanging="282"/>
        <w:spacing w:after="0" w:line="233" w:lineRule="auto"/>
        <w:tabs>
          <w:tab w:leader="none" w:pos="102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149,326,544 shares of Class A common stock directly held by Mozart Aggregator II LP and 11,724 shares of Class A common stock and 75,618,037 shares of Class B common stock directly held by BCP Mozart Aggregator L.P. (together, the “Blackstone Funds”). Includes any reduction in beneficial ownership associated with the distribution of an aggregate of 143,219 shares of Class A common stock in kind to certain of its affiliates and limited partners following the consummation of this offering. Any recipients of such distributions would be subject to a lock-up agreement with the underwriters.</w:t>
      </w:r>
    </w:p>
    <w:p>
      <w:pPr>
        <w:spacing w:after="0" w:line="74" w:lineRule="exact"/>
        <w:rPr>
          <w:rFonts w:ascii="Times New Roman" w:cs="Times New Roman" w:eastAsia="Times New Roman" w:hAnsi="Times New Roman"/>
          <w:sz w:val="12"/>
          <w:szCs w:val="12"/>
          <w:color w:val="auto"/>
        </w:rPr>
      </w:pPr>
    </w:p>
    <w:p>
      <w:pPr>
        <w:ind w:left="1040" w:right="1440"/>
        <w:spacing w:after="0" w:line="4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Blackstone Management Associates VIII L.P. is the general partner of Mozart Aggregator II LP. BMA VIII L.L.C. is the general partner of Blackstone Management Associates VIII L.P. BCP 8 Holdings Mozart Manager L.L.C. is the general partner of BCP Mozart Aggregator L.P. BMA VIII L.L.C. is the managing member of BCP 8 Holdings Mozart Manager L.L.C.</w:t>
      </w:r>
    </w:p>
    <w:p>
      <w:pPr>
        <w:jc w:val="center"/>
        <w:ind w:right="80"/>
        <w:spacing w:after="0"/>
        <w:rPr>
          <w:sz w:val="20"/>
          <w:szCs w:val="20"/>
          <w:color w:val="auto"/>
        </w:rPr>
      </w:pPr>
      <w:r>
        <w:rPr>
          <w:rFonts w:ascii="Times New Roman" w:cs="Times New Roman" w:eastAsia="Times New Roman" w:hAnsi="Times New Roman"/>
          <w:sz w:val="16"/>
          <w:szCs w:val="16"/>
          <w:color w:val="auto"/>
        </w:rPr>
        <w:t>215</w:t>
      </w:r>
    </w:p>
    <w:p>
      <w:pPr>
        <w:sectPr>
          <w:pgSz w:w="11900" w:h="16838" w:orient="portrait"/>
          <w:cols w:equalWidth="0" w:num="1">
            <w:col w:w="11340"/>
          </w:cols>
          <w:pgMar w:left="320" w:top="420"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2"/>
          <w:szCs w:val="12"/>
          <w:color w:val="auto"/>
        </w:rPr>
        <w:t>Blackstone Holdings II L.P. is the managing member of BMA VIII L.L.C. Blackstone Holdings I/II GP L.L.C. is the general partner of Blackstone Holdings II L.P.</w:t>
      </w:r>
    </w:p>
    <w:p>
      <w:pPr>
        <w:spacing w:after="0" w:line="90" w:lineRule="exact"/>
        <w:rPr>
          <w:sz w:val="20"/>
          <w:szCs w:val="20"/>
          <w:color w:val="auto"/>
        </w:rPr>
      </w:pPr>
    </w:p>
    <w:p>
      <w:pPr>
        <w:ind w:left="1040" w:right="180"/>
        <w:spacing w:after="0" w:line="258" w:lineRule="auto"/>
        <w:rPr>
          <w:sz w:val="20"/>
          <w:szCs w:val="20"/>
          <w:color w:val="auto"/>
        </w:rPr>
      </w:pPr>
      <w:r>
        <w:rPr>
          <w:rFonts w:ascii="Times New Roman" w:cs="Times New Roman" w:eastAsia="Times New Roman" w:hAnsi="Times New Roman"/>
          <w:sz w:val="12"/>
          <w:szCs w:val="12"/>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63" w:lineRule="exact"/>
        <w:rPr>
          <w:sz w:val="20"/>
          <w:szCs w:val="20"/>
          <w:color w:val="auto"/>
        </w:rPr>
      </w:pPr>
    </w:p>
    <w:p>
      <w:pPr>
        <w:ind w:left="1040" w:right="60"/>
        <w:spacing w:after="0" w:line="243" w:lineRule="auto"/>
        <w:rPr>
          <w:sz w:val="20"/>
          <w:szCs w:val="20"/>
          <w:color w:val="auto"/>
        </w:rPr>
      </w:pPr>
      <w:r>
        <w:rPr>
          <w:rFonts w:ascii="Times New Roman" w:cs="Times New Roman" w:eastAsia="Times New Roman" w:hAnsi="Times New Roman"/>
          <w:sz w:val="12"/>
          <w:szCs w:val="12"/>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84" w:lineRule="exact"/>
        <w:rPr>
          <w:sz w:val="20"/>
          <w:szCs w:val="20"/>
          <w:color w:val="auto"/>
        </w:rPr>
      </w:pPr>
    </w:p>
    <w:p>
      <w:pPr>
        <w:ind w:left="1020" w:hanging="282"/>
        <w:spacing w:after="0" w:line="233" w:lineRule="auto"/>
        <w:tabs>
          <w:tab w:leader="none" w:pos="102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51,381,302 shares of Class A common stock directly held by Carlyle Mozart Coinvestment Holdings, L.P., 2,549,686 shares of Class A common stock directly held by CP VII Circle AIF Holdings, S.C.Sp., 60,986,504 shares of Class A common stock directly held by CP VII Circle Holdings, L.P., 280,445 shares of Class A common stock directly held by CP VII Circle Holdings – A, L.P., 6,911,727 shares of Class A common stock directly held by CP VIII Circle AIF Holdings, S.C.Sp., 27,850,495 shares of Class A common stock directly held by CP VIII Circle Holdings, L.P., 876,100 shares of Class A common stock directly held by CPEP Circle Holdings L.P. and 12,069 shares of Class A common stock and 74,107,977 shares of Class B common stock directly held by CP Circle Holdings, L.P. (Carlyle Mozart Coinvestment Holdings, L.P., CP VII Circle AIF Holdings, S.C.Sp., CP VII Circle Holdings, L.P., and CP VII Circle Holdings – A, L.P. together, the “Carlyle VII Funds”; CP VIII Circle Holdings, L.P. and CP VIII Circle AIF Holdings, S.C.Sp. together, the “Carlyle VIII Funds”; and the Carlyle VII Funds together with the Carlyle VIII Funds, CP Circle Holdings, L.P., and CPEP Circle Holdings L.P., the “Carlyle Funds”). Includes any reduction in beneficial ownership associated with the distribution of an aggregate of 826,263 shares of Class A common stock in kind to certain of its affiliates and limited partners following the consummation of this offering. Any recipients of such distributions would be subject to a lock-up agreement with the underwriters.</w:t>
      </w:r>
    </w:p>
    <w:p>
      <w:pPr>
        <w:spacing w:after="0" w:line="75" w:lineRule="exact"/>
        <w:rPr>
          <w:rFonts w:ascii="Times New Roman" w:cs="Times New Roman" w:eastAsia="Times New Roman" w:hAnsi="Times New Roman"/>
          <w:sz w:val="12"/>
          <w:szCs w:val="12"/>
          <w:color w:val="auto"/>
        </w:rPr>
      </w:pPr>
    </w:p>
    <w:p>
      <w:pPr>
        <w:ind w:left="1040" w:right="80"/>
        <w:spacing w:after="0" w:line="23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73" w:lineRule="exact"/>
        <w:rPr>
          <w:rFonts w:ascii="Times New Roman" w:cs="Times New Roman" w:eastAsia="Times New Roman" w:hAnsi="Times New Roman"/>
          <w:sz w:val="12"/>
          <w:szCs w:val="12"/>
          <w:color w:val="auto"/>
        </w:rPr>
      </w:pPr>
    </w:p>
    <w:p>
      <w:pPr>
        <w:ind w:left="1040" w:right="4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CG Subsidiary Holdings L.L.C. is also the sole member of TC Group VIII, L.L.C., which is the general partner of TC Group VIII, L.P., which is the Delaware general partner of CP VIII Circle AIF Holdings, S.C.Sp. and the general partner of CP VIII Circle Holdings, L.P.</w:t>
      </w:r>
    </w:p>
    <w:p>
      <w:pPr>
        <w:spacing w:after="0" w:line="62" w:lineRule="exact"/>
        <w:rPr>
          <w:rFonts w:ascii="Times New Roman" w:cs="Times New Roman" w:eastAsia="Times New Roman" w:hAnsi="Times New Roman"/>
          <w:sz w:val="12"/>
          <w:szCs w:val="12"/>
          <w:color w:val="auto"/>
        </w:rPr>
      </w:pPr>
    </w:p>
    <w:p>
      <w:pPr>
        <w:ind w:left="10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TC Group Sub L.P. is also the general partner of TC Group VII Lux GP, S.à r.l., which is the Luxembourg general partner of CP VII Circle AIF Holdings, S.C.Sp.</w:t>
      </w:r>
    </w:p>
    <w:p>
      <w:pPr>
        <w:spacing w:after="0" w:line="89" w:lineRule="exact"/>
        <w:rPr>
          <w:rFonts w:ascii="Times New Roman" w:cs="Times New Roman" w:eastAsia="Times New Roman" w:hAnsi="Times New Roman"/>
          <w:sz w:val="12"/>
          <w:szCs w:val="12"/>
          <w:color w:val="auto"/>
        </w:rPr>
      </w:pPr>
    </w:p>
    <w:p>
      <w:pPr>
        <w:ind w:left="1040" w:right="6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62" w:lineRule="exact"/>
        <w:rPr>
          <w:rFonts w:ascii="Times New Roman" w:cs="Times New Roman" w:eastAsia="Times New Roman" w:hAnsi="Times New Roman"/>
          <w:sz w:val="12"/>
          <w:szCs w:val="12"/>
          <w:color w:val="auto"/>
        </w:rPr>
      </w:pPr>
    </w:p>
    <w:p>
      <w:pPr>
        <w:ind w:left="1040" w:right="80"/>
        <w:spacing w:after="0" w:line="23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73" w:lineRule="exact"/>
        <w:rPr>
          <w:rFonts w:ascii="Times New Roman" w:cs="Times New Roman" w:eastAsia="Times New Roman" w:hAnsi="Times New Roman"/>
          <w:sz w:val="12"/>
          <w:szCs w:val="12"/>
          <w:color w:val="auto"/>
        </w:rPr>
      </w:pPr>
    </w:p>
    <w:p>
      <w:pPr>
        <w:ind w:left="104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71" w:lineRule="exact"/>
        <w:rPr>
          <w:rFonts w:ascii="Times New Roman" w:cs="Times New Roman" w:eastAsia="Times New Roman" w:hAnsi="Times New Roman"/>
          <w:sz w:val="12"/>
          <w:szCs w:val="12"/>
          <w:color w:val="auto"/>
        </w:rPr>
      </w:pPr>
    </w:p>
    <w:p>
      <w:pPr>
        <w:ind w:left="1040" w:right="2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83" w:lineRule="exact"/>
        <w:rPr>
          <w:rFonts w:ascii="Times New Roman" w:cs="Times New Roman" w:eastAsia="Times New Roman" w:hAnsi="Times New Roman"/>
          <w:sz w:val="12"/>
          <w:szCs w:val="12"/>
          <w:color w:val="auto"/>
        </w:rPr>
      </w:pPr>
    </w:p>
    <w:p>
      <w:pPr>
        <w:ind w:left="1020" w:right="40" w:hanging="282"/>
        <w:spacing w:after="0" w:line="237" w:lineRule="auto"/>
        <w:tabs>
          <w:tab w:leader="none" w:pos="102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89,576,925 shares of Class A common stock held by Hellman &amp; Friedman Capital Partners X (Parallel), L.P., 9,357,107 shares of Class A common stock held by HFCP X (Parallel - A), L.P., 5,021,648 shares of Class A common stock held by Mend Partners II, L.P. and 19,310 shares of Class A common stock and 120,981,315 shares of Class B common stock held by Mend Investment Holdings I, L.P. (collectively, the “H&amp;F Funds”). Includes any reduction in beneficial ownership associated with the distribution of an aggregate of 2,970,000 shares of Class A common stock in kind to certain of its affiliates and limited partners following the consummation of this offering. Any recipients of such distributions would be subject to a lock-up agreement with the underwriters.</w:t>
      </w:r>
    </w:p>
    <w:p>
      <w:pPr>
        <w:spacing w:after="0" w:line="73" w:lineRule="exact"/>
        <w:rPr>
          <w:rFonts w:ascii="Times New Roman" w:cs="Times New Roman" w:eastAsia="Times New Roman" w:hAnsi="Times New Roman"/>
          <w:sz w:val="12"/>
          <w:szCs w:val="12"/>
          <w:color w:val="auto"/>
        </w:rPr>
      </w:pPr>
    </w:p>
    <w:p>
      <w:pPr>
        <w:ind w:left="1040" w:right="1240"/>
        <w:spacing w:after="0" w:line="39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Hellman &amp; Friedman Investors X, L.P. (“Investors X GP”) is the general partner of Hellman &amp; Friedman Capital Partners X (Parallel), L.P. and HFCP X (Parallel - A), L.P. Mend Partners GP, LLC (“Mend GP”) is the general partner of Mend Partners II, L.P. Investors X GP is the managing member of Mend GP.</w:t>
      </w:r>
    </w:p>
    <w:p>
      <w:pPr>
        <w:ind w:left="1040" w:right="8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62" w:lineRule="exact"/>
        <w:rPr>
          <w:rFonts w:ascii="Times New Roman" w:cs="Times New Roman" w:eastAsia="Times New Roman" w:hAnsi="Times New Roman"/>
          <w:sz w:val="12"/>
          <w:szCs w:val="12"/>
          <w:color w:val="auto"/>
        </w:rPr>
      </w:pPr>
    </w:p>
    <w:p>
      <w:pPr>
        <w:jc w:val="both"/>
        <w:ind w:left="1040" w:right="60"/>
        <w:spacing w:after="0" w:line="24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10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216</w:t>
      </w:r>
    </w:p>
    <w:p>
      <w:pPr>
        <w:sectPr>
          <w:pgSz w:w="11900" w:h="16838" w:orient="portrait"/>
          <w:cols w:equalWidth="0" w:num="1">
            <w:col w:w="10500"/>
          </w:cols>
          <w:pgMar w:left="320" w:top="420" w:right="10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91" w:lineRule="exact"/>
        <w:rPr>
          <w:sz w:val="20"/>
          <w:szCs w:val="20"/>
          <w:color w:val="auto"/>
        </w:rPr>
      </w:pPr>
    </w:p>
    <w:p>
      <w:pPr>
        <w:ind w:left="1020" w:right="40" w:hanging="282"/>
        <w:spacing w:after="0" w:line="237"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 of Medline Inc. and Medline Holdings, LP held by Mozart HoldCo, Inc. are made by a board of directors consisting of three or more directors. See “Description of Capital Stock—Common Stock—Mills Family Voting Cap.” Does not reflect Mozart HoldCo, Inc.’s intention, following the Reorganization Transactions, to exchange an amount of Common Units worth $10 million for shares of Class A common stock. If such exchange occurs, such shares of Class A common stock would remain subject to a lock-up agreement with the underwriters.</w:t>
      </w:r>
    </w:p>
    <w:p>
      <w:pPr>
        <w:spacing w:after="0" w:line="85" w:lineRule="exact"/>
        <w:rPr>
          <w:rFonts w:ascii="Times New Roman" w:cs="Times New Roman" w:eastAsia="Times New Roman" w:hAnsi="Times New Roman"/>
          <w:sz w:val="12"/>
          <w:szCs w:val="12"/>
          <w:color w:val="auto"/>
        </w:rPr>
      </w:pPr>
    </w:p>
    <w:p>
      <w:pPr>
        <w:ind w:left="1020" w:right="40" w:hanging="282"/>
        <w:spacing w:after="0" w:line="237"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110,972,649 shares of Class A common stock are beneficially owned by GIC Private Limited (“GIC”) and its affiliate, Hux Investment Pte. Ltd. (“Hux”).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 Does not reflect any increase in beneficial ownership associated with any purchase of shares of Class A common stock as a cornerstone investor in this offering.</w:t>
      </w:r>
    </w:p>
    <w:p>
      <w:pPr>
        <w:spacing w:after="0" w:line="85" w:lineRule="exact"/>
        <w:rPr>
          <w:rFonts w:ascii="Times New Roman" w:cs="Times New Roman" w:eastAsia="Times New Roman" w:hAnsi="Times New Roman"/>
          <w:sz w:val="12"/>
          <w:szCs w:val="12"/>
          <w:color w:val="auto"/>
        </w:rPr>
      </w:pPr>
    </w:p>
    <w:p>
      <w:pPr>
        <w:ind w:left="1020" w:right="60" w:hanging="282"/>
        <w:spacing w:after="0" w:line="239"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49,645,659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w:t>
      </w:r>
    </w:p>
    <w:p>
      <w:pPr>
        <w:spacing w:after="0" w:line="85" w:lineRule="exact"/>
        <w:rPr>
          <w:rFonts w:ascii="Times New Roman" w:cs="Times New Roman" w:eastAsia="Times New Roman" w:hAnsi="Times New Roman"/>
          <w:sz w:val="12"/>
          <w:szCs w:val="12"/>
          <w:color w:val="auto"/>
        </w:rPr>
      </w:pPr>
    </w:p>
    <w:p>
      <w:pPr>
        <w:ind w:left="1020" w:right="160" w:hanging="282"/>
        <w:spacing w:after="0" w:line="236"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24,313 shares of Class B common stock corresponding to an equivalent number of outstanding Common Units held by Mr. Boyle, (b) 514,876 shares of Class B common stock corresponding to an equivalent number of outstanding Common Units held by a trust over which Mr. Boyle’s spouse is a trustee, (c) 631,014 shares of Class B common stock corresponding to an equivalent number of Common Units issuable upon the conversion of vested Incentive Units held by Mr. Boyle at a conversion price of $29.00 per share of Class A common stock, and</w:t>
      </w:r>
    </w:p>
    <w:p>
      <w:pPr>
        <w:ind w:left="1020"/>
        <w:spacing w:after="0" w:line="23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 495,090 shares of Class B common stock corresponding to an equivalent number of Common Units issuable upon the conversion of vested Incentive Units held by a trust over which Mr. Boyle’s spouse is a trustee at a conversion price of $29.00 per share of Class A common stock.</w:t>
      </w:r>
    </w:p>
    <w:p>
      <w:pPr>
        <w:spacing w:after="0" w:line="85" w:lineRule="exact"/>
        <w:rPr>
          <w:rFonts w:ascii="Times New Roman" w:cs="Times New Roman" w:eastAsia="Times New Roman" w:hAnsi="Times New Roman"/>
          <w:sz w:val="12"/>
          <w:szCs w:val="12"/>
          <w:color w:val="auto"/>
        </w:rPr>
      </w:pPr>
    </w:p>
    <w:p>
      <w:pPr>
        <w:ind w:left="1020" w:hanging="282"/>
        <w:spacing w:after="0"/>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1,206,467 shares of Class B common stock corresponding to an equivalent number of outstanding Common Units held by trusts over which Mr. Pigott is a trustee and (b)</w:t>
      </w:r>
    </w:p>
    <w:p>
      <w:pPr>
        <w:spacing w:after="0" w:line="5" w:lineRule="exact"/>
        <w:rPr>
          <w:rFonts w:ascii="Times New Roman" w:cs="Times New Roman" w:eastAsia="Times New Roman" w:hAnsi="Times New Roman"/>
          <w:sz w:val="12"/>
          <w:szCs w:val="12"/>
          <w:color w:val="auto"/>
        </w:rPr>
      </w:pPr>
    </w:p>
    <w:p>
      <w:pPr>
        <w:ind w:left="1020"/>
        <w:spacing w:after="0" w:line="23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1,013,041 shares of Class B common stock corresponding to an equivalent number of Common Units issuable upon the conversion of vested Incentive Units held by trusts over which Mr. Pigott is a trustee at a conversion price of $29.00 per share of Class A common stock.</w:t>
      </w:r>
    </w:p>
    <w:p>
      <w:pPr>
        <w:spacing w:after="0" w:line="85" w:lineRule="exact"/>
        <w:rPr>
          <w:rFonts w:ascii="Times New Roman" w:cs="Times New Roman" w:eastAsia="Times New Roman" w:hAnsi="Times New Roman"/>
          <w:sz w:val="12"/>
          <w:szCs w:val="12"/>
          <w:color w:val="auto"/>
        </w:rPr>
      </w:pPr>
    </w:p>
    <w:p>
      <w:pPr>
        <w:ind w:left="1020" w:right="160" w:hanging="282"/>
        <w:spacing w:after="0" w:line="243"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486,028 shares of Class B common stock corresponding to an equivalent number of outstanding Common Units held by Mr. Drazin and (b) 829,267 shares of Class B common stock corresponding to an equivalent number of Common Units issuable upon the conversion of vested Incentive Units held by Mr. Drazin at a conversion price of $29.00 per share of Class A common stock.</w:t>
      </w:r>
    </w:p>
    <w:p>
      <w:pPr>
        <w:spacing w:after="0" w:line="83" w:lineRule="exact"/>
        <w:rPr>
          <w:rFonts w:ascii="Times New Roman" w:cs="Times New Roman" w:eastAsia="Times New Roman" w:hAnsi="Times New Roman"/>
          <w:sz w:val="12"/>
          <w:szCs w:val="12"/>
          <w:color w:val="auto"/>
        </w:rPr>
      </w:pPr>
    </w:p>
    <w:p>
      <w:pPr>
        <w:ind w:left="1020" w:right="140" w:hanging="282"/>
        <w:spacing w:after="0" w:line="258"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259,692 shares of Class B common stock corresponding to an equivalent number of Common Units issuable upon the conversion of vested Incentive Units held by a trust over which Mr. Miller is a trustee at a conversion price of $29.00 per share of Class A common stock.</w:t>
      </w:r>
    </w:p>
    <w:p>
      <w:pPr>
        <w:spacing w:after="0" w:line="74" w:lineRule="exact"/>
        <w:rPr>
          <w:rFonts w:ascii="Times New Roman" w:cs="Times New Roman" w:eastAsia="Times New Roman" w:hAnsi="Times New Roman"/>
          <w:sz w:val="12"/>
          <w:szCs w:val="12"/>
          <w:color w:val="auto"/>
        </w:rPr>
      </w:pPr>
    </w:p>
    <w:p>
      <w:pPr>
        <w:ind w:left="1020" w:right="480" w:hanging="282"/>
        <w:spacing w:after="0" w:line="258"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16,451 shares of Class B common stock corresponding to an equivalent number of Common Units issuable upon the conversion of vested Incentive Units held by Mr. Shryock at a conversion price of $29.00 per share of Class A common stock.</w:t>
      </w:r>
    </w:p>
    <w:p>
      <w:pPr>
        <w:spacing w:after="0" w:line="74" w:lineRule="exact"/>
        <w:rPr>
          <w:rFonts w:ascii="Times New Roman" w:cs="Times New Roman" w:eastAsia="Times New Roman" w:hAnsi="Times New Roman"/>
          <w:sz w:val="12"/>
          <w:szCs w:val="12"/>
          <w:color w:val="auto"/>
        </w:rPr>
      </w:pPr>
    </w:p>
    <w:p>
      <w:pPr>
        <w:ind w:left="1020" w:right="100" w:hanging="282"/>
        <w:spacing w:after="0" w:line="239"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465,864 shares of Class B common stock corresponding to an equivalent number of outstanding Common Units held by Mr. Golwas, (b) 363,251 shares of Class B common stock corresponding to an equivalent number of Common Units issuable upon the conversion of vested Incentive Units held by Mr. Golwas at a conversion price of $29.00 per share of Class A common stock, and (c) 216,901 shares of Class B common stock corresponding to an equivalent number of Common Units issuable upon the conversion of vested Incentive Units held by a trust over which Mr. Golwas is a trustee at a conversion price of $29.00 per share of Class A common stock.</w:t>
      </w:r>
    </w:p>
    <w:p>
      <w:pPr>
        <w:spacing w:after="0" w:line="85" w:lineRule="exact"/>
        <w:rPr>
          <w:rFonts w:ascii="Times New Roman" w:cs="Times New Roman" w:eastAsia="Times New Roman" w:hAnsi="Times New Roman"/>
          <w:sz w:val="12"/>
          <w:szCs w:val="12"/>
          <w:color w:val="auto"/>
        </w:rPr>
      </w:pPr>
    </w:p>
    <w:p>
      <w:pPr>
        <w:ind w:left="1020" w:right="140" w:hanging="282"/>
        <w:spacing w:after="0" w:line="258"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reflect any increase in beneficial ownership associated with the distribution of an aggregate of 448,763 shares of Class A common stock in kind for which Mr. Healy will have beneficial ownership following the consummation of this offering and the exercise of the underwriters’ option.</w:t>
      </w:r>
    </w:p>
    <w:p>
      <w:pPr>
        <w:spacing w:after="0" w:line="74" w:lineRule="exact"/>
        <w:rPr>
          <w:rFonts w:ascii="Times New Roman" w:cs="Times New Roman" w:eastAsia="Times New Roman" w:hAnsi="Times New Roman"/>
          <w:sz w:val="12"/>
          <w:szCs w:val="12"/>
          <w:color w:val="auto"/>
        </w:rPr>
      </w:pPr>
    </w:p>
    <w:p>
      <w:pPr>
        <w:ind w:left="1020" w:right="180" w:hanging="282"/>
        <w:spacing w:after="0" w:line="258"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AJM 2018 Generations Trust, which is associated with Mr. Mills, directly holds 30,655 shares of Class B common stock corresponding to an equivalent number of Common Units. Mr. Mills disclaims beneficial ownership of such shares.</w:t>
      </w:r>
    </w:p>
    <w:p>
      <w:pPr>
        <w:spacing w:after="0" w:line="74" w:lineRule="exact"/>
        <w:rPr>
          <w:rFonts w:ascii="Times New Roman" w:cs="Times New Roman" w:eastAsia="Times New Roman" w:hAnsi="Times New Roman"/>
          <w:sz w:val="12"/>
          <w:szCs w:val="12"/>
          <w:color w:val="auto"/>
        </w:rPr>
      </w:pPr>
    </w:p>
    <w:p>
      <w:pPr>
        <w:ind w:left="1020" w:right="280" w:hanging="282"/>
        <w:spacing w:after="0" w:line="258"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Charles N. Mills Gift Trust, which is associated with Mr. Mills, directly holds 64,005 shares of Class B common stock corresponding to an equivalent number of Common Units. Mr. Mills disclaims beneficial ownership of such shares.</w:t>
      </w:r>
    </w:p>
    <w:p>
      <w:pPr>
        <w:spacing w:after="0" w:line="74" w:lineRule="exact"/>
        <w:rPr>
          <w:rFonts w:ascii="Times New Roman" w:cs="Times New Roman" w:eastAsia="Times New Roman" w:hAnsi="Times New Roman"/>
          <w:sz w:val="12"/>
          <w:szCs w:val="12"/>
          <w:color w:val="auto"/>
        </w:rPr>
      </w:pPr>
    </w:p>
    <w:p>
      <w:pPr>
        <w:ind w:left="1020" w:hanging="282"/>
        <w:spacing w:after="0" w:line="239" w:lineRule="auto"/>
        <w:tabs>
          <w:tab w:leader="none" w:pos="102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Reflects (a) 448,763 shares of Class A common stock beneficially owned by our directors, director nominees, and executive officers, (b) 4,030,713 shares of Class B common stock corresponding to an equivalent number of outstanding Common Units beneficially owned by our directors, director nominees, and executive officers, and (c) 5,254,207 shares of Class B common stock corresponding to an equivalent number of Common Units that our directors, director nominees, and executive officers have the right to acquire upon the conversion of vested Incentive Units held by our directors, director nominees, and executive officers at a conversion price of $29.00 per share of Class A common stock.</w:t>
      </w:r>
    </w:p>
    <w:p>
      <w:pPr>
        <w:spacing w:after="0" w:line="163"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Because this indication of interest is not a binding agreement or commitment to purchase, members of the Mills Family and their affiliates may determine to purchase more, less, or no shares in this offering or the underwriters may determine to sell more, less, or no shares to members of the Mills Family and their affiliates and accordingly are not reflected in the table above.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217</w:t>
      </w:r>
    </w:p>
    <w:p>
      <w:pPr>
        <w:sectPr>
          <w:pgSz w:w="11900" w:h="16838" w:orient="portrait"/>
          <w:cols w:equalWidth="0" w:num="1">
            <w:col w:w="10500"/>
          </w:cols>
          <w:pgMar w:left="320" w:top="420" w:right="10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We intend to use the proceeds (net of underwriting discounts and commissions) from the issuance of 37,034,482 shares (which we estimate will be approximately $1,051 million) and from any issuance of shares pursuant to any exercise by the underwriters of their option to purchase 32,405,172 additional shares (which we estimate will be approximately $919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Of this amount, the following table sets forth the amounts that may be received by certain of our pre-IPO owners and their respective affiliated entities.</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20" w:type="dxa"/>
            <w:vAlign w:val="bottom"/>
          </w:tcPr>
          <w:p>
            <w:pPr>
              <w:spacing w:after="0"/>
              <w:rPr>
                <w:sz w:val="12"/>
                <w:szCs w:val="12"/>
                <w:color w:val="auto"/>
              </w:rPr>
            </w:pPr>
          </w:p>
        </w:tc>
        <w:tc>
          <w:tcPr>
            <w:tcW w:w="258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8"/>
              </w:rPr>
              <w:t>Assuming Underwriters’ Option is</w:t>
            </w:r>
          </w:p>
        </w:tc>
        <w:tc>
          <w:tcPr>
            <w:tcW w:w="238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Assuming Underwriters’ Option is</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2580" w:type="dxa"/>
            <w:vAlign w:val="bottom"/>
            <w:gridSpan w:val="6"/>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Not Exercised</w:t>
            </w:r>
          </w:p>
        </w:tc>
        <w:tc>
          <w:tcPr>
            <w:tcW w:w="238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Exercised in Full</w:t>
            </w:r>
          </w:p>
        </w:tc>
        <w:tc>
          <w:tcPr>
            <w:tcW w:w="0" w:type="dxa"/>
            <w:vAlign w:val="bottom"/>
          </w:tcPr>
          <w:p>
            <w:pPr>
              <w:spacing w:after="0"/>
              <w:rPr>
                <w:sz w:val="1"/>
                <w:szCs w:val="1"/>
                <w:color w:val="auto"/>
              </w:rPr>
            </w:pPr>
          </w:p>
        </w:tc>
      </w:tr>
      <w:tr>
        <w:trPr>
          <w:trHeight w:val="102"/>
        </w:trPr>
        <w:tc>
          <w:tcPr>
            <w:tcW w:w="4020" w:type="dxa"/>
            <w:vAlign w:val="bottom"/>
          </w:tcPr>
          <w:p>
            <w:pPr>
              <w:spacing w:after="0"/>
              <w:rPr>
                <w:sz w:val="8"/>
                <w:szCs w:val="8"/>
                <w:color w:val="auto"/>
              </w:rPr>
            </w:pPr>
          </w:p>
        </w:tc>
        <w:tc>
          <w:tcPr>
            <w:tcW w:w="1140" w:type="dxa"/>
            <w:vAlign w:val="bottom"/>
            <w:tcBorders>
              <w:top w:val="single" w:sz="8" w:color="auto"/>
            </w:tcBorders>
            <w:gridSpan w:val="2"/>
          </w:tcPr>
          <w:p>
            <w:pPr>
              <w:jc w:val="center"/>
              <w:ind w:right="16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Borders>
              <w:top w:val="single" w:sz="8" w:color="auto"/>
            </w:tcBorders>
            <w:gridSpan w:val="2"/>
          </w:tcPr>
          <w:p>
            <w:pPr>
              <w:jc w:val="center"/>
              <w:ind w:right="140"/>
              <w:spacing w:after="0" w:line="10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20" w:type="dxa"/>
            <w:vAlign w:val="bottom"/>
          </w:tcPr>
          <w:p>
            <w:pPr>
              <w:spacing w:after="0"/>
              <w:rPr>
                <w:sz w:val="11"/>
                <w:szCs w:val="11"/>
                <w:color w:val="auto"/>
              </w:rPr>
            </w:pPr>
          </w:p>
        </w:tc>
        <w:tc>
          <w:tcPr>
            <w:tcW w:w="114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Equity Interests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1140" w:type="dxa"/>
            <w:vAlign w:val="bottom"/>
            <w:gridSpan w:val="2"/>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8"/>
              </w:rPr>
              <w:t>Equity Interests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Proceeds</w:t>
            </w:r>
          </w:p>
        </w:tc>
        <w:tc>
          <w:tcPr>
            <w:tcW w:w="0" w:type="dxa"/>
            <w:vAlign w:val="bottom"/>
          </w:tcPr>
          <w:p>
            <w:pPr>
              <w:spacing w:after="0"/>
              <w:rPr>
                <w:sz w:val="1"/>
                <w:szCs w:val="1"/>
                <w:color w:val="auto"/>
              </w:rPr>
            </w:pPr>
          </w:p>
        </w:tc>
      </w:tr>
      <w:tr>
        <w:trPr>
          <w:trHeight w:val="154"/>
        </w:trPr>
        <w:tc>
          <w:tcPr>
            <w:tcW w:w="4020" w:type="dxa"/>
            <w:vAlign w:val="bottom"/>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Sold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Sold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Blackstone</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10,889,088</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308,904,588</w:t>
            </w:r>
          </w:p>
        </w:tc>
        <w:tc>
          <w:tcPr>
            <w:tcW w:w="3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20,417,040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579,196,103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Entities affiliated with Carlyle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10,206,044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289,527,812</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19,136,333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542,864,661</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H&amp;F</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8,062,307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228,713,702</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15,116,826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428,838,202</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Entities affiliated with GIC</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5,442,321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154,389,232</w:t>
            </w:r>
          </w:p>
        </w:tc>
        <w:tc>
          <w:tcPr>
            <w:tcW w:w="3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10,204,351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289,479,784</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ADIA</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2,434,722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69,068,851</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4,565,104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129,504,103</w:t>
            </w:r>
          </w:p>
        </w:tc>
        <w:tc>
          <w:tcPr>
            <w:tcW w:w="0" w:type="dxa"/>
            <w:vAlign w:val="bottom"/>
          </w:tcPr>
          <w:p>
            <w:pPr>
              <w:spacing w:after="0"/>
              <w:rPr>
                <w:sz w:val="1"/>
                <w:szCs w:val="1"/>
                <w:color w:val="auto"/>
              </w:rPr>
            </w:pPr>
          </w:p>
        </w:tc>
      </w:tr>
      <w:tr>
        <w:trPr>
          <w:trHeight w:val="323"/>
        </w:trPr>
        <w:tc>
          <w:tcPr>
            <w:tcW w:w="4020" w:type="dxa"/>
            <w:vAlign w:val="bottom"/>
          </w:tcPr>
          <w:p>
            <w:pPr>
              <w:spacing w:after="0"/>
              <w:rPr>
                <w:sz w:val="24"/>
                <w:szCs w:val="24"/>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6"/>
                <w:szCs w:val="16"/>
                <w:color w:val="auto"/>
              </w:rPr>
              <w:t>218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b w:val="1"/>
          <w:bCs w:val="1"/>
          <w:color w:val="auto"/>
        </w:rPr>
        <w:t>DESCRIPTION OF CERTAIN INDEBTEDNESS</w:t>
      </w:r>
    </w:p>
    <w:p>
      <w:pPr>
        <w:spacing w:after="0" w:line="19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i w:val="1"/>
          <w:iCs w:val="1"/>
          <w:color w:val="auto"/>
        </w:rPr>
        <w:t>The following section summarizes the terms of our material principal indebtedness.</w:t>
      </w:r>
    </w:p>
    <w:p>
      <w:pPr>
        <w:spacing w:after="0" w:line="29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Senior Secured Credit Facilities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07"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57" w:lineRule="exact"/>
        <w:rPr>
          <w:sz w:val="20"/>
          <w:szCs w:val="20"/>
          <w:color w:val="auto"/>
        </w:rPr>
      </w:pPr>
    </w:p>
    <w:p>
      <w:pPr>
        <w:ind w:left="740" w:right="320" w:firstLine="391"/>
        <w:spacing w:after="0" w:line="265" w:lineRule="auto"/>
        <w:rPr>
          <w:sz w:val="20"/>
          <w:szCs w:val="20"/>
          <w:color w:val="auto"/>
        </w:rPr>
      </w:pPr>
      <w:r>
        <w:rPr>
          <w:rFonts w:ascii="Times New Roman" w:cs="Times New Roman" w:eastAsia="Times New Roman" w:hAnsi="Times New Roman"/>
          <w:sz w:val="16"/>
          <w:szCs w:val="16"/>
          <w:color w:val="auto"/>
        </w:rPr>
        <w:t>The Sponsor Acquisition Credit Agreement initially provided for (i) the Initial Dollar Term Loan Facility in an aggregate principal amount of $7,270 million, (ii) the Initial Euro Term Loan Facility in an aggregate principal amount equal to the euro equivalent of $500 million and (iii) the Revolving Credit Facility in an aggregate principal amount of $1,000 million.</w:t>
      </w:r>
    </w:p>
    <w:p>
      <w:pPr>
        <w:spacing w:after="0" w:line="157" w:lineRule="exact"/>
        <w:rPr>
          <w:sz w:val="20"/>
          <w:szCs w:val="20"/>
          <w:color w:val="auto"/>
        </w:rPr>
      </w:pPr>
    </w:p>
    <w:p>
      <w:pPr>
        <w:ind w:left="740" w:firstLine="391"/>
        <w:spacing w:after="0" w:line="267" w:lineRule="auto"/>
        <w:rPr>
          <w:sz w:val="20"/>
          <w:szCs w:val="20"/>
          <w:color w:val="auto"/>
        </w:rPr>
      </w:pPr>
      <w:r>
        <w:rPr>
          <w:rFonts w:ascii="Times New Roman" w:cs="Times New Roman" w:eastAsia="Times New Roman" w:hAnsi="Times New Roman"/>
          <w:sz w:val="15"/>
          <w:szCs w:val="15"/>
          <w:color w:val="auto"/>
        </w:rPr>
        <w:t>On the Second Amendment Date, we entered into an amendment to the Sponsor Acquisition Credit Agreement to refinance the Initial Dollar Term Loan Facility and the loans thereunder in order to reduce the applicable margin with respect thereto (the Initial Dollar Term Loan Facility after giving effect to such refinancing, the “Refinanced Dollar Term Loan Facility”). On the Third Amendment Date, we entered into an amendment to the Sponsor Acquisition Credit Agreement to (i) refinance the Initial Euro Term Loan Facility with incremental euro-denominated term loans in an equivalent principal amount of the Initial Euro Term Loans so prepaid (the “Refinanced Euro Term Loan Facility”), (ii) incur incremental euro-denominated Term B loans of the same class as the Refinanced Euro Term Loans in an aggregate principal amount of approximately €185 million (together with the Refinanced Euro Term Loan Facility, the “New Euro Term Loan Facility”), (iii) incur incremental term loans under the Additional Dollar Term Loan Facility in an aggregate principal amount of approximately $1,519 million and (iv) amend the Revolving Credit Facility to extend the maturity date to the date that is five years following the Third Amendment Date, subject to a springing maturity 91-days inside of the maturity date of the New Euro Term Loan Facility, the 2028 Refinancing Term Loan Facility, the 2021 Secured Notes and the 2024 Notes (the “Springing Condition”), in each case, solely to the extent a material amount of such debt, as applicable, remains outstanding as of such date. On the Fourth Amendment Date, we entered into an amendment to the Sponsor Acquisition Credit Agreement to refinance the Refinanced Dollar Term Loan Facility to be on the same terms as the New Dollar Term Loan Facility (the “Refinancing”) causing the refinanced loans under the Refinanced Dollar Term Loan Facility to be a single class with the term loans outstanding under the Additional Dollar Term Loan Facility (the “New Dollar Term Loan Facility”). On the Fifth Amendment Date, we entered into an amendment to the Sponsor Acquisition Credit Agreement to permit letter of credit issuers to issue letters of credit in excess of their respective letter of credit commitments and to obligate the other lenders under our Revolving Credit Facility to participate in such letters of credit, subject to other customary limitations. On the Sixth Amendment Date, we entered into an amendment to the Sponsor Acquisition Credit Agreement to</w:t>
      </w:r>
    </w:p>
    <w:p>
      <w:pPr>
        <w:spacing w:after="0" w:line="12" w:lineRule="exact"/>
        <w:rPr>
          <w:sz w:val="20"/>
          <w:szCs w:val="20"/>
          <w:color w:val="auto"/>
        </w:rPr>
      </w:pPr>
    </w:p>
    <w:p>
      <w:pPr>
        <w:ind w:left="740" w:right="180" w:hanging="2"/>
        <w:spacing w:after="0" w:line="251" w:lineRule="auto"/>
        <w:tabs>
          <w:tab w:leader="none" w:pos="931"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refinance an aggregate principal amount of New Dollar Term Loans equal to $4,074 million in order to reduce the applicable margin with respect thereto (the “2028 Refinancing Term Loan Facility”) and (ii) refinance an aggregate principal amount of New Dollar Term Loans equal to $3,500 million in order to reduce the applicable margin with respect thereto and extend the maturity date with respect thereto to October 23, 2030 (such date, the “2030 Refinancing Term Loan Maturity Date”) (the “2030 Refinancing Term Loan Facility” and, together with the 2028 Refinancing Term Loan Facility, the “2025 Refinancing Dollar Term Facility”; the 2025 Refinancing Dollar Term Facility, together with the Revolving Credit Facility and the New Euro Term Loan Facility, the “Senior Secured Credit Facilities”).</w:t>
      </w:r>
    </w:p>
    <w:p>
      <w:pPr>
        <w:spacing w:after="0" w:line="170"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219</w:t>
      </w:r>
    </w:p>
    <w:p>
      <w:pPr>
        <w:sectPr>
          <w:pgSz w:w="11900" w:h="16838" w:orient="portrait"/>
          <w:cols w:equalWidth="0" w:num="1">
            <w:col w:w="10480"/>
          </w:cols>
          <w:pgMar w:left="320" w:top="420" w:right="10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1" w:lineRule="auto"/>
        <w:rPr>
          <w:sz w:val="20"/>
          <w:szCs w:val="20"/>
          <w:color w:val="auto"/>
        </w:rPr>
      </w:pPr>
      <w:r>
        <w:rPr>
          <w:rFonts w:ascii="Times New Roman" w:cs="Times New Roman" w:eastAsia="Times New Roman" w:hAnsi="Times New Roman"/>
          <w:sz w:val="16"/>
          <w:szCs w:val="16"/>
          <w:color w:val="auto"/>
        </w:rPr>
        <w:t xml:space="preserve">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Interest Rate and Fees</w:t>
      </w:r>
    </w:p>
    <w:p>
      <w:pPr>
        <w:spacing w:after="0" w:line="107"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 Additionally, pursuant to the terms of the Sponsor Acquisition Credit Agreement, the applicable margin with respect to each of our Senior Secured Credit Facilities is contractually reduced by 0.25% per annum upon the consummation of a qualified initial public offering.</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Prepayments</w:t>
      </w:r>
    </w:p>
    <w:p>
      <w:pPr>
        <w:spacing w:after="0" w:line="107" w:lineRule="exact"/>
        <w:rPr>
          <w:sz w:val="20"/>
          <w:szCs w:val="20"/>
          <w:color w:val="auto"/>
        </w:rPr>
      </w:pPr>
    </w:p>
    <w:p>
      <w:pPr>
        <w:ind w:left="740" w:right="340" w:firstLine="391"/>
        <w:spacing w:after="0" w:line="281" w:lineRule="auto"/>
        <w:rPr>
          <w:sz w:val="20"/>
          <w:szCs w:val="20"/>
          <w:color w:val="auto"/>
        </w:rPr>
      </w:pPr>
      <w:r>
        <w:rPr>
          <w:rFonts w:ascii="Times New Roman" w:cs="Times New Roman" w:eastAsia="Times New Roman" w:hAnsi="Times New Roman"/>
          <w:sz w:val="16"/>
          <w:szCs w:val="16"/>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44"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Sixth Amendment Refinancing Term Loan Facility in connection with certain repricing transactions that occur prior to the 6-month anniversary of the Sixth</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220</w:t>
      </w:r>
    </w:p>
    <w:p>
      <w:pPr>
        <w:sectPr>
          <w:pgSz w:w="11900" w:h="16838" w:orient="portrait"/>
          <w:cols w:equalWidth="0" w:num="1">
            <w:col w:w="10500"/>
          </w:cols>
          <w:pgMar w:left="320" w:top="420" w:right="10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6-month anniversary of the Third Amendment Date shall be subject to a prepayment premium of 1.0% of the principal amount of such term loans so prepaid, refinanced, or repriced, subject to certain exceptions.</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Amortization and Maturity</w:t>
      </w:r>
    </w:p>
    <w:p>
      <w:pPr>
        <w:spacing w:after="0" w:line="107" w:lineRule="exact"/>
        <w:rPr>
          <w:sz w:val="20"/>
          <w:szCs w:val="20"/>
          <w:color w:val="auto"/>
        </w:rPr>
      </w:pPr>
    </w:p>
    <w:p>
      <w:pPr>
        <w:ind w:left="740" w:right="100" w:firstLine="391"/>
        <w:spacing w:after="0" w:line="255" w:lineRule="auto"/>
        <w:rPr>
          <w:sz w:val="20"/>
          <w:szCs w:val="20"/>
          <w:color w:val="auto"/>
        </w:rPr>
      </w:pPr>
      <w:r>
        <w:rPr>
          <w:rFonts w:ascii="Times New Roman" w:cs="Times New Roman" w:eastAsia="Times New Roman" w:hAnsi="Times New Roman"/>
          <w:sz w:val="16"/>
          <w:szCs w:val="16"/>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term loans under the New Euro Term Loan Facility do not have any amortization, with the balance payable on the Initial Term Loan Maturity Date. The Revolving Credit Facility will, subject to the Springing Condition, mature five years after the Third Amendment Date.</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Guarantee and Security</w:t>
      </w:r>
    </w:p>
    <w:p>
      <w:pPr>
        <w:spacing w:after="0" w:line="107" w:lineRule="exact"/>
        <w:rPr>
          <w:sz w:val="20"/>
          <w:szCs w:val="20"/>
          <w:color w:val="auto"/>
        </w:rPr>
      </w:pPr>
    </w:p>
    <w:p>
      <w:pPr>
        <w:ind w:left="740" w:right="140" w:firstLine="391"/>
        <w:spacing w:after="0" w:line="256" w:lineRule="auto"/>
        <w:rPr>
          <w:sz w:val="20"/>
          <w:szCs w:val="20"/>
          <w:color w:val="auto"/>
        </w:rPr>
      </w:pPr>
      <w:r>
        <w:rPr>
          <w:rFonts w:ascii="Times New Roman" w:cs="Times New Roman" w:eastAsia="Times New Roman" w:hAnsi="Times New Roman"/>
          <w:sz w:val="16"/>
          <w:szCs w:val="16"/>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64" w:lineRule="exact"/>
        <w:rPr>
          <w:sz w:val="20"/>
          <w:szCs w:val="20"/>
          <w:color w:val="auto"/>
        </w:rPr>
      </w:pPr>
    </w:p>
    <w:p>
      <w:pPr>
        <w:ind w:left="740" w:right="60" w:firstLine="391"/>
        <w:spacing w:after="0" w:line="254" w:lineRule="auto"/>
        <w:rPr>
          <w:sz w:val="20"/>
          <w:szCs w:val="20"/>
          <w:color w:val="auto"/>
        </w:rPr>
      </w:pPr>
      <w:r>
        <w:rPr>
          <w:rFonts w:ascii="Times New Roman" w:cs="Times New Roman" w:eastAsia="Times New Roman" w:hAnsi="Times New Roman"/>
          <w:sz w:val="16"/>
          <w:szCs w:val="16"/>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Certain Covenants and Events of Default</w:t>
      </w:r>
    </w:p>
    <w:p>
      <w:pPr>
        <w:spacing w:after="0" w:line="107" w:lineRule="exact"/>
        <w:rPr>
          <w:sz w:val="20"/>
          <w:szCs w:val="20"/>
          <w:color w:val="auto"/>
        </w:rPr>
      </w:pPr>
    </w:p>
    <w:p>
      <w:pPr>
        <w:ind w:left="740" w:right="20" w:firstLine="391"/>
        <w:spacing w:after="0" w:line="281"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60" w:lineRule="exact"/>
        <w:rPr>
          <w:sz w:val="20"/>
          <w:szCs w:val="20"/>
          <w:color w:val="auto"/>
        </w:rPr>
      </w:pPr>
    </w:p>
    <w:p>
      <w:pPr>
        <w:ind w:left="1600" w:hanging="383"/>
        <w:spacing w:after="0"/>
        <w:tabs>
          <w:tab w:leader="none" w:pos="1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5" w:lineRule="exact"/>
        <w:rPr>
          <w:rFonts w:ascii="Times New Roman" w:cs="Times New Roman" w:eastAsia="Times New Roman" w:hAnsi="Times New Roman"/>
          <w:sz w:val="16"/>
          <w:szCs w:val="16"/>
          <w:color w:val="auto"/>
        </w:rPr>
      </w:pPr>
    </w:p>
    <w:p>
      <w:pPr>
        <w:jc w:val="right"/>
        <w:ind w:left="5500" w:right="4740" w:hanging="4283"/>
        <w:spacing w:after="0" w:line="499" w:lineRule="auto"/>
        <w:tabs>
          <w:tab w:leader="none" w:pos="1596"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prepay, redeem, or repurchase certain subordinated indebtedness; 221</w:t>
      </w:r>
    </w:p>
    <w:p>
      <w:pPr>
        <w:sectPr>
          <w:pgSz w:w="11900" w:h="16838" w:orient="portrait"/>
          <w:cols w:equalWidth="0" w:num="1">
            <w:col w:w="10500"/>
          </w:cols>
          <w:pgMar w:left="320" w:top="420" w:right="10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383"/>
        <w:spacing w:after="0"/>
        <w:tabs>
          <w:tab w:leader="none" w:pos="16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 and</w:t>
      </w:r>
    </w:p>
    <w:p>
      <w:pPr>
        <w:spacing w:after="0" w:line="115" w:lineRule="exact"/>
        <w:rPr>
          <w:rFonts w:ascii="Times New Roman" w:cs="Times New Roman" w:eastAsia="Times New Roman" w:hAnsi="Times New Roman"/>
          <w:sz w:val="16"/>
          <w:szCs w:val="16"/>
          <w:color w:val="auto"/>
        </w:rPr>
      </w:pPr>
    </w:p>
    <w:p>
      <w:pPr>
        <w:ind w:left="1600" w:right="40" w:hanging="383"/>
        <w:spacing w:after="0" w:line="281" w:lineRule="auto"/>
        <w:tabs>
          <w:tab w:leader="none" w:pos="160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amendments to certain subordinated indebtedness in a manner materially adverse to the lenders under the Senior Secured Credit Facilities.</w:t>
      </w:r>
    </w:p>
    <w:p>
      <w:pPr>
        <w:spacing w:after="0" w:line="144" w:lineRule="exact"/>
        <w:rPr>
          <w:sz w:val="20"/>
          <w:szCs w:val="20"/>
          <w:color w:val="auto"/>
        </w:rPr>
      </w:pPr>
    </w:p>
    <w:p>
      <w:pPr>
        <w:ind w:left="740" w:right="260" w:firstLine="391"/>
        <w:spacing w:after="0" w:line="257"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65" w:lineRule="exact"/>
        <w:rPr>
          <w:sz w:val="20"/>
          <w:szCs w:val="20"/>
          <w:color w:val="auto"/>
        </w:rPr>
      </w:pPr>
    </w:p>
    <w:p>
      <w:pPr>
        <w:jc w:val="both"/>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5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New Euro Term Loan Facility</w:t>
      </w:r>
    </w:p>
    <w:p>
      <w:pPr>
        <w:spacing w:after="0" w:line="107"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color w:val="auto"/>
        </w:rPr>
        <w:t>On the Third Amendment Date, we refinanced all of our Existing Euro Term Loan Facility with the incurrence of new euro-denominated Term B loans and incurred incremental euro-denominated Term B loans in an aggregate principal amount of approximately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67" w:lineRule="exact"/>
        <w:rPr>
          <w:sz w:val="20"/>
          <w:szCs w:val="20"/>
          <w:color w:val="auto"/>
        </w:rPr>
      </w:pPr>
    </w:p>
    <w:p>
      <w:pPr>
        <w:jc w:val="both"/>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2025 Refinancing Dollar Term Facility</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 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222</w:t>
      </w:r>
    </w:p>
    <w:p>
      <w:pPr>
        <w:sectPr>
          <w:pgSz w:w="11900" w:h="16838" w:orient="portrait"/>
          <w:cols w:equalWidth="0" w:num="1">
            <w:col w:w="10460"/>
          </w:cols>
          <w:pgMar w:left="320" w:top="420" w:right="11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100"/>
        <w:spacing w:after="0" w:line="255" w:lineRule="auto"/>
        <w:rPr>
          <w:sz w:val="20"/>
          <w:szCs w:val="20"/>
          <w:color w:val="auto"/>
        </w:rPr>
      </w:pPr>
      <w:r>
        <w:rPr>
          <w:rFonts w:ascii="Times New Roman" w:cs="Times New Roman" w:eastAsia="Times New Roman" w:hAnsi="Times New Roman"/>
          <w:sz w:val="16"/>
          <w:szCs w:val="16"/>
          <w:color w:val="auto"/>
        </w:rPr>
        <w:t>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 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 however, that the 2030 Refinancing Term Loan Facility will mature on the 2030 Refinancing Term Loan Maturity Date. Additionally, the applicable margin with respect to the 2025 Refinancing Dollar Term Facility is contractually reduced by 0.25% per annum upon the consummation of a qualified initial public offering.</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Revolving Credit Facility Extension</w:t>
      </w:r>
    </w:p>
    <w:p>
      <w:pPr>
        <w:spacing w:after="0" w:line="107"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On the Third Amendment Date, we amended the Revolving Credit Facility to extend the maturity date to the date that is five years following the Third Amendment Date, subject to the Springing Condition.</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2021 Notes</w:t>
      </w:r>
    </w:p>
    <w:p>
      <w:pPr>
        <w:spacing w:after="0" w:line="105" w:lineRule="exact"/>
        <w:rPr>
          <w:sz w:val="20"/>
          <w:szCs w:val="20"/>
          <w:color w:val="auto"/>
        </w:rPr>
      </w:pPr>
    </w:p>
    <w:p>
      <w:pPr>
        <w:ind w:left="740" w:firstLine="391"/>
        <w:spacing w:after="0" w:line="274" w:lineRule="auto"/>
        <w:rPr>
          <w:sz w:val="20"/>
          <w:szCs w:val="20"/>
          <w:color w:val="auto"/>
        </w:rPr>
      </w:pPr>
      <w:r>
        <w:rPr>
          <w:rFonts w:ascii="Times New Roman" w:cs="Times New Roman" w:eastAsia="Times New Roman" w:hAnsi="Times New Roman"/>
          <w:sz w:val="15"/>
          <w:szCs w:val="15"/>
          <w:color w:val="auto"/>
        </w:rPr>
        <w:t>To partially finance the Sponsor Acquisition, Medline Borrower, LP (the “Issuer”) and Medline 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w:t>
      </w:r>
    </w:p>
    <w:p>
      <w:pPr>
        <w:spacing w:after="0" w:line="1" w:lineRule="exact"/>
        <w:rPr>
          <w:sz w:val="20"/>
          <w:szCs w:val="20"/>
          <w:color w:val="auto"/>
        </w:rPr>
      </w:pPr>
    </w:p>
    <w:p>
      <w:pPr>
        <w:ind w:left="740" w:right="140"/>
        <w:spacing w:after="0" w:line="259" w:lineRule="auto"/>
        <w:rPr>
          <w:sz w:val="20"/>
          <w:szCs w:val="20"/>
          <w:color w:val="auto"/>
        </w:rPr>
      </w:pPr>
      <w:r>
        <w:rPr>
          <w:rFonts w:ascii="Times New Roman" w:cs="Times New Roman" w:eastAsia="Times New Roman" w:hAnsi="Times New Roman"/>
          <w:sz w:val="16"/>
          <w:szCs w:val="16"/>
          <w:color w:val="auto"/>
        </w:rPr>
        <w:t>5.250% Senior Notes due 2029 (the “2021 Unsecured Notes” and, together with the 2021 Secured Notes, the “2021 Notes”)) pursuant to an indenture, dated as of October 15, 2021 (the “2021 Unsecured Notes Indenture”).</w:t>
      </w:r>
    </w:p>
    <w:p>
      <w:pPr>
        <w:spacing w:after="0" w:line="161" w:lineRule="exact"/>
        <w:rPr>
          <w:sz w:val="20"/>
          <w:szCs w:val="20"/>
          <w:color w:val="auto"/>
        </w:rPr>
      </w:pPr>
    </w:p>
    <w:p>
      <w:pPr>
        <w:jc w:val="both"/>
        <w:ind w:left="740" w:firstLine="391"/>
        <w:spacing w:after="0" w:line="265" w:lineRule="auto"/>
        <w:rPr>
          <w:sz w:val="20"/>
          <w:szCs w:val="20"/>
          <w:color w:val="auto"/>
        </w:rPr>
      </w:pPr>
      <w:r>
        <w:rPr>
          <w:rFonts w:ascii="Times New Roman" w:cs="Times New Roman" w:eastAsia="Times New Roman" w:hAnsi="Times New Roman"/>
          <w:sz w:val="16"/>
          <w:szCs w:val="16"/>
          <w:color w:val="auto"/>
        </w:rPr>
        <w:t>The 2021 Secured Notes have a fixed annual interest rate of 3.875%, which will be paid in cash semi-annually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Ranking and Guarantees</w:t>
      </w:r>
    </w:p>
    <w:p>
      <w:pPr>
        <w:spacing w:after="0" w:line="107" w:lineRule="exact"/>
        <w:rPr>
          <w:sz w:val="20"/>
          <w:szCs w:val="20"/>
          <w:color w:val="auto"/>
        </w:rPr>
      </w:pPr>
    </w:p>
    <w:p>
      <w:pPr>
        <w:ind w:left="740" w:right="180" w:firstLine="391"/>
        <w:spacing w:after="0" w:line="281" w:lineRule="auto"/>
        <w:rPr>
          <w:sz w:val="20"/>
          <w:szCs w:val="20"/>
          <w:color w:val="auto"/>
        </w:rPr>
      </w:pPr>
      <w:r>
        <w:rPr>
          <w:rFonts w:ascii="Times New Roman" w:cs="Times New Roman" w:eastAsia="Times New Roman" w:hAnsi="Times New Roman"/>
          <w:sz w:val="16"/>
          <w:szCs w:val="16"/>
          <w:color w:val="auto"/>
        </w:rPr>
        <w:t>The 2021 Notes are guaranteed by Medline Intermediate, LP and each of the Issuer’s wholly owned domestic restricted subsidiaries (other than the Co-Issuer) that guarantee our Senior Secured Credit Facilities.</w:t>
      </w:r>
    </w:p>
    <w:p>
      <w:pPr>
        <w:spacing w:after="0" w:line="144"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64" w:lineRule="exact"/>
        <w:rPr>
          <w:sz w:val="20"/>
          <w:szCs w:val="20"/>
          <w:color w:val="auto"/>
        </w:rPr>
      </w:pPr>
    </w:p>
    <w:p>
      <w:pPr>
        <w:ind w:left="740" w:right="80" w:firstLine="391"/>
        <w:spacing w:after="0" w:line="256" w:lineRule="auto"/>
        <w:rPr>
          <w:sz w:val="20"/>
          <w:szCs w:val="20"/>
          <w:color w:val="auto"/>
        </w:rPr>
      </w:pPr>
      <w:r>
        <w:rPr>
          <w:rFonts w:ascii="Times New Roman" w:cs="Times New Roman" w:eastAsia="Times New Roman" w:hAnsi="Times New Roman"/>
          <w:sz w:val="16"/>
          <w:szCs w:val="16"/>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223</w:t>
      </w:r>
    </w:p>
    <w:p>
      <w:pPr>
        <w:sectPr>
          <w:pgSz w:w="11900" w:h="16838" w:orient="portrait"/>
          <w:cols w:equalWidth="0" w:num="1">
            <w:col w:w="10460"/>
          </w:cols>
          <w:pgMar w:left="320" w:top="420" w:right="111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Security</w:t>
      </w:r>
    </w:p>
    <w:p>
      <w:pPr>
        <w:spacing w:after="0" w:line="107" w:lineRule="exact"/>
        <w:rPr>
          <w:sz w:val="20"/>
          <w:szCs w:val="20"/>
          <w:color w:val="auto"/>
        </w:rPr>
      </w:pPr>
    </w:p>
    <w:p>
      <w:pPr>
        <w:ind w:left="740" w:right="120" w:firstLine="391"/>
        <w:spacing w:after="0" w:line="281" w:lineRule="auto"/>
        <w:rPr>
          <w:sz w:val="20"/>
          <w:szCs w:val="20"/>
          <w:color w:val="auto"/>
        </w:rPr>
      </w:pPr>
      <w:r>
        <w:rPr>
          <w:rFonts w:ascii="Times New Roman" w:cs="Times New Roman" w:eastAsia="Times New Roman" w:hAnsi="Times New Roman"/>
          <w:sz w:val="16"/>
          <w:szCs w:val="16"/>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107"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57"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107" w:lineRule="exact"/>
        <w:rPr>
          <w:sz w:val="20"/>
          <w:szCs w:val="20"/>
          <w:color w:val="auto"/>
        </w:rPr>
      </w:pPr>
    </w:p>
    <w:p>
      <w:pPr>
        <w:jc w:val="both"/>
        <w:ind w:left="740" w:firstLine="391"/>
        <w:spacing w:after="0" w:line="281" w:lineRule="auto"/>
        <w:rPr>
          <w:sz w:val="20"/>
          <w:szCs w:val="20"/>
          <w:color w:val="auto"/>
        </w:rPr>
      </w:pPr>
      <w:r>
        <w:rPr>
          <w:rFonts w:ascii="Times New Roman" w:cs="Times New Roman" w:eastAsia="Times New Roman" w:hAnsi="Times New Roman"/>
          <w:sz w:val="16"/>
          <w:szCs w:val="16"/>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0" w:lineRule="exact"/>
        <w:rPr>
          <w:sz w:val="20"/>
          <w:szCs w:val="20"/>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subordinated indebtedness;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2024 Notes</w:t>
      </w:r>
    </w:p>
    <w:p>
      <w:pPr>
        <w:spacing w:after="0" w:line="105" w:lineRule="exact"/>
        <w:rPr>
          <w:sz w:val="20"/>
          <w:szCs w:val="20"/>
          <w:color w:val="auto"/>
        </w:rPr>
      </w:pPr>
    </w:p>
    <w:p>
      <w:pPr>
        <w:ind w:left="740" w:right="40" w:firstLine="391"/>
        <w:spacing w:after="0" w:line="257" w:lineRule="auto"/>
        <w:rPr>
          <w:sz w:val="20"/>
          <w:szCs w:val="20"/>
          <w:color w:val="auto"/>
        </w:rPr>
      </w:pPr>
      <w:r>
        <w:rPr>
          <w:rFonts w:ascii="Times New Roman" w:cs="Times New Roman" w:eastAsia="Times New Roman" w:hAnsi="Times New Roman"/>
          <w:sz w:val="16"/>
          <w:szCs w:val="16"/>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65"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The 2024 Notes have a fixed annual interest rate of 6.250%, which will be paid in cash semi-annually in arrears on April 1 and October 1 of each year and will mature on April 1, 2029.</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Ranking and Guarantees</w:t>
      </w:r>
    </w:p>
    <w:p>
      <w:pPr>
        <w:spacing w:after="0" w:line="107"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The 2024 Notes are guaranteed by Medline Intermediate, LP and each of the Issuer’s wholly owned domestic restricted subsidiaries (other than the Co-Issuer) that guarantee our Senior Secured Credit Facilities.</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224</w:t>
      </w:r>
    </w:p>
    <w:p>
      <w:pPr>
        <w:sectPr>
          <w:pgSz w:w="11900" w:h="16838" w:orient="portrait"/>
          <w:cols w:equalWidth="0" w:num="1">
            <w:col w:w="10500"/>
          </w:cols>
          <w:pgMar w:left="320" w:top="420" w:right="10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Security</w:t>
      </w:r>
    </w:p>
    <w:p>
      <w:pPr>
        <w:spacing w:after="0" w:line="107" w:lineRule="exact"/>
        <w:rPr>
          <w:sz w:val="20"/>
          <w:szCs w:val="20"/>
          <w:color w:val="auto"/>
        </w:rPr>
      </w:pPr>
    </w:p>
    <w:p>
      <w:pPr>
        <w:ind w:left="740" w:right="280" w:firstLine="391"/>
        <w:spacing w:after="0" w:line="281" w:lineRule="auto"/>
        <w:rPr>
          <w:sz w:val="20"/>
          <w:szCs w:val="20"/>
          <w:color w:val="auto"/>
        </w:rPr>
      </w:pPr>
      <w:r>
        <w:rPr>
          <w:rFonts w:ascii="Times New Roman" w:cs="Times New Roman" w:eastAsia="Times New Roman" w:hAnsi="Times New Roman"/>
          <w:sz w:val="16"/>
          <w:szCs w:val="16"/>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Redemption</w:t>
      </w:r>
    </w:p>
    <w:p>
      <w:pPr>
        <w:spacing w:after="0" w:line="107"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67" w:lineRule="exact"/>
        <w:rPr>
          <w:sz w:val="20"/>
          <w:szCs w:val="20"/>
          <w:color w:val="auto"/>
        </w:rPr>
      </w:pPr>
    </w:p>
    <w:p>
      <w:pPr>
        <w:ind w:left="740" w:right="120" w:firstLine="391"/>
        <w:spacing w:after="0" w:line="265" w:lineRule="auto"/>
        <w:rPr>
          <w:sz w:val="20"/>
          <w:szCs w:val="20"/>
          <w:color w:val="auto"/>
        </w:rPr>
      </w:pPr>
      <w:r>
        <w:rPr>
          <w:rFonts w:ascii="Times New Roman" w:cs="Times New Roman" w:eastAsia="Times New Roman" w:hAnsi="Times New Roman"/>
          <w:sz w:val="16"/>
          <w:szCs w:val="16"/>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57" w:lineRule="exact"/>
        <w:rPr>
          <w:sz w:val="20"/>
          <w:szCs w:val="20"/>
          <w:color w:val="auto"/>
        </w:rPr>
      </w:pPr>
    </w:p>
    <w:p>
      <w:pPr>
        <w:jc w:val="both"/>
        <w:ind w:left="740" w:firstLine="391"/>
        <w:spacing w:after="0" w:line="265" w:lineRule="auto"/>
        <w:rPr>
          <w:sz w:val="20"/>
          <w:szCs w:val="20"/>
          <w:color w:val="auto"/>
        </w:rPr>
      </w:pPr>
      <w:r>
        <w:rPr>
          <w:rFonts w:ascii="Times New Roman" w:cs="Times New Roman" w:eastAsia="Times New Roman" w:hAnsi="Times New Roman"/>
          <w:sz w:val="16"/>
          <w:szCs w:val="16"/>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57" w:lineRule="exact"/>
        <w:rPr>
          <w:sz w:val="20"/>
          <w:szCs w:val="20"/>
          <w:color w:val="auto"/>
        </w:rPr>
      </w:pPr>
    </w:p>
    <w:p>
      <w:pPr>
        <w:ind w:left="740" w:right="320" w:firstLine="391"/>
        <w:spacing w:after="0" w:line="281" w:lineRule="auto"/>
        <w:rPr>
          <w:sz w:val="20"/>
          <w:szCs w:val="20"/>
          <w:color w:val="auto"/>
        </w:rPr>
      </w:pPr>
      <w:r>
        <w:rPr>
          <w:rFonts w:ascii="Times New Roman" w:cs="Times New Roman" w:eastAsia="Times New Roman" w:hAnsi="Times New Roman"/>
          <w:sz w:val="16"/>
          <w:szCs w:val="16"/>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Covenants</w:t>
      </w:r>
    </w:p>
    <w:p>
      <w:pPr>
        <w:spacing w:after="0" w:line="107" w:lineRule="exact"/>
        <w:rPr>
          <w:sz w:val="20"/>
          <w:szCs w:val="20"/>
          <w:color w:val="auto"/>
        </w:rPr>
      </w:pPr>
    </w:p>
    <w:p>
      <w:pPr>
        <w:jc w:val="both"/>
        <w:ind w:left="740" w:firstLine="391"/>
        <w:spacing w:after="0" w:line="281" w:lineRule="auto"/>
        <w:rPr>
          <w:sz w:val="20"/>
          <w:szCs w:val="20"/>
          <w:color w:val="auto"/>
        </w:rPr>
      </w:pPr>
      <w:r>
        <w:rPr>
          <w:rFonts w:ascii="Times New Roman" w:cs="Times New Roman" w:eastAsia="Times New Roman" w:hAnsi="Times New Roman"/>
          <w:sz w:val="16"/>
          <w:szCs w:val="16"/>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0" w:lineRule="exact"/>
        <w:rPr>
          <w:sz w:val="20"/>
          <w:szCs w:val="20"/>
          <w:color w:val="auto"/>
        </w:rPr>
      </w:pPr>
    </w:p>
    <w:p>
      <w:pPr>
        <w:ind w:left="1600" w:hanging="383"/>
        <w:spacing w:after="0"/>
        <w:tabs>
          <w:tab w:leader="none" w:pos="160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incur additional indebtedness and guarantee indebtedness;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or incur liens;</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225</w:t>
      </w:r>
    </w:p>
    <w:p>
      <w:pPr>
        <w:sectPr>
          <w:pgSz w:w="11900" w:h="16838" w:orient="portrait"/>
          <w:cols w:equalWidth="0" w:num="1">
            <w:col w:w="10500"/>
          </w:cols>
          <w:pgMar w:left="320" w:top="420" w:right="10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mergers or consolidations;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transfer, or otherwise dispose of assets;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dividends and distributions or repurchase capital stock;</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prepay, redeem, or repurchase certain subordinated indebtedness;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loans, and advances;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certain transactions with affiliates; and</w:t>
      </w:r>
    </w:p>
    <w:p>
      <w:pPr>
        <w:spacing w:after="0" w:line="115" w:lineRule="exact"/>
        <w:rPr>
          <w:rFonts w:ascii="Times New Roman" w:cs="Times New Roman" w:eastAsia="Times New Roman" w:hAnsi="Times New Roman"/>
          <w:sz w:val="16"/>
          <w:szCs w:val="16"/>
          <w:color w:val="auto"/>
        </w:rPr>
      </w:pPr>
    </w:p>
    <w:p>
      <w:pPr>
        <w:ind w:left="5500" w:right="1319" w:hanging="4283"/>
        <w:spacing w:after="0" w:line="453" w:lineRule="auto"/>
        <w:tabs>
          <w:tab w:leader="none" w:pos="1596"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agreements that prohibit our ability and the ability of our subsidiary guarantors to incur liens on assets. 226</w:t>
      </w:r>
    </w:p>
    <w:p>
      <w:pPr>
        <w:sectPr>
          <w:pgSz w:w="11900" w:h="16838" w:orient="portrait"/>
          <w:cols w:equalWidth="0" w:num="1">
            <w:col w:w="10139"/>
          </w:cols>
          <w:pgMar w:left="320" w:top="420" w:right="1440"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DESCRIPTION OF CAPITAL STOCK</w:t>
      </w:r>
    </w:p>
    <w:p>
      <w:pPr>
        <w:spacing w:after="0" w:line="201"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In connection with this offering, we will amend and restate our certificate of incorporation and our bylaws. The following is a description of the material terms of, and is qualified in its entirety by, Medline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Medline Inc. and not to any of its subsidiaries.</w:t>
      </w:r>
    </w:p>
    <w:p>
      <w:pPr>
        <w:spacing w:after="0" w:line="165"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Our purpose is to engage in any lawful act or activity for which corporations may be organized under the DGCL. Upon the consummation of this offering, our authorized capital stock will consist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Stock</w:t>
      </w:r>
    </w:p>
    <w:p>
      <w:pPr>
        <w:spacing w:after="0" w:line="107" w:lineRule="exact"/>
        <w:rPr>
          <w:sz w:val="20"/>
          <w:szCs w:val="20"/>
          <w:color w:val="auto"/>
        </w:rPr>
      </w:pPr>
    </w:p>
    <w:p>
      <w:pPr>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57"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57"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57"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All shares of our Class A common stock that will be outstanding at the time of the completion of the offering will be fully paid and 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Class B Common Stock</w:t>
      </w:r>
    </w:p>
    <w:p>
      <w:pPr>
        <w:spacing w:after="0" w:line="107" w:lineRule="exact"/>
        <w:rPr>
          <w:sz w:val="20"/>
          <w:szCs w:val="20"/>
          <w:color w:val="auto"/>
        </w:rPr>
      </w:pPr>
    </w:p>
    <w:p>
      <w:pPr>
        <w:ind w:left="740" w:right="120" w:firstLine="391"/>
        <w:spacing w:after="0" w:line="254" w:lineRule="auto"/>
        <w:rPr>
          <w:sz w:val="20"/>
          <w:szCs w:val="20"/>
          <w:color w:val="auto"/>
        </w:rPr>
      </w:pPr>
      <w:r>
        <w:rPr>
          <w:rFonts w:ascii="Times New Roman" w:cs="Times New Roman" w:eastAsia="Times New Roman" w:hAnsi="Times New Roman"/>
          <w:sz w:val="16"/>
          <w:szCs w:val="16"/>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227</w:t>
      </w:r>
    </w:p>
    <w:p>
      <w:pPr>
        <w:sectPr>
          <w:pgSz w:w="11900" w:h="16838" w:orient="portrait"/>
          <w:cols w:equalWidth="0" w:num="1">
            <w:col w:w="10520"/>
          </w:cols>
          <w:pgMar w:left="320" w:top="420" w:right="10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firstLine="391"/>
        <w:spacing w:after="0" w:line="257" w:lineRule="auto"/>
        <w:rPr>
          <w:sz w:val="20"/>
          <w:szCs w:val="20"/>
          <w:color w:val="auto"/>
        </w:rPr>
      </w:pPr>
      <w:r>
        <w:rPr>
          <w:rFonts w:ascii="Times New Roman" w:cs="Times New Roman" w:eastAsia="Times New Roman" w:hAnsi="Times New Roman"/>
          <w:sz w:val="16"/>
          <w:szCs w:val="16"/>
          <w:color w:val="auto"/>
        </w:rPr>
        <w:t>We will issue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64"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69" w:lineRule="exact"/>
        <w:rPr>
          <w:sz w:val="20"/>
          <w:szCs w:val="20"/>
          <w:color w:val="auto"/>
        </w:rPr>
      </w:pPr>
    </w:p>
    <w:p>
      <w:pPr>
        <w:ind w:left="740" w:right="80" w:firstLine="391"/>
        <w:spacing w:after="0" w:line="281" w:lineRule="auto"/>
        <w:rPr>
          <w:sz w:val="20"/>
          <w:szCs w:val="20"/>
          <w:color w:val="auto"/>
        </w:rPr>
      </w:pPr>
      <w:r>
        <w:rPr>
          <w:rFonts w:ascii="Times New Roman" w:cs="Times New Roman" w:eastAsia="Times New Roman" w:hAnsi="Times New Roman"/>
          <w:sz w:val="16"/>
          <w:szCs w:val="16"/>
          <w:color w:val="auto"/>
        </w:rPr>
        <w:t>Holders of our Class B common stock are not entitled to receive dividends or to receive a distribution upon a liquidation, dissolution, or winding up of Medline Inc.</w:t>
      </w:r>
    </w:p>
    <w:p>
      <w:pPr>
        <w:spacing w:after="0" w:line="1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amended and restated certificate of incorporation does not provide for any restrictions on transfer of shares of Class B common stock other</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than:</w:t>
      </w:r>
    </w:p>
    <w:p>
      <w:pPr>
        <w:spacing w:after="0" w:line="99" w:lineRule="exact"/>
        <w:rPr>
          <w:sz w:val="20"/>
          <w:szCs w:val="20"/>
          <w:color w:val="auto"/>
        </w:rPr>
      </w:pPr>
    </w:p>
    <w:p>
      <w:pPr>
        <w:ind w:left="1600" w:hanging="383"/>
        <w:spacing w:after="0" w:line="281" w:lineRule="auto"/>
        <w:tabs>
          <w:tab w:leader="none" w:pos="1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an automatic transfer of shares of Class B common stock to us upon an exchange of the Common Units associated with such shares;</w:t>
      </w:r>
    </w:p>
    <w:p>
      <w:pPr>
        <w:spacing w:after="0" w:line="60" w:lineRule="exact"/>
        <w:rPr>
          <w:rFonts w:ascii="Times New Roman" w:cs="Times New Roman" w:eastAsia="Times New Roman" w:hAnsi="Times New Roman"/>
          <w:sz w:val="16"/>
          <w:szCs w:val="16"/>
          <w:color w:val="auto"/>
        </w:rPr>
      </w:pPr>
    </w:p>
    <w:p>
      <w:pPr>
        <w:jc w:val="both"/>
        <w:ind w:left="1600" w:right="160" w:hanging="383"/>
        <w:spacing w:after="0" w:line="265" w:lineRule="auto"/>
        <w:tabs>
          <w:tab w:leader="none" w:pos="1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73" w:lineRule="exact"/>
        <w:rPr>
          <w:rFonts w:ascii="Times New Roman" w:cs="Times New Roman" w:eastAsia="Times New Roman" w:hAnsi="Times New Roman"/>
          <w:sz w:val="16"/>
          <w:szCs w:val="16"/>
          <w:color w:val="auto"/>
        </w:rPr>
      </w:pPr>
    </w:p>
    <w:p>
      <w:pPr>
        <w:ind w:left="1600" w:right="80" w:hanging="383"/>
        <w:spacing w:after="0" w:line="281" w:lineRule="auto"/>
        <w:tabs>
          <w:tab w:leader="none" w:pos="1600"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requiring that, in the event the holder transfers Common Units to any person, the holder transfer an equal number of shares of Class B common stock to the same person.</w:t>
      </w:r>
    </w:p>
    <w:p>
      <w:pPr>
        <w:spacing w:after="0" w:line="144" w:lineRule="exact"/>
        <w:rPr>
          <w:sz w:val="20"/>
          <w:szCs w:val="20"/>
          <w:color w:val="auto"/>
        </w:rPr>
      </w:pPr>
    </w:p>
    <w:p>
      <w:pPr>
        <w:ind w:left="740" w:right="60" w:firstLine="391"/>
        <w:spacing w:after="0" w:line="257" w:lineRule="auto"/>
        <w:rPr>
          <w:sz w:val="20"/>
          <w:szCs w:val="20"/>
          <w:color w:val="auto"/>
        </w:rPr>
      </w:pPr>
      <w:r>
        <w:rPr>
          <w:rFonts w:ascii="Times New Roman" w:cs="Times New Roman" w:eastAsia="Times New Roman" w:hAnsi="Times New Roman"/>
          <w:sz w:val="16"/>
          <w:szCs w:val="16"/>
          <w:color w:val="auto"/>
        </w:rPr>
        <w:t>All shares of our Class B common stock that will be outstanding at the time of the completion of the offering will be fully paid and non-assessable. 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228</w:t>
      </w:r>
    </w:p>
    <w:p>
      <w:pPr>
        <w:sectPr>
          <w:pgSz w:w="11900" w:h="16838" w:orient="portrait"/>
          <w:cols w:equalWidth="0" w:num="1">
            <w:col w:w="10460"/>
          </w:cols>
          <w:pgMar w:left="320" w:top="421" w:right="111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Mills Family Voting Cap</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The Mills Family and their affiliates are not entitled to cast votes, or provide consent, with respect to any shares of capital stock of Medline Inc. owned by them representing, in the aggregate, more than 20% of the total 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05"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1" w:lineRule="exact"/>
        <w:rPr>
          <w:sz w:val="20"/>
          <w:szCs w:val="20"/>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115" w:lineRule="exact"/>
        <w:rPr>
          <w:rFonts w:ascii="Times New Roman" w:cs="Times New Roman" w:eastAsia="Times New Roman" w:hAnsi="Times New Roman"/>
          <w:sz w:val="16"/>
          <w:szCs w:val="16"/>
          <w:color w:val="auto"/>
        </w:rPr>
      </w:pPr>
    </w:p>
    <w:p>
      <w:pPr>
        <w:ind w:left="1600" w:right="60" w:hanging="383"/>
        <w:spacing w:after="0" w:line="265" w:lineRule="auto"/>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73"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dividends, if any, will be cumulative or non-cumulative and the dividend rate of the series;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dates at which dividends, if any, will be payable on shares of such series;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redemption rights and price or prices, if any, for shares of the series;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and amounts of any sinking fund provided for the purchase or redemption of shares of the series;</w:t>
      </w:r>
    </w:p>
    <w:p>
      <w:pPr>
        <w:spacing w:after="0" w:line="115" w:lineRule="exact"/>
        <w:rPr>
          <w:rFonts w:ascii="Times New Roman" w:cs="Times New Roman" w:eastAsia="Times New Roman" w:hAnsi="Times New Roman"/>
          <w:sz w:val="16"/>
          <w:szCs w:val="16"/>
          <w:color w:val="auto"/>
        </w:rPr>
      </w:pPr>
    </w:p>
    <w:p>
      <w:pPr>
        <w:ind w:left="1600" w:right="380" w:hanging="383"/>
        <w:spacing w:after="0" w:line="281" w:lineRule="auto"/>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payable on shares of the series in the event of any voluntary or involuntary liquidation, dissolution or winding-up of our affairs or other event;</w:t>
      </w:r>
    </w:p>
    <w:p>
      <w:pPr>
        <w:spacing w:after="0" w:line="60" w:lineRule="exact"/>
        <w:rPr>
          <w:rFonts w:ascii="Times New Roman" w:cs="Times New Roman" w:eastAsia="Times New Roman" w:hAnsi="Times New Roman"/>
          <w:sz w:val="16"/>
          <w:szCs w:val="16"/>
          <w:color w:val="auto"/>
        </w:rPr>
      </w:pPr>
    </w:p>
    <w:p>
      <w:pPr>
        <w:ind w:left="1600" w:hanging="383"/>
        <w:spacing w:after="0" w:line="291" w:lineRule="auto"/>
        <w:tabs>
          <w:tab w:leader="none" w:pos="160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55" w:lineRule="exact"/>
        <w:rPr>
          <w:rFonts w:ascii="Times New Roman" w:cs="Times New Roman" w:eastAsia="Times New Roman" w:hAnsi="Times New Roman"/>
          <w:sz w:val="15"/>
          <w:szCs w:val="15"/>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on the issuance of shares of the same series or of any other class or series of our capital stock;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powers, if any, of the holders of the series.</w:t>
      </w:r>
    </w:p>
    <w:p>
      <w:pPr>
        <w:spacing w:after="0" w:line="199"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229</w:t>
      </w:r>
    </w:p>
    <w:p>
      <w:pPr>
        <w:sectPr>
          <w:pgSz w:w="11900" w:h="16838" w:orient="portrait"/>
          <w:cols w:equalWidth="0" w:num="1">
            <w:col w:w="10460"/>
          </w:cols>
          <w:pgMar w:left="320" w:top="421" w:right="111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both"/>
        <w:ind w:left="740" w:right="40"/>
        <w:spacing w:after="0" w:line="265" w:lineRule="auto"/>
        <w:rPr>
          <w:sz w:val="20"/>
          <w:szCs w:val="20"/>
          <w:color w:val="auto"/>
        </w:rPr>
      </w:pPr>
      <w:r>
        <w:rPr>
          <w:rFonts w:ascii="Times New Roman" w:cs="Times New Roman" w:eastAsia="Times New Roman" w:hAnsi="Times New Roman"/>
          <w:sz w:val="16"/>
          <w:szCs w:val="16"/>
          <w:color w:val="auto"/>
        </w:rPr>
        <w:t>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05" w:lineRule="exact"/>
        <w:rPr>
          <w:sz w:val="20"/>
          <w:szCs w:val="20"/>
          <w:color w:val="auto"/>
        </w:rPr>
      </w:pPr>
    </w:p>
    <w:p>
      <w:pPr>
        <w:ind w:left="740" w:right="160" w:firstLine="391"/>
        <w:spacing w:after="0" w:line="253" w:lineRule="auto"/>
        <w:rPr>
          <w:sz w:val="20"/>
          <w:szCs w:val="20"/>
          <w:color w:val="auto"/>
        </w:rPr>
      </w:pPr>
      <w:r>
        <w:rPr>
          <w:rFonts w:ascii="Times New Roman" w:cs="Times New Roman" w:eastAsia="Times New Roman" w:hAnsi="Times New Roman"/>
          <w:sz w:val="16"/>
          <w:szCs w:val="16"/>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except that our amended and restated certificate of incorporation will provide that holders of Class B common stock shall not be entitled to any dividends on their shares of Class B common stock (other than dividends payable in the form of additional shares of Class B common stock). See also “Dividend Policy.”</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Annual Stockholder Meetings</w:t>
      </w:r>
    </w:p>
    <w:p>
      <w:pPr>
        <w:spacing w:after="0" w:line="105" w:lineRule="exact"/>
        <w:rPr>
          <w:sz w:val="20"/>
          <w:szCs w:val="20"/>
          <w:color w:val="auto"/>
        </w:rPr>
      </w:pPr>
    </w:p>
    <w:p>
      <w:pPr>
        <w:ind w:left="740" w:firstLine="391"/>
        <w:spacing w:after="0" w:line="265" w:lineRule="auto"/>
        <w:rPr>
          <w:sz w:val="20"/>
          <w:szCs w:val="20"/>
          <w:color w:val="auto"/>
        </w:rPr>
      </w:pPr>
      <w:r>
        <w:rPr>
          <w:rFonts w:ascii="Times New Roman" w:cs="Times New Roman" w:eastAsia="Times New Roman" w:hAnsi="Times New Roman"/>
          <w:sz w:val="16"/>
          <w:szCs w:val="16"/>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51" w:lineRule="exact"/>
        <w:rPr>
          <w:sz w:val="20"/>
          <w:szCs w:val="20"/>
          <w:color w:val="auto"/>
        </w:rPr>
      </w:pPr>
    </w:p>
    <w:p>
      <w:pPr>
        <w:ind w:left="740" w:right="120"/>
        <w:spacing w:after="0" w:line="284" w:lineRule="auto"/>
        <w:rPr>
          <w:sz w:val="20"/>
          <w:szCs w:val="20"/>
          <w:color w:val="auto"/>
        </w:rPr>
      </w:pPr>
      <w:r>
        <w:rPr>
          <w:rFonts w:ascii="Times New Roman" w:cs="Times New Roman" w:eastAsia="Times New Roman" w:hAnsi="Times New Roman"/>
          <w:sz w:val="16"/>
          <w:szCs w:val="16"/>
          <w:b w:val="1"/>
          <w:bCs w:val="1"/>
          <w:color w:val="auto"/>
        </w:rPr>
        <w:t>Anti-Takeover Effects of Our Amended and Restated Certificate of Incorporation and Amended and Restated Bylaws and Certain Provisions of Delaware Law</w:t>
      </w:r>
    </w:p>
    <w:p>
      <w:pPr>
        <w:spacing w:after="0" w:line="46"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Authorized but Unissued Capital Stock</w:t>
      </w:r>
    </w:p>
    <w:p>
      <w:pPr>
        <w:spacing w:after="0" w:line="107"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64" w:lineRule="exact"/>
        <w:rPr>
          <w:sz w:val="20"/>
          <w:szCs w:val="20"/>
          <w:color w:val="auto"/>
        </w:rPr>
      </w:pPr>
    </w:p>
    <w:p>
      <w:pPr>
        <w:ind w:left="740" w:right="260" w:firstLine="391"/>
        <w:spacing w:after="0" w:line="281" w:lineRule="auto"/>
        <w:rPr>
          <w:sz w:val="20"/>
          <w:szCs w:val="20"/>
          <w:color w:val="auto"/>
        </w:rPr>
      </w:pPr>
      <w:r>
        <w:rPr>
          <w:rFonts w:ascii="Times New Roman" w:cs="Times New Roman" w:eastAsia="Times New Roman" w:hAnsi="Times New Roman"/>
          <w:sz w:val="16"/>
          <w:szCs w:val="16"/>
          <w:color w:val="auto"/>
        </w:rPr>
        <w:t>Our board of directors may generally issue shares of one or more series of preferred stock on terms designed to discourage, delay, or prevent a change of control of the Company or the removal of our management.</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230</w:t>
      </w:r>
    </w:p>
    <w:p>
      <w:pPr>
        <w:sectPr>
          <w:pgSz w:w="11900" w:h="16838" w:orient="portrait"/>
          <w:cols w:equalWidth="0" w:num="1">
            <w:col w:w="10480"/>
          </w:cols>
          <w:pgMar w:left="320" w:top="420" w:right="10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5" w:lineRule="auto"/>
        <w:rPr>
          <w:sz w:val="20"/>
          <w:szCs w:val="20"/>
          <w:color w:val="auto"/>
        </w:rPr>
      </w:pPr>
      <w:r>
        <w:rPr>
          <w:rFonts w:ascii="Times New Roman" w:cs="Times New Roman" w:eastAsia="Times New Roman" w:hAnsi="Times New Roman"/>
          <w:sz w:val="16"/>
          <w:szCs w:val="16"/>
          <w:color w:val="auto"/>
        </w:rPr>
        <w:t>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57" w:lineRule="exact"/>
        <w:rPr>
          <w:sz w:val="20"/>
          <w:szCs w:val="20"/>
          <w:color w:val="auto"/>
        </w:rPr>
      </w:pPr>
    </w:p>
    <w:p>
      <w:pPr>
        <w:ind w:left="740" w:right="320" w:firstLine="391"/>
        <w:spacing w:after="0" w:line="283" w:lineRule="auto"/>
        <w:rPr>
          <w:sz w:val="20"/>
          <w:szCs w:val="20"/>
          <w:color w:val="auto"/>
        </w:rPr>
      </w:pPr>
      <w:r>
        <w:rPr>
          <w:rFonts w:ascii="Times New Roman" w:cs="Times New Roman" w:eastAsia="Times New Roman" w:hAnsi="Times New Roman"/>
          <w:sz w:val="15"/>
          <w:szCs w:val="15"/>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07" w:lineRule="exact"/>
        <w:rPr>
          <w:sz w:val="20"/>
          <w:szCs w:val="20"/>
          <w:color w:val="auto"/>
        </w:rPr>
      </w:pPr>
    </w:p>
    <w:p>
      <w:pPr>
        <w:ind w:left="740" w:right="20" w:firstLine="391"/>
        <w:spacing w:after="0" w:line="254" w:lineRule="auto"/>
        <w:rPr>
          <w:sz w:val="20"/>
          <w:szCs w:val="20"/>
          <w:color w:val="auto"/>
        </w:rPr>
      </w:pPr>
      <w:r>
        <w:rPr>
          <w:rFonts w:ascii="Times New Roman" w:cs="Times New Roman" w:eastAsia="Times New Roman" w:hAnsi="Times New Roman"/>
          <w:sz w:val="16"/>
          <w:szCs w:val="16"/>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3" w:lineRule="exact"/>
        <w:rPr>
          <w:sz w:val="20"/>
          <w:szCs w:val="20"/>
          <w:color w:val="auto"/>
        </w:rPr>
      </w:pPr>
    </w:p>
    <w:p>
      <w:pPr>
        <w:ind w:left="1600" w:right="460" w:hanging="383"/>
        <w:spacing w:after="0" w:line="281" w:lineRule="auto"/>
        <w:tabs>
          <w:tab w:leader="none" w:pos="1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such time, our board of directors approved either the business combination or the transaction that resulted in the stockholder becoming an interested stockholder;</w:t>
      </w:r>
    </w:p>
    <w:p>
      <w:pPr>
        <w:spacing w:after="0" w:line="60" w:lineRule="exact"/>
        <w:rPr>
          <w:rFonts w:ascii="Times New Roman" w:cs="Times New Roman" w:eastAsia="Times New Roman" w:hAnsi="Times New Roman"/>
          <w:sz w:val="16"/>
          <w:szCs w:val="16"/>
          <w:color w:val="auto"/>
        </w:rPr>
      </w:pPr>
    </w:p>
    <w:p>
      <w:pPr>
        <w:ind w:left="1600" w:right="420" w:hanging="383"/>
        <w:spacing w:after="0" w:line="281" w:lineRule="auto"/>
        <w:tabs>
          <w:tab w:leader="none" w:pos="1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0" w:lineRule="exact"/>
        <w:rPr>
          <w:rFonts w:ascii="Times New Roman" w:cs="Times New Roman" w:eastAsia="Times New Roman" w:hAnsi="Times New Roman"/>
          <w:sz w:val="16"/>
          <w:szCs w:val="16"/>
          <w:color w:val="auto"/>
        </w:rPr>
      </w:pPr>
    </w:p>
    <w:p>
      <w:pPr>
        <w:ind w:left="1600" w:right="220" w:hanging="383"/>
        <w:spacing w:after="0" w:line="297" w:lineRule="auto"/>
        <w:tabs>
          <w:tab w:leader="none" w:pos="1600"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6"/>
          <w:szCs w:val="16"/>
          <w:color w:val="auto"/>
        </w:rPr>
        <w:t>/</w:t>
      </w:r>
      <w:r>
        <w:rPr>
          <w:rFonts w:ascii="Times New Roman" w:cs="Times New Roman" w:eastAsia="Times New Roman" w:hAnsi="Times New Roman"/>
          <w:sz w:val="23"/>
          <w:szCs w:val="23"/>
          <w:color w:val="auto"/>
          <w:vertAlign w:val="subscript"/>
        </w:rPr>
        <w:t>3</w:t>
      </w:r>
      <w:r>
        <w:rPr>
          <w:rFonts w:ascii="Times New Roman" w:cs="Times New Roman" w:eastAsia="Times New Roman" w:hAnsi="Times New Roman"/>
          <w:sz w:val="16"/>
          <w:szCs w:val="16"/>
          <w:color w:val="auto"/>
        </w:rPr>
        <w:t>% of our outstanding voting stock that is not owned by the interested stockholder.</w:t>
      </w:r>
    </w:p>
    <w:p>
      <w:pPr>
        <w:spacing w:after="0" w:line="20"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65" w:lineRule="exact"/>
        <w:rPr>
          <w:sz w:val="20"/>
          <w:szCs w:val="20"/>
          <w:color w:val="auto"/>
        </w:rPr>
      </w:pPr>
    </w:p>
    <w:p>
      <w:pPr>
        <w:ind w:left="740" w:right="120" w:firstLine="391"/>
        <w:spacing w:after="0" w:line="256" w:lineRule="auto"/>
        <w:rPr>
          <w:sz w:val="20"/>
          <w:szCs w:val="20"/>
          <w:color w:val="auto"/>
        </w:rPr>
      </w:pPr>
      <w:r>
        <w:rPr>
          <w:rFonts w:ascii="Times New Roman" w:cs="Times New Roman" w:eastAsia="Times New Roman" w:hAnsi="Times New Roman"/>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64" w:lineRule="exact"/>
        <w:rPr>
          <w:sz w:val="20"/>
          <w:szCs w:val="20"/>
          <w:color w:val="auto"/>
        </w:rPr>
      </w:pPr>
    </w:p>
    <w:p>
      <w:pPr>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231</w:t>
      </w:r>
    </w:p>
    <w:p>
      <w:pPr>
        <w:sectPr>
          <w:pgSz w:w="11900" w:h="16838" w:orient="portrait"/>
          <w:cols w:equalWidth="0" w:num="1">
            <w:col w:w="10500"/>
          </w:cols>
          <w:pgMar w:left="320" w:top="420" w:right="107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No Cumulative Voting</w:t>
      </w:r>
    </w:p>
    <w:p>
      <w:pPr>
        <w:spacing w:after="0" w:line="107" w:lineRule="exact"/>
        <w:rPr>
          <w:sz w:val="20"/>
          <w:szCs w:val="20"/>
          <w:color w:val="auto"/>
        </w:rPr>
      </w:pPr>
    </w:p>
    <w:p>
      <w:pPr>
        <w:jc w:val="both"/>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Special Stockholder Meetings</w:t>
      </w:r>
    </w:p>
    <w:p>
      <w:pPr>
        <w:spacing w:after="0" w:line="107"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Director Nominations and Stockholder Proposals</w:t>
      </w:r>
    </w:p>
    <w:p>
      <w:pPr>
        <w:spacing w:after="0" w:line="10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Stockholder Action by Consent</w:t>
      </w:r>
    </w:p>
    <w:p>
      <w:pPr>
        <w:spacing w:after="0" w:line="107"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w:t>
      </w:r>
    </w:p>
    <w:p>
      <w:pPr>
        <w:spacing w:after="0" w:line="10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232</w:t>
      </w:r>
    </w:p>
    <w:p>
      <w:pPr>
        <w:sectPr>
          <w:pgSz w:w="11900" w:h="16838" w:orient="portrait"/>
          <w:cols w:equalWidth="0" w:num="1">
            <w:col w:w="10500"/>
          </w:cols>
          <w:pgMar w:left="320" w:top="420" w:right="10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Dissenters’ Rights of Appraisal and Payment</w:t>
      </w:r>
    </w:p>
    <w:p>
      <w:pPr>
        <w:spacing w:after="0" w:line="105"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color w:val="auto"/>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Stockholders’ Derivative Actions</w:t>
      </w:r>
    </w:p>
    <w:p>
      <w:pPr>
        <w:spacing w:after="0" w:line="105" w:lineRule="exact"/>
        <w:rPr>
          <w:sz w:val="20"/>
          <w:szCs w:val="20"/>
          <w:color w:val="auto"/>
        </w:rPr>
      </w:pPr>
    </w:p>
    <w:p>
      <w:pPr>
        <w:ind w:left="740" w:right="100" w:firstLine="391"/>
        <w:spacing w:after="0" w:line="274" w:lineRule="auto"/>
        <w:rPr>
          <w:sz w:val="20"/>
          <w:szCs w:val="20"/>
          <w:color w:val="auto"/>
        </w:rPr>
      </w:pPr>
      <w:r>
        <w:rPr>
          <w:rFonts w:ascii="Times New Roman" w:cs="Times New Roman" w:eastAsia="Times New Roman" w:hAnsi="Times New Roman"/>
          <w:sz w:val="15"/>
          <w:szCs w:val="15"/>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 pre-suit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4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Exclusive Forum</w:t>
      </w:r>
    </w:p>
    <w:p>
      <w:pPr>
        <w:spacing w:after="0" w:line="105" w:lineRule="exact"/>
        <w:rPr>
          <w:sz w:val="20"/>
          <w:szCs w:val="20"/>
          <w:color w:val="auto"/>
        </w:rPr>
      </w:pPr>
    </w:p>
    <w:p>
      <w:pPr>
        <w:ind w:left="740" w:right="340" w:firstLine="391"/>
        <w:spacing w:after="0" w:line="281" w:lineRule="auto"/>
        <w:rPr>
          <w:sz w:val="20"/>
          <w:szCs w:val="20"/>
          <w:color w:val="auto"/>
        </w:rPr>
      </w:pPr>
      <w:r>
        <w:rPr>
          <w:rFonts w:ascii="Times New Roman" w:cs="Times New Roman" w:eastAsia="Times New Roman" w:hAnsi="Times New Roman"/>
          <w:sz w:val="16"/>
          <w:szCs w:val="16"/>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44"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64"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233</w:t>
      </w:r>
    </w:p>
    <w:p>
      <w:pPr>
        <w:sectPr>
          <w:pgSz w:w="11900" w:h="16838" w:orient="portrait"/>
          <w:cols w:equalWidth="0" w:num="1">
            <w:col w:w="10500"/>
          </w:cols>
          <w:pgMar w:left="320" w:top="421" w:right="10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firstLine="391"/>
        <w:spacing w:after="0" w:line="254" w:lineRule="auto"/>
        <w:rPr>
          <w:sz w:val="20"/>
          <w:szCs w:val="20"/>
          <w:color w:val="auto"/>
        </w:rPr>
      </w:pPr>
      <w:r>
        <w:rPr>
          <w:rFonts w:ascii="Times New Roman" w:cs="Times New Roman" w:eastAsia="Times New Roman" w:hAnsi="Times New Roman"/>
          <w:sz w:val="16"/>
          <w:szCs w:val="16"/>
          <w:color w:val="auto"/>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105"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w:t>
      </w:r>
    </w:p>
    <w:p>
      <w:pPr>
        <w:ind w:left="920" w:hanging="182"/>
        <w:spacing w:after="0"/>
        <w:tabs>
          <w:tab w:leader="none" w:pos="92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engaging in a corporate opportunity in the same or similar lines of business in which we or our affiliates now engage or propose to engage or</w:t>
      </w:r>
    </w:p>
    <w:p>
      <w:pPr>
        <w:spacing w:after="0" w:line="7" w:lineRule="exact"/>
        <w:rPr>
          <w:rFonts w:ascii="Times New Roman" w:cs="Times New Roman" w:eastAsia="Times New Roman" w:hAnsi="Times New Roman"/>
          <w:sz w:val="16"/>
          <w:szCs w:val="16"/>
          <w:color w:val="auto"/>
        </w:rPr>
      </w:pPr>
    </w:p>
    <w:p>
      <w:pPr>
        <w:ind w:left="740" w:hanging="2"/>
        <w:spacing w:after="0" w:line="251" w:lineRule="auto"/>
        <w:tabs>
          <w:tab w:leader="none" w:pos="975"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spacing w:after="0" w:line="26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105" w:lineRule="exact"/>
        <w:rPr>
          <w:sz w:val="20"/>
          <w:szCs w:val="20"/>
          <w:color w:val="auto"/>
        </w:rPr>
      </w:pPr>
    </w:p>
    <w:p>
      <w:pPr>
        <w:ind w:left="740" w:right="40" w:firstLine="391"/>
        <w:spacing w:after="0" w:line="253" w:lineRule="auto"/>
        <w:rPr>
          <w:sz w:val="20"/>
          <w:szCs w:val="20"/>
          <w:color w:val="auto"/>
        </w:rPr>
      </w:pPr>
      <w:r>
        <w:rPr>
          <w:rFonts w:ascii="Times New Roman" w:cs="Times New Roman" w:eastAsia="Times New Roman" w:hAnsi="Times New Roman"/>
          <w:sz w:val="16"/>
          <w:szCs w:val="16"/>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234</w:t>
      </w:r>
    </w:p>
    <w:p>
      <w:pPr>
        <w:sectPr>
          <w:pgSz w:w="11900" w:h="16838" w:orient="portrait"/>
          <w:cols w:equalWidth="0" w:num="1">
            <w:col w:w="10480"/>
          </w:cols>
          <w:pgMar w:left="320" w:top="421" w:right="10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their actions as a director or officer. In addition, exculpation does not apply to any director in connection with the authorization of illegal dividends, redemptions or stock repurchases.</w:t>
      </w:r>
    </w:p>
    <w:p>
      <w:pPr>
        <w:spacing w:after="0" w:line="144"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61"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64"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There is currently no pending material litigation or proceeding involving any of our directors, officers or employees for which indemnification is sought.</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Transfer Agent and Registrar</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The transfer agent and registrar for shares of our Class A common stock will be Equiniti Trust Company, LLC.</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Listing</w:t>
      </w:r>
    </w:p>
    <w:p>
      <w:pPr>
        <w:spacing w:after="0" w:line="10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Class A common stock has been approved for listing on Nasdaq under the symbol “MDLN.”</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235</w:t>
      </w:r>
    </w:p>
    <w:p>
      <w:pPr>
        <w:sectPr>
          <w:pgSz w:w="11900" w:h="16838" w:orient="portrait"/>
          <w:cols w:equalWidth="0" w:num="1">
            <w:col w:w="10480"/>
          </w:cols>
          <w:pgMar w:left="320" w:top="420" w:right="10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CERTAIN U.S. FEDERAL INCOME TAX CONSEQUENCES TO NON-U.S. HOLDERS</w:t>
      </w:r>
    </w:p>
    <w:p>
      <w:pPr>
        <w:spacing w:after="0" w:line="201" w:lineRule="exact"/>
        <w:rPr>
          <w:sz w:val="20"/>
          <w:szCs w:val="20"/>
          <w:color w:val="auto"/>
        </w:rPr>
      </w:pPr>
    </w:p>
    <w:p>
      <w:pPr>
        <w:ind w:left="740" w:right="40" w:firstLine="391"/>
        <w:spacing w:after="0" w:line="279" w:lineRule="auto"/>
        <w:rPr>
          <w:sz w:val="20"/>
          <w:szCs w:val="20"/>
          <w:color w:val="auto"/>
        </w:rPr>
      </w:pPr>
      <w:r>
        <w:rPr>
          <w:rFonts w:ascii="Times New Roman" w:cs="Times New Roman" w:eastAsia="Times New Roman" w:hAnsi="Times New Roman"/>
          <w:sz w:val="15"/>
          <w:szCs w:val="15"/>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47" w:lineRule="exact"/>
        <w:rPr>
          <w:sz w:val="20"/>
          <w:szCs w:val="20"/>
          <w:color w:val="auto"/>
        </w:rPr>
      </w:pPr>
    </w:p>
    <w:p>
      <w:pPr>
        <w:ind w:left="740" w:right="740" w:firstLine="391"/>
        <w:spacing w:after="0" w:line="281" w:lineRule="auto"/>
        <w:rPr>
          <w:sz w:val="20"/>
          <w:szCs w:val="20"/>
          <w:color w:val="auto"/>
        </w:rPr>
      </w:pPr>
      <w:r>
        <w:rPr>
          <w:rFonts w:ascii="Times New Roman" w:cs="Times New Roman" w:eastAsia="Times New Roman" w:hAnsi="Times New Roman"/>
          <w:sz w:val="16"/>
          <w:szCs w:val="16"/>
          <w:color w:val="auto"/>
        </w:rPr>
        <w:t>A “non-U.S. holder” means a beneficial owner of shares of our Class A common stock (other than an entity or arrangement treated as a partnership for U.S. federal income tax purposes) that is not, for U.S. federal income tax purposes, any of the following:</w:t>
      </w:r>
    </w:p>
    <w:p>
      <w:pPr>
        <w:spacing w:after="0" w:line="60" w:lineRule="exact"/>
        <w:rPr>
          <w:sz w:val="20"/>
          <w:szCs w:val="20"/>
          <w:color w:val="auto"/>
        </w:rPr>
      </w:pPr>
    </w:p>
    <w:p>
      <w:pPr>
        <w:ind w:left="1600" w:hanging="383"/>
        <w:spacing w:after="0"/>
        <w:tabs>
          <w:tab w:leader="none" w:pos="16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who is a citizen or resident of the United States;</w:t>
      </w:r>
    </w:p>
    <w:p>
      <w:pPr>
        <w:spacing w:after="0" w:line="115" w:lineRule="exact"/>
        <w:rPr>
          <w:rFonts w:ascii="Times New Roman" w:cs="Times New Roman" w:eastAsia="Times New Roman" w:hAnsi="Times New Roman"/>
          <w:sz w:val="16"/>
          <w:szCs w:val="16"/>
          <w:color w:val="auto"/>
        </w:rPr>
      </w:pPr>
    </w:p>
    <w:p>
      <w:pPr>
        <w:ind w:left="1600" w:hanging="383"/>
        <w:spacing w:after="0" w:line="281" w:lineRule="auto"/>
        <w:tabs>
          <w:tab w:leader="none" w:pos="16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any other entity treated as a corporation for U.S. federal income tax purposes) created or organized in or under the laws of the United States, any state thereof or the District of Columbia;</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the income of which is subject to U.S. federal income taxation regardless of its source; or</w:t>
      </w:r>
    </w:p>
    <w:p>
      <w:pPr>
        <w:spacing w:after="0" w:line="115" w:lineRule="exact"/>
        <w:rPr>
          <w:rFonts w:ascii="Times New Roman" w:cs="Times New Roman" w:eastAsia="Times New Roman" w:hAnsi="Times New Roman"/>
          <w:sz w:val="16"/>
          <w:szCs w:val="16"/>
          <w:color w:val="auto"/>
        </w:rPr>
      </w:pPr>
    </w:p>
    <w:p>
      <w:pPr>
        <w:ind w:left="1600" w:hanging="383"/>
        <w:spacing w:after="0" w:line="260" w:lineRule="auto"/>
        <w:tabs>
          <w:tab w:leader="none" w:pos="160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w:t>
      </w:r>
    </w:p>
    <w:p>
      <w:pPr>
        <w:spacing w:after="0" w:line="1" w:lineRule="exact"/>
        <w:rPr>
          <w:rFonts w:ascii="Times New Roman" w:cs="Times New Roman" w:eastAsia="Times New Roman" w:hAnsi="Times New Roman"/>
          <w:sz w:val="16"/>
          <w:szCs w:val="16"/>
          <w:color w:val="auto"/>
        </w:rPr>
      </w:pPr>
    </w:p>
    <w:p>
      <w:pPr>
        <w:ind w:left="1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has a valid election in effect under applicable U.S. Treasury regulations to be treated as a U.S. person.</w:t>
      </w:r>
    </w:p>
    <w:p>
      <w:pPr>
        <w:spacing w:after="0" w:line="183"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73" w:lineRule="exact"/>
        <w:rPr>
          <w:sz w:val="20"/>
          <w:szCs w:val="20"/>
          <w:color w:val="auto"/>
        </w:rPr>
      </w:pPr>
    </w:p>
    <w:p>
      <w:pPr>
        <w:jc w:val="both"/>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55" w:lineRule="exact"/>
        <w:rPr>
          <w:sz w:val="20"/>
          <w:szCs w:val="20"/>
          <w:color w:val="auto"/>
        </w:rPr>
      </w:pPr>
    </w:p>
    <w:p>
      <w:pPr>
        <w:ind w:left="740" w:right="280" w:firstLine="391"/>
        <w:spacing w:after="0" w:line="267" w:lineRule="auto"/>
        <w:rPr>
          <w:sz w:val="20"/>
          <w:szCs w:val="20"/>
          <w:color w:val="auto"/>
        </w:rPr>
      </w:pPr>
      <w:r>
        <w:rPr>
          <w:rFonts w:ascii="Times New Roman" w:cs="Times New Roman" w:eastAsia="Times New Roman" w:hAnsi="Times New Roman"/>
          <w:sz w:val="16"/>
          <w:szCs w:val="16"/>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9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236</w:t>
      </w:r>
    </w:p>
    <w:p>
      <w:pPr>
        <w:sectPr>
          <w:pgSz w:w="11900" w:h="16838" w:orient="portrait"/>
          <w:cols w:equalWidth="0" w:num="1">
            <w:col w:w="10500"/>
          </w:cols>
          <w:pgMar w:left="320" w:top="420" w:right="10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0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64"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64" w:lineRule="exact"/>
        <w:rPr>
          <w:sz w:val="20"/>
          <w:szCs w:val="20"/>
          <w:color w:val="auto"/>
        </w:rPr>
      </w:pPr>
    </w:p>
    <w:p>
      <w:pPr>
        <w:ind w:left="740" w:right="160" w:firstLine="391"/>
        <w:spacing w:after="0" w:line="256" w:lineRule="auto"/>
        <w:rPr>
          <w:sz w:val="20"/>
          <w:szCs w:val="20"/>
          <w:color w:val="auto"/>
        </w:rPr>
      </w:pPr>
      <w:r>
        <w:rPr>
          <w:rFonts w:ascii="Times New Roman" w:cs="Times New Roman" w:eastAsia="Times New Roman" w:hAnsi="Times New Roman"/>
          <w:sz w:val="16"/>
          <w:szCs w:val="16"/>
          <w:color w:val="auto"/>
        </w:rPr>
        <w:t>A non-U.S. holder who wishes to claim the benefit of an applicable treaty rate and avoid backup withholding, as discussed below, for dividends will be required (a) to provide the applicable withholding agent with a properly executed IRS Form W-8BEN or Form W-8BEN-E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64" w:lineRule="exact"/>
        <w:rPr>
          <w:sz w:val="20"/>
          <w:szCs w:val="20"/>
          <w:color w:val="auto"/>
        </w:rPr>
      </w:pPr>
    </w:p>
    <w:p>
      <w:pPr>
        <w:ind w:left="740" w:right="180" w:firstLine="391"/>
        <w:spacing w:after="0" w:line="265" w:lineRule="auto"/>
        <w:rPr>
          <w:sz w:val="20"/>
          <w:szCs w:val="20"/>
          <w:color w:val="auto"/>
        </w:rPr>
      </w:pPr>
      <w:r>
        <w:rPr>
          <w:rFonts w:ascii="Times New Roman" w:cs="Times New Roman" w:eastAsia="Times New Roman" w:hAnsi="Times New Roman"/>
          <w:sz w:val="16"/>
          <w:szCs w:val="16"/>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Gain on Disposition of Class A Common Stock</w:t>
      </w:r>
    </w:p>
    <w:p>
      <w:pPr>
        <w:spacing w:after="0" w:line="105" w:lineRule="exact"/>
        <w:rPr>
          <w:sz w:val="20"/>
          <w:szCs w:val="20"/>
          <w:color w:val="auto"/>
        </w:rPr>
      </w:pPr>
    </w:p>
    <w:p>
      <w:pPr>
        <w:ind w:left="740" w:right="380" w:firstLine="391"/>
        <w:spacing w:after="0" w:line="281" w:lineRule="auto"/>
        <w:rPr>
          <w:sz w:val="20"/>
          <w:szCs w:val="20"/>
          <w:color w:val="auto"/>
        </w:rPr>
      </w:pPr>
      <w:r>
        <w:rPr>
          <w:rFonts w:ascii="Times New Roman" w:cs="Times New Roman" w:eastAsia="Times New Roman" w:hAnsi="Times New Roman"/>
          <w:sz w:val="16"/>
          <w:szCs w:val="16"/>
          <w:color w:val="auto"/>
        </w:rPr>
        <w:t>Subject to the discussion of backup withholding below, any gain realized by a non-U.S. holder on the sale or other disposition of our Class A common stock generally will not be subject to U.S. federal income tax unless:</w:t>
      </w:r>
    </w:p>
    <w:p>
      <w:pPr>
        <w:spacing w:after="0" w:line="60" w:lineRule="exact"/>
        <w:rPr>
          <w:sz w:val="20"/>
          <w:szCs w:val="20"/>
          <w:color w:val="auto"/>
        </w:rPr>
      </w:pPr>
    </w:p>
    <w:p>
      <w:pPr>
        <w:ind w:left="1600" w:right="360" w:hanging="383"/>
        <w:spacing w:after="0" w:line="281" w:lineRule="auto"/>
        <w:tabs>
          <w:tab w:leader="none" w:pos="16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0" w:lineRule="exact"/>
        <w:rPr>
          <w:rFonts w:ascii="Times New Roman" w:cs="Times New Roman" w:eastAsia="Times New Roman" w:hAnsi="Times New Roman"/>
          <w:sz w:val="16"/>
          <w:szCs w:val="16"/>
          <w:color w:val="auto"/>
        </w:rPr>
      </w:pPr>
    </w:p>
    <w:p>
      <w:pPr>
        <w:ind w:left="1600" w:right="260" w:hanging="383"/>
        <w:spacing w:after="0" w:line="281" w:lineRule="auto"/>
        <w:tabs>
          <w:tab w:leader="none" w:pos="16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non-U.S. holder is an individual who is present in the United States for 183 days or more in the taxable year of that disposition, and certain other conditions are met; or</w:t>
      </w:r>
    </w:p>
    <w:p>
      <w:pPr>
        <w:spacing w:after="0" w:line="60"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or have been a “U.S. real property holding corporation” for U.S. federal income tax purposes and certain other conditions are met.</w:t>
      </w:r>
    </w:p>
    <w:p>
      <w:pPr>
        <w:spacing w:after="0" w:line="199" w:lineRule="exact"/>
        <w:rPr>
          <w:sz w:val="20"/>
          <w:szCs w:val="20"/>
          <w:color w:val="auto"/>
        </w:rPr>
      </w:pPr>
    </w:p>
    <w:p>
      <w:pPr>
        <w:ind w:left="740" w:right="20" w:firstLine="391"/>
        <w:spacing w:after="0" w:line="291" w:lineRule="auto"/>
        <w:rPr>
          <w:sz w:val="20"/>
          <w:szCs w:val="20"/>
          <w:color w:val="auto"/>
        </w:rPr>
      </w:pPr>
      <w:r>
        <w:rPr>
          <w:rFonts w:ascii="Times New Roman" w:cs="Times New Roman" w:eastAsia="Times New Roman" w:hAnsi="Times New Roman"/>
          <w:sz w:val="15"/>
          <w:szCs w:val="15"/>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237</w:t>
      </w:r>
    </w:p>
    <w:p>
      <w:pPr>
        <w:sectPr>
          <w:pgSz w:w="11900" w:h="16838" w:orient="portrait"/>
          <w:cols w:equalWidth="0" w:num="1">
            <w:col w:w="10500"/>
          </w:cols>
          <w:pgMar w:left="320" w:top="420" w:right="10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61" w:lineRule="exact"/>
        <w:rPr>
          <w:sz w:val="20"/>
          <w:szCs w:val="20"/>
          <w:color w:val="auto"/>
        </w:rPr>
      </w:pPr>
    </w:p>
    <w:p>
      <w:pPr>
        <w:ind w:left="740" w:right="100" w:firstLine="391"/>
        <w:spacing w:after="0" w:line="260" w:lineRule="auto"/>
        <w:rPr>
          <w:sz w:val="20"/>
          <w:szCs w:val="20"/>
          <w:color w:val="auto"/>
        </w:rPr>
      </w:pPr>
      <w:r>
        <w:rPr>
          <w:rFonts w:ascii="Times New Roman" w:cs="Times New Roman" w:eastAsia="Times New Roman" w:hAnsi="Times New Roman"/>
          <w:sz w:val="16"/>
          <w:szCs w:val="16"/>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Information Reporting and Backup Withholding</w:t>
      </w:r>
    </w:p>
    <w:p>
      <w:pPr>
        <w:spacing w:after="0" w:line="105" w:lineRule="exact"/>
        <w:rPr>
          <w:sz w:val="20"/>
          <w:szCs w:val="20"/>
          <w:color w:val="auto"/>
        </w:rPr>
      </w:pPr>
    </w:p>
    <w:p>
      <w:pPr>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57" w:lineRule="exact"/>
        <w:rPr>
          <w:sz w:val="20"/>
          <w:szCs w:val="20"/>
          <w:color w:val="auto"/>
        </w:rPr>
      </w:pPr>
    </w:p>
    <w:p>
      <w:pPr>
        <w:jc w:val="both"/>
        <w:ind w:left="740" w:right="140" w:firstLine="391"/>
        <w:spacing w:after="0" w:line="265" w:lineRule="auto"/>
        <w:rPr>
          <w:sz w:val="20"/>
          <w:szCs w:val="20"/>
          <w:color w:val="auto"/>
        </w:rPr>
      </w:pPr>
      <w:r>
        <w:rPr>
          <w:rFonts w:ascii="Times New Roman" w:cs="Times New Roman" w:eastAsia="Times New Roman" w:hAnsi="Times New Roman"/>
          <w:sz w:val="16"/>
          <w:szCs w:val="16"/>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57"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61" w:lineRule="exact"/>
        <w:rPr>
          <w:sz w:val="20"/>
          <w:szCs w:val="20"/>
          <w:color w:val="auto"/>
        </w:rPr>
      </w:pPr>
    </w:p>
    <w:p>
      <w:pPr>
        <w:ind w:left="740" w:right="100" w:firstLine="391"/>
        <w:spacing w:after="0" w:line="281" w:lineRule="auto"/>
        <w:rPr>
          <w:sz w:val="20"/>
          <w:szCs w:val="20"/>
          <w:color w:val="auto"/>
        </w:rPr>
      </w:pPr>
      <w:r>
        <w:rPr>
          <w:rFonts w:ascii="Times New Roman" w:cs="Times New Roman" w:eastAsia="Times New Roman" w:hAnsi="Times New Roman"/>
          <w:sz w:val="16"/>
          <w:szCs w:val="16"/>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Additional Withholding Requirements</w:t>
      </w:r>
    </w:p>
    <w:p>
      <w:pPr>
        <w:spacing w:after="0" w:line="105"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238</w:t>
      </w:r>
    </w:p>
    <w:p>
      <w:pPr>
        <w:sectPr>
          <w:pgSz w:w="11900" w:h="16838" w:orient="portrait"/>
          <w:cols w:equalWidth="0" w:num="1">
            <w:col w:w="10500"/>
          </w:cols>
          <w:pgMar w:left="320" w:top="420" w:right="10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SHARES ELIGIBLE FOR FUTURE SALE</w:t>
      </w:r>
    </w:p>
    <w:p>
      <w:pPr>
        <w:spacing w:after="0" w:line="201"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64" w:lineRule="exact"/>
        <w:rPr>
          <w:sz w:val="20"/>
          <w:szCs w:val="20"/>
          <w:color w:val="auto"/>
        </w:rPr>
      </w:pPr>
    </w:p>
    <w:p>
      <w:pPr>
        <w:ind w:left="740" w:right="60" w:firstLine="391"/>
        <w:spacing w:after="0" w:line="254" w:lineRule="auto"/>
        <w:rPr>
          <w:sz w:val="20"/>
          <w:szCs w:val="20"/>
          <w:color w:val="auto"/>
        </w:rPr>
      </w:pPr>
      <w:r>
        <w:rPr>
          <w:rFonts w:ascii="Times New Roman" w:cs="Times New Roman" w:eastAsia="Times New Roman" w:hAnsi="Times New Roman"/>
          <w:sz w:val="16"/>
          <w:szCs w:val="16"/>
          <w:color w:val="auto"/>
        </w:rPr>
        <w:t>Upon completion of this offering we will have a total of 799,799,804 shares of our Class A common stock outstanding (or 811,418,179 shares of Class A common stock if the underwriters exercise in full their option to purchase additional shares of Class A common stock).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579,825,840 shares of our Class A common stock held by the Pre-IPO Stockholders and the Exchanging Unitholders (or 555,591,996 shares of Class A common stock if the underwriters exercise in full their option to purchase additional shares of Class A common stock) will be “restricted securities,” as defined in Rule 144 and may not be sold absent registration under the Securities Act or compliance with Rule 144 thereunder or in reliance on another exemption from registration.</w:t>
      </w:r>
    </w:p>
    <w:p>
      <w:pPr>
        <w:spacing w:after="0" w:line="167" w:lineRule="exact"/>
        <w:rPr>
          <w:sz w:val="20"/>
          <w:szCs w:val="20"/>
          <w:color w:val="auto"/>
        </w:rPr>
      </w:pPr>
    </w:p>
    <w:p>
      <w:pPr>
        <w:ind w:left="740" w:right="20" w:firstLine="391"/>
        <w:spacing w:after="0" w:line="252" w:lineRule="auto"/>
        <w:rPr>
          <w:sz w:val="20"/>
          <w:szCs w:val="20"/>
          <w:color w:val="auto"/>
        </w:rPr>
      </w:pPr>
      <w:r>
        <w:rPr>
          <w:rFonts w:ascii="Times New Roman" w:cs="Times New Roman" w:eastAsia="Times New Roman" w:hAnsi="Times New Roman"/>
          <w:sz w:val="16"/>
          <w:szCs w:val="16"/>
          <w:color w:val="auto"/>
        </w:rPr>
        <w:t>In addition, subject to certain limitations and exceptions, pursuant to the terms of an exchange agreement we will enter into with the Continuing Unitholders, holders of Common Units (including Common Units issued upon conversion of vested Incentive Units) may (subject to the terms of the exchange agreement) exchange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consummation of this offering, the Continuing Unitholders will hold 513,917,418 Common Units (or 502,299,043 Common Units if the underwriters exercise in full their option to purchase additional shares of Class A common stock), all of which will be exchangeable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 Registration Rights Agreement.”</w:t>
      </w:r>
    </w:p>
    <w:p>
      <w:pPr>
        <w:spacing w:after="0" w:line="171"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In addition, 109,481,814 shares of Class A common stock may be granted under our Omnibus Incentive Plan, including shares of Class A common stock issuable following vesting and upon exchange for 18,084,823 as-converted Incentive Units held by the Continuing Incentive Unitholders with a weighted average participation threshold of $16.57 per unit. For additional information concerning the awards under the Omnibus Incentive Plan that we intend to grant in connection with this offering or that will be outstanding at the time of this offering, see “Summary—The Offering.” In addition, for a description of these grants under our Omnibus Incentive Plan, see “Management—Compensation Arrangements to be Adopted in Connection with this Offering—Omnibus Incentive Plan.” Additionally, 20,000,000 shares of Class A common stock will be reserved for issuance under our ESPP. For a detailed description of the ESPP, see “Management—Compensation</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239</w:t>
      </w:r>
    </w:p>
    <w:p>
      <w:pPr>
        <w:sectPr>
          <w:pgSz w:w="11900" w:h="16838" w:orient="portrait"/>
          <w:cols w:equalWidth="0" w:num="1">
            <w:col w:w="10500"/>
          </w:cols>
          <w:pgMar w:left="320" w:top="420" w:right="10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Arrangements to be Adopted in Connection with this Offering—Employee Stock Purchase Plan.” We intend to file one or more registration statements on Form S-8 under the Securities Act to register shares of Class A common stock or securities convertible into or exchangeable for shares of Class A common stock issued under or covered by our Omnibus Incentive Plan and our ESPP. Any such Form S-8 registration statements will automatically become effective upon filing. Accordingly, shares of Class A common stock registered under such registration statements will be available for sale in the open market.</w:t>
      </w:r>
    </w:p>
    <w:p>
      <w:pPr>
        <w:spacing w:after="0" w:line="165" w:lineRule="exact"/>
        <w:rPr>
          <w:sz w:val="20"/>
          <w:szCs w:val="20"/>
          <w:color w:val="auto"/>
        </w:rPr>
      </w:pPr>
    </w:p>
    <w:p>
      <w:pPr>
        <w:ind w:left="740" w:right="200" w:firstLine="391"/>
        <w:spacing w:after="0" w:line="254" w:lineRule="auto"/>
        <w:rPr>
          <w:sz w:val="20"/>
          <w:szCs w:val="20"/>
          <w:color w:val="auto"/>
        </w:rPr>
      </w:pPr>
      <w:r>
        <w:rPr>
          <w:rFonts w:ascii="Times New Roman" w:cs="Times New Roman" w:eastAsia="Times New Roman" w:hAnsi="Times New Roman"/>
          <w:sz w:val="16"/>
          <w:szCs w:val="16"/>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partnership agreement of Medline Holdings permits Medline Holdings to issue an unlimited number of additional limited partnership interests of Medline Holdings with designations, preferences, rights, powers, and duties that are different from, and may be senior to, those applicable to the Common Units, and which may be exchangeable for shares of our Class A common stock.</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Registration Rights</w:t>
      </w:r>
    </w:p>
    <w:p>
      <w:pPr>
        <w:spacing w:after="0" w:line="105" w:lineRule="exact"/>
        <w:rPr>
          <w:sz w:val="20"/>
          <w:szCs w:val="20"/>
          <w:color w:val="auto"/>
        </w:rPr>
      </w:pPr>
    </w:p>
    <w:p>
      <w:pPr>
        <w:ind w:left="740" w:right="320" w:firstLine="391"/>
        <w:spacing w:after="0" w:line="281" w:lineRule="auto"/>
        <w:rPr>
          <w:sz w:val="20"/>
          <w:szCs w:val="20"/>
          <w:color w:val="auto"/>
        </w:rPr>
      </w:pPr>
      <w:r>
        <w:rPr>
          <w:rFonts w:ascii="Times New Roman" w:cs="Times New Roman" w:eastAsia="Times New Roman" w:hAnsi="Times New Roman"/>
          <w:sz w:val="16"/>
          <w:szCs w:val="16"/>
          <w:color w:val="auto"/>
        </w:rPr>
        <w:t>In connection with the Offering Transactions, we will enter into a registration rights agreement with our Principal Stockholders and our Other Pre-IPO Investors. See “Certain Relationships and Related Person Transactions—Registration Rights Agreement.”</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Lock-Up Agreements</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We, our officers, directors, our Principal Stockholders, our Other Pre-IPO Investors, and our other pre-IPO owners representing substantially all of the Common Units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either Goldman Sachs &amp; Co. LLC or Morgan Stanley &amp; Co. LLC, and one additional representative, on behalf of the underwriters, and the prior written notice to other representatives, for a period of 180 days after the date of this prospectus. These agreements are subject to certain exceptions, as set forth in “Underwriting (Conflicts of Interest).”</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Rule 144</w:t>
      </w:r>
    </w:p>
    <w:p>
      <w:pPr>
        <w:spacing w:after="0" w:line="105" w:lineRule="exact"/>
        <w:rPr>
          <w:sz w:val="20"/>
          <w:szCs w:val="20"/>
          <w:color w:val="auto"/>
        </w:rPr>
      </w:pPr>
    </w:p>
    <w:p>
      <w:pPr>
        <w:ind w:left="740" w:right="60" w:firstLine="391"/>
        <w:spacing w:after="0" w:line="255" w:lineRule="auto"/>
        <w:rPr>
          <w:sz w:val="20"/>
          <w:szCs w:val="20"/>
          <w:color w:val="auto"/>
        </w:rPr>
      </w:pPr>
      <w:r>
        <w:rPr>
          <w:rFonts w:ascii="Times New Roman" w:cs="Times New Roman" w:eastAsia="Times New Roman" w:hAnsi="Times New Roman"/>
          <w:sz w:val="16"/>
          <w:szCs w:val="16"/>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240</w:t>
      </w:r>
    </w:p>
    <w:p>
      <w:pPr>
        <w:sectPr>
          <w:pgSz w:w="11900" w:h="16838" w:orient="portrait"/>
          <w:cols w:equalWidth="0" w:num="1">
            <w:col w:w="10500"/>
          </w:cols>
          <w:pgMar w:left="320" w:top="420" w:right="10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64"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241</w:t>
      </w:r>
    </w:p>
    <w:p>
      <w:pPr>
        <w:sectPr>
          <w:pgSz w:w="11900" w:h="16838" w:orient="portrait"/>
          <w:cols w:equalWidth="0" w:num="1">
            <w:col w:w="10500"/>
          </w:cols>
          <w:pgMar w:left="320" w:top="420" w:right="10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b w:val="1"/>
          <w:bCs w:val="1"/>
          <w:color w:val="auto"/>
        </w:rPr>
        <w:t>UNDERWRITING (CONFLICTS OF INTEREST)</w:t>
      </w:r>
    </w:p>
    <w:p>
      <w:pPr>
        <w:spacing w:after="0" w:line="201"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We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pacing w:after="0" w:line="161"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2360" w:type="dxa"/>
            <w:vAlign w:val="bottom"/>
          </w:tcPr>
          <w:p>
            <w:pPr>
              <w:spacing w:after="0"/>
              <w:rPr>
                <w:sz w:val="12"/>
                <w:szCs w:val="12"/>
                <w:color w:val="auto"/>
              </w:rPr>
            </w:pP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Number of Shares of</w:t>
            </w: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2360" w:type="dxa"/>
            <w:vAlign w:val="bottom"/>
          </w:tcPr>
          <w:p>
            <w:pPr>
              <w:spacing w:after="0"/>
              <w:rPr>
                <w:sz w:val="12"/>
                <w:szCs w:val="12"/>
                <w:color w:val="auto"/>
              </w:rPr>
            </w:pPr>
          </w:p>
        </w:tc>
        <w:tc>
          <w:tcPr>
            <w:tcW w:w="132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Class A Common Stock</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Goldman Sachs &amp; Co. LLC</w:t>
            </w:r>
          </w:p>
        </w:tc>
        <w:tc>
          <w:tcPr>
            <w:tcW w:w="2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38,780,347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Morgan Stanley &amp; Co.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38,780,347</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BofA Securities,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22,517,173</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J.P. Morgan Securities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22,517,173</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Barclays Capital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6,928,772</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Citigroup Global Markets Inc.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6,928,772</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Deutsche Bank Securities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6,928,772</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Jefferies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6,928,772</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UBS Securities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6,928,772</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Evercore Group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4,751,158</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BMO Capital Markets Corp.</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BNP Paribas Securities Corp.</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MUFG Securities Americas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RBC Capital Markets,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Santander US Capital Markets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SG Americas Securities,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TD Securities (USA)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Wells Fargo Securities,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2,375,579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Nomura Securities International,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2,256,801</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WR Securities,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118,778</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Leerink Partners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Macquarie Capital (USA) Inc.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Mizuho Securities USA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Piper Sandler &amp; Co.</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Truist Securities,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William Blair &amp; Company,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1,979,649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Blackstone Securities Partners L.P.</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3,959,299</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TCG Capital Markets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3,959,299</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Robert W. Baird &amp; Co. Incorporated</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1,484,737</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Rothschild &amp; Co US Inc.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1,484,737</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Stifel, Nicolaus &amp; Company, Incorporated</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1,484,737</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BTIG,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890,842</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ING Financial Markets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890,842</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Intesa Sanpaolo IMI Securities Corp.</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890,842</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NCMG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692,877</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Perella Weinberg Partners LP</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692,877</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Academy Securities,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AmeriVet Securities, Inc.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Blaylock Van,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 King &amp; Associates, Inc.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Drexel Hamilton, LLC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Loop Capital Markets LLC</w:t>
            </w:r>
          </w:p>
        </w:tc>
        <w:tc>
          <w:tcPr>
            <w:tcW w:w="36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Mischler Financial Group, Inc.</w:t>
            </w:r>
          </w:p>
        </w:tc>
        <w:tc>
          <w:tcPr>
            <w:tcW w:w="3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60" w:type="dxa"/>
            <w:vAlign w:val="bottom"/>
          </w:tcPr>
          <w:p>
            <w:pPr>
              <w:jc w:val="right"/>
              <w:ind w:right="1800"/>
              <w:spacing w:after="0"/>
              <w:rPr>
                <w:sz w:val="20"/>
                <w:szCs w:val="20"/>
                <w:color w:val="auto"/>
              </w:rPr>
            </w:pPr>
            <w:r>
              <w:rPr>
                <w:rFonts w:ascii="Times New Roman" w:cs="Times New Roman" w:eastAsia="Times New Roman" w:hAnsi="Times New Roman"/>
                <w:sz w:val="16"/>
                <w:szCs w:val="16"/>
                <w:color w:val="auto"/>
              </w:rPr>
              <w:t>242</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20" w:right="11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62"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Underwriters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Number of Shares of</w:t>
            </w: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132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Class A Common Stock</w:t>
            </w:r>
          </w:p>
        </w:tc>
        <w:tc>
          <w:tcPr>
            <w:tcW w:w="0" w:type="dxa"/>
            <w:vAlign w:val="bottom"/>
          </w:tcPr>
          <w:p>
            <w:pPr>
              <w:spacing w:after="0"/>
              <w:rPr>
                <w:sz w:val="1"/>
                <w:szCs w:val="1"/>
                <w:color w:val="auto"/>
              </w:rPr>
            </w:pPr>
          </w:p>
        </w:tc>
      </w:tr>
      <w:tr>
        <w:trPr>
          <w:trHeight w:val="20"/>
        </w:trPr>
        <w:tc>
          <w:tcPr>
            <w:tcW w:w="74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2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R. Seelaus &amp; Co., LLC</w:t>
            </w:r>
          </w:p>
        </w:tc>
        <w:tc>
          <w:tcPr>
            <w:tcW w:w="12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395,930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Samuel A. Ramirez &amp; Company, Inc.</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Siebert Williams Shank &amp; Co., LLC</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Tigress Financial Partners LLC</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395,930</w:t>
            </w:r>
          </w:p>
        </w:tc>
        <w:tc>
          <w:tcPr>
            <w:tcW w:w="0" w:type="dxa"/>
            <w:vAlign w:val="bottom"/>
          </w:tcPr>
          <w:p>
            <w:pPr>
              <w:spacing w:after="0"/>
              <w:rPr>
                <w:sz w:val="1"/>
                <w:szCs w:val="1"/>
                <w:color w:val="auto"/>
              </w:rPr>
            </w:pPr>
          </w:p>
        </w:tc>
      </w:tr>
      <w:tr>
        <w:trPr>
          <w:trHeight w:val="192"/>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216,034,482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220" w:firstLine="391"/>
        <w:spacing w:after="0" w:line="281" w:lineRule="auto"/>
        <w:rPr>
          <w:sz w:val="20"/>
          <w:szCs w:val="20"/>
          <w:color w:val="auto"/>
        </w:rPr>
      </w:pPr>
      <w:r>
        <w:rPr>
          <w:rFonts w:ascii="Times New Roman" w:cs="Times New Roman" w:eastAsia="Times New Roman" w:hAnsi="Times New Roman"/>
          <w:sz w:val="16"/>
          <w:szCs w:val="16"/>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The underwriters have an option to purchase up to an additional 32,405,172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61" w:lineRule="exact"/>
        <w:rPr>
          <w:sz w:val="20"/>
          <w:szCs w:val="20"/>
          <w:color w:val="auto"/>
        </w:rPr>
      </w:pPr>
    </w:p>
    <w:p>
      <w:pPr>
        <w:ind w:left="740" w:right="200" w:firstLine="391"/>
        <w:spacing w:after="0" w:line="265" w:lineRule="auto"/>
        <w:rPr>
          <w:sz w:val="20"/>
          <w:szCs w:val="20"/>
          <w:color w:val="auto"/>
        </w:rPr>
      </w:pPr>
      <w:r>
        <w:rPr>
          <w:rFonts w:ascii="Times New Roman" w:cs="Times New Roman" w:eastAsia="Times New Roman" w:hAnsi="Times New Roman"/>
          <w:sz w:val="16"/>
          <w:szCs w:val="16"/>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157" w:lineRule="exact"/>
        <w:rPr>
          <w:sz w:val="20"/>
          <w:szCs w:val="20"/>
          <w:color w:val="auto"/>
        </w:rPr>
      </w:pPr>
    </w:p>
    <w:p>
      <w:pPr>
        <w:ind w:left="740" w:right="60" w:firstLine="391"/>
        <w:spacing w:after="0" w:line="265" w:lineRule="auto"/>
        <w:rPr>
          <w:sz w:val="20"/>
          <w:szCs w:val="20"/>
          <w:color w:val="auto"/>
        </w:rPr>
      </w:pPr>
      <w:r>
        <w:rPr>
          <w:rFonts w:ascii="Times New Roman" w:cs="Times New Roman" w:eastAsia="Times New Roman" w:hAnsi="Times New Roman"/>
          <w:sz w:val="16"/>
          <w:szCs w:val="16"/>
          <w:color w:val="auto"/>
        </w:rPr>
        <w:t>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157" w:lineRule="exact"/>
        <w:rPr>
          <w:sz w:val="20"/>
          <w:szCs w:val="20"/>
          <w:color w:val="auto"/>
        </w:rPr>
      </w:pPr>
    </w:p>
    <w:p>
      <w:pPr>
        <w:jc w:val="both"/>
        <w:ind w:left="740" w:right="20" w:firstLine="391"/>
        <w:spacing w:after="0" w:line="265" w:lineRule="auto"/>
        <w:rPr>
          <w:sz w:val="20"/>
          <w:szCs w:val="20"/>
          <w:color w:val="auto"/>
        </w:rPr>
      </w:pPr>
      <w:r>
        <w:rPr>
          <w:rFonts w:ascii="Times New Roman" w:cs="Times New Roman" w:eastAsia="Times New Roman" w:hAnsi="Times New Roman"/>
          <w:sz w:val="16"/>
          <w:szCs w:val="16"/>
          <w:color w:val="auto"/>
        </w:rPr>
        <w:t>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 shares to members of the Mills Family and their affiliates or the cornerstone investors.</w:t>
      </w:r>
    </w:p>
    <w:p>
      <w:pPr>
        <w:spacing w:after="0" w:line="157" w:lineRule="exact"/>
        <w:rPr>
          <w:sz w:val="20"/>
          <w:szCs w:val="20"/>
          <w:color w:val="auto"/>
        </w:rPr>
      </w:pPr>
    </w:p>
    <w:p>
      <w:pPr>
        <w:jc w:val="both"/>
        <w:ind w:left="740" w:right="20" w:firstLine="391"/>
        <w:spacing w:after="0" w:line="281" w:lineRule="auto"/>
        <w:rPr>
          <w:sz w:val="20"/>
          <w:szCs w:val="20"/>
          <w:color w:val="auto"/>
        </w:rPr>
      </w:pPr>
      <w:r>
        <w:rPr>
          <w:rFonts w:ascii="Times New Roman" w:cs="Times New Roman" w:eastAsia="Times New Roman" w:hAnsi="Times New Roman"/>
          <w:sz w:val="16"/>
          <w:szCs w:val="16"/>
          <w:color w:val="auto"/>
        </w:rPr>
        <w:t>The following table shows the per share and total underwriting discounts and commissions to be paid to the underwriters by us. Such amounts are shown assuming both no exercise and full exercise of the underwriters’ option to purchase 32,405,172 additional shares.</w:t>
      </w:r>
    </w:p>
    <w:p>
      <w:pPr>
        <w:spacing w:after="0" w:line="1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6"/>
          <w:szCs w:val="16"/>
          <w:u w:val="single" w:color="auto"/>
          <w:color w:val="auto"/>
        </w:rPr>
        <w:t>Paid by Us</w:t>
      </w:r>
    </w:p>
    <w:p>
      <w:pPr>
        <w:spacing w:after="0" w:line="218"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No Exercise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Full Exercise</w:t>
            </w:r>
          </w:p>
        </w:tc>
      </w:tr>
      <w:tr>
        <w:trPr>
          <w:trHeight w:val="184"/>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Per Share</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0.63173</w:t>
            </w: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0.63173</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4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136,475,463.31</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156,946,782.62</w:t>
            </w:r>
          </w:p>
        </w:tc>
        <w:tc>
          <w:tcPr>
            <w:tcW w:w="6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firstLine="391"/>
        <w:spacing w:after="0" w:line="283" w:lineRule="auto"/>
        <w:rPr>
          <w:sz w:val="20"/>
          <w:szCs w:val="20"/>
          <w:color w:val="auto"/>
        </w:rPr>
      </w:pPr>
      <w:r>
        <w:rPr>
          <w:rFonts w:ascii="Times New Roman" w:cs="Times New Roman" w:eastAsia="Times New Roman" w:hAnsi="Times New Roman"/>
          <w:sz w:val="15"/>
          <w:szCs w:val="15"/>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$0.379038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243</w:t>
      </w:r>
    </w:p>
    <w:p>
      <w:pPr>
        <w:sectPr>
          <w:pgSz w:w="11900" w:h="16838" w:orient="portrait"/>
          <w:cols w:equalWidth="0" w:num="1">
            <w:col w:w="10460"/>
          </w:cols>
          <w:pgMar w:left="320" w:top="420" w:right="11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firstLine="391"/>
        <w:spacing w:after="0" w:line="257" w:lineRule="auto"/>
        <w:rPr>
          <w:sz w:val="20"/>
          <w:szCs w:val="20"/>
          <w:color w:val="auto"/>
        </w:rPr>
      </w:pPr>
      <w:r>
        <w:rPr>
          <w:rFonts w:ascii="Times New Roman" w:cs="Times New Roman" w:eastAsia="Times New Roman" w:hAnsi="Times New Roman"/>
          <w:sz w:val="16"/>
          <w:szCs w:val="16"/>
          <w:color w:val="auto"/>
        </w:rPr>
        <w:t>We and our officers and directors and our pre-IPO owners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the date of this prospectus, except with the prior written consent of either Goldman Sachs &amp; Co. LLC or Morgan Stanley &amp; Co. LLC, and one additional representative, on behalf of the underwriters, and the prior written notice to the other representatives.</w:t>
      </w:r>
    </w:p>
    <w:p>
      <w:pPr>
        <w:spacing w:after="0" w:line="165" w:lineRule="exact"/>
        <w:rPr>
          <w:sz w:val="20"/>
          <w:szCs w:val="20"/>
          <w:color w:val="auto"/>
        </w:rPr>
      </w:pPr>
    </w:p>
    <w:p>
      <w:pPr>
        <w:ind w:left="740" w:right="580" w:firstLine="391"/>
        <w:spacing w:after="0" w:line="281" w:lineRule="auto"/>
        <w:rPr>
          <w:sz w:val="20"/>
          <w:szCs w:val="20"/>
          <w:color w:val="auto"/>
        </w:rPr>
      </w:pPr>
      <w:r>
        <w:rPr>
          <w:rFonts w:ascii="Times New Roman" w:cs="Times New Roman" w:eastAsia="Times New Roman" w:hAnsi="Times New Roman"/>
          <w:sz w:val="16"/>
          <w:szCs w:val="16"/>
          <w:color w:val="auto"/>
        </w:rPr>
        <w:t>The foregoing restrictions on our officers, directors, our Principal Stockholders, our Other Pre-IPO Investors and certain other individuals (collectively, “security holders”) do not apply to, among other things, and subject in certain cases to various conditions:</w:t>
      </w:r>
    </w:p>
    <w:p>
      <w:pPr>
        <w:spacing w:after="0" w:line="60" w:lineRule="exact"/>
        <w:rPr>
          <w:sz w:val="20"/>
          <w:szCs w:val="20"/>
          <w:color w:val="auto"/>
        </w:rPr>
      </w:pPr>
    </w:p>
    <w:p>
      <w:pPr>
        <w:ind w:left="1600" w:hanging="479"/>
        <w:spacing w:after="0"/>
        <w:tabs>
          <w:tab w:leader="none" w:pos="1600"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by a security holder of shares or any securities convertible into, exchangeable for, exercisable for, or repayable with shares:</w:t>
      </w:r>
    </w:p>
    <w:p>
      <w:pPr>
        <w:spacing w:after="0" w:line="115" w:lineRule="exact"/>
        <w:rPr>
          <w:rFonts w:ascii="Times New Roman" w:cs="Times New Roman" w:eastAsia="Times New Roman" w:hAnsi="Times New Roman"/>
          <w:sz w:val="16"/>
          <w:szCs w:val="16"/>
          <w:color w:val="auto"/>
        </w:rPr>
      </w:pPr>
    </w:p>
    <w:p>
      <w:pPr>
        <w:ind w:left="2000" w:hanging="388"/>
        <w:spacing w:after="0"/>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will, other testamentary document or intestacy;</w:t>
      </w:r>
    </w:p>
    <w:p>
      <w:pPr>
        <w:spacing w:after="0" w:line="115" w:lineRule="exact"/>
        <w:rPr>
          <w:rFonts w:ascii="Times New Roman" w:cs="Times New Roman" w:eastAsia="Times New Roman" w:hAnsi="Times New Roman"/>
          <w:sz w:val="16"/>
          <w:szCs w:val="16"/>
          <w:color w:val="auto"/>
        </w:rPr>
      </w:pPr>
    </w:p>
    <w:p>
      <w:pPr>
        <w:ind w:left="2000" w:right="400" w:hanging="388"/>
        <w:spacing w:after="0" w:line="281"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bona fide gift or gifts, or for bona fide estate planning purposes, including without limitation to charitable organizations or educational institutions;</w:t>
      </w:r>
    </w:p>
    <w:p>
      <w:pPr>
        <w:spacing w:after="0" w:line="60" w:lineRule="exact"/>
        <w:rPr>
          <w:rFonts w:ascii="Times New Roman" w:cs="Times New Roman" w:eastAsia="Times New Roman" w:hAnsi="Times New Roman"/>
          <w:sz w:val="16"/>
          <w:szCs w:val="16"/>
          <w:color w:val="auto"/>
        </w:rPr>
      </w:pPr>
    </w:p>
    <w:p>
      <w:pPr>
        <w:ind w:left="2000" w:right="120" w:hanging="388"/>
        <w:spacing w:after="0" w:line="265"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73" w:lineRule="exact"/>
        <w:rPr>
          <w:rFonts w:ascii="Times New Roman" w:cs="Times New Roman" w:eastAsia="Times New Roman" w:hAnsi="Times New Roman"/>
          <w:sz w:val="16"/>
          <w:szCs w:val="16"/>
          <w:color w:val="auto"/>
        </w:rPr>
      </w:pPr>
    </w:p>
    <w:p>
      <w:pPr>
        <w:ind w:left="2000" w:hanging="388"/>
        <w:spacing w:after="0"/>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immediate family member or other dependent of the security holder;</w:t>
      </w:r>
    </w:p>
    <w:p>
      <w:pPr>
        <w:spacing w:after="0" w:line="115" w:lineRule="exact"/>
        <w:rPr>
          <w:rFonts w:ascii="Times New Roman" w:cs="Times New Roman" w:eastAsia="Times New Roman" w:hAnsi="Times New Roman"/>
          <w:sz w:val="16"/>
          <w:szCs w:val="16"/>
          <w:color w:val="auto"/>
        </w:rPr>
      </w:pPr>
    </w:p>
    <w:p>
      <w:pPr>
        <w:ind w:left="2000" w:hanging="388"/>
        <w:spacing w:after="0" w:line="260"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76" w:lineRule="exact"/>
        <w:rPr>
          <w:rFonts w:ascii="Times New Roman" w:cs="Times New Roman" w:eastAsia="Times New Roman" w:hAnsi="Times New Roman"/>
          <w:sz w:val="16"/>
          <w:szCs w:val="16"/>
          <w:color w:val="auto"/>
        </w:rPr>
      </w:pPr>
    </w:p>
    <w:p>
      <w:pPr>
        <w:ind w:left="2000" w:hanging="388"/>
        <w:spacing w:after="0" w:line="260"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76" w:lineRule="exact"/>
        <w:rPr>
          <w:rFonts w:ascii="Times New Roman" w:cs="Times New Roman" w:eastAsia="Times New Roman" w:hAnsi="Times New Roman"/>
          <w:sz w:val="16"/>
          <w:szCs w:val="16"/>
          <w:color w:val="auto"/>
        </w:rPr>
      </w:pPr>
    </w:p>
    <w:p>
      <w:pPr>
        <w:ind w:left="2000" w:right="60" w:hanging="388"/>
        <w:spacing w:after="0" w:line="281"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 nominee or custodian of a person or entity to whom a disposition or transfer would be permissible under clauses (i) through (vi) above;</w:t>
      </w:r>
    </w:p>
    <w:p>
      <w:pPr>
        <w:spacing w:after="0" w:line="60" w:lineRule="exact"/>
        <w:rPr>
          <w:rFonts w:ascii="Times New Roman" w:cs="Times New Roman" w:eastAsia="Times New Roman" w:hAnsi="Times New Roman"/>
          <w:sz w:val="16"/>
          <w:szCs w:val="16"/>
          <w:color w:val="auto"/>
        </w:rPr>
      </w:pPr>
    </w:p>
    <w:p>
      <w:pPr>
        <w:ind w:left="2000" w:right="40" w:hanging="388"/>
        <w:spacing w:after="0" w:line="281"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operation of law, including pursuant to an order of a court (including a final domestic order, divorce settlement, divorce decree or separation agreement or other order) or regulatory agency;</w:t>
      </w:r>
    </w:p>
    <w:p>
      <w:pPr>
        <w:spacing w:after="0" w:line="60" w:lineRule="exact"/>
        <w:rPr>
          <w:rFonts w:ascii="Times New Roman" w:cs="Times New Roman" w:eastAsia="Times New Roman" w:hAnsi="Times New Roman"/>
          <w:sz w:val="16"/>
          <w:szCs w:val="16"/>
          <w:color w:val="auto"/>
        </w:rPr>
      </w:pPr>
    </w:p>
    <w:p>
      <w:pPr>
        <w:ind w:left="2000" w:right="200" w:hanging="388"/>
        <w:spacing w:after="0" w:line="281"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60" w:lineRule="exact"/>
        <w:rPr>
          <w:rFonts w:ascii="Times New Roman" w:cs="Times New Roman" w:eastAsia="Times New Roman" w:hAnsi="Times New Roman"/>
          <w:sz w:val="16"/>
          <w:szCs w:val="16"/>
          <w:color w:val="auto"/>
        </w:rPr>
      </w:pPr>
    </w:p>
    <w:p>
      <w:pPr>
        <w:ind w:left="2000" w:hanging="388"/>
        <w:spacing w:after="0" w:line="257"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80" w:lineRule="exact"/>
        <w:rPr>
          <w:rFonts w:ascii="Times New Roman" w:cs="Times New Roman" w:eastAsia="Times New Roman" w:hAnsi="Times New Roman"/>
          <w:sz w:val="16"/>
          <w:szCs w:val="16"/>
          <w:color w:val="auto"/>
        </w:rPr>
      </w:pPr>
    </w:p>
    <w:p>
      <w:pPr>
        <w:ind w:left="2000" w:right="380" w:hanging="388"/>
        <w:spacing w:after="0" w:line="281" w:lineRule="auto"/>
        <w:tabs>
          <w:tab w:leader="none" w:pos="200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us pursuant to the “net” or “cashless” exercise at expiration of options, warrants or other rights to purchase shares of Class A common stock or Class B common stock granted pursuant to any</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244</w:t>
      </w:r>
    </w:p>
    <w:p>
      <w:pPr>
        <w:sectPr>
          <w:pgSz w:w="11900" w:h="16838" w:orient="portrait"/>
          <w:cols w:equalWidth="0" w:num="1">
            <w:col w:w="10500"/>
          </w:cols>
          <w:pgMar w:left="320" w:top="420" w:right="10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2000"/>
        <w:spacing w:after="0" w:line="265" w:lineRule="auto"/>
        <w:rPr>
          <w:sz w:val="20"/>
          <w:szCs w:val="20"/>
          <w:color w:val="auto"/>
        </w:rPr>
      </w:pPr>
      <w:r>
        <w:rPr>
          <w:rFonts w:ascii="Times New Roman" w:cs="Times New Roman" w:eastAsia="Times New Roman" w:hAnsi="Times New Roman"/>
          <w:sz w:val="16"/>
          <w:szCs w:val="16"/>
          <w:color w:val="auto"/>
        </w:rPr>
        <w:t>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73" w:lineRule="exact"/>
        <w:rPr>
          <w:sz w:val="20"/>
          <w:szCs w:val="20"/>
          <w:color w:val="auto"/>
        </w:rPr>
      </w:pPr>
    </w:p>
    <w:p>
      <w:pPr>
        <w:ind w:left="2000" w:right="40" w:hanging="388"/>
        <w:spacing w:after="0" w:line="265" w:lineRule="auto"/>
        <w:tabs>
          <w:tab w:leader="none" w:pos="20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73" w:lineRule="exact"/>
        <w:rPr>
          <w:rFonts w:ascii="Times New Roman" w:cs="Times New Roman" w:eastAsia="Times New Roman" w:hAnsi="Times New Roman"/>
          <w:sz w:val="16"/>
          <w:szCs w:val="16"/>
          <w:color w:val="auto"/>
        </w:rPr>
      </w:pPr>
    </w:p>
    <w:p>
      <w:pPr>
        <w:ind w:left="2000" w:right="100" w:hanging="388"/>
        <w:spacing w:after="0" w:line="281" w:lineRule="auto"/>
        <w:tabs>
          <w:tab w:leader="none" w:pos="20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sale of securities to be sold by the security holder in the manner described in the final prospectus used to sell shares of Class A Common Stock;</w:t>
      </w:r>
    </w:p>
    <w:p>
      <w:pPr>
        <w:spacing w:after="0" w:line="60" w:lineRule="exact"/>
        <w:rPr>
          <w:rFonts w:ascii="Times New Roman" w:cs="Times New Roman" w:eastAsia="Times New Roman" w:hAnsi="Times New Roman"/>
          <w:sz w:val="16"/>
          <w:szCs w:val="16"/>
          <w:color w:val="auto"/>
        </w:rPr>
      </w:pPr>
    </w:p>
    <w:p>
      <w:pPr>
        <w:ind w:left="2000" w:right="220" w:hanging="388"/>
        <w:spacing w:after="0" w:line="260" w:lineRule="auto"/>
        <w:tabs>
          <w:tab w:leader="none" w:pos="20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76" w:lineRule="exact"/>
        <w:rPr>
          <w:rFonts w:ascii="Times New Roman" w:cs="Times New Roman" w:eastAsia="Times New Roman" w:hAnsi="Times New Roman"/>
          <w:sz w:val="16"/>
          <w:szCs w:val="16"/>
          <w:color w:val="auto"/>
        </w:rPr>
      </w:pPr>
    </w:p>
    <w:p>
      <w:pPr>
        <w:ind w:left="2000" w:right="280" w:hanging="388"/>
        <w:spacing w:after="0" w:line="265" w:lineRule="auto"/>
        <w:tabs>
          <w:tab w:leader="none" w:pos="2000"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61" w:lineRule="exact"/>
        <w:rPr>
          <w:sz w:val="20"/>
          <w:szCs w:val="20"/>
          <w:color w:val="auto"/>
        </w:rPr>
      </w:pPr>
    </w:p>
    <w:p>
      <w:pPr>
        <w:ind w:left="1620"/>
        <w:spacing w:after="0" w:line="252" w:lineRule="auto"/>
        <w:rPr>
          <w:sz w:val="20"/>
          <w:szCs w:val="20"/>
          <w:color w:val="auto"/>
        </w:rPr>
      </w:pPr>
      <w:r>
        <w:rPr>
          <w:rFonts w:ascii="Times New Roman" w:cs="Times New Roman" w:eastAsia="Times New Roman" w:hAnsi="Times New Roman"/>
          <w:sz w:val="16"/>
          <w:szCs w:val="16"/>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 (ii) 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82" w:lineRule="exact"/>
        <w:rPr>
          <w:sz w:val="20"/>
          <w:szCs w:val="20"/>
          <w:color w:val="auto"/>
        </w:rPr>
      </w:pPr>
    </w:p>
    <w:p>
      <w:pPr>
        <w:ind w:left="1600" w:right="40" w:hanging="479"/>
        <w:spacing w:after="0" w:line="257" w:lineRule="auto"/>
        <w:tabs>
          <w:tab w:leader="none" w:pos="1600"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80" w:lineRule="exact"/>
        <w:rPr>
          <w:rFonts w:ascii="Times New Roman" w:cs="Times New Roman" w:eastAsia="Times New Roman" w:hAnsi="Times New Roman"/>
          <w:sz w:val="16"/>
          <w:szCs w:val="16"/>
          <w:color w:val="auto"/>
        </w:rPr>
      </w:pPr>
    </w:p>
    <w:p>
      <w:pPr>
        <w:ind w:left="1600" w:right="180" w:hanging="479"/>
        <w:spacing w:after="0" w:line="291" w:lineRule="auto"/>
        <w:tabs>
          <w:tab w:leader="none" w:pos="1600" w:val="left"/>
        </w:tabs>
        <w:numPr>
          <w:ilvl w:val="0"/>
          <w:numId w:val="1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w:t>
      </w:r>
    </w:p>
    <w:p>
      <w:pPr>
        <w:spacing w:after="0" w:line="7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245</w:t>
      </w:r>
    </w:p>
    <w:p>
      <w:pPr>
        <w:sectPr>
          <w:pgSz w:w="11900" w:h="16838" w:orient="portrait"/>
          <w:cols w:equalWidth="0" w:num="1">
            <w:col w:w="10500"/>
          </w:cols>
          <w:pgMar w:left="320" w:top="421" w:right="10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20"/>
        <w:spacing w:after="0" w:line="291" w:lineRule="auto"/>
        <w:rPr>
          <w:sz w:val="20"/>
          <w:szCs w:val="20"/>
          <w:color w:val="auto"/>
        </w:rPr>
      </w:pPr>
      <w:r>
        <w:rPr>
          <w:rFonts w:ascii="Times New Roman" w:cs="Times New Roman" w:eastAsia="Times New Roman" w:hAnsi="Times New Roman"/>
          <w:sz w:val="15"/>
          <w:szCs w:val="15"/>
          <w:color w:val="auto"/>
        </w:rPr>
        <w:t>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55" w:lineRule="exact"/>
        <w:rPr>
          <w:sz w:val="20"/>
          <w:szCs w:val="20"/>
          <w:color w:val="auto"/>
        </w:rPr>
      </w:pPr>
    </w:p>
    <w:p>
      <w:pPr>
        <w:ind w:left="1600" w:right="140" w:hanging="479"/>
        <w:spacing w:after="0" w:line="253" w:lineRule="auto"/>
        <w:tabs>
          <w:tab w:leader="none" w:pos="1600"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Our Class A common stock has been approved for listing on Nasdaq under the symbol “MDLN.”</w:t>
      </w:r>
    </w:p>
    <w:p>
      <w:pPr>
        <w:spacing w:after="0" w:line="199"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61" w:lineRule="exact"/>
        <w:rPr>
          <w:sz w:val="20"/>
          <w:szCs w:val="20"/>
          <w:color w:val="auto"/>
        </w:rPr>
      </w:pPr>
    </w:p>
    <w:p>
      <w:pPr>
        <w:ind w:left="740" w:firstLine="391"/>
        <w:spacing w:after="0" w:line="252" w:lineRule="auto"/>
        <w:rPr>
          <w:sz w:val="20"/>
          <w:szCs w:val="20"/>
          <w:color w:val="auto"/>
        </w:rPr>
      </w:pPr>
      <w:r>
        <w:rPr>
          <w:rFonts w:ascii="Times New Roman" w:cs="Times New Roman" w:eastAsia="Times New Roman" w:hAnsi="Times New Roman"/>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1" w:lineRule="exact"/>
        <w:rPr>
          <w:sz w:val="20"/>
          <w:szCs w:val="20"/>
          <w:color w:val="auto"/>
        </w:rPr>
      </w:pPr>
    </w:p>
    <w:p>
      <w:pPr>
        <w:ind w:left="740" w:right="40" w:firstLine="391"/>
        <w:spacing w:after="0" w:line="265" w:lineRule="auto"/>
        <w:rPr>
          <w:sz w:val="20"/>
          <w:szCs w:val="20"/>
          <w:color w:val="auto"/>
        </w:rPr>
      </w:pPr>
      <w:r>
        <w:rPr>
          <w:rFonts w:ascii="Times New Roman" w:cs="Times New Roman" w:eastAsia="Times New Roman" w:hAnsi="Times New Roman"/>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57" w:lineRule="exact"/>
        <w:rPr>
          <w:sz w:val="20"/>
          <w:szCs w:val="20"/>
          <w:color w:val="auto"/>
        </w:rPr>
      </w:pPr>
    </w:p>
    <w:p>
      <w:pPr>
        <w:ind w:left="740" w:right="140" w:firstLine="391"/>
        <w:spacing w:after="0" w:line="281" w:lineRule="auto"/>
        <w:rPr>
          <w:sz w:val="20"/>
          <w:szCs w:val="20"/>
          <w:color w:val="auto"/>
        </w:rPr>
      </w:pPr>
      <w:r>
        <w:rPr>
          <w:rFonts w:ascii="Times New Roman" w:cs="Times New Roman" w:eastAsia="Times New Roman" w:hAnsi="Times New Roman"/>
          <w:sz w:val="16"/>
          <w:szCs w:val="16"/>
          <w:color w:val="auto"/>
        </w:rPr>
        <w:t>Purchases to cover a short position and stabilizing transactions, as well as other purchases by the underwriters for their own accounts, may have the effect of preventing or retarding a decline in the market price</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246</w:t>
      </w:r>
    </w:p>
    <w:p>
      <w:pPr>
        <w:sectPr>
          <w:pgSz w:w="11900" w:h="16838" w:orient="portrait"/>
          <w:cols w:equalWidth="0" w:num="1">
            <w:col w:w="10460"/>
          </w:cols>
          <w:pgMar w:left="320" w:top="420" w:right="111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 estimate that our share of the total expenses of the offering, excluding underwriting discounts and commissions, will be approximately</w:t>
      </w:r>
    </w:p>
    <w:p>
      <w:pPr>
        <w:spacing w:after="0" w:line="24" w:lineRule="exact"/>
        <w:rPr>
          <w:sz w:val="20"/>
          <w:szCs w:val="20"/>
          <w:color w:val="auto"/>
        </w:rPr>
      </w:pPr>
    </w:p>
    <w:p>
      <w:pPr>
        <w:ind w:left="740" w:right="80"/>
        <w:spacing w:after="0" w:line="254" w:lineRule="auto"/>
        <w:rPr>
          <w:sz w:val="20"/>
          <w:szCs w:val="20"/>
          <w:color w:val="auto"/>
        </w:rPr>
      </w:pPr>
      <w:r>
        <w:rPr>
          <w:rFonts w:ascii="Times New Roman" w:cs="Times New Roman" w:eastAsia="Times New Roman" w:hAnsi="Times New Roman"/>
          <w:sz w:val="16"/>
          <w:szCs w:val="16"/>
          <w:color w:val="auto"/>
        </w:rPr>
        <w:t>$38 million. We have also agreed to reimburse the underwriters for certain FINRA-related expenses incurred by them in connection with the offering in an amount up to $50,000. The underwriters have agreed to reimburse us for certain expenses incurred by us in connection with this offering upon the closing of the offering.</w:t>
      </w:r>
    </w:p>
    <w:p>
      <w:pPr>
        <w:spacing w:after="0" w:line="16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We have agreed to indemnify the several underwriters against certain liabilities, including liabilities under the Securities Act.</w:t>
      </w:r>
    </w:p>
    <w:p>
      <w:pPr>
        <w:spacing w:after="0" w:line="199" w:lineRule="exact"/>
        <w:rPr>
          <w:sz w:val="20"/>
          <w:szCs w:val="20"/>
          <w:color w:val="auto"/>
        </w:rPr>
      </w:pPr>
    </w:p>
    <w:p>
      <w:pPr>
        <w:ind w:left="740" w:right="60" w:firstLine="391"/>
        <w:spacing w:after="0" w:line="260" w:lineRule="auto"/>
        <w:rPr>
          <w:sz w:val="20"/>
          <w:szCs w:val="20"/>
          <w:color w:val="auto"/>
        </w:rPr>
      </w:pPr>
      <w:r>
        <w:rPr>
          <w:rFonts w:ascii="Times New Roman" w:cs="Times New Roman" w:eastAsia="Times New Roman" w:hAnsi="Times New Roman"/>
          <w:sz w:val="16"/>
          <w:szCs w:val="16"/>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Other Relationships</w:t>
      </w:r>
    </w:p>
    <w:p>
      <w:pPr>
        <w:spacing w:after="0" w:line="105" w:lineRule="exact"/>
        <w:rPr>
          <w:sz w:val="20"/>
          <w:szCs w:val="20"/>
          <w:color w:val="auto"/>
        </w:rPr>
      </w:pPr>
    </w:p>
    <w:p>
      <w:pPr>
        <w:ind w:left="740" w:right="120" w:firstLine="391"/>
        <w:spacing w:after="0" w:line="252" w:lineRule="auto"/>
        <w:rPr>
          <w:sz w:val="20"/>
          <w:szCs w:val="20"/>
          <w:color w:val="auto"/>
        </w:rPr>
      </w:pPr>
      <w:r>
        <w:rPr>
          <w:rFonts w:ascii="Times New Roman" w:cs="Times New Roman" w:eastAsia="Times New Roman" w:hAnsi="Times New Roman"/>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receive customary fees and expenses. For example, Bank of America, N.A., an affiliate of BofA Securities, Inc., is administrative agent and collateral agent under the credit agreement that governs our Senior Secured Credit Facilities, and JPMorgan Chase Bank, N.A., an affiliate of J.P. Morgan Securities LLC, Bank of America, N.A., Goldman Sachs Bank USA, an affiliate of Goldman Sachs &amp; Co. LLC, and Morgan Stanley Senior Funding Inc., an affiliate of Morgan Stanley &amp; Co. LLC, are joint-lead arrangers and lenders under certain of our Senior Secured Credit Facilities. In addition, J.P. Morgan Securities LLC and Goldman Sachs &amp; Co. LLC served as the representatives of the initial purchasers, and BofA Securities, Inc. and Morgan Stanley &amp; Co. LLC served as joint bookrunning managers in connection with our offering of $4,500 million aggregate principal amount of the 2021 Secured Notes and $2,500 million aggregate principal amount of the 2021 Unsecured Notes, for which they received customary fees and commissions. Goldman Sachs &amp; Co. and BofA Securities, Inc. served as the representatives of the initial purchasers, and J.P. Morgan Securities LLC and Morgan Stanley &amp; Co. LLC served as joint bookrunning managers in connection with our offering of $1,000 million aggregate principal amount of the Initial 2024 Notes, for which they received customary fees and commissions. Goldman Sachs &amp; Co. LLC, BofA Securities, Inc., and J.P. Morgan Securities LLC served as the representatives of the initial purchasers, and Morgan Stanley &amp; Co. LLC served as joint bookrunning manager, in connection with our offering of $500 million aggregate principal amount of the Additional 2024 Notes, for which they received customary fees and commissions.</w:t>
      </w:r>
    </w:p>
    <w:p>
      <w:pPr>
        <w:spacing w:after="0" w:line="166" w:lineRule="exact"/>
        <w:rPr>
          <w:sz w:val="20"/>
          <w:szCs w:val="20"/>
          <w:color w:val="auto"/>
        </w:rPr>
      </w:pPr>
    </w:p>
    <w:p>
      <w:pPr>
        <w:ind w:left="740" w:right="240" w:firstLine="391"/>
        <w:spacing w:after="0" w:line="257" w:lineRule="auto"/>
        <w:rPr>
          <w:sz w:val="20"/>
          <w:szCs w:val="20"/>
          <w:color w:val="auto"/>
        </w:rPr>
      </w:pPr>
      <w:r>
        <w:rPr>
          <w:rFonts w:ascii="Times New Roman" w:cs="Times New Roman" w:eastAsia="Times New Roman" w:hAnsi="Times New Roman"/>
          <w:sz w:val="16"/>
          <w:szCs w:val="16"/>
          <w:color w:val="auto"/>
        </w:rPr>
        <w:t>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“Wolfe | Nomura Alliance” is the marketing name used by Wolfe Research Securities and Nomura Securities International, Inc. in connection with</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247</w:t>
      </w:r>
    </w:p>
    <w:p>
      <w:pPr>
        <w:sectPr>
          <w:pgSz w:w="11900" w:h="16838" w:orient="portrait"/>
          <w:cols w:equalWidth="0" w:num="1">
            <w:col w:w="10500"/>
          </w:cols>
          <w:pgMar w:left="320" w:top="420" w:right="10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spacing w:after="0" w:line="265" w:lineRule="auto"/>
        <w:rPr>
          <w:sz w:val="20"/>
          <w:szCs w:val="20"/>
          <w:color w:val="auto"/>
        </w:rPr>
      </w:pPr>
      <w:r>
        <w:rPr>
          <w:rFonts w:ascii="Times New Roman" w:cs="Times New Roman" w:eastAsia="Times New Roman" w:hAnsi="Times New Roman"/>
          <w:sz w:val="16"/>
          <w:szCs w:val="16"/>
          <w:color w:val="auto"/>
        </w:rPr>
        <w:t>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57" w:lineRule="exact"/>
        <w:rPr>
          <w:sz w:val="20"/>
          <w:szCs w:val="20"/>
          <w:color w:val="auto"/>
        </w:rPr>
      </w:pPr>
    </w:p>
    <w:p>
      <w:pPr>
        <w:ind w:left="740" w:right="40" w:firstLine="391"/>
        <w:spacing w:after="0" w:line="255"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105"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Affiliates of Blackstone and Carlyle beneficially own in excess of 10% of our issued and outstanding common stock and will receive in excess of 5% of the net proceeds of this offering. Because TCG Capital Markets L.L.C. and Blackstone Securities Partners L.P. are underwriters in this offering, and their affiliates own in excess of 10% of our issued and outstanding common stock and will receive in excess of 5% of the net proceeds of this offering, TCG Capital Markets L.L.C. and Blackstone Securities Partners L.P. are deemed to have a “conflict of interest” FINRA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paragraph(f)(12)(E) of Rule 5121. TCG Capital Markets L.L.C. and Blackstone Securities Partners L.P. will not confirm sales of the securities to any account over which they exercise discretionary authority without the specific written approval of the account holder.</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Selling Restrictions</w:t>
      </w:r>
    </w:p>
    <w:p>
      <w:pPr>
        <w:spacing w:after="0" w:line="105" w:lineRule="exact"/>
        <w:rPr>
          <w:sz w:val="20"/>
          <w:szCs w:val="20"/>
          <w:color w:val="auto"/>
        </w:rPr>
      </w:pPr>
    </w:p>
    <w:p>
      <w:pPr>
        <w:ind w:left="740" w:firstLine="391"/>
        <w:spacing w:after="0" w:line="255" w:lineRule="auto"/>
        <w:rPr>
          <w:sz w:val="20"/>
          <w:szCs w:val="20"/>
          <w:color w:val="auto"/>
        </w:rPr>
      </w:pPr>
      <w:r>
        <w:rPr>
          <w:rFonts w:ascii="Times New Roman" w:cs="Times New Roman" w:eastAsia="Times New Roman" w:hAnsi="Times New Roman"/>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European Economic Area</w:t>
      </w:r>
    </w:p>
    <w:p>
      <w:pPr>
        <w:spacing w:after="0" w:line="105" w:lineRule="exact"/>
        <w:rPr>
          <w:sz w:val="20"/>
          <w:szCs w:val="20"/>
          <w:color w:val="auto"/>
        </w:rPr>
      </w:pPr>
    </w:p>
    <w:p>
      <w:pPr>
        <w:ind w:left="740" w:right="80" w:firstLine="391"/>
        <w:spacing w:after="0" w:line="257" w:lineRule="auto"/>
        <w:rPr>
          <w:sz w:val="20"/>
          <w:szCs w:val="20"/>
          <w:color w:val="auto"/>
        </w:rPr>
      </w:pPr>
      <w:r>
        <w:rPr>
          <w:rFonts w:ascii="Times New Roman" w:cs="Times New Roman" w:eastAsia="Times New Roman" w:hAnsi="Times New Roman"/>
          <w:sz w:val="16"/>
          <w:szCs w:val="16"/>
          <w:color w:val="auto"/>
        </w:rPr>
        <w:t>In relation to each Member State of the European Economic Area (each, a “Member State”), no shares of Class A common stock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(as defined herein), except that offers of shares may be made to the public in that Member State at any time under the following exemptions under the Prospectus Regulation:</w:t>
      </w:r>
    </w:p>
    <w:p>
      <w:pPr>
        <w:spacing w:after="0" w:line="81" w:lineRule="exact"/>
        <w:rPr>
          <w:sz w:val="20"/>
          <w:szCs w:val="20"/>
          <w:color w:val="auto"/>
        </w:rPr>
      </w:pPr>
    </w:p>
    <w:p>
      <w:pPr>
        <w:ind w:left="1600" w:hanging="479"/>
        <w:spacing w:after="0"/>
        <w:tabs>
          <w:tab w:leader="none" w:pos="1600"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legal entity which is a qualified investor as defined under Article 2 of the Prospectus Regulation (as defined herein);</w:t>
      </w:r>
    </w:p>
    <w:p>
      <w:pPr>
        <w:spacing w:after="0" w:line="139"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248</w:t>
      </w:r>
    </w:p>
    <w:p>
      <w:pPr>
        <w:sectPr>
          <w:pgSz w:w="11900" w:h="16838" w:orient="portrait"/>
          <w:cols w:equalWidth="0" w:num="1">
            <w:col w:w="10480"/>
          </w:cols>
          <w:pgMar w:left="320" w:top="420" w:right="10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1600" w:right="100" w:hanging="479"/>
        <w:spacing w:after="0" w:line="281" w:lineRule="auto"/>
        <w:tabs>
          <w:tab w:leader="none" w:pos="16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fewer than 150 natural or legal persons (other than qualified investors as defined in the Prospectus Regulation), subject to obtaining the prior consent of the underwriters for any such offer; or</w:t>
      </w:r>
    </w:p>
    <w:p>
      <w:pPr>
        <w:spacing w:after="0" w:line="60" w:lineRule="exact"/>
        <w:rPr>
          <w:rFonts w:ascii="Times New Roman" w:cs="Times New Roman" w:eastAsia="Times New Roman" w:hAnsi="Times New Roman"/>
          <w:sz w:val="16"/>
          <w:szCs w:val="16"/>
          <w:color w:val="auto"/>
        </w:rPr>
      </w:pPr>
    </w:p>
    <w:p>
      <w:pPr>
        <w:ind w:left="1600" w:right="40" w:hanging="479"/>
        <w:spacing w:after="0" w:line="257" w:lineRule="auto"/>
        <w:tabs>
          <w:tab w:leader="none" w:pos="160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falling within Article 1(4) of the Prospectus Regulation, 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65" w:lineRule="exact"/>
        <w:rPr>
          <w:sz w:val="20"/>
          <w:szCs w:val="20"/>
          <w:color w:val="auto"/>
        </w:rPr>
      </w:pPr>
    </w:p>
    <w:p>
      <w:pPr>
        <w:ind w:left="740" w:right="100" w:firstLine="391"/>
        <w:spacing w:after="0" w:line="256" w:lineRule="auto"/>
        <w:rPr>
          <w:sz w:val="20"/>
          <w:szCs w:val="20"/>
          <w:color w:val="auto"/>
        </w:rPr>
      </w:pPr>
      <w:r>
        <w:rPr>
          <w:rFonts w:ascii="Times New Roman" w:cs="Times New Roman" w:eastAsia="Times New Roman" w:hAnsi="Times New Roman"/>
          <w:sz w:val="16"/>
          <w:szCs w:val="16"/>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Member State to qualified investors as so defined or in circumstances in which the prior consent of the representatives has been obtained to each such proposed offer or resale.</w:t>
      </w:r>
    </w:p>
    <w:p>
      <w:pPr>
        <w:spacing w:after="0" w:line="164" w:lineRule="exact"/>
        <w:rPr>
          <w:sz w:val="20"/>
          <w:szCs w:val="20"/>
          <w:color w:val="auto"/>
        </w:rPr>
      </w:pPr>
    </w:p>
    <w:p>
      <w:pPr>
        <w:ind w:left="740" w:firstLine="391"/>
        <w:spacing w:after="0" w:line="260"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any shares of Class A common stock in any Member State means the communication in any form and by means of sufficient information on the terms of the offer and the shares of Class A common stock to be offered so as to enable an investor to decide to purchase shares of Class A common stock, and the expression “Prospectus Regulation” means Regulation (EU) 2017/1129 (as amended).</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United Kingdom</w:t>
      </w:r>
    </w:p>
    <w:p>
      <w:pPr>
        <w:spacing w:after="0" w:line="105" w:lineRule="exact"/>
        <w:rPr>
          <w:sz w:val="20"/>
          <w:szCs w:val="20"/>
          <w:color w:val="auto"/>
        </w:rPr>
      </w:pPr>
    </w:p>
    <w:p>
      <w:pPr>
        <w:jc w:val="both"/>
        <w:ind w:left="740" w:right="80" w:firstLine="391"/>
        <w:spacing w:after="0" w:line="265" w:lineRule="auto"/>
        <w:rPr>
          <w:sz w:val="20"/>
          <w:szCs w:val="20"/>
          <w:color w:val="auto"/>
        </w:rPr>
      </w:pPr>
      <w:r>
        <w:rPr>
          <w:rFonts w:ascii="Times New Roman" w:cs="Times New Roman" w:eastAsia="Times New Roman" w:hAnsi="Times New Roman"/>
          <w:sz w:val="16"/>
          <w:szCs w:val="16"/>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73" w:lineRule="exact"/>
        <w:rPr>
          <w:sz w:val="20"/>
          <w:szCs w:val="20"/>
          <w:color w:val="auto"/>
        </w:rPr>
      </w:pPr>
    </w:p>
    <w:p>
      <w:pPr>
        <w:ind w:left="1600" w:hanging="479"/>
        <w:spacing w:after="0"/>
        <w:tabs>
          <w:tab w:leader="none" w:pos="16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any legal entity which is a qualified investor as defined under Article 2 of the UK Prospectus Regulation (as defined herein);</w:t>
      </w:r>
    </w:p>
    <w:p>
      <w:pPr>
        <w:spacing w:after="0" w:line="115" w:lineRule="exact"/>
        <w:rPr>
          <w:rFonts w:ascii="Times New Roman" w:cs="Times New Roman" w:eastAsia="Times New Roman" w:hAnsi="Times New Roman"/>
          <w:sz w:val="16"/>
          <w:szCs w:val="16"/>
          <w:color w:val="auto"/>
        </w:rPr>
      </w:pPr>
    </w:p>
    <w:p>
      <w:pPr>
        <w:ind w:left="1600" w:right="340" w:hanging="479"/>
        <w:spacing w:after="0" w:line="281" w:lineRule="auto"/>
        <w:tabs>
          <w:tab w:leader="none" w:pos="16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fewer than 150 natural or legal persons (other than qualified investors as defined under Article 2 of the UK Prospectus Regulation), subject to obtaining the prior consent of the underwriters for any such offer; or</w:t>
      </w:r>
    </w:p>
    <w:p>
      <w:pPr>
        <w:spacing w:after="0" w:line="60" w:lineRule="exact"/>
        <w:rPr>
          <w:rFonts w:ascii="Times New Roman" w:cs="Times New Roman" w:eastAsia="Times New Roman" w:hAnsi="Times New Roman"/>
          <w:sz w:val="16"/>
          <w:szCs w:val="16"/>
          <w:color w:val="auto"/>
        </w:rPr>
      </w:pPr>
    </w:p>
    <w:p>
      <w:pPr>
        <w:ind w:left="1600" w:hanging="479"/>
        <w:spacing w:after="0"/>
        <w:tabs>
          <w:tab w:leader="none" w:pos="160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any other circumstances falling within Section 86 of the Financial Services and Markets Act 2000 (“FSMA”);</w:t>
      </w:r>
    </w:p>
    <w:p>
      <w:pPr>
        <w:spacing w:after="0" w:line="197" w:lineRule="exact"/>
        <w:rPr>
          <w:sz w:val="20"/>
          <w:szCs w:val="20"/>
          <w:color w:val="auto"/>
        </w:rPr>
      </w:pPr>
    </w:p>
    <w:p>
      <w:pPr>
        <w:ind w:left="740" w:right="80" w:firstLine="391"/>
        <w:spacing w:after="0" w:line="284" w:lineRule="auto"/>
        <w:rPr>
          <w:sz w:val="20"/>
          <w:szCs w:val="20"/>
          <w:color w:val="auto"/>
        </w:rPr>
      </w:pPr>
      <w:r>
        <w:rPr>
          <w:rFonts w:ascii="Times New Roman" w:cs="Times New Roman" w:eastAsia="Times New Roman" w:hAnsi="Times New Roman"/>
          <w:sz w:val="16"/>
          <w:szCs w:val="16"/>
          <w:i w:val="1"/>
          <w:iCs w:val="1"/>
          <w:color w:val="auto"/>
        </w:rPr>
        <w:t xml:space="preserve">provided </w:t>
      </w:r>
      <w:r>
        <w:rPr>
          <w:rFonts w:ascii="Times New Roman" w:cs="Times New Roman" w:eastAsia="Times New Roman" w:hAnsi="Times New Roman"/>
          <w:sz w:val="16"/>
          <w:szCs w:val="16"/>
          <w:color w:val="auto"/>
        </w:rPr>
        <w:t>that no such offer of the shares of Class A common stock shall require any underwriter to publish a prospectus pursuant to Section 85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FSMA or supplement a prospectus pursuant to Article 23 of the UK Prospectus Regulation.</w:t>
      </w:r>
    </w:p>
    <w:p>
      <w:pPr>
        <w:spacing w:after="0" w:line="141" w:lineRule="exact"/>
        <w:rPr>
          <w:sz w:val="20"/>
          <w:szCs w:val="20"/>
          <w:color w:val="auto"/>
        </w:rPr>
      </w:pPr>
    </w:p>
    <w:p>
      <w:pPr>
        <w:ind w:left="740" w:right="60" w:firstLine="391"/>
        <w:spacing w:after="0" w:line="256" w:lineRule="auto"/>
        <w:rPr>
          <w:sz w:val="20"/>
          <w:szCs w:val="20"/>
          <w:color w:val="auto"/>
        </w:rPr>
      </w:pPr>
      <w:r>
        <w:rPr>
          <w:rFonts w:ascii="Times New Roman" w:cs="Times New Roman" w:eastAsia="Times New Roman" w:hAnsi="Times New Roman"/>
          <w:sz w:val="16"/>
          <w:szCs w:val="16"/>
          <w:color w:val="auto"/>
        </w:rPr>
        <w:t>For the purposes of this provision, the expression an “offer to the public” in relation to the shares of Class A common stock in the United Kingdom means the communication in any form and by any means of sufficient information on the terms of the offer and any shares to be offered so as to enable an investor to decide to purchase or subscribe for any shares of Class A common stock and the expression “UK Prospectus Regulation” means Regulation (EU) 2017/1129 as it forms part of domestic law by virtue of the European Union (Withdrawal) Act 2018 and each person who initially acquires any shares of Class A common stock or to whom any offer is made will be deemed to have represented, warranted and agreed to and with each of the underwriters and us that it is a qualified investor within the meaning of Article 2(e) of the UK Prospectus Regulation.</w:t>
      </w:r>
    </w:p>
    <w:p>
      <w:pPr>
        <w:spacing w:after="0" w:line="1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249</w:t>
      </w:r>
    </w:p>
    <w:p>
      <w:pPr>
        <w:sectPr>
          <w:pgSz w:w="11900" w:h="16838" w:orient="portrait"/>
          <w:cols w:equalWidth="0" w:num="1">
            <w:col w:w="10500"/>
          </w:cols>
          <w:pgMar w:left="320" w:top="420" w:right="10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80" w:firstLine="391"/>
        <w:spacing w:after="0" w:line="260" w:lineRule="auto"/>
        <w:rPr>
          <w:sz w:val="20"/>
          <w:szCs w:val="20"/>
          <w:color w:val="auto"/>
        </w:rPr>
      </w:pPr>
      <w:r>
        <w:rPr>
          <w:rFonts w:ascii="Times New Roman" w:cs="Times New Roman" w:eastAsia="Times New Roman" w:hAnsi="Times New Roman"/>
          <w:sz w:val="16"/>
          <w:szCs w:val="16"/>
          <w:color w:val="auto"/>
        </w:rPr>
        <w:t>Each person in the UK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61" w:lineRule="exact"/>
        <w:rPr>
          <w:sz w:val="20"/>
          <w:szCs w:val="20"/>
          <w:color w:val="auto"/>
        </w:rPr>
      </w:pPr>
    </w:p>
    <w:p>
      <w:pPr>
        <w:ind w:left="740" w:right="20" w:firstLine="391"/>
        <w:spacing w:after="0" w:line="253" w:lineRule="auto"/>
        <w:rPr>
          <w:sz w:val="20"/>
          <w:szCs w:val="20"/>
          <w:color w:val="auto"/>
        </w:rPr>
      </w:pPr>
      <w:r>
        <w:rPr>
          <w:rFonts w:ascii="Times New Roman" w:cs="Times New Roman" w:eastAsia="Times New Roman" w:hAnsi="Times New Roman"/>
          <w:sz w:val="16"/>
          <w:szCs w:val="16"/>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are persons falling within Article 49(2)(a) to (d)(“high net worth companies, unincorporated associations etc.”) of the Financial Promotion Order; (iii) persons who are outside the United Kingdom; and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shares of Class A common stock will only be available to, and any invitation, offer, or agreement to subscribe for, purchase, or otherwise acquire such shares will be engaged only with, Relevant Persons. Any person who is not a Relevant Person should not act or rely on this prospectus or any of its contents.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Canada</w:t>
      </w:r>
    </w:p>
    <w:p>
      <w:pPr>
        <w:spacing w:after="0" w:line="105"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64" w:lineRule="exact"/>
        <w:rPr>
          <w:sz w:val="20"/>
          <w:szCs w:val="20"/>
          <w:color w:val="auto"/>
        </w:rPr>
      </w:pPr>
    </w:p>
    <w:p>
      <w:pPr>
        <w:ind w:left="740" w:right="160" w:firstLine="391"/>
        <w:spacing w:after="0" w:line="260" w:lineRule="auto"/>
        <w:rPr>
          <w:sz w:val="20"/>
          <w:szCs w:val="20"/>
          <w:color w:val="auto"/>
        </w:rPr>
      </w:pPr>
      <w:r>
        <w:rPr>
          <w:rFonts w:ascii="Times New Roman" w:cs="Times New Roman" w:eastAsia="Times New Roman" w:hAnsi="Times New Roman"/>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ind w:left="740" w:right="60" w:firstLine="391"/>
        <w:spacing w:after="0" w:line="281" w:lineRule="auto"/>
        <w:rPr>
          <w:sz w:val="20"/>
          <w:szCs w:val="20"/>
          <w:color w:val="auto"/>
        </w:rPr>
      </w:pPr>
      <w:r>
        <w:rPr>
          <w:rFonts w:ascii="Times New Roman" w:cs="Times New Roman" w:eastAsia="Times New Roman" w:hAnsi="Times New Roman"/>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Dubai International Financial Centre</w:t>
      </w:r>
    </w:p>
    <w:p>
      <w:pPr>
        <w:spacing w:after="0" w:line="105" w:lineRule="exact"/>
        <w:rPr>
          <w:sz w:val="20"/>
          <w:szCs w:val="20"/>
          <w:color w:val="auto"/>
        </w:rPr>
      </w:pPr>
    </w:p>
    <w:p>
      <w:pPr>
        <w:ind w:left="740" w:right="240" w:firstLine="391"/>
        <w:spacing w:after="0" w:line="255" w:lineRule="auto"/>
        <w:rPr>
          <w:sz w:val="20"/>
          <w:szCs w:val="20"/>
          <w:color w:val="auto"/>
        </w:rPr>
      </w:pPr>
      <w:r>
        <w:rPr>
          <w:rFonts w:ascii="Times New Roman" w:cs="Times New Roman" w:eastAsia="Times New Roman" w:hAnsi="Times New Roman"/>
          <w:sz w:val="16"/>
          <w:szCs w:val="16"/>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0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250</w:t>
      </w:r>
    </w:p>
    <w:p>
      <w:pPr>
        <w:sectPr>
          <w:pgSz w:w="11900" w:h="16838" w:orient="portrait"/>
          <w:cols w:equalWidth="0" w:num="1">
            <w:col w:w="10480"/>
          </w:cols>
          <w:pgMar w:left="320" w:top="421" w:right="10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Switzerland</w:t>
      </w:r>
    </w:p>
    <w:p>
      <w:pPr>
        <w:spacing w:after="0" w:line="105" w:lineRule="exact"/>
        <w:rPr>
          <w:sz w:val="20"/>
          <w:szCs w:val="20"/>
          <w:color w:val="auto"/>
        </w:rPr>
      </w:pPr>
    </w:p>
    <w:p>
      <w:pPr>
        <w:ind w:left="740" w:right="40" w:firstLine="391"/>
        <w:spacing w:after="0" w:line="257" w:lineRule="auto"/>
        <w:rPr>
          <w:sz w:val="20"/>
          <w:szCs w:val="20"/>
          <w:color w:val="auto"/>
        </w:rPr>
      </w:pPr>
      <w:r>
        <w:rPr>
          <w:rFonts w:ascii="Times New Roman" w:cs="Times New Roman" w:eastAsia="Times New Roman" w:hAnsi="Times New Roman"/>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5"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Australia</w:t>
      </w:r>
    </w:p>
    <w:p>
      <w:pPr>
        <w:spacing w:after="0" w:line="105" w:lineRule="exact"/>
        <w:rPr>
          <w:sz w:val="20"/>
          <w:szCs w:val="20"/>
          <w:color w:val="auto"/>
        </w:rPr>
      </w:pPr>
    </w:p>
    <w:p>
      <w:pPr>
        <w:ind w:left="740" w:right="180" w:firstLine="391"/>
        <w:spacing w:after="0" w:line="260" w:lineRule="auto"/>
        <w:rPr>
          <w:sz w:val="20"/>
          <w:szCs w:val="20"/>
          <w:color w:val="auto"/>
        </w:rPr>
      </w:pPr>
      <w:r>
        <w:rPr>
          <w:rFonts w:ascii="Times New Roman" w:cs="Times New Roman" w:eastAsia="Times New Roman" w:hAnsi="Times New Roman"/>
          <w:sz w:val="16"/>
          <w:szCs w:val="16"/>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61"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61" w:lineRule="exact"/>
        <w:rPr>
          <w:sz w:val="20"/>
          <w:szCs w:val="20"/>
          <w:color w:val="auto"/>
        </w:rPr>
      </w:pPr>
    </w:p>
    <w:p>
      <w:pPr>
        <w:ind w:left="740" w:right="260" w:firstLine="391"/>
        <w:spacing w:after="0" w:line="260" w:lineRule="auto"/>
        <w:rPr>
          <w:sz w:val="20"/>
          <w:szCs w:val="20"/>
          <w:color w:val="auto"/>
        </w:rPr>
      </w:pPr>
      <w:r>
        <w:rPr>
          <w:rFonts w:ascii="Times New Roman" w:cs="Times New Roman" w:eastAsia="Times New Roman" w:hAnsi="Times New Roman"/>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251</w:t>
      </w:r>
    </w:p>
    <w:p>
      <w:pPr>
        <w:sectPr>
          <w:pgSz w:w="11900" w:h="16838" w:orient="portrait"/>
          <w:cols w:equalWidth="0" w:num="1">
            <w:col w:w="10480"/>
          </w:cols>
          <w:pgMar w:left="320" w:top="421" w:right="10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40" w:firstLine="391"/>
        <w:spacing w:after="0" w:line="260" w:lineRule="auto"/>
        <w:rPr>
          <w:sz w:val="20"/>
          <w:szCs w:val="20"/>
          <w:color w:val="auto"/>
        </w:rPr>
      </w:pPr>
      <w:r>
        <w:rPr>
          <w:rFonts w:ascii="Times New Roman" w:cs="Times New Roman" w:eastAsia="Times New Roman" w:hAnsi="Times New Roman"/>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Israel</w:t>
      </w:r>
    </w:p>
    <w:p>
      <w:pPr>
        <w:spacing w:after="0" w:line="105" w:lineRule="exact"/>
        <w:rPr>
          <w:sz w:val="20"/>
          <w:szCs w:val="20"/>
          <w:color w:val="auto"/>
        </w:rPr>
      </w:pPr>
    </w:p>
    <w:p>
      <w:pPr>
        <w:ind w:left="740" w:right="80" w:firstLine="391"/>
        <w:spacing w:after="0" w:line="253" w:lineRule="auto"/>
        <w:rPr>
          <w:sz w:val="20"/>
          <w:szCs w:val="20"/>
          <w:color w:val="auto"/>
        </w:rPr>
      </w:pPr>
      <w:r>
        <w:rPr>
          <w:rFonts w:ascii="Times New Roman" w:cs="Times New Roman" w:eastAsia="Times New Roman" w:hAnsi="Times New Roman"/>
          <w:sz w:val="16"/>
          <w:szCs w:val="16"/>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70"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Japan</w:t>
      </w:r>
    </w:p>
    <w:p>
      <w:pPr>
        <w:spacing w:after="0" w:line="105"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Singapore</w:t>
      </w:r>
    </w:p>
    <w:p>
      <w:pPr>
        <w:spacing w:after="0" w:line="105" w:lineRule="exact"/>
        <w:rPr>
          <w:sz w:val="20"/>
          <w:szCs w:val="20"/>
          <w:color w:val="auto"/>
        </w:rPr>
      </w:pPr>
    </w:p>
    <w:p>
      <w:pPr>
        <w:ind w:left="740" w:right="100" w:firstLine="391"/>
        <w:spacing w:after="0" w:line="265"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w:t>
      </w:r>
    </w:p>
    <w:p>
      <w:pPr>
        <w:spacing w:after="0" w:line="9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252</w:t>
      </w:r>
    </w:p>
    <w:p>
      <w:pPr>
        <w:sectPr>
          <w:pgSz w:w="11900" w:h="16838" w:orient="portrait"/>
          <w:cols w:equalWidth="0" w:num="1">
            <w:col w:w="10480"/>
          </w:cols>
          <w:pgMar w:left="320" w:top="421" w:right="10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80"/>
        <w:spacing w:after="0" w:line="279" w:lineRule="auto"/>
        <w:rPr>
          <w:sz w:val="20"/>
          <w:szCs w:val="20"/>
          <w:color w:val="auto"/>
        </w:rPr>
      </w:pPr>
      <w:r>
        <w:rPr>
          <w:rFonts w:ascii="Times New Roman" w:cs="Times New Roman" w:eastAsia="Times New Roman" w:hAnsi="Times New Roman"/>
          <w:sz w:val="15"/>
          <w:szCs w:val="15"/>
          <w:color w:val="auto"/>
        </w:rPr>
        <w:t>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4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Where the shares of Class A common stock are subscribed or purchased under Section 275 of the SFA by a relevant person which is:</w:t>
      </w:r>
    </w:p>
    <w:p>
      <w:pPr>
        <w:spacing w:after="0" w:line="115" w:lineRule="exact"/>
        <w:rPr>
          <w:sz w:val="20"/>
          <w:szCs w:val="20"/>
          <w:color w:val="auto"/>
        </w:rPr>
      </w:pPr>
    </w:p>
    <w:p>
      <w:pPr>
        <w:ind w:left="1600" w:right="100" w:hanging="479"/>
        <w:spacing w:after="0" w:line="281" w:lineRule="auto"/>
        <w:tabs>
          <w:tab w:leader="none" w:pos="160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60" w:lineRule="exact"/>
        <w:rPr>
          <w:rFonts w:ascii="Times New Roman" w:cs="Times New Roman" w:eastAsia="Times New Roman" w:hAnsi="Times New Roman"/>
          <w:sz w:val="16"/>
          <w:szCs w:val="16"/>
          <w:color w:val="auto"/>
        </w:rPr>
      </w:pPr>
    </w:p>
    <w:p>
      <w:pPr>
        <w:ind w:left="1600" w:right="280" w:hanging="479"/>
        <w:spacing w:after="0" w:line="281" w:lineRule="auto"/>
        <w:tabs>
          <w:tab w:leader="none" w:pos="160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left="740" w:right="20"/>
        <w:spacing w:after="0" w:line="281" w:lineRule="auto"/>
        <w:rPr>
          <w:sz w:val="20"/>
          <w:szCs w:val="20"/>
          <w:color w:val="auto"/>
        </w:rPr>
      </w:pPr>
      <w:r>
        <w:rPr>
          <w:rFonts w:ascii="Times New Roman" w:cs="Times New Roman" w:eastAsia="Times New Roman" w:hAnsi="Times New Roman"/>
          <w:sz w:val="16"/>
          <w:szCs w:val="16"/>
          <w:color w:val="auto"/>
        </w:rPr>
        <w:t>the securities (as defined in Section 239(1) of the SFA) of that corporation shall not be transferable for six months after that corporation has acquired the shares under Section 275 of the SFA except:</w:t>
      </w:r>
    </w:p>
    <w:p>
      <w:pPr>
        <w:spacing w:after="0" w:line="168" w:lineRule="exact"/>
        <w:rPr>
          <w:sz w:val="20"/>
          <w:szCs w:val="20"/>
          <w:color w:val="auto"/>
        </w:rPr>
      </w:pPr>
    </w:p>
    <w:p>
      <w:pPr>
        <w:ind w:left="1600" w:hanging="479"/>
        <w:spacing w:after="0"/>
        <w:tabs>
          <w:tab w:leader="none" w:pos="160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an institutional investor or to a relevant person, or to any person arising from an offer referred to in Section 275(1A) or Section 276(4)(i)</w:t>
      </w:r>
    </w:p>
    <w:p>
      <w:pPr>
        <w:spacing w:after="0" w:line="35" w:lineRule="exact"/>
        <w:rPr>
          <w:rFonts w:ascii="Times New Roman" w:cs="Times New Roman" w:eastAsia="Times New Roman" w:hAnsi="Times New Roman"/>
          <w:sz w:val="15"/>
          <w:szCs w:val="15"/>
          <w:color w:val="auto"/>
        </w:rPr>
      </w:pPr>
    </w:p>
    <w:p>
      <w:pPr>
        <w:ind w:left="16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(B) of the SFA;</w:t>
      </w:r>
    </w:p>
    <w:p>
      <w:pPr>
        <w:spacing w:after="0" w:line="98" w:lineRule="exact"/>
        <w:rPr>
          <w:rFonts w:ascii="Times New Roman" w:cs="Times New Roman" w:eastAsia="Times New Roman" w:hAnsi="Times New Roman"/>
          <w:sz w:val="15"/>
          <w:szCs w:val="15"/>
          <w:color w:val="auto"/>
        </w:rPr>
      </w:pPr>
    </w:p>
    <w:p>
      <w:pPr>
        <w:ind w:left="1600" w:hanging="479"/>
        <w:spacing w:after="0"/>
        <w:tabs>
          <w:tab w:leader="none" w:pos="16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no consideration is or will be given for the transfer;</w:t>
      </w:r>
    </w:p>
    <w:p>
      <w:pPr>
        <w:spacing w:after="0" w:line="115" w:lineRule="exact"/>
        <w:rPr>
          <w:rFonts w:ascii="Times New Roman" w:cs="Times New Roman" w:eastAsia="Times New Roman" w:hAnsi="Times New Roman"/>
          <w:sz w:val="16"/>
          <w:szCs w:val="16"/>
          <w:color w:val="auto"/>
        </w:rPr>
      </w:pPr>
    </w:p>
    <w:p>
      <w:pPr>
        <w:ind w:left="1600" w:hanging="479"/>
        <w:spacing w:after="0"/>
        <w:tabs>
          <w:tab w:leader="none" w:pos="16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transfer is by operation of law; or</w:t>
      </w:r>
    </w:p>
    <w:p>
      <w:pPr>
        <w:spacing w:after="0" w:line="115" w:lineRule="exact"/>
        <w:rPr>
          <w:rFonts w:ascii="Times New Roman" w:cs="Times New Roman" w:eastAsia="Times New Roman" w:hAnsi="Times New Roman"/>
          <w:sz w:val="16"/>
          <w:szCs w:val="16"/>
          <w:color w:val="auto"/>
        </w:rPr>
      </w:pPr>
    </w:p>
    <w:p>
      <w:pPr>
        <w:ind w:left="1600" w:hanging="479"/>
        <w:spacing w:after="0"/>
        <w:tabs>
          <w:tab w:leader="none" w:pos="160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specified in Section 276(7) of the SFA, or</w:t>
      </w:r>
    </w:p>
    <w:p>
      <w:pPr>
        <w:spacing w:after="0" w:line="197" w:lineRule="exact"/>
        <w:rPr>
          <w:sz w:val="20"/>
          <w:szCs w:val="20"/>
          <w:color w:val="auto"/>
        </w:rPr>
      </w:pPr>
    </w:p>
    <w:p>
      <w:pPr>
        <w:ind w:left="740" w:right="120" w:firstLine="391"/>
        <w:spacing w:after="0" w:line="258" w:lineRule="auto"/>
        <w:rPr>
          <w:sz w:val="20"/>
          <w:szCs w:val="20"/>
          <w:color w:val="auto"/>
        </w:rPr>
      </w:pPr>
      <w:r>
        <w:rPr>
          <w:rFonts w:ascii="Times New Roman" w:cs="Times New Roman" w:eastAsia="Times New Roman" w:hAnsi="Times New Roman"/>
          <w:sz w:val="16"/>
          <w:szCs w:val="16"/>
          <w:i w:val="1"/>
          <w:iCs w:val="1"/>
          <w:color w:val="auto"/>
        </w:rPr>
        <w:t>Singapore Securities and Futures Act Product Classification</w:t>
      </w:r>
      <w:r>
        <w:rPr>
          <w:rFonts w:ascii="Times New Roman" w:cs="Times New Roman" w:eastAsia="Times New Roman" w:hAnsi="Times New Roman"/>
          <w:sz w:val="16"/>
          <w:szCs w:val="16"/>
          <w:color w:val="auto"/>
        </w:rPr>
        <w:t>—Solely for the purposes of its obligations pursuant to Sections 309B(1)(a)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309B(1)(c) 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United Arab Emirates</w:t>
      </w:r>
    </w:p>
    <w:p>
      <w:pPr>
        <w:spacing w:after="0" w:line="105"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Brazil</w:t>
      </w:r>
    </w:p>
    <w:p>
      <w:pPr>
        <w:spacing w:after="0" w:line="105"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253</w:t>
      </w:r>
    </w:p>
    <w:p>
      <w:pPr>
        <w:sectPr>
          <w:pgSz w:w="11900" w:h="16838" w:orient="portrait"/>
          <w:cols w:equalWidth="0" w:num="1">
            <w:col w:w="10500"/>
          </w:cols>
          <w:pgMar w:left="320" w:top="421" w:right="107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Saudi Arabia</w:t>
      </w:r>
    </w:p>
    <w:p>
      <w:pPr>
        <w:spacing w:after="0" w:line="105" w:lineRule="exact"/>
        <w:rPr>
          <w:sz w:val="20"/>
          <w:szCs w:val="20"/>
          <w:color w:val="auto"/>
        </w:rPr>
      </w:pPr>
    </w:p>
    <w:p>
      <w:pPr>
        <w:ind w:left="740" w:right="40" w:firstLine="391"/>
        <w:spacing w:after="0" w:line="256" w:lineRule="auto"/>
        <w:rPr>
          <w:sz w:val="20"/>
          <w:szCs w:val="20"/>
          <w:color w:val="auto"/>
        </w:rPr>
      </w:pPr>
      <w:r>
        <w:rPr>
          <w:rFonts w:ascii="Times New Roman" w:cs="Times New Roman" w:eastAsia="Times New Roman" w:hAnsi="Times New Roman"/>
          <w:sz w:val="16"/>
          <w:szCs w:val="16"/>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Qatar</w:t>
      </w:r>
    </w:p>
    <w:p>
      <w:pPr>
        <w:spacing w:after="0" w:line="105"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Kuwait</w:t>
      </w:r>
    </w:p>
    <w:p>
      <w:pPr>
        <w:spacing w:after="0" w:line="105" w:lineRule="exact"/>
        <w:rPr>
          <w:sz w:val="20"/>
          <w:szCs w:val="20"/>
          <w:color w:val="auto"/>
        </w:rPr>
      </w:pPr>
    </w:p>
    <w:p>
      <w:pPr>
        <w:ind w:left="740" w:firstLine="391"/>
        <w:spacing w:after="0" w:line="256" w:lineRule="auto"/>
        <w:rPr>
          <w:sz w:val="20"/>
          <w:szCs w:val="20"/>
          <w:color w:val="auto"/>
        </w:rPr>
      </w:pPr>
      <w:r>
        <w:rPr>
          <w:rFonts w:ascii="Times New Roman" w:cs="Times New Roman" w:eastAsia="Times New Roman" w:hAnsi="Times New Roman"/>
          <w:sz w:val="16"/>
          <w:szCs w:val="16"/>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Bermuda</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The shares of Class A common stock may be offered or sold in Bermuda only in compliance with the provisions of the Investment Business Act of</w:t>
      </w:r>
    </w:p>
    <w:p>
      <w:pPr>
        <w:spacing w:after="0" w:line="24" w:lineRule="exact"/>
        <w:rPr>
          <w:sz w:val="20"/>
          <w:szCs w:val="20"/>
          <w:color w:val="auto"/>
        </w:rPr>
      </w:pPr>
    </w:p>
    <w:p>
      <w:pPr>
        <w:ind w:left="740" w:right="220"/>
        <w:spacing w:after="0" w:line="259" w:lineRule="auto"/>
        <w:rPr>
          <w:sz w:val="20"/>
          <w:szCs w:val="20"/>
          <w:color w:val="auto"/>
        </w:rPr>
      </w:pPr>
      <w:r>
        <w:rPr>
          <w:rFonts w:ascii="Times New Roman" w:cs="Times New Roman" w:eastAsia="Times New Roman" w:hAnsi="Times New Roman"/>
          <w:sz w:val="16"/>
          <w:szCs w:val="16"/>
          <w:color w:val="auto"/>
        </w:rPr>
        <w:t>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British Virgin Islands</w:t>
      </w:r>
    </w:p>
    <w:p>
      <w:pPr>
        <w:spacing w:after="0" w:line="105"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254</w:t>
      </w:r>
    </w:p>
    <w:p>
      <w:pPr>
        <w:sectPr>
          <w:pgSz w:w="11900" w:h="16838" w:orient="portrait"/>
          <w:cols w:equalWidth="0" w:num="1">
            <w:col w:w="10500"/>
          </w:cols>
          <w:pgMar w:left="320" w:top="420" w:right="10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China</w:t>
      </w:r>
    </w:p>
    <w:p>
      <w:pPr>
        <w:spacing w:after="0" w:line="105" w:lineRule="exact"/>
        <w:rPr>
          <w:sz w:val="20"/>
          <w:szCs w:val="20"/>
          <w:color w:val="auto"/>
        </w:rPr>
      </w:pPr>
    </w:p>
    <w:p>
      <w:pPr>
        <w:ind w:left="740" w:right="120" w:firstLine="391"/>
        <w:spacing w:after="0" w:line="257" w:lineRule="auto"/>
        <w:rPr>
          <w:sz w:val="20"/>
          <w:szCs w:val="20"/>
          <w:color w:val="auto"/>
        </w:rPr>
      </w:pPr>
      <w:r>
        <w:rPr>
          <w:rFonts w:ascii="Times New Roman" w:cs="Times New Roman" w:eastAsia="Times New Roman" w:hAnsi="Times New Roman"/>
          <w:sz w:val="16"/>
          <w:szCs w:val="16"/>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Korea</w:t>
      </w:r>
    </w:p>
    <w:p>
      <w:pPr>
        <w:spacing w:after="0" w:line="105" w:lineRule="exact"/>
        <w:rPr>
          <w:sz w:val="20"/>
          <w:szCs w:val="20"/>
          <w:color w:val="auto"/>
        </w:rPr>
      </w:pPr>
    </w:p>
    <w:p>
      <w:pPr>
        <w:ind w:left="740" w:firstLine="391"/>
        <w:spacing w:after="0" w:line="253"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Malaysia</w:t>
      </w:r>
    </w:p>
    <w:p>
      <w:pPr>
        <w:spacing w:after="0" w:line="105" w:lineRule="exact"/>
        <w:rPr>
          <w:sz w:val="20"/>
          <w:szCs w:val="20"/>
          <w:color w:val="auto"/>
        </w:rPr>
      </w:pPr>
    </w:p>
    <w:p>
      <w:pPr>
        <w:ind w:left="740" w:firstLine="391"/>
        <w:spacing w:after="0" w:line="268" w:lineRule="auto"/>
        <w:rPr>
          <w:sz w:val="20"/>
          <w:szCs w:val="20"/>
          <w:color w:val="auto"/>
        </w:rPr>
      </w:pPr>
      <w:r>
        <w:rPr>
          <w:rFonts w:ascii="Times New Roman" w:cs="Times New Roman" w:eastAsia="Times New Roman" w:hAnsi="Times New Roman"/>
          <w:sz w:val="15"/>
          <w:szCs w:val="15"/>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w:t>
      </w:r>
    </w:p>
    <w:p>
      <w:pPr>
        <w:spacing w:after="0" w:line="4" w:lineRule="exact"/>
        <w:rPr>
          <w:sz w:val="20"/>
          <w:szCs w:val="20"/>
          <w:color w:val="auto"/>
        </w:rPr>
      </w:pPr>
    </w:p>
    <w:p>
      <w:pPr>
        <w:ind w:left="740" w:right="160" w:hanging="2"/>
        <w:spacing w:after="0" w:line="252" w:lineRule="auto"/>
        <w:tabs>
          <w:tab w:leader="none" w:pos="1099"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w:t>
      </w:r>
    </w:p>
    <w:p>
      <w:pPr>
        <w:spacing w:after="0" w:line="1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255</w:t>
      </w:r>
    </w:p>
    <w:p>
      <w:pPr>
        <w:sectPr>
          <w:pgSz w:w="11900" w:h="16838" w:orient="portrait"/>
          <w:cols w:equalWidth="0" w:num="1">
            <w:col w:w="10500"/>
          </w:cols>
          <w:pgMar w:left="320" w:top="420" w:right="10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ind w:left="740" w:right="200"/>
        <w:spacing w:after="0" w:line="265" w:lineRule="auto"/>
        <w:rPr>
          <w:sz w:val="20"/>
          <w:szCs w:val="20"/>
          <w:color w:val="auto"/>
        </w:rPr>
      </w:pPr>
      <w:r>
        <w:rPr>
          <w:rFonts w:ascii="Times New Roman" w:cs="Times New Roman" w:eastAsia="Times New Roman" w:hAnsi="Times New Roman"/>
          <w:sz w:val="16"/>
          <w:szCs w:val="16"/>
          <w:color w:val="auto"/>
        </w:rPr>
        <w:t>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Taiwan</w:t>
      </w:r>
    </w:p>
    <w:p>
      <w:pPr>
        <w:spacing w:after="0" w:line="105" w:lineRule="exact"/>
        <w:rPr>
          <w:sz w:val="20"/>
          <w:szCs w:val="20"/>
          <w:color w:val="auto"/>
        </w:rPr>
      </w:pPr>
    </w:p>
    <w:p>
      <w:pPr>
        <w:ind w:left="740" w:firstLine="391"/>
        <w:spacing w:after="0" w:line="257" w:lineRule="auto"/>
        <w:rPr>
          <w:sz w:val="20"/>
          <w:szCs w:val="20"/>
          <w:color w:val="auto"/>
        </w:rPr>
      </w:pPr>
      <w:r>
        <w:rPr>
          <w:rFonts w:ascii="Times New Roman" w:cs="Times New Roman" w:eastAsia="Times New Roman" w:hAnsi="Times New Roman"/>
          <w:sz w:val="16"/>
          <w:szCs w:val="16"/>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South Africa</w:t>
      </w:r>
    </w:p>
    <w:p>
      <w:pPr>
        <w:spacing w:after="0" w:line="105" w:lineRule="exact"/>
        <w:rPr>
          <w:sz w:val="20"/>
          <w:szCs w:val="20"/>
          <w:color w:val="auto"/>
        </w:rPr>
      </w:pPr>
    </w:p>
    <w:p>
      <w:pPr>
        <w:ind w:left="740" w:right="20" w:firstLine="391"/>
        <w:spacing w:after="0" w:line="255" w:lineRule="auto"/>
        <w:rPr>
          <w:sz w:val="20"/>
          <w:szCs w:val="20"/>
          <w:color w:val="auto"/>
        </w:rPr>
      </w:pPr>
      <w:r>
        <w:rPr>
          <w:rFonts w:ascii="Times New Roman" w:cs="Times New Roman" w:eastAsia="Times New Roman" w:hAnsi="Times New Roman"/>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0500"/>
          </w:cols>
          <w:pgMar w:left="320" w:top="420" w:right="1079" w:bottom="1440" w:gutter="0" w:footer="0" w:header="0"/>
        </w:sectPr>
      </w:pP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Section 96(1) (a)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offer, transfer, sale, renunciation or delivery is to:</w:t>
      </w:r>
    </w:p>
    <w:p>
      <w:pPr>
        <w:spacing w:after="0" w:line="127" w:lineRule="exact"/>
        <w:rPr>
          <w:sz w:val="20"/>
          <w:szCs w:val="20"/>
          <w:color w:val="auto"/>
        </w:rPr>
      </w:pPr>
    </w:p>
    <w:p>
      <w:pPr>
        <w:sectPr>
          <w:pgSz w:w="11900" w:h="16838" w:orient="portrait"/>
          <w:cols w:equalWidth="0" w:num="2">
            <w:col w:w="1820" w:space="580"/>
            <w:col w:w="8100"/>
          </w:cols>
          <w:pgMar w:left="320" w:top="420" w:right="1079" w:bottom="1440" w:gutter="0" w:footer="0" w:header="0"/>
          <w:type w:val="continuous"/>
        </w:sectPr>
      </w:pPr>
    </w:p>
    <w:p>
      <w:pPr>
        <w:ind w:left="2400"/>
        <w:spacing w:after="0"/>
        <w:rPr>
          <w:sz w:val="20"/>
          <w:szCs w:val="20"/>
          <w:color w:val="auto"/>
        </w:rPr>
      </w:pPr>
      <w:r>
        <w:rPr>
          <w:rFonts w:ascii="Times New Roman" w:cs="Times New Roman" w:eastAsia="Times New Roman" w:hAnsi="Times New Roman"/>
          <w:sz w:val="16"/>
          <w:szCs w:val="16"/>
          <w:color w:val="auto"/>
        </w:rPr>
        <w:t>(i) persons whose ordinary business, or part of whose ordinary business, is to deal in securities, as principal or agent;</w:t>
      </w:r>
    </w:p>
    <w:p>
      <w:pPr>
        <w:spacing w:after="0" w:line="1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(ii) the South African Public Investment Corporation;</w:t>
      </w:r>
    </w:p>
    <w:p>
      <w:pPr>
        <w:spacing w:after="0" w:line="1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(iii) persons or entities regulated by the Reserve Bank of South Africa;</w:t>
      </w:r>
    </w:p>
    <w:p>
      <w:pPr>
        <w:spacing w:after="0" w:line="1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(iv) authorised financial service providers under South African law;</w:t>
      </w:r>
    </w:p>
    <w:p>
      <w:pPr>
        <w:spacing w:after="0" w:line="11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(v) financial institutions recognised as such under South African law;</w:t>
      </w:r>
    </w:p>
    <w:p>
      <w:pPr>
        <w:spacing w:after="0" w:line="115" w:lineRule="exact"/>
        <w:rPr>
          <w:sz w:val="20"/>
          <w:szCs w:val="20"/>
          <w:color w:val="auto"/>
        </w:rPr>
      </w:pPr>
    </w:p>
    <w:p>
      <w:pPr>
        <w:ind w:left="2400" w:right="320"/>
        <w:spacing w:after="0" w:line="265" w:lineRule="auto"/>
        <w:rPr>
          <w:sz w:val="20"/>
          <w:szCs w:val="20"/>
          <w:color w:val="auto"/>
        </w:rPr>
      </w:pPr>
      <w:r>
        <w:rPr>
          <w:rFonts w:ascii="Times New Roman" w:cs="Times New Roman" w:eastAsia="Times New Roman" w:hAnsi="Times New Roman"/>
          <w:sz w:val="16"/>
          <w:szCs w:val="16"/>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73"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color w:val="auto"/>
        </w:rPr>
        <w:t>(vii) any combination of the person in (i) to (vi); or</w:t>
      </w:r>
    </w:p>
    <w:p>
      <w:pPr>
        <w:sectPr>
          <w:pgSz w:w="11900" w:h="16838" w:orient="portrait"/>
          <w:cols w:equalWidth="0" w:num="1">
            <w:col w:w="10500"/>
          </w:cols>
          <w:pgMar w:left="320" w:top="420" w:right="1079" w:bottom="1440" w:gutter="0" w:footer="0" w:header="0"/>
          <w:type w:val="continuous"/>
        </w:sectPr>
      </w:pPr>
    </w:p>
    <w:p>
      <w:pPr>
        <w:spacing w:after="0" w:line="1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Section 96(1) (b)</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6"/>
          <w:szCs w:val="16"/>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57" w:lineRule="exact"/>
        <w:rPr>
          <w:sz w:val="20"/>
          <w:szCs w:val="20"/>
          <w:color w:val="auto"/>
        </w:rPr>
      </w:pPr>
    </w:p>
    <w:p>
      <w:pPr>
        <w:sectPr>
          <w:pgSz w:w="11900" w:h="16838" w:orient="portrait"/>
          <w:cols w:equalWidth="0" w:num="2">
            <w:col w:w="1820" w:space="580"/>
            <w:col w:w="8100"/>
          </w:cols>
          <w:pgMar w:left="320" w:top="420" w:right="1079" w:bottom="1440" w:gutter="0" w:footer="0" w:header="0"/>
          <w:type w:val="continuous"/>
        </w:sectPr>
      </w:pPr>
    </w:p>
    <w:p>
      <w:pPr>
        <w:ind w:left="740" w:right="480" w:firstLine="391"/>
        <w:spacing w:after="0" w:line="281" w:lineRule="auto"/>
        <w:rPr>
          <w:sz w:val="20"/>
          <w:szCs w:val="20"/>
          <w:color w:val="auto"/>
        </w:rPr>
      </w:pPr>
      <w:r>
        <w:rPr>
          <w:rFonts w:ascii="Times New Roman" w:cs="Times New Roman" w:eastAsia="Times New Roman" w:hAnsi="Times New Roman"/>
          <w:sz w:val="16"/>
          <w:szCs w:val="16"/>
          <w:color w:val="auto"/>
        </w:rPr>
        <w:t>Information made available in this prospectus should not be considered as “advice” as defined in the South African Financial Advisory and Intermediary Services Act, 2002.</w:t>
      </w:r>
    </w:p>
    <w:p>
      <w:pPr>
        <w:spacing w:after="0" w:line="8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256</w:t>
      </w:r>
    </w:p>
    <w:p>
      <w:pPr>
        <w:sectPr>
          <w:pgSz w:w="11900" w:h="16838" w:orient="portrait"/>
          <w:cols w:equalWidth="0" w:num="1">
            <w:col w:w="10500"/>
          </w:cols>
          <w:pgMar w:left="320" w:top="420" w:right="1079" w:bottom="1440" w:gutter="0" w:footer="0" w:header="0"/>
          <w:type w:val="continuous"/>
        </w:sectPr>
      </w:pPr>
    </w:p>
    <w:bookmarkStart w:id="267" w:name="page268"/>
    <w:bookmarkEnd w:id="26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LEGAL MATTERS</w:t>
      </w:r>
    </w:p>
    <w:p>
      <w:pPr>
        <w:spacing w:after="0" w:line="201" w:lineRule="exact"/>
        <w:rPr>
          <w:sz w:val="20"/>
          <w:szCs w:val="20"/>
          <w:color w:val="auto"/>
        </w:rPr>
      </w:pPr>
    </w:p>
    <w:p>
      <w:pPr>
        <w:ind w:left="740" w:right="280" w:firstLine="391"/>
        <w:spacing w:after="0" w:line="260" w:lineRule="auto"/>
        <w:rPr>
          <w:sz w:val="20"/>
          <w:szCs w:val="20"/>
          <w:color w:val="auto"/>
        </w:rPr>
      </w:pPr>
      <w:r>
        <w:rPr>
          <w:rFonts w:ascii="Times New Roman" w:cs="Times New Roman" w:eastAsia="Times New Roman" w:hAnsi="Times New Roman"/>
          <w:sz w:val="16"/>
          <w:szCs w:val="16"/>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350"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EXPERTS</w:t>
      </w:r>
    </w:p>
    <w:p>
      <w:pPr>
        <w:spacing w:after="0" w:line="201" w:lineRule="exact"/>
        <w:rPr>
          <w:sz w:val="20"/>
          <w:szCs w:val="20"/>
          <w:color w:val="auto"/>
        </w:rPr>
      </w:pPr>
    </w:p>
    <w:p>
      <w:pPr>
        <w:ind w:left="740" w:right="180" w:firstLine="391"/>
        <w:spacing w:after="0" w:line="260" w:lineRule="auto"/>
        <w:rPr>
          <w:sz w:val="20"/>
          <w:szCs w:val="20"/>
          <w:color w:val="auto"/>
        </w:rPr>
      </w:pPr>
      <w:r>
        <w:rPr>
          <w:rFonts w:ascii="Times New Roman" w:cs="Times New Roman" w:eastAsia="Times New Roman" w:hAnsi="Times New Roman"/>
          <w:sz w:val="16"/>
          <w:szCs w:val="16"/>
          <w:color w:val="auto"/>
        </w:rPr>
        <w:t>The consolidated financial statements of Medline Holdings, LP at December 31, 2024,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50"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WHERE YOU CAN FIND MORE INFORMATION</w:t>
      </w:r>
    </w:p>
    <w:p>
      <w:pPr>
        <w:spacing w:after="0" w:line="201" w:lineRule="exact"/>
        <w:rPr>
          <w:sz w:val="20"/>
          <w:szCs w:val="20"/>
          <w:color w:val="auto"/>
        </w:rPr>
      </w:pPr>
    </w:p>
    <w:p>
      <w:pPr>
        <w:ind w:left="740" w:right="40" w:firstLine="391"/>
        <w:spacing w:after="0" w:line="254" w:lineRule="auto"/>
        <w:rPr>
          <w:sz w:val="20"/>
          <w:szCs w:val="20"/>
          <w:color w:val="auto"/>
        </w:rPr>
      </w:pPr>
      <w:r>
        <w:rPr>
          <w:rFonts w:ascii="Times New Roman" w:cs="Times New Roman" w:eastAsia="Times New Roman" w:hAnsi="Times New Roman"/>
          <w:sz w:val="16"/>
          <w:szCs w:val="16"/>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6"/>
          <w:szCs w:val="16"/>
          <w:i w:val="1"/>
          <w:iCs w:val="1"/>
          <w:color w:val="auto"/>
        </w:rPr>
        <w:t>http://www.sec.gov.</w:t>
      </w:r>
    </w:p>
    <w:p>
      <w:pPr>
        <w:spacing w:after="0" w:line="165" w:lineRule="exact"/>
        <w:rPr>
          <w:sz w:val="20"/>
          <w:szCs w:val="20"/>
          <w:color w:val="auto"/>
        </w:rPr>
      </w:pPr>
    </w:p>
    <w:p>
      <w:pPr>
        <w:ind w:left="740" w:firstLine="391"/>
        <w:spacing w:after="0" w:line="284" w:lineRule="auto"/>
        <w:rPr>
          <w:sz w:val="20"/>
          <w:szCs w:val="20"/>
          <w:color w:val="auto"/>
        </w:rPr>
      </w:pPr>
      <w:r>
        <w:rPr>
          <w:rFonts w:ascii="Times New Roman" w:cs="Times New Roman" w:eastAsia="Times New Roman" w:hAnsi="Times New Roman"/>
          <w:sz w:val="16"/>
          <w:szCs w:val="16"/>
          <w:color w:val="auto"/>
        </w:rPr>
        <w:t xml:space="preserve">We maintain an internet site at </w:t>
      </w:r>
      <w:r>
        <w:rPr>
          <w:rFonts w:ascii="Times New Roman" w:cs="Times New Roman" w:eastAsia="Times New Roman" w:hAnsi="Times New Roman"/>
          <w:sz w:val="16"/>
          <w:szCs w:val="16"/>
          <w:i w:val="1"/>
          <w:iCs w:val="1"/>
          <w:color w:val="auto"/>
        </w:rPr>
        <w:t>www.medline.com.</w:t>
      </w:r>
      <w:r>
        <w:rPr>
          <w:rFonts w:ascii="Times New Roman" w:cs="Times New Roman" w:eastAsia="Times New Roman" w:hAnsi="Times New Roman"/>
          <w:sz w:val="16"/>
          <w:szCs w:val="16"/>
          <w:color w:val="auto"/>
        </w:rPr>
        <w:t xml:space="preserve"> The information on, or accessible from, our website is not part of this prospectus by reference or otherwise.</w:t>
      </w:r>
    </w:p>
    <w:p>
      <w:pPr>
        <w:spacing w:after="0" w:line="141" w:lineRule="exact"/>
        <w:rPr>
          <w:sz w:val="20"/>
          <w:szCs w:val="20"/>
          <w:color w:val="auto"/>
        </w:rPr>
      </w:pPr>
    </w:p>
    <w:p>
      <w:pPr>
        <w:ind w:left="740" w:right="20" w:firstLine="391"/>
        <w:spacing w:after="0" w:line="260" w:lineRule="auto"/>
        <w:rPr>
          <w:sz w:val="20"/>
          <w:szCs w:val="20"/>
          <w:color w:val="auto"/>
        </w:rPr>
      </w:pPr>
      <w:r>
        <w:rPr>
          <w:rFonts w:ascii="Times New Roman" w:cs="Times New Roman" w:eastAsia="Times New Roman" w:hAnsi="Times New Roman"/>
          <w:sz w:val="16"/>
          <w:szCs w:val="16"/>
          <w:color w:val="auto"/>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0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257</w:t>
      </w:r>
    </w:p>
    <w:p>
      <w:pPr>
        <w:sectPr>
          <w:pgSz w:w="11900" w:h="16838" w:orient="portrait"/>
          <w:cols w:equalWidth="0" w:num="1">
            <w:col w:w="10500"/>
          </w:cols>
          <w:pgMar w:left="320" w:top="420" w:right="107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184"/>
        </w:trPr>
        <w:tc>
          <w:tcPr>
            <w:tcW w:w="1006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0000EE"/>
              </w:rPr>
              <w:t>Table of Contents</w:t>
            </w:r>
          </w:p>
        </w:tc>
        <w:tc>
          <w:tcPr>
            <w:tcW w:w="400" w:type="dxa"/>
            <w:vAlign w:val="bottom"/>
          </w:tcPr>
          <w:p>
            <w:pPr>
              <w:spacing w:after="0"/>
              <w:rPr>
                <w:sz w:val="16"/>
                <w:szCs w:val="16"/>
                <w:color w:val="auto"/>
              </w:rPr>
            </w:pPr>
          </w:p>
        </w:tc>
      </w:tr>
      <w:tr>
        <w:trPr>
          <w:trHeight w:val="483"/>
        </w:trPr>
        <w:tc>
          <w:tcPr>
            <w:tcW w:w="10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0" w:type="dxa"/>
            <w:vAlign w:val="bottom"/>
            <w:gridSpan w:val="11"/>
          </w:tcPr>
          <w:p>
            <w:pPr>
              <w:jc w:val="center"/>
              <w:ind w:right="2680"/>
              <w:spacing w:after="0"/>
              <w:rPr>
                <w:sz w:val="20"/>
                <w:szCs w:val="20"/>
                <w:color w:val="auto"/>
              </w:rPr>
            </w:pPr>
            <w:r>
              <w:rPr>
                <w:rFonts w:ascii="Times New Roman" w:cs="Times New Roman" w:eastAsia="Times New Roman" w:hAnsi="Times New Roman"/>
                <w:sz w:val="16"/>
                <w:szCs w:val="16"/>
                <w:b w:val="1"/>
                <w:bCs w:val="1"/>
                <w:color w:val="auto"/>
                <w:w w:val="99"/>
              </w:rPr>
              <w:t>INDEX TO FINANCIAL STATEMENTS</w:t>
            </w:r>
          </w:p>
        </w:tc>
        <w:tc>
          <w:tcPr>
            <w:tcW w:w="400" w:type="dxa"/>
            <w:vAlign w:val="bottom"/>
          </w:tcPr>
          <w:p>
            <w:pPr>
              <w:spacing w:after="0"/>
              <w:rPr>
                <w:sz w:val="24"/>
                <w:szCs w:val="24"/>
                <w:color w:val="auto"/>
              </w:rPr>
            </w:pPr>
          </w:p>
        </w:tc>
      </w:tr>
      <w:tr>
        <w:trPr>
          <w:trHeight w:val="391"/>
        </w:trPr>
        <w:tc>
          <w:tcPr>
            <w:tcW w:w="10060" w:type="dxa"/>
            <w:vAlign w:val="bottom"/>
            <w:gridSpan w:val="17"/>
          </w:tcPr>
          <w:p>
            <w:pPr>
              <w:ind w:left="740"/>
              <w:spacing w:after="0"/>
              <w:rPr>
                <w:sz w:val="20"/>
                <w:szCs w:val="20"/>
                <w:color w:val="auto"/>
              </w:rPr>
            </w:pPr>
            <w:r>
              <w:rPr>
                <w:rFonts w:ascii="Times New Roman" w:cs="Times New Roman" w:eastAsia="Times New Roman" w:hAnsi="Times New Roman"/>
                <w:sz w:val="16"/>
                <w:szCs w:val="16"/>
                <w:b w:val="1"/>
                <w:bCs w:val="1"/>
                <w:color w:val="auto"/>
              </w:rPr>
              <w:t>Medline Holdings, LP:</w:t>
            </w:r>
          </w:p>
        </w:tc>
        <w:tc>
          <w:tcPr>
            <w:tcW w:w="400" w:type="dxa"/>
            <w:vAlign w:val="bottom"/>
          </w:tcPr>
          <w:p>
            <w:pPr>
              <w:spacing w:after="0"/>
              <w:rPr>
                <w:sz w:val="24"/>
                <w:szCs w:val="24"/>
                <w:color w:val="auto"/>
              </w:rPr>
            </w:pPr>
          </w:p>
        </w:tc>
      </w:tr>
      <w:tr>
        <w:trPr>
          <w:trHeight w:val="192"/>
        </w:trPr>
        <w:tc>
          <w:tcPr>
            <w:tcW w:w="10060" w:type="dxa"/>
            <w:vAlign w:val="bottom"/>
            <w:gridSpan w:val="17"/>
          </w:tcPr>
          <w:p>
            <w:pPr>
              <w:ind w:left="740"/>
              <w:spacing w:after="0"/>
              <w:rPr>
                <w:sz w:val="20"/>
                <w:szCs w:val="20"/>
                <w:color w:val="auto"/>
              </w:rPr>
            </w:pPr>
            <w:r>
              <w:rPr>
                <w:rFonts w:ascii="Times New Roman" w:cs="Times New Roman" w:eastAsia="Times New Roman" w:hAnsi="Times New Roman"/>
                <w:sz w:val="16"/>
                <w:szCs w:val="16"/>
                <w:color w:val="auto"/>
              </w:rPr>
              <w:t>Audited Consolidated Financial Statements:</w:t>
            </w:r>
          </w:p>
        </w:tc>
        <w:tc>
          <w:tcPr>
            <w:tcW w:w="400" w:type="dxa"/>
            <w:vAlign w:val="bottom"/>
          </w:tcPr>
          <w:p>
            <w:pPr>
              <w:spacing w:after="0"/>
              <w:rPr>
                <w:sz w:val="16"/>
                <w:szCs w:val="16"/>
                <w:color w:val="auto"/>
              </w:rPr>
            </w:pPr>
          </w:p>
        </w:tc>
      </w:tr>
      <w:tr>
        <w:trPr>
          <w:trHeight w:val="172"/>
        </w:trPr>
        <w:tc>
          <w:tcPr>
            <w:tcW w:w="1080" w:type="dxa"/>
            <w:vAlign w:val="bottom"/>
          </w:tcPr>
          <w:p>
            <w:pPr>
              <w:spacing w:after="0"/>
              <w:rPr>
                <w:sz w:val="14"/>
                <w:szCs w:val="14"/>
                <w:color w:val="auto"/>
              </w:rPr>
            </w:pPr>
          </w:p>
        </w:tc>
        <w:tc>
          <w:tcPr>
            <w:tcW w:w="4820" w:type="dxa"/>
            <w:vAlign w:val="bottom"/>
            <w:tcBorders>
              <w:bottom w:val="single" w:sz="8" w:color="0000EE"/>
            </w:tcBorders>
            <w:gridSpan w:val="8"/>
          </w:tcPr>
          <w:p>
            <w:pPr>
              <w:spacing w:after="0" w:line="172" w:lineRule="exact"/>
              <w:rPr>
                <w:sz w:val="20"/>
                <w:szCs w:val="20"/>
                <w:color w:val="auto"/>
              </w:rPr>
            </w:pPr>
            <w:r>
              <w:rPr>
                <w:rFonts w:ascii="Times New Roman" w:cs="Times New Roman" w:eastAsia="Times New Roman" w:hAnsi="Times New Roman"/>
                <w:sz w:val="16"/>
                <w:szCs w:val="16"/>
                <w:color w:val="0000EE"/>
                <w:w w:val="98"/>
              </w:rPr>
              <w:t>Report of Independent Registered Public Accounting Firm (PCAOB ID-42)</w:t>
            </w:r>
          </w:p>
        </w:tc>
        <w:tc>
          <w:tcPr>
            <w:tcW w:w="4160" w:type="dxa"/>
            <w:vAlign w:val="bottom"/>
            <w:gridSpan w:val="8"/>
          </w:tcPr>
          <w:p>
            <w:pPr>
              <w:spacing w:after="0"/>
              <w:rPr>
                <w:sz w:val="14"/>
                <w:szCs w:val="14"/>
                <w:color w:val="auto"/>
              </w:rPr>
            </w:pPr>
          </w:p>
        </w:tc>
        <w:tc>
          <w:tcPr>
            <w:tcW w:w="4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F-2</w:t>
            </w:r>
          </w:p>
        </w:tc>
      </w:tr>
      <w:tr>
        <w:trPr>
          <w:trHeight w:val="172"/>
        </w:trPr>
        <w:tc>
          <w:tcPr>
            <w:tcW w:w="1080" w:type="dxa"/>
            <w:vAlign w:val="bottom"/>
          </w:tcPr>
          <w:p>
            <w:pPr>
              <w:spacing w:after="0"/>
              <w:rPr>
                <w:sz w:val="14"/>
                <w:szCs w:val="14"/>
                <w:color w:val="auto"/>
              </w:rPr>
            </w:pPr>
          </w:p>
        </w:tc>
        <w:tc>
          <w:tcPr>
            <w:tcW w:w="4100" w:type="dxa"/>
            <w:vAlign w:val="bottom"/>
            <w:tcBorders>
              <w:bottom w:val="single" w:sz="8" w:color="0000EE"/>
            </w:tcBorders>
            <w:gridSpan w:val="7"/>
          </w:tcPr>
          <w:p>
            <w:pPr>
              <w:spacing w:after="0" w:line="171" w:lineRule="exact"/>
              <w:rPr>
                <w:sz w:val="20"/>
                <w:szCs w:val="20"/>
                <w:color w:val="auto"/>
              </w:rPr>
            </w:pPr>
            <w:r>
              <w:rPr>
                <w:rFonts w:ascii="Times New Roman" w:cs="Times New Roman" w:eastAsia="Times New Roman" w:hAnsi="Times New Roman"/>
                <w:sz w:val="16"/>
                <w:szCs w:val="16"/>
                <w:color w:val="0000EE"/>
                <w:w w:val="98"/>
              </w:rPr>
              <w:t>Consolidated Balance Sheets as of December 31, 2024 and 2023</w:t>
            </w:r>
          </w:p>
        </w:tc>
        <w:tc>
          <w:tcPr>
            <w:tcW w:w="4880" w:type="dxa"/>
            <w:vAlign w:val="bottom"/>
            <w:gridSpan w:val="9"/>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F-4</w:t>
            </w:r>
          </w:p>
        </w:tc>
      </w:tr>
      <w:tr>
        <w:trPr>
          <w:trHeight w:val="172"/>
        </w:trPr>
        <w:tc>
          <w:tcPr>
            <w:tcW w:w="1080" w:type="dxa"/>
            <w:vAlign w:val="bottom"/>
          </w:tcPr>
          <w:p>
            <w:pPr>
              <w:spacing w:after="0"/>
              <w:rPr>
                <w:sz w:val="14"/>
                <w:szCs w:val="14"/>
                <w:color w:val="auto"/>
              </w:rPr>
            </w:pPr>
          </w:p>
        </w:tc>
        <w:tc>
          <w:tcPr>
            <w:tcW w:w="898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Comprehensive Income for the Years Ended December 31, 2024, 2023, and 2022</w:t>
            </w: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F-5</w:t>
            </w:r>
          </w:p>
        </w:tc>
      </w:tr>
      <w:tr>
        <w:trPr>
          <w:trHeight w:val="20"/>
        </w:trPr>
        <w:tc>
          <w:tcPr>
            <w:tcW w:w="10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2"/>
        </w:trPr>
        <w:tc>
          <w:tcPr>
            <w:tcW w:w="1080" w:type="dxa"/>
            <w:vAlign w:val="bottom"/>
          </w:tcPr>
          <w:p>
            <w:pPr>
              <w:spacing w:after="0"/>
              <w:rPr>
                <w:sz w:val="14"/>
                <w:szCs w:val="14"/>
                <w:color w:val="auto"/>
              </w:rPr>
            </w:pPr>
          </w:p>
        </w:tc>
        <w:tc>
          <w:tcPr>
            <w:tcW w:w="8000" w:type="dxa"/>
            <w:vAlign w:val="bottom"/>
            <w:tcBorders>
              <w:bottom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w w:val="99"/>
              </w:rPr>
              <w:t>Consolidated Statements of Mezzanine Equity and Partners’ Capital for the Years Ended December 31, 2024, 2023, and 2022</w:t>
            </w:r>
          </w:p>
        </w:tc>
        <w:tc>
          <w:tcPr>
            <w:tcW w:w="980" w:type="dxa"/>
            <w:vAlign w:val="bottom"/>
            <w:gridSpan w:val="3"/>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F-6</w:t>
            </w:r>
          </w:p>
        </w:tc>
      </w:tr>
      <w:tr>
        <w:trPr>
          <w:trHeight w:val="172"/>
        </w:trPr>
        <w:tc>
          <w:tcPr>
            <w:tcW w:w="1080" w:type="dxa"/>
            <w:vAlign w:val="bottom"/>
          </w:tcPr>
          <w:p>
            <w:pPr>
              <w:spacing w:after="0"/>
              <w:rPr>
                <w:sz w:val="14"/>
                <w:szCs w:val="14"/>
                <w:color w:val="auto"/>
              </w:rPr>
            </w:pPr>
          </w:p>
        </w:tc>
        <w:tc>
          <w:tcPr>
            <w:tcW w:w="898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December 31, 2024, 2023, and 2022</w:t>
            </w: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F-9</w:t>
            </w:r>
          </w:p>
        </w:tc>
      </w:tr>
      <w:tr>
        <w:trPr>
          <w:trHeight w:val="172"/>
        </w:trPr>
        <w:tc>
          <w:tcPr>
            <w:tcW w:w="1080" w:type="dxa"/>
            <w:vAlign w:val="bottom"/>
          </w:tcPr>
          <w:p>
            <w:pPr>
              <w:spacing w:after="0"/>
              <w:rPr>
                <w:sz w:val="14"/>
                <w:szCs w:val="14"/>
                <w:color w:val="auto"/>
              </w:rPr>
            </w:pPr>
          </w:p>
        </w:tc>
        <w:tc>
          <w:tcPr>
            <w:tcW w:w="2780" w:type="dxa"/>
            <w:vAlign w:val="bottom"/>
            <w:tcBorders>
              <w:top w:val="single" w:sz="8" w:color="0000EE"/>
              <w:bottom w:val="single" w:sz="8" w:color="0000EE"/>
            </w:tcBorders>
            <w:gridSpan w:val="5"/>
          </w:tcPr>
          <w:p>
            <w:pPr>
              <w:spacing w:after="0" w:line="171" w:lineRule="exact"/>
              <w:rPr>
                <w:sz w:val="20"/>
                <w:szCs w:val="20"/>
                <w:color w:val="auto"/>
              </w:rPr>
            </w:pPr>
            <w:r>
              <w:rPr>
                <w:rFonts w:ascii="Times New Roman" w:cs="Times New Roman" w:eastAsia="Times New Roman" w:hAnsi="Times New Roman"/>
                <w:sz w:val="16"/>
                <w:szCs w:val="16"/>
                <w:color w:val="0000EE"/>
                <w:w w:val="98"/>
              </w:rPr>
              <w:t>Notes to Consolidated Financial Statements</w:t>
            </w:r>
          </w:p>
        </w:tc>
        <w:tc>
          <w:tcPr>
            <w:tcW w:w="3440" w:type="dxa"/>
            <w:vAlign w:val="bottom"/>
            <w:tcBorders>
              <w:top w:val="single" w:sz="8" w:color="0000EE"/>
            </w:tcBorders>
            <w:gridSpan w:val="5"/>
          </w:tcPr>
          <w:p>
            <w:pPr>
              <w:spacing w:after="0"/>
              <w:rPr>
                <w:sz w:val="14"/>
                <w:szCs w:val="14"/>
                <w:color w:val="auto"/>
              </w:rPr>
            </w:pPr>
          </w:p>
        </w:tc>
        <w:tc>
          <w:tcPr>
            <w:tcW w:w="2760" w:type="dxa"/>
            <w:vAlign w:val="bottom"/>
            <w:gridSpan w:val="6"/>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F-11</w:t>
            </w:r>
          </w:p>
        </w:tc>
      </w:tr>
      <w:tr>
        <w:trPr>
          <w:trHeight w:val="383"/>
        </w:trPr>
        <w:tc>
          <w:tcPr>
            <w:tcW w:w="10060" w:type="dxa"/>
            <w:vAlign w:val="bottom"/>
            <w:gridSpan w:val="17"/>
          </w:tcPr>
          <w:p>
            <w:pPr>
              <w:ind w:left="740"/>
              <w:spacing w:after="0"/>
              <w:rPr>
                <w:sz w:val="20"/>
                <w:szCs w:val="20"/>
                <w:color w:val="auto"/>
              </w:rPr>
            </w:pPr>
            <w:r>
              <w:rPr>
                <w:rFonts w:ascii="Times New Roman" w:cs="Times New Roman" w:eastAsia="Times New Roman" w:hAnsi="Times New Roman"/>
                <w:sz w:val="16"/>
                <w:szCs w:val="16"/>
                <w:color w:val="auto"/>
              </w:rPr>
              <w:t>Unaudited Condensed Consolidated Financial Statements:</w:t>
            </w:r>
          </w:p>
        </w:tc>
        <w:tc>
          <w:tcPr>
            <w:tcW w:w="400" w:type="dxa"/>
            <w:vAlign w:val="bottom"/>
          </w:tcPr>
          <w:p>
            <w:pPr>
              <w:spacing w:after="0"/>
              <w:rPr>
                <w:sz w:val="24"/>
                <w:szCs w:val="24"/>
                <w:color w:val="auto"/>
              </w:rPr>
            </w:pPr>
          </w:p>
        </w:tc>
      </w:tr>
      <w:tr>
        <w:trPr>
          <w:trHeight w:val="172"/>
        </w:trPr>
        <w:tc>
          <w:tcPr>
            <w:tcW w:w="1080" w:type="dxa"/>
            <w:vAlign w:val="bottom"/>
          </w:tcPr>
          <w:p>
            <w:pPr>
              <w:spacing w:after="0"/>
              <w:rPr>
                <w:sz w:val="14"/>
                <w:szCs w:val="14"/>
                <w:color w:val="auto"/>
              </w:rPr>
            </w:pPr>
          </w:p>
        </w:tc>
        <w:tc>
          <w:tcPr>
            <w:tcW w:w="5820" w:type="dxa"/>
            <w:vAlign w:val="bottom"/>
            <w:tcBorders>
              <w:bottom w:val="single" w:sz="8" w:color="0000EE"/>
            </w:tcBorders>
            <w:gridSpan w:val="9"/>
          </w:tcPr>
          <w:p>
            <w:pPr>
              <w:spacing w:after="0" w:line="172" w:lineRule="exact"/>
              <w:rPr>
                <w:sz w:val="20"/>
                <w:szCs w:val="20"/>
                <w:color w:val="auto"/>
              </w:rPr>
            </w:pPr>
            <w:r>
              <w:rPr>
                <w:rFonts w:ascii="Times New Roman" w:cs="Times New Roman" w:eastAsia="Times New Roman" w:hAnsi="Times New Roman"/>
                <w:sz w:val="16"/>
                <w:szCs w:val="16"/>
                <w:color w:val="0000EE"/>
                <w:w w:val="99"/>
              </w:rPr>
              <w:t>Condensed Consolidated Balance Sheets as of September 27, 2025 and December 31, 2024</w:t>
            </w:r>
          </w:p>
        </w:tc>
        <w:tc>
          <w:tcPr>
            <w:tcW w:w="3160" w:type="dxa"/>
            <w:vAlign w:val="bottom"/>
            <w:gridSpan w:val="7"/>
          </w:tcPr>
          <w:p>
            <w:pPr>
              <w:spacing w:after="0"/>
              <w:rPr>
                <w:sz w:val="14"/>
                <w:szCs w:val="14"/>
                <w:color w:val="auto"/>
              </w:rPr>
            </w:pPr>
          </w:p>
        </w:tc>
        <w:tc>
          <w:tcPr>
            <w:tcW w:w="400" w:type="dxa"/>
            <w:vAlign w:val="bottom"/>
          </w:tcPr>
          <w:p>
            <w:pPr>
              <w:jc w:val="right"/>
              <w:spacing w:after="0" w:line="172" w:lineRule="exact"/>
              <w:rPr>
                <w:sz w:val="20"/>
                <w:szCs w:val="20"/>
                <w:color w:val="auto"/>
              </w:rPr>
            </w:pPr>
            <w:r>
              <w:rPr>
                <w:rFonts w:ascii="Times New Roman" w:cs="Times New Roman" w:eastAsia="Times New Roman" w:hAnsi="Times New Roman"/>
                <w:sz w:val="16"/>
                <w:szCs w:val="16"/>
                <w:color w:val="auto"/>
              </w:rPr>
              <w:t>F-52</w:t>
            </w:r>
          </w:p>
        </w:tc>
      </w:tr>
      <w:tr>
        <w:trPr>
          <w:trHeight w:val="172"/>
        </w:trPr>
        <w:tc>
          <w:tcPr>
            <w:tcW w:w="1080" w:type="dxa"/>
            <w:vAlign w:val="bottom"/>
          </w:tcPr>
          <w:p>
            <w:pPr>
              <w:spacing w:after="0"/>
              <w:rPr>
                <w:sz w:val="14"/>
                <w:szCs w:val="14"/>
                <w:color w:val="auto"/>
              </w:rPr>
            </w:pPr>
          </w:p>
        </w:tc>
        <w:tc>
          <w:tcPr>
            <w:tcW w:w="898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Statements of Comprehensive Income for the Three and Nine Months Ended September 27, 2025 and September</w:t>
            </w:r>
          </w:p>
        </w:tc>
        <w:tc>
          <w:tcPr>
            <w:tcW w:w="400" w:type="dxa"/>
            <w:vAlign w:val="bottom"/>
          </w:tcPr>
          <w:p>
            <w:pPr>
              <w:spacing w:after="0"/>
              <w:rPr>
                <w:sz w:val="14"/>
                <w:szCs w:val="14"/>
                <w:color w:val="auto"/>
              </w:rPr>
            </w:pPr>
          </w:p>
        </w:tc>
      </w:tr>
      <w:tr>
        <w:trPr>
          <w:trHeight w:val="172"/>
        </w:trPr>
        <w:tc>
          <w:tcPr>
            <w:tcW w:w="1080" w:type="dxa"/>
            <w:vAlign w:val="bottom"/>
          </w:tcPr>
          <w:p>
            <w:pPr>
              <w:spacing w:after="0"/>
              <w:rPr>
                <w:sz w:val="14"/>
                <w:szCs w:val="14"/>
                <w:color w:val="auto"/>
              </w:rPr>
            </w:pPr>
          </w:p>
        </w:tc>
        <w:tc>
          <w:tcPr>
            <w:tcW w:w="1680" w:type="dxa"/>
            <w:vAlign w:val="bottom"/>
            <w:tcBorders>
              <w:top w:val="single" w:sz="8" w:color="0000EE"/>
            </w:tcBorders>
            <w:gridSpan w:val="4"/>
          </w:tcPr>
          <w:p>
            <w:pPr>
              <w:ind w:left="140"/>
              <w:spacing w:after="0" w:line="171" w:lineRule="exact"/>
              <w:rPr>
                <w:sz w:val="20"/>
                <w:szCs w:val="20"/>
                <w:color w:val="auto"/>
              </w:rPr>
            </w:pPr>
            <w:r>
              <w:rPr>
                <w:rFonts w:ascii="Times New Roman" w:cs="Times New Roman" w:eastAsia="Times New Roman" w:hAnsi="Times New Roman"/>
                <w:sz w:val="16"/>
                <w:szCs w:val="16"/>
                <w:color w:val="0000EE"/>
              </w:rPr>
              <w:t>28, 2024</w:t>
            </w:r>
          </w:p>
        </w:tc>
        <w:tc>
          <w:tcPr>
            <w:tcW w:w="110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F-53</w:t>
            </w:r>
          </w:p>
        </w:tc>
      </w:tr>
      <w:tr>
        <w:trPr>
          <w:trHeight w:val="20"/>
        </w:trPr>
        <w:tc>
          <w:tcPr>
            <w:tcW w:w="1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2"/>
        </w:trPr>
        <w:tc>
          <w:tcPr>
            <w:tcW w:w="1080" w:type="dxa"/>
            <w:vAlign w:val="bottom"/>
          </w:tcPr>
          <w:p>
            <w:pPr>
              <w:spacing w:after="0"/>
              <w:rPr>
                <w:sz w:val="14"/>
                <w:szCs w:val="14"/>
                <w:color w:val="auto"/>
              </w:rPr>
            </w:pPr>
          </w:p>
        </w:tc>
        <w:tc>
          <w:tcPr>
            <w:tcW w:w="898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Statements of Mezzanine Equity and Partners’ Capital for the Three and Nine Months Ended September 27, 2025</w:t>
            </w:r>
          </w:p>
        </w:tc>
        <w:tc>
          <w:tcPr>
            <w:tcW w:w="400" w:type="dxa"/>
            <w:vAlign w:val="bottom"/>
          </w:tcPr>
          <w:p>
            <w:pPr>
              <w:spacing w:after="0"/>
              <w:rPr>
                <w:sz w:val="14"/>
                <w:szCs w:val="14"/>
                <w:color w:val="auto"/>
              </w:rPr>
            </w:pPr>
          </w:p>
        </w:tc>
      </w:tr>
      <w:tr>
        <w:trPr>
          <w:trHeight w:val="172"/>
        </w:trPr>
        <w:tc>
          <w:tcPr>
            <w:tcW w:w="1080" w:type="dxa"/>
            <w:vAlign w:val="bottom"/>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720" w:type="dxa"/>
            <w:vAlign w:val="bottom"/>
            <w:tcBorders>
              <w:top w:val="single" w:sz="8" w:color="0000EE"/>
            </w:tcBorders>
            <w:gridSpan w:val="13"/>
          </w:tcPr>
          <w:p>
            <w:pPr>
              <w:spacing w:after="0" w:line="171" w:lineRule="exact"/>
              <w:rPr>
                <w:sz w:val="20"/>
                <w:szCs w:val="20"/>
                <w:color w:val="auto"/>
              </w:rPr>
            </w:pPr>
            <w:r>
              <w:rPr>
                <w:rFonts w:ascii="Times New Roman" w:cs="Times New Roman" w:eastAsia="Times New Roman" w:hAnsi="Times New Roman"/>
                <w:sz w:val="16"/>
                <w:szCs w:val="16"/>
                <w:color w:val="0000EE"/>
              </w:rPr>
              <w:t>and September 28, 2024</w:t>
            </w:r>
          </w:p>
        </w:tc>
        <w:tc>
          <w:tcPr>
            <w:tcW w:w="120" w:type="dxa"/>
            <w:vAlign w:val="bottom"/>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F-54</w:t>
            </w:r>
          </w:p>
        </w:tc>
      </w:tr>
      <w:tr>
        <w:trPr>
          <w:trHeight w:val="20"/>
        </w:trPr>
        <w:tc>
          <w:tcPr>
            <w:tcW w:w="10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40" w:type="dxa"/>
            <w:vAlign w:val="bottom"/>
            <w:gridSpan w:val="6"/>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2"/>
        </w:trPr>
        <w:tc>
          <w:tcPr>
            <w:tcW w:w="1080" w:type="dxa"/>
            <w:vAlign w:val="bottom"/>
          </w:tcPr>
          <w:p>
            <w:pPr>
              <w:spacing w:after="0"/>
              <w:rPr>
                <w:sz w:val="14"/>
                <w:szCs w:val="14"/>
                <w:color w:val="auto"/>
              </w:rPr>
            </w:pPr>
          </w:p>
        </w:tc>
        <w:tc>
          <w:tcPr>
            <w:tcW w:w="8980" w:type="dxa"/>
            <w:vAlign w:val="bottom"/>
            <w:gridSpan w:val="16"/>
          </w:tcPr>
          <w:p>
            <w:pPr>
              <w:spacing w:after="0" w:line="171" w:lineRule="exact"/>
              <w:rPr>
                <w:sz w:val="20"/>
                <w:szCs w:val="20"/>
                <w:color w:val="auto"/>
              </w:rPr>
            </w:pPr>
            <w:r>
              <w:rPr>
                <w:rFonts w:ascii="Times New Roman" w:cs="Times New Roman" w:eastAsia="Times New Roman" w:hAnsi="Times New Roman"/>
                <w:sz w:val="16"/>
                <w:szCs w:val="16"/>
                <w:color w:val="0000EE"/>
              </w:rPr>
              <w:t>Condensed Consolidated Statements of Cash Flows for the Nine Months Ended September 27, 2025 and September 28, 2024</w:t>
            </w: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F-56</w:t>
            </w:r>
          </w:p>
        </w:tc>
      </w:tr>
      <w:tr>
        <w:trPr>
          <w:trHeight w:val="172"/>
        </w:trPr>
        <w:tc>
          <w:tcPr>
            <w:tcW w:w="1080" w:type="dxa"/>
            <w:vAlign w:val="bottom"/>
          </w:tcPr>
          <w:p>
            <w:pPr>
              <w:spacing w:after="0"/>
              <w:rPr>
                <w:sz w:val="14"/>
                <w:szCs w:val="14"/>
                <w:color w:val="auto"/>
              </w:rPr>
            </w:pPr>
          </w:p>
        </w:tc>
        <w:tc>
          <w:tcPr>
            <w:tcW w:w="7960" w:type="dxa"/>
            <w:vAlign w:val="bottom"/>
            <w:tcBorders>
              <w:top w:val="single" w:sz="8" w:color="0000EE"/>
            </w:tcBorders>
            <w:gridSpan w:val="12"/>
          </w:tcPr>
          <w:p>
            <w:pPr>
              <w:spacing w:after="0" w:line="171" w:lineRule="exact"/>
              <w:rPr>
                <w:sz w:val="20"/>
                <w:szCs w:val="20"/>
                <w:color w:val="auto"/>
              </w:rPr>
            </w:pPr>
            <w:r>
              <w:rPr>
                <w:rFonts w:ascii="Times New Roman" w:cs="Times New Roman" w:eastAsia="Times New Roman" w:hAnsi="Times New Roman"/>
                <w:sz w:val="16"/>
                <w:szCs w:val="16"/>
                <w:color w:val="0000EE"/>
              </w:rPr>
              <w:t>Notes to Condensed Consolidated Financial Statements</w:t>
            </w:r>
          </w:p>
        </w:tc>
        <w:tc>
          <w:tcPr>
            <w:tcW w:w="1020" w:type="dxa"/>
            <w:vAlign w:val="bottom"/>
            <w:gridSpan w:val="4"/>
          </w:tcPr>
          <w:p>
            <w:pPr>
              <w:spacing w:after="0"/>
              <w:rPr>
                <w:sz w:val="14"/>
                <w:szCs w:val="14"/>
                <w:color w:val="auto"/>
              </w:rPr>
            </w:pPr>
          </w:p>
        </w:tc>
        <w:tc>
          <w:tcPr>
            <w:tcW w:w="4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F-58</w:t>
            </w:r>
          </w:p>
        </w:tc>
      </w:tr>
      <w:tr>
        <w:trPr>
          <w:trHeight w:val="339"/>
        </w:trPr>
        <w:tc>
          <w:tcPr>
            <w:tcW w:w="10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80" w:type="dxa"/>
            <w:vAlign w:val="bottom"/>
            <w:gridSpan w:val="9"/>
          </w:tcPr>
          <w:p>
            <w:pPr>
              <w:jc w:val="center"/>
              <w:ind w:right="3980"/>
              <w:spacing w:after="0"/>
              <w:rPr>
                <w:sz w:val="20"/>
                <w:szCs w:val="20"/>
                <w:color w:val="auto"/>
              </w:rPr>
            </w:pPr>
            <w:r>
              <w:rPr>
                <w:rFonts w:ascii="Times New Roman" w:cs="Times New Roman" w:eastAsia="Times New Roman" w:hAnsi="Times New Roman"/>
                <w:sz w:val="16"/>
                <w:szCs w:val="16"/>
                <w:color w:val="auto"/>
                <w:w w:val="98"/>
              </w:rPr>
              <w:t>F-1</w:t>
            </w:r>
          </w:p>
        </w:tc>
        <w:tc>
          <w:tcPr>
            <w:tcW w:w="4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460"/>
          </w:cols>
          <w:pgMar w:left="320" w:top="411" w:right="1119" w:bottom="1440" w:gutter="0" w:footer="0" w:header="0"/>
        </w:sect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8200" cy="35560"/>
                    </a:xfrm>
                    <a:prstGeom prst="rect">
                      <a:avLst/>
                    </a:prstGeom>
                    <a:noFill/>
                  </pic:spPr>
                </pic:pic>
              </a:graphicData>
            </a:graphic>
          </wp:anchor>
        </w:drawing>
      </w:r>
    </w:p>
    <w:bookmarkStart w:id="269" w:name="page270"/>
    <w:bookmarkEnd w:id="26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To the Board of Managers of Medline Holdings, LP</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05" w:lineRule="exact"/>
        <w:rPr>
          <w:sz w:val="20"/>
          <w:szCs w:val="20"/>
          <w:color w:val="auto"/>
        </w:rPr>
      </w:pPr>
    </w:p>
    <w:p>
      <w:pPr>
        <w:ind w:left="740" w:right="20"/>
        <w:spacing w:after="0" w:line="25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Medline Holdings, LP and subsidiaries (the Company) as of December 31, 2024 and 2023, the related consolidated statements of comprehensive income, mezzanine equity and partners’ capital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05" w:lineRule="exact"/>
        <w:rPr>
          <w:sz w:val="20"/>
          <w:szCs w:val="20"/>
          <w:color w:val="auto"/>
        </w:rPr>
      </w:pPr>
    </w:p>
    <w:p>
      <w:pPr>
        <w:ind w:left="740" w:right="60"/>
        <w:spacing w:after="0" w:line="260"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ind w:left="740" w:right="400"/>
        <w:spacing w:after="0" w:line="257"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Critical Audit Matter</w:t>
      </w:r>
    </w:p>
    <w:p>
      <w:pPr>
        <w:spacing w:after="0" w:line="105" w:lineRule="exact"/>
        <w:rPr>
          <w:sz w:val="20"/>
          <w:szCs w:val="20"/>
          <w:color w:val="auto"/>
        </w:rPr>
      </w:pPr>
    </w:p>
    <w:p>
      <w:pPr>
        <w:ind w:left="740" w:right="300"/>
        <w:spacing w:after="0" w:line="278"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ind w:left="740" w:right="60" w:hanging="2"/>
        <w:spacing w:after="0" w:line="254" w:lineRule="auto"/>
        <w:tabs>
          <w:tab w:leader="none" w:pos="966"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0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F-2</w:t>
      </w:r>
    </w:p>
    <w:p>
      <w:pPr>
        <w:sectPr>
          <w:pgSz w:w="11900" w:h="16838" w:orient="portrait"/>
          <w:cols w:equalWidth="0" w:num="1">
            <w:col w:w="10480"/>
          </w:cols>
          <w:pgMar w:left="320" w:top="420" w:right="10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6"/>
          <w:szCs w:val="16"/>
          <w:b w:val="1"/>
          <w:bCs w:val="1"/>
          <w:i w:val="1"/>
          <w:iCs w:val="1"/>
          <w:color w:val="auto"/>
        </w:rPr>
        <w:t>Accrued customer rebates</w:t>
      </w:r>
    </w:p>
    <w:p>
      <w:pPr>
        <w:spacing w:after="0" w:line="165" w:lineRule="exact"/>
        <w:rPr>
          <w:sz w:val="20"/>
          <w:szCs w:val="20"/>
          <w:color w:val="auto"/>
        </w:rPr>
      </w:pPr>
    </w:p>
    <w:p>
      <w:pPr>
        <w:ind w:left="740"/>
        <w:spacing w:after="0"/>
        <w:tabs>
          <w:tab w:leader="none" w:pos="2100" w:val="left"/>
        </w:tabs>
        <w:rPr>
          <w:sz w:val="20"/>
          <w:szCs w:val="20"/>
          <w:color w:val="auto"/>
        </w:rPr>
      </w:pPr>
      <w:r>
        <w:rPr>
          <w:rFonts w:ascii="Times New Roman" w:cs="Times New Roman" w:eastAsia="Times New Roman" w:hAnsi="Times New Roman"/>
          <w:sz w:val="16"/>
          <w:szCs w:val="16"/>
          <w:i w:val="1"/>
          <w:iCs w:val="1"/>
          <w:color w:val="auto"/>
        </w:rPr>
        <w:t>Description of the</w:t>
      </w:r>
      <w:r>
        <w:rPr>
          <w:sz w:val="20"/>
          <w:szCs w:val="20"/>
          <w:color w:val="auto"/>
        </w:rPr>
        <w:tab/>
      </w:r>
      <w:r>
        <w:rPr>
          <w:rFonts w:ascii="Times New Roman" w:cs="Times New Roman" w:eastAsia="Times New Roman" w:hAnsi="Times New Roman"/>
          <w:sz w:val="15"/>
          <w:szCs w:val="15"/>
          <w:color w:val="auto"/>
        </w:rPr>
        <w:t>As disclosed in Note 1 to the consolidated financial statements under the caption “Revenue Recognition”, the Company’s product</w:t>
      </w:r>
    </w:p>
    <w:p>
      <w:pPr>
        <w:sectPr>
          <w:pgSz w:w="11900" w:h="16838" w:orient="portrait"/>
          <w:cols w:equalWidth="0" w:num="1">
            <w:col w:w="10480"/>
          </w:cols>
          <w:pgMar w:left="320" w:top="420" w:right="1099" w:bottom="1440" w:gutter="0" w:footer="0" w:header="0"/>
        </w:sectPr>
      </w:pP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Matter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2024, the Company had $365 million in customer rebates and distributor chargebacks, of which a large portion relates to customer rebates.</w:t>
      </w:r>
    </w:p>
    <w:p>
      <w:pPr>
        <w:spacing w:after="0" w:line="191" w:lineRule="exact"/>
        <w:rPr>
          <w:sz w:val="20"/>
          <w:szCs w:val="20"/>
          <w:color w:val="auto"/>
        </w:rPr>
      </w:pPr>
    </w:p>
    <w:p>
      <w:pPr>
        <w:sectPr>
          <w:pgSz w:w="11900" w:h="16838" w:orient="portrait"/>
          <w:cols w:equalWidth="0" w:num="2">
            <w:col w:w="1400" w:space="720"/>
            <w:col w:w="8360"/>
          </w:cols>
          <w:pgMar w:left="320" w:top="420" w:right="1099" w:bottom="1440" w:gutter="0" w:footer="0" w:header="0"/>
          <w:type w:val="continuous"/>
        </w:sectPr>
      </w:pPr>
    </w:p>
    <w:p>
      <w:pPr>
        <w:ind w:left="2120" w:right="220"/>
        <w:spacing w:after="0" w:line="316" w:lineRule="auto"/>
        <w:rPr>
          <w:sz w:val="20"/>
          <w:szCs w:val="20"/>
          <w:color w:val="auto"/>
        </w:rPr>
      </w:pPr>
      <w:r>
        <w:rPr>
          <w:rFonts w:ascii="Times New Roman" w:cs="Times New Roman" w:eastAsia="Times New Roman" w:hAnsi="Times New Roman"/>
          <w:sz w:val="15"/>
          <w:szCs w:val="15"/>
          <w:color w:val="auto"/>
        </w:rPr>
        <w:t>Auditing the customer rebates liability was challenging due to the significant volume of transactions and data related to product gross sales, customer rebate rates, as well as historical rebate payments, that are used in determining the accrual balance.</w:t>
      </w:r>
    </w:p>
    <w:p>
      <w:pPr>
        <w:sectPr>
          <w:pgSz w:w="11900" w:h="16838" w:orient="portrait"/>
          <w:cols w:equalWidth="0" w:num="1">
            <w:col w:w="10480"/>
          </w:cols>
          <w:pgMar w:left="320" w:top="420" w:right="1099" w:bottom="1440" w:gutter="0" w:footer="0" w:header="0"/>
          <w:type w:val="continuous"/>
        </w:sectPr>
      </w:pP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How We</w:t>
      </w:r>
    </w:p>
    <w:p>
      <w:pPr>
        <w:spacing w:after="0" w:line="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i w:val="1"/>
          <w:iCs w:val="1"/>
          <w:color w:val="auto"/>
        </w:rPr>
        <w:t>Addressed the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5"/>
          <w:szCs w:val="15"/>
          <w:color w:val="auto"/>
        </w:rPr>
        <w:t>To test the Company’s customer rebate liability, our audit procedures included, among others, testing the completeness and accuracy of the underlying data used in the estimate, including, but not limited to, gross sales transactions, customer rebate rates,</w:t>
      </w:r>
    </w:p>
    <w:p>
      <w:pPr>
        <w:spacing w:after="0" w:line="1" w:lineRule="exact"/>
        <w:rPr>
          <w:sz w:val="20"/>
          <w:szCs w:val="20"/>
          <w:color w:val="auto"/>
        </w:rPr>
      </w:pPr>
    </w:p>
    <w:p>
      <w:pPr>
        <w:sectPr>
          <w:pgSz w:w="11900" w:h="16838" w:orient="portrait"/>
          <w:cols w:equalWidth="0" w:num="2">
            <w:col w:w="1640" w:space="480"/>
            <w:col w:w="8360"/>
          </w:cols>
          <w:pgMar w:left="320" w:top="420" w:right="1099" w:bottom="1440" w:gutter="0" w:footer="0" w:header="0"/>
          <w:type w:val="continuous"/>
        </w:sectPr>
      </w:pPr>
    </w:p>
    <w:p>
      <w:pPr>
        <w:ind w:left="2120" w:hanging="1376"/>
        <w:spacing w:after="0" w:line="271" w:lineRule="auto"/>
        <w:rPr>
          <w:sz w:val="20"/>
          <w:szCs w:val="20"/>
          <w:color w:val="auto"/>
        </w:rPr>
      </w:pPr>
      <w:r>
        <w:rPr>
          <w:rFonts w:ascii="Times New Roman" w:cs="Times New Roman" w:eastAsia="Times New Roman" w:hAnsi="Times New Roman"/>
          <w:sz w:val="15"/>
          <w:szCs w:val="15"/>
          <w:i w:val="1"/>
          <w:iCs w:val="1"/>
          <w:color w:val="auto"/>
        </w:rPr>
        <w:t xml:space="preserve">Matter in Our Audit </w:t>
      </w:r>
      <w:r>
        <w:rPr>
          <w:rFonts w:ascii="Times New Roman" w:cs="Times New Roman" w:eastAsia="Times New Roman" w:hAnsi="Times New Roman"/>
          <w:sz w:val="15"/>
          <w:szCs w:val="15"/>
          <w:color w:val="auto"/>
        </w:rPr>
        <w:t>and historical rebate payments. We assessed the reasonableness of the data by corroborating payments to customer contracts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recalculated the variable consideration recognized based upon gross sales subject to the rebate and the executed rate per the customer contract and evaluated any differences. We recalculated the total variable consideration on gross sales and the related accrual based upon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invoicing received from customers to assess the impact to the accrual at the balance sheet date and compared that to the Company’s estimate.</w:t>
      </w:r>
    </w:p>
    <w:p>
      <w:pPr>
        <w:spacing w:after="0" w:line="24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We have served as the Company’s auditor since 2022.</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Chicago, Illinois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February 28, 2025</w:t>
      </w:r>
    </w:p>
    <w:p>
      <w:pPr>
        <w:spacing w:after="0" w:line="13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6"/>
          <w:szCs w:val="16"/>
          <w:color w:val="auto"/>
        </w:rPr>
        <w:t>F-3</w:t>
      </w:r>
    </w:p>
    <w:p>
      <w:pPr>
        <w:sectPr>
          <w:pgSz w:w="11900" w:h="16838" w:orient="portrait"/>
          <w:cols w:equalWidth="0" w:num="1">
            <w:col w:w="10480"/>
          </w:cols>
          <w:pgMar w:left="320" w:top="420" w:right="1099" w:bottom="1440" w:gutter="0" w:footer="0" w:header="0"/>
          <w:type w:val="continuous"/>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9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500" w:type="dxa"/>
            <w:vAlign w:val="bottom"/>
          </w:tcPr>
          <w:p>
            <w:pPr>
              <w:spacing w:after="0"/>
              <w:rPr>
                <w:sz w:val="11"/>
                <w:szCs w:val="11"/>
                <w:color w:val="auto"/>
              </w:rPr>
            </w:pPr>
          </w:p>
        </w:tc>
        <w:tc>
          <w:tcPr>
            <w:tcW w:w="78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Trade accounts receivable, net of allowance for credit losses of $108 and $58 as of December 31, 2024 and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3,219</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2,960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4,456</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4,595</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8,065</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Intangible assets,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14,559</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assets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23,111</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assets</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vMerge w:val="restart"/>
          </w:tcPr>
          <w:p>
            <w:pPr>
              <w:spacing w:after="0"/>
              <w:rPr>
                <w:sz w:val="7"/>
                <w:szCs w:val="7"/>
                <w:color w:val="auto"/>
              </w:rPr>
            </w:pPr>
          </w:p>
        </w:tc>
        <w:tc>
          <w:tcPr>
            <w:tcW w:w="7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MEZZANINE EQUITY AND PARTNERS’ CAPITAL</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Current portion of long-term borrowings and other short-term borrowings</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869</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1,489</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Long-term borrowings, less current portion</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16,416</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other non-current liabilities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17,014</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Mezzanine equity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Class A Units, no par value; 128 units issued and outstanding as of December 31, 2024 and December 31,</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c>
          <w:tcPr>
            <w:tcW w:w="6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Stock-based compensation, no par value; 106 and 82 units outstanding as of December 31, 2024 and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mezzanine equity</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366</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Partners’ capital</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Class A Units, no par value; 16,723 units issued and outstanding as of December 31, 2024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15,976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16,422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tcPr>
          <w:p>
            <w:pPr>
              <w:ind w:left="300"/>
              <w:spacing w:after="0" w:line="175" w:lineRule="exact"/>
              <w:rPr>
                <w:sz w:val="20"/>
                <w:szCs w:val="20"/>
                <w:color w:val="auto"/>
              </w:rPr>
            </w:pPr>
            <w:r>
              <w:rPr>
                <w:rFonts w:ascii="Times New Roman" w:cs="Times New Roman" w:eastAsia="Times New Roman" w:hAnsi="Times New Roman"/>
                <w:sz w:val="16"/>
                <w:szCs w:val="16"/>
                <w:color w:val="auto"/>
              </w:rPr>
              <w:t>Class B Units, no par value; 721 and 754 units issued and outstanding as of December 31, 2024 and</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70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Class B CUPI Units, no par value; 23 units issued and outstanding as of December 31, 2024 and</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December 31, 2023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partners’ capital</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16,158</w:t>
            </w: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16,744</w:t>
            </w:r>
          </w:p>
        </w:tc>
        <w:tc>
          <w:tcPr>
            <w:tcW w:w="0" w:type="dxa"/>
            <w:vAlign w:val="bottom"/>
          </w:tcPr>
          <w:p>
            <w:pPr>
              <w:spacing w:after="0"/>
              <w:rPr>
                <w:sz w:val="1"/>
                <w:szCs w:val="1"/>
                <w:color w:val="auto"/>
              </w:rPr>
            </w:pPr>
          </w:p>
        </w:tc>
      </w:tr>
      <w:tr>
        <w:trPr>
          <w:trHeight w:val="196"/>
        </w:trPr>
        <w:tc>
          <w:tcPr>
            <w:tcW w:w="7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mezzanine equity and partners’ capital</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2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F-4</w:t>
      </w:r>
    </w:p>
    <w:p>
      <w:pPr>
        <w:sectPr>
          <w:pgSz w:w="11900" w:h="16838" w:orient="portrait"/>
          <w:cols w:equalWidth="0" w:num="1">
            <w:col w:w="10500"/>
          </w:cols>
          <w:pgMar w:left="320" w:top="421" w:right="10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6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Year Ended</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6440" w:type="dxa"/>
            <w:vAlign w:val="bottom"/>
          </w:tcPr>
          <w:p>
            <w:pPr>
              <w:spacing w:after="0"/>
              <w:rPr>
                <w:sz w:val="9"/>
                <w:szCs w:val="9"/>
                <w:color w:val="auto"/>
              </w:rPr>
            </w:pPr>
          </w:p>
        </w:tc>
        <w:tc>
          <w:tcPr>
            <w:tcW w:w="102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240" w:type="dxa"/>
            <w:vAlign w:val="bottom"/>
          </w:tcPr>
          <w:p>
            <w:pPr>
              <w:spacing w:after="0"/>
              <w:rPr>
                <w:sz w:val="9"/>
                <w:szCs w:val="9"/>
                <w:color w:val="auto"/>
              </w:rPr>
            </w:pPr>
          </w:p>
        </w:tc>
        <w:tc>
          <w:tcPr>
            <w:tcW w:w="102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240" w:type="dxa"/>
            <w:vAlign w:val="bottom"/>
          </w:tcPr>
          <w:p>
            <w:pPr>
              <w:spacing w:after="0"/>
              <w:rPr>
                <w:sz w:val="9"/>
                <w:szCs w:val="9"/>
                <w:color w:val="auto"/>
              </w:rPr>
            </w:pPr>
          </w:p>
        </w:tc>
        <w:tc>
          <w:tcPr>
            <w:tcW w:w="72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2024</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2023</w:t>
            </w:r>
          </w:p>
        </w:tc>
        <w:tc>
          <w:tcPr>
            <w:tcW w:w="3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25,507</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18,531</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5,885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4,108</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3,867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3,676</w:t>
            </w:r>
          </w:p>
        </w:tc>
        <w:tc>
          <w:tcPr>
            <w:tcW w:w="0" w:type="dxa"/>
            <w:vAlign w:val="bottom"/>
          </w:tcPr>
          <w:p>
            <w:pPr>
              <w:spacing w:after="0"/>
              <w:rPr>
                <w:sz w:val="1"/>
                <w:szCs w:val="1"/>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685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662</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9"/>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1,250</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861</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(976)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exchange gain (loss), net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99"/>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264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234</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2"/>
        </w:trPr>
        <w:tc>
          <w:tcPr>
            <w:tcW w:w="64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Retirement plan, net of tax</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unrealized (loss) gain on derivative instruments</w:t>
            </w:r>
          </w:p>
        </w:tc>
        <w:tc>
          <w:tcPr>
            <w:tcW w:w="16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199"/>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4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3400"/>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6440" w:type="dxa"/>
            <w:vAlign w:val="bottom"/>
          </w:tcPr>
          <w:p>
            <w:pPr>
              <w:ind w:left="4780"/>
              <w:spacing w:after="0"/>
              <w:rPr>
                <w:sz w:val="20"/>
                <w:szCs w:val="20"/>
                <w:color w:val="auto"/>
              </w:rPr>
            </w:pPr>
            <w:r>
              <w:rPr>
                <w:rFonts w:ascii="Times New Roman" w:cs="Times New Roman" w:eastAsia="Times New Roman" w:hAnsi="Times New Roman"/>
                <w:sz w:val="16"/>
                <w:szCs w:val="16"/>
                <w:color w:val="auto"/>
              </w:rPr>
              <w:t>F-5</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135"/>
        </w:trPr>
        <w:tc>
          <w:tcPr>
            <w:tcW w:w="29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8"/>
          </w:tcPr>
          <w:p>
            <w:pPr>
              <w:ind w:left="200"/>
              <w:spacing w:after="0"/>
              <w:rPr>
                <w:sz w:val="20"/>
                <w:szCs w:val="20"/>
                <w:color w:val="auto"/>
              </w:rPr>
            </w:pPr>
            <w:r>
              <w:rPr>
                <w:rFonts w:ascii="Times New Roman" w:cs="Times New Roman" w:eastAsia="Times New Roman" w:hAnsi="Times New Roman"/>
                <w:sz w:val="11"/>
                <w:szCs w:val="11"/>
                <w:color w:val="auto"/>
              </w:rPr>
              <w:t>Year ended December 31, 2024</w:t>
            </w: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6"/>
          </w:tcPr>
          <w:p>
            <w:pPr>
              <w:jc w:val="right"/>
              <w:ind w:right="220"/>
              <w:spacing w:after="0" w:line="112" w:lineRule="exact"/>
              <w:rPr>
                <w:sz w:val="20"/>
                <w:szCs w:val="20"/>
                <w:color w:val="auto"/>
              </w:rPr>
            </w:pPr>
            <w:r>
              <w:rPr>
                <w:rFonts w:ascii="Times New Roman" w:cs="Times New Roman" w:eastAsia="Times New Roman" w:hAnsi="Times New Roman"/>
                <w:sz w:val="11"/>
                <w:szCs w:val="11"/>
                <w:color w:val="auto"/>
                <w:w w:val="99"/>
              </w:rPr>
              <w:t>Mezzanine Equity</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5"/>
          </w:tcPr>
          <w:p>
            <w:pPr>
              <w:jc w:val="right"/>
              <w:spacing w:after="0" w:line="112" w:lineRule="exact"/>
              <w:rPr>
                <w:sz w:val="20"/>
                <w:szCs w:val="20"/>
                <w:color w:val="auto"/>
              </w:rPr>
            </w:pPr>
            <w:r>
              <w:rPr>
                <w:rFonts w:ascii="Times New Roman" w:cs="Times New Roman" w:eastAsia="Times New Roman" w:hAnsi="Times New Roman"/>
                <w:sz w:val="11"/>
                <w:szCs w:val="11"/>
                <w:color w:val="auto"/>
              </w:rPr>
              <w:t>Partners’ Capital</w:t>
            </w: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120"/>
              <w:spacing w:after="0" w:line="100" w:lineRule="exact"/>
              <w:rPr>
                <w:sz w:val="20"/>
                <w:szCs w:val="20"/>
                <w:color w:val="auto"/>
              </w:rPr>
            </w:pPr>
            <w:r>
              <w:rPr>
                <w:rFonts w:ascii="Times New Roman" w:cs="Times New Roman" w:eastAsia="Times New Roman" w:hAnsi="Times New Roman"/>
                <w:sz w:val="11"/>
                <w:szCs w:val="11"/>
                <w:color w:val="auto"/>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5"/>
          </w:tcPr>
          <w:p>
            <w:pPr>
              <w:ind w:left="120"/>
              <w:spacing w:after="0" w:line="120" w:lineRule="exact"/>
              <w:rPr>
                <w:sz w:val="20"/>
                <w:szCs w:val="20"/>
                <w:color w:val="auto"/>
              </w:rPr>
            </w:pPr>
            <w:r>
              <w:rPr>
                <w:rFonts w:ascii="Times New Roman" w:cs="Times New Roman" w:eastAsia="Times New Roman" w:hAnsi="Times New Roman"/>
                <w:sz w:val="11"/>
                <w:szCs w:val="11"/>
                <w:color w:val="auto"/>
              </w:rPr>
              <w:t>Stock-based</w:t>
            </w:r>
          </w:p>
        </w:tc>
        <w:tc>
          <w:tcPr>
            <w:tcW w:w="40" w:type="dxa"/>
            <w:vAlign w:val="bottom"/>
          </w:tcPr>
          <w:p>
            <w:pPr>
              <w:spacing w:after="0"/>
              <w:rPr>
                <w:sz w:val="10"/>
                <w:szCs w:val="10"/>
                <w:color w:val="auto"/>
              </w:rPr>
            </w:pPr>
          </w:p>
        </w:tc>
        <w:tc>
          <w:tcPr>
            <w:tcW w:w="600" w:type="dxa"/>
            <w:vAlign w:val="bottom"/>
            <w:tcBorders>
              <w:right w:val="single" w:sz="8" w:color="auto"/>
            </w:tcBorders>
            <w:gridSpan w:val="3"/>
          </w:tcPr>
          <w:p>
            <w:pPr>
              <w:jc w:val="center"/>
              <w:ind w:right="120"/>
              <w:spacing w:after="0" w:line="120" w:lineRule="exact"/>
              <w:rPr>
                <w:sz w:val="20"/>
                <w:szCs w:val="20"/>
                <w:color w:val="auto"/>
              </w:rPr>
            </w:pPr>
            <w:r>
              <w:rPr>
                <w:rFonts w:ascii="Times New Roman" w:cs="Times New Roman" w:eastAsia="Times New Roman" w:hAnsi="Times New Roman"/>
                <w:sz w:val="11"/>
                <w:szCs w:val="11"/>
                <w:color w:val="auto"/>
                <w:w w:val="99"/>
              </w:rPr>
              <w:t>Mezzanine</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color w:val="auto"/>
                <w:w w:val="97"/>
              </w:rPr>
              <w:t>other</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32"/>
        </w:trPr>
        <w:tc>
          <w:tcPr>
            <w:tcW w:w="2940" w:type="dxa"/>
            <w:vAlign w:val="bottom"/>
          </w:tcPr>
          <w:p>
            <w:pPr>
              <w:spacing w:after="0"/>
              <w:rPr>
                <w:sz w:val="11"/>
                <w:szCs w:val="11"/>
                <w:color w:val="auto"/>
              </w:rPr>
            </w:pPr>
          </w:p>
        </w:tc>
        <w:tc>
          <w:tcPr>
            <w:tcW w:w="540" w:type="dxa"/>
            <w:vAlign w:val="bottom"/>
            <w:gridSpan w:val="4"/>
          </w:tcPr>
          <w:p>
            <w:pPr>
              <w:ind w:left="200"/>
              <w:spacing w:after="0"/>
              <w:rPr>
                <w:sz w:val="20"/>
                <w:szCs w:val="20"/>
                <w:color w:val="auto"/>
              </w:rPr>
            </w:pPr>
            <w:r>
              <w:rPr>
                <w:rFonts w:ascii="Times New Roman" w:cs="Times New Roman" w:eastAsia="Times New Roman" w:hAnsi="Times New Roman"/>
                <w:sz w:val="11"/>
                <w:szCs w:val="11"/>
                <w:color w:val="auto"/>
                <w:w w:val="92"/>
              </w:rPr>
              <w:t>Class A</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Compensation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Equity</w:t>
            </w:r>
          </w:p>
        </w:tc>
        <w:tc>
          <w:tcPr>
            <w:tcW w:w="60" w:type="dxa"/>
            <w:vAlign w:val="bottom"/>
          </w:tcPr>
          <w:p>
            <w:pPr>
              <w:spacing w:after="0"/>
              <w:rPr>
                <w:sz w:val="11"/>
                <w:szCs w:val="11"/>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Class A</w:t>
            </w:r>
          </w:p>
        </w:tc>
        <w:tc>
          <w:tcPr>
            <w:tcW w:w="580" w:type="dxa"/>
            <w:vAlign w:val="bottom"/>
            <w:gridSpan w:val="4"/>
          </w:tcPr>
          <w:p>
            <w:pPr>
              <w:ind w:left="220"/>
              <w:spacing w:after="0"/>
              <w:rPr>
                <w:sz w:val="20"/>
                <w:szCs w:val="20"/>
                <w:color w:val="auto"/>
              </w:rPr>
            </w:pPr>
            <w:r>
              <w:rPr>
                <w:rFonts w:ascii="Times New Roman" w:cs="Times New Roman" w:eastAsia="Times New Roman" w:hAnsi="Times New Roman"/>
                <w:sz w:val="11"/>
                <w:szCs w:val="11"/>
                <w:color w:val="auto"/>
              </w:rPr>
              <w:t>Class 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1"/>
                <w:szCs w:val="11"/>
                <w:color w:val="auto"/>
              </w:rPr>
              <w:t>Class B CUPI</w:t>
            </w:r>
          </w:p>
        </w:tc>
        <w:tc>
          <w:tcPr>
            <w:tcW w:w="60" w:type="dxa"/>
            <w:vAlign w:val="bottom"/>
          </w:tcPr>
          <w:p>
            <w:pPr>
              <w:spacing w:after="0"/>
              <w:rPr>
                <w:sz w:val="11"/>
                <w:szCs w:val="1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comprehensive</w:t>
            </w:r>
          </w:p>
        </w:tc>
        <w:tc>
          <w:tcPr>
            <w:tcW w:w="6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c>
          <w:tcPr>
            <w:tcW w:w="0" w:type="dxa"/>
            <w:vAlign w:val="bottom"/>
          </w:tcPr>
          <w:p>
            <w:pPr>
              <w:spacing w:after="0"/>
              <w:rPr>
                <w:sz w:val="1"/>
                <w:szCs w:val="1"/>
                <w:color w:val="auto"/>
              </w:rPr>
            </w:pPr>
          </w:p>
        </w:tc>
      </w:tr>
      <w:tr>
        <w:trPr>
          <w:trHeight w:val="112"/>
        </w:trPr>
        <w:tc>
          <w:tcPr>
            <w:tcW w:w="2940" w:type="dxa"/>
            <w:vAlign w:val="bottom"/>
          </w:tcPr>
          <w:p>
            <w:pPr>
              <w:spacing w:after="0"/>
              <w:rPr>
                <w:sz w:val="9"/>
                <w:szCs w:val="9"/>
                <w:color w:val="auto"/>
              </w:rPr>
            </w:pPr>
          </w:p>
        </w:tc>
        <w:tc>
          <w:tcPr>
            <w:tcW w:w="360" w:type="dxa"/>
            <w:vAlign w:val="bottom"/>
            <w:tcBorders>
              <w:top w:val="single" w:sz="8" w:color="auto"/>
            </w:tcBorders>
            <w:gridSpan w:val="3"/>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38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60" w:type="dxa"/>
            <w:vAlign w:val="bottom"/>
          </w:tcPr>
          <w:p>
            <w:pPr>
              <w:spacing w:after="0"/>
              <w:rPr>
                <w:sz w:val="9"/>
                <w:szCs w:val="9"/>
                <w:color w:val="auto"/>
              </w:rPr>
            </w:pPr>
          </w:p>
        </w:tc>
        <w:tc>
          <w:tcPr>
            <w:tcW w:w="42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38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gridSpan w:val="2"/>
          </w:tcPr>
          <w:p>
            <w:pPr>
              <w:ind w:left="80"/>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42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Amount</w:t>
            </w:r>
          </w:p>
        </w:tc>
        <w:tc>
          <w:tcPr>
            <w:tcW w:w="180" w:type="dxa"/>
            <w:vAlign w:val="bottom"/>
          </w:tcPr>
          <w:p>
            <w:pPr>
              <w:spacing w:after="0"/>
              <w:rPr>
                <w:sz w:val="9"/>
                <w:szCs w:val="9"/>
                <w:color w:val="auto"/>
              </w:rPr>
            </w:pPr>
          </w:p>
        </w:tc>
        <w:tc>
          <w:tcPr>
            <w:tcW w:w="360" w:type="dxa"/>
            <w:vAlign w:val="bottom"/>
            <w:tcBorders>
              <w:top w:val="single" w:sz="8" w:color="auto"/>
            </w:tcBorders>
            <w:gridSpan w:val="2"/>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80" w:type="dxa"/>
            <w:vAlign w:val="bottom"/>
          </w:tcPr>
          <w:p>
            <w:pPr>
              <w:spacing w:after="0"/>
              <w:rPr>
                <w:sz w:val="9"/>
                <w:szCs w:val="9"/>
                <w:color w:val="auto"/>
              </w:rPr>
            </w:pPr>
          </w:p>
        </w:tc>
        <w:tc>
          <w:tcPr>
            <w:tcW w:w="360" w:type="dxa"/>
            <w:vAlign w:val="bottom"/>
            <w:tcBorders>
              <w:top w:val="single" w:sz="8" w:color="auto"/>
            </w:tcBorders>
            <w:gridSpan w:val="2"/>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380" w:type="dxa"/>
            <w:vAlign w:val="bottom"/>
            <w:tcBorders>
              <w:top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1"/>
                <w:szCs w:val="11"/>
                <w:color w:val="auto"/>
              </w:rPr>
              <w:t>income</w:t>
            </w:r>
          </w:p>
        </w:tc>
        <w:tc>
          <w:tcPr>
            <w:tcW w:w="60" w:type="dxa"/>
            <w:vAlign w:val="bottom"/>
          </w:tcPr>
          <w:p>
            <w:pPr>
              <w:spacing w:after="0"/>
              <w:rPr>
                <w:sz w:val="9"/>
                <w:szCs w:val="9"/>
                <w:color w:val="auto"/>
              </w:rPr>
            </w:pPr>
          </w:p>
        </w:tc>
        <w:tc>
          <w:tcPr>
            <w:tcW w:w="50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1"/>
                <w:szCs w:val="11"/>
                <w:color w:val="auto"/>
              </w:rPr>
              <w:t>capital</w:t>
            </w:r>
          </w:p>
        </w:tc>
        <w:tc>
          <w:tcPr>
            <w:tcW w:w="0" w:type="dxa"/>
            <w:vAlign w:val="bottom"/>
          </w:tcPr>
          <w:p>
            <w:pPr>
              <w:spacing w:after="0"/>
              <w:rPr>
                <w:sz w:val="1"/>
                <w:szCs w:val="1"/>
                <w:color w:val="auto"/>
              </w:rPr>
            </w:pPr>
          </w:p>
        </w:tc>
      </w:tr>
      <w:tr>
        <w:trPr>
          <w:trHeight w:val="124"/>
        </w:trPr>
        <w:tc>
          <w:tcPr>
            <w:tcW w:w="29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January 1, 2024</w:t>
            </w: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128</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92"/>
              </w:rPr>
              <w:t>178</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40"/>
              <w:spacing w:after="0" w:line="124" w:lineRule="exact"/>
              <w:rPr>
                <w:sz w:val="20"/>
                <w:szCs w:val="20"/>
                <w:color w:val="auto"/>
              </w:rPr>
            </w:pPr>
            <w:r>
              <w:rPr>
                <w:rFonts w:ascii="Times New Roman" w:cs="Times New Roman" w:eastAsia="Times New Roman" w:hAnsi="Times New Roman"/>
                <w:sz w:val="13"/>
                <w:szCs w:val="13"/>
                <w:color w:val="auto"/>
                <w:w w:val="94"/>
              </w:rPr>
              <w:t>16,723</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$ 16,422</w:t>
            </w: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81"/>
              </w:rPr>
              <w:t>754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2"/>
              </w:rPr>
              <w:t>108</w:t>
            </w: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ind w:left="380"/>
              <w:spacing w:after="0" w:line="124" w:lineRule="exact"/>
              <w:rPr>
                <w:sz w:val="20"/>
                <w:szCs w:val="20"/>
                <w:color w:val="auto"/>
              </w:rPr>
            </w:pPr>
            <w:r>
              <w:rPr>
                <w:rFonts w:ascii="Times New Roman" w:cs="Times New Roman" w:eastAsia="Times New Roman" w:hAnsi="Times New Roman"/>
                <w:sz w:val="13"/>
                <w:szCs w:val="13"/>
                <w:color w:val="auto"/>
                <w:w w:val="81"/>
              </w:rPr>
              <w:t>188</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$ 16,744</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60" w:type="dxa"/>
            <w:vAlign w:val="bottom"/>
            <w:gridSpan w:val="2"/>
          </w:tcPr>
          <w:p>
            <w:pPr>
              <w:jc w:val="right"/>
              <w:ind w:right="104"/>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37</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1,104</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35</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1,163</w:t>
            </w:r>
          </w:p>
        </w:tc>
        <w:tc>
          <w:tcPr>
            <w:tcW w:w="0" w:type="dxa"/>
            <w:vAlign w:val="bottom"/>
          </w:tcPr>
          <w:p>
            <w:pPr>
              <w:spacing w:after="0"/>
              <w:rPr>
                <w:sz w:val="1"/>
                <w:szCs w:val="1"/>
                <w:color w:val="auto"/>
              </w:rPr>
            </w:pPr>
          </w:p>
        </w:tc>
      </w:tr>
      <w:tr>
        <w:trPr>
          <w:trHeight w:val="132"/>
        </w:trPr>
        <w:tc>
          <w:tcPr>
            <w:tcW w:w="29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360" w:type="dxa"/>
            <w:vAlign w:val="bottom"/>
            <w:gridSpan w:val="3"/>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40"/>
              <w:spacing w:after="0" w:line="132" w:lineRule="exact"/>
              <w:rPr>
                <w:sz w:val="20"/>
                <w:szCs w:val="20"/>
                <w:color w:val="auto"/>
              </w:rPr>
            </w:pPr>
            <w:r>
              <w:rPr>
                <w:rFonts w:ascii="Times New Roman" w:cs="Times New Roman" w:eastAsia="Times New Roman" w:hAnsi="Times New Roman"/>
                <w:sz w:val="13"/>
                <w:szCs w:val="13"/>
                <w:color w:val="auto"/>
              </w:rPr>
              <w:t>(177)</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(177)</w:t>
            </w:r>
          </w:p>
        </w:tc>
        <w:tc>
          <w:tcPr>
            <w:tcW w:w="0" w:type="dxa"/>
            <w:vAlign w:val="bottom"/>
          </w:tcPr>
          <w:p>
            <w:pPr>
              <w:spacing w:after="0"/>
              <w:rPr>
                <w:sz w:val="1"/>
                <w:szCs w:val="1"/>
                <w:color w:val="auto"/>
              </w:rPr>
            </w:pPr>
          </w:p>
        </w:tc>
      </w:tr>
      <w:tr>
        <w:trPr>
          <w:trHeight w:val="132"/>
        </w:trPr>
        <w:tc>
          <w:tcPr>
            <w:tcW w:w="29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Reclass from liability-classified units</w:t>
            </w:r>
          </w:p>
        </w:tc>
        <w:tc>
          <w:tcPr>
            <w:tcW w:w="36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6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2"/>
        </w:trPr>
        <w:tc>
          <w:tcPr>
            <w:tcW w:w="29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360" w:type="dxa"/>
            <w:vAlign w:val="bottom"/>
            <w:gridSpan w:val="3"/>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80"/>
              <w:spacing w:after="0" w:line="132" w:lineRule="exact"/>
              <w:rPr>
                <w:sz w:val="20"/>
                <w:szCs w:val="20"/>
                <w:color w:val="auto"/>
              </w:rPr>
            </w:pPr>
            <w:r>
              <w:rPr>
                <w:rFonts w:ascii="Times New Roman" w:cs="Times New Roman" w:eastAsia="Times New Roman" w:hAnsi="Times New Roman"/>
                <w:sz w:val="13"/>
                <w:szCs w:val="13"/>
                <w:color w:val="auto"/>
              </w:rPr>
              <w:t>(44)</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(18)</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32"/>
        </w:trPr>
        <w:tc>
          <w:tcPr>
            <w:tcW w:w="294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360" w:type="dxa"/>
            <w:vAlign w:val="bottom"/>
            <w:gridSpan w:val="3"/>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6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(57)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53</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12"/>
        </w:trPr>
        <w:tc>
          <w:tcPr>
            <w:tcW w:w="29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puttable common units to redemption</w:t>
            </w:r>
          </w:p>
        </w:tc>
        <w:tc>
          <w:tcPr>
            <w:tcW w:w="3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58</w:t>
            </w: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(58)</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360" w:type="dxa"/>
            <w:vAlign w:val="bottom"/>
            <w:gridSpan w:val="3"/>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94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9"/>
                <w:szCs w:val="9"/>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57</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(57)</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52"/>
        </w:trPr>
        <w:tc>
          <w:tcPr>
            <w:tcW w:w="2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3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4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360" w:type="dxa"/>
            <w:vAlign w:val="bottom"/>
            <w:gridSpan w:val="3"/>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4"/>
              <w:spacing w:after="0" w:line="132" w:lineRule="exact"/>
              <w:rPr>
                <w:sz w:val="20"/>
                <w:szCs w:val="20"/>
                <w:color w:val="auto"/>
              </w:rPr>
            </w:pPr>
            <w:r>
              <w:rPr>
                <w:rFonts w:ascii="Times New Roman" w:cs="Times New Roman" w:eastAsia="Times New Roman" w:hAnsi="Times New Roman"/>
                <w:sz w:val="13"/>
                <w:szCs w:val="13"/>
                <w:color w:val="auto"/>
              </w:rPr>
              <w:t>(9)</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(17)</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(1,435)</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(64)</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(1,501)</w:t>
            </w:r>
          </w:p>
        </w:tc>
        <w:tc>
          <w:tcPr>
            <w:tcW w:w="0" w:type="dxa"/>
            <w:vAlign w:val="bottom"/>
          </w:tcPr>
          <w:p>
            <w:pPr>
              <w:spacing w:after="0"/>
              <w:rPr>
                <w:sz w:val="1"/>
                <w:szCs w:val="1"/>
                <w:color w:val="auto"/>
              </w:rPr>
            </w:pPr>
          </w:p>
        </w:tc>
      </w:tr>
      <w:tr>
        <w:trPr>
          <w:trHeight w:val="136"/>
        </w:trPr>
        <w:tc>
          <w:tcPr>
            <w:tcW w:w="29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Balance, December 31, 2024</w:t>
            </w:r>
          </w:p>
        </w:tc>
        <w:tc>
          <w:tcPr>
            <w:tcW w:w="26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128</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92"/>
              </w:rPr>
              <w:t>237</w:t>
            </w: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106</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366</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94"/>
              </w:rPr>
              <w:t>16,723</w:t>
            </w:r>
          </w:p>
        </w:tc>
        <w:tc>
          <w:tcPr>
            <w:tcW w:w="12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15,976</w:t>
            </w:r>
          </w:p>
        </w:tc>
        <w:tc>
          <w:tcPr>
            <w:tcW w:w="180" w:type="dxa"/>
            <w:vAlign w:val="bottom"/>
          </w:tcPr>
          <w:p>
            <w:pPr>
              <w:spacing w:after="0"/>
              <w:rPr>
                <w:sz w:val="11"/>
                <w:szCs w:val="11"/>
                <w:color w:val="auto"/>
              </w:rPr>
            </w:pPr>
          </w:p>
        </w:tc>
        <w:tc>
          <w:tcPr>
            <w:tcW w:w="24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81"/>
              </w:rPr>
              <w:t>721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2"/>
              </w:rPr>
              <w:t>123</w:t>
            </w:r>
          </w:p>
        </w:tc>
        <w:tc>
          <w:tcPr>
            <w:tcW w:w="1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ind w:left="440"/>
              <w:spacing w:after="0" w:line="136" w:lineRule="exact"/>
              <w:rPr>
                <w:sz w:val="20"/>
                <w:szCs w:val="20"/>
                <w:color w:val="auto"/>
              </w:rPr>
            </w:pPr>
            <w:r>
              <w:rPr>
                <w:rFonts w:ascii="Times New Roman" w:cs="Times New Roman" w:eastAsia="Times New Roman" w:hAnsi="Times New Roman"/>
                <w:sz w:val="13"/>
                <w:szCs w:val="13"/>
                <w:color w:val="auto"/>
                <w:w w:val="76"/>
              </w:rPr>
              <w:t>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16,158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F-6</w:t>
      </w:r>
    </w:p>
    <w:p>
      <w:pPr>
        <w:sectPr>
          <w:pgSz w:w="11900" w:h="16838" w:orient="portrait"/>
          <w:cols w:equalWidth="0" w:num="1">
            <w:col w:w="10500"/>
          </w:cols>
          <w:pgMar w:left="320" w:top="420" w:right="107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1"/>
                <w:szCs w:val="11"/>
                <w:color w:val="auto"/>
              </w:rPr>
              <w:t>Year ended December 31, 2023</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gridSpan w:val="6"/>
          </w:tcPr>
          <w:p>
            <w:pPr>
              <w:ind w:left="120"/>
              <w:spacing w:after="0" w:line="112" w:lineRule="exact"/>
              <w:rPr>
                <w:sz w:val="20"/>
                <w:szCs w:val="20"/>
                <w:color w:val="auto"/>
              </w:rPr>
            </w:pPr>
            <w:r>
              <w:rPr>
                <w:rFonts w:ascii="Times New Roman" w:cs="Times New Roman" w:eastAsia="Times New Roman" w:hAnsi="Times New Roman"/>
                <w:sz w:val="11"/>
                <w:szCs w:val="11"/>
                <w:color w:val="auto"/>
              </w:rPr>
              <w:t>Mezzanine Equity</w:t>
            </w: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6"/>
          </w:tcPr>
          <w:p>
            <w:pPr>
              <w:jc w:val="right"/>
              <w:ind w:right="5"/>
              <w:spacing w:after="0" w:line="112" w:lineRule="exact"/>
              <w:rPr>
                <w:sz w:val="20"/>
                <w:szCs w:val="20"/>
                <w:color w:val="auto"/>
              </w:rPr>
            </w:pPr>
            <w:r>
              <w:rPr>
                <w:rFonts w:ascii="Times New Roman" w:cs="Times New Roman" w:eastAsia="Times New Roman" w:hAnsi="Times New Roman"/>
                <w:sz w:val="11"/>
                <w:szCs w:val="11"/>
                <w:color w:val="auto"/>
              </w:rPr>
              <w:t>Partners’ Capital</w:t>
            </w: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jc w:val="center"/>
              <w:ind w:right="18"/>
              <w:spacing w:after="0" w:line="100" w:lineRule="exact"/>
              <w:rPr>
                <w:sz w:val="20"/>
                <w:szCs w:val="20"/>
                <w:color w:val="auto"/>
              </w:rPr>
            </w:pPr>
            <w:r>
              <w:rPr>
                <w:rFonts w:ascii="Times New Roman" w:cs="Times New Roman" w:eastAsia="Times New Roman" w:hAnsi="Times New Roman"/>
                <w:sz w:val="11"/>
                <w:szCs w:val="11"/>
                <w:color w:val="auto"/>
                <w:w w:val="94"/>
              </w:rPr>
              <w:t>Total</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120"/>
              <w:spacing w:after="0" w:line="100" w:lineRule="exact"/>
              <w:rPr>
                <w:sz w:val="20"/>
                <w:szCs w:val="20"/>
                <w:color w:val="auto"/>
              </w:rPr>
            </w:pPr>
            <w:r>
              <w:rPr>
                <w:rFonts w:ascii="Times New Roman" w:cs="Times New Roman" w:eastAsia="Times New Roman" w:hAnsi="Times New Roman"/>
                <w:sz w:val="11"/>
                <w:szCs w:val="11"/>
                <w:color w:val="auto"/>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ind w:left="100"/>
              <w:spacing w:after="0" w:line="120" w:lineRule="exact"/>
              <w:rPr>
                <w:sz w:val="20"/>
                <w:szCs w:val="20"/>
                <w:color w:val="auto"/>
              </w:rPr>
            </w:pPr>
            <w:r>
              <w:rPr>
                <w:rFonts w:ascii="Times New Roman" w:cs="Times New Roman" w:eastAsia="Times New Roman" w:hAnsi="Times New Roman"/>
                <w:sz w:val="11"/>
                <w:szCs w:val="11"/>
                <w:color w:val="auto"/>
              </w:rPr>
              <w:t>Stock-based</w:t>
            </w:r>
          </w:p>
        </w:tc>
        <w:tc>
          <w:tcPr>
            <w:tcW w:w="80" w:type="dxa"/>
            <w:vAlign w:val="bottom"/>
          </w:tcPr>
          <w:p>
            <w:pPr>
              <w:spacing w:after="0"/>
              <w:rPr>
                <w:sz w:val="10"/>
                <w:szCs w:val="10"/>
                <w:color w:val="auto"/>
              </w:rPr>
            </w:pPr>
          </w:p>
        </w:tc>
        <w:tc>
          <w:tcPr>
            <w:tcW w:w="50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1"/>
                <w:szCs w:val="11"/>
                <w:color w:val="auto"/>
              </w:rPr>
              <w:t>Mezzanine</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1"/>
                <w:szCs w:val="11"/>
                <w:color w:val="auto"/>
                <w:w w:val="97"/>
              </w:rPr>
              <w:t>other</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6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w w:val="98"/>
              </w:rPr>
              <w:t>Class A</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Compensation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18"/>
              <w:spacing w:after="0"/>
              <w:rPr>
                <w:sz w:val="20"/>
                <w:szCs w:val="20"/>
                <w:color w:val="auto"/>
              </w:rPr>
            </w:pPr>
            <w:r>
              <w:rPr>
                <w:rFonts w:ascii="Times New Roman" w:cs="Times New Roman" w:eastAsia="Times New Roman" w:hAnsi="Times New Roman"/>
                <w:sz w:val="11"/>
                <w:szCs w:val="11"/>
                <w:color w:val="auto"/>
              </w:rPr>
              <w:t>Equity</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Class A</w:t>
            </w:r>
          </w:p>
        </w:tc>
        <w:tc>
          <w:tcPr>
            <w:tcW w:w="54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w w:val="94"/>
              </w:rPr>
              <w:t>Class B</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6"/>
          </w:tcPr>
          <w:p>
            <w:pPr>
              <w:jc w:val="right"/>
              <w:ind w:right="140"/>
              <w:spacing w:after="0"/>
              <w:rPr>
                <w:sz w:val="20"/>
                <w:szCs w:val="20"/>
                <w:color w:val="auto"/>
              </w:rPr>
            </w:pPr>
            <w:r>
              <w:rPr>
                <w:rFonts w:ascii="Times New Roman" w:cs="Times New Roman" w:eastAsia="Times New Roman" w:hAnsi="Times New Roman"/>
                <w:sz w:val="11"/>
                <w:szCs w:val="11"/>
                <w:color w:val="auto"/>
              </w:rPr>
              <w:t>Class B CUPI</w:t>
            </w:r>
          </w:p>
        </w:tc>
        <w:tc>
          <w:tcPr>
            <w:tcW w:w="60" w:type="dxa"/>
            <w:vAlign w:val="bottom"/>
          </w:tcPr>
          <w:p>
            <w:pPr>
              <w:spacing w:after="0"/>
              <w:rPr>
                <w:sz w:val="11"/>
                <w:szCs w:val="1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comprehensive</w:t>
            </w:r>
          </w:p>
        </w:tc>
        <w:tc>
          <w:tcPr>
            <w:tcW w:w="6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2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9"/>
                <w:szCs w:val="9"/>
                <w:color w:val="auto"/>
              </w:rPr>
            </w:pPr>
          </w:p>
        </w:tc>
        <w:tc>
          <w:tcPr>
            <w:tcW w:w="740" w:type="dxa"/>
            <w:vAlign w:val="bottom"/>
            <w:tcBorders>
              <w:top w:val="single" w:sz="8" w:color="auto"/>
            </w:tcBorders>
            <w:gridSpan w:val="4"/>
          </w:tcPr>
          <w:p>
            <w:pPr>
              <w:jc w:val="right"/>
              <w:spacing w:after="0" w:line="112" w:lineRule="exact"/>
              <w:rPr>
                <w:sz w:val="20"/>
                <w:szCs w:val="20"/>
                <w:color w:val="auto"/>
              </w:rPr>
            </w:pPr>
            <w:r>
              <w:rPr>
                <w:rFonts w:ascii="Times New Roman" w:cs="Times New Roman" w:eastAsia="Times New Roman" w:hAnsi="Times New Roman"/>
                <w:sz w:val="11"/>
                <w:szCs w:val="11"/>
                <w:color w:val="auto"/>
              </w:rPr>
              <w:t>Units  Amount</w:t>
            </w:r>
          </w:p>
        </w:tc>
        <w:tc>
          <w:tcPr>
            <w:tcW w:w="80" w:type="dxa"/>
            <w:vAlign w:val="bottom"/>
          </w:tcPr>
          <w:p>
            <w:pPr>
              <w:spacing w:after="0"/>
              <w:rPr>
                <w:sz w:val="9"/>
                <w:szCs w:val="9"/>
                <w:color w:val="auto"/>
              </w:rPr>
            </w:pPr>
          </w:p>
        </w:tc>
        <w:tc>
          <w:tcPr>
            <w:tcW w:w="500" w:type="dxa"/>
            <w:vAlign w:val="bottom"/>
            <w:tcBorders>
              <w:top w:val="single" w:sz="8" w:color="auto"/>
            </w:tcBorders>
            <w:gridSpan w:val="2"/>
          </w:tcPr>
          <w:p>
            <w:pPr>
              <w:jc w:val="cente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gridSpan w:val="2"/>
          </w:tcPr>
          <w:p>
            <w:pPr>
              <w:ind w:left="80"/>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42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Amount</w:t>
            </w:r>
          </w:p>
        </w:tc>
        <w:tc>
          <w:tcPr>
            <w:tcW w:w="180" w:type="dxa"/>
            <w:vAlign w:val="bottom"/>
          </w:tcPr>
          <w:p>
            <w:pPr>
              <w:spacing w:after="0"/>
              <w:rPr>
                <w:sz w:val="9"/>
                <w:szCs w:val="9"/>
                <w:color w:val="auto"/>
              </w:rPr>
            </w:pPr>
          </w:p>
        </w:tc>
        <w:tc>
          <w:tcPr>
            <w:tcW w:w="24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Pr>
          <w:p>
            <w:pPr>
              <w:spacing w:after="0"/>
              <w:rPr>
                <w:sz w:val="9"/>
                <w:szCs w:val="9"/>
                <w:color w:val="auto"/>
              </w:rPr>
            </w:pPr>
          </w:p>
        </w:tc>
        <w:tc>
          <w:tcPr>
            <w:tcW w:w="360" w:type="dxa"/>
            <w:vAlign w:val="bottom"/>
            <w:tcBorders>
              <w:top w:val="single" w:sz="8" w:color="auto"/>
            </w:tcBorders>
            <w:gridSpan w:val="2"/>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3"/>
          </w:tcPr>
          <w:p>
            <w:pPr>
              <w:jc w:val="center"/>
              <w:ind w:right="120"/>
              <w:spacing w:after="0" w:line="112" w:lineRule="exact"/>
              <w:rPr>
                <w:sz w:val="20"/>
                <w:szCs w:val="20"/>
                <w:color w:val="auto"/>
              </w:rPr>
            </w:pPr>
            <w:r>
              <w:rPr>
                <w:rFonts w:ascii="Times New Roman" w:cs="Times New Roman" w:eastAsia="Times New Roman" w:hAnsi="Times New Roman"/>
                <w:sz w:val="11"/>
                <w:szCs w:val="11"/>
                <w:color w:val="auto"/>
              </w:rPr>
              <w:t>income (loss)</w:t>
            </w:r>
          </w:p>
        </w:tc>
        <w:tc>
          <w:tcPr>
            <w:tcW w:w="60" w:type="dxa"/>
            <w:vAlign w:val="bottom"/>
          </w:tcPr>
          <w:p>
            <w:pPr>
              <w:spacing w:after="0"/>
              <w:rPr>
                <w:sz w:val="9"/>
                <w:szCs w:val="9"/>
                <w:color w:val="auto"/>
              </w:rPr>
            </w:pPr>
          </w:p>
        </w:tc>
        <w:tc>
          <w:tcPr>
            <w:tcW w:w="50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1"/>
                <w:szCs w:val="11"/>
                <w:color w:val="auto"/>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1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January 1, 2023</w:t>
            </w: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128</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81"/>
              </w:rPr>
              <w:t>138</w:t>
            </w: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ind w:left="220"/>
              <w:spacing w:after="0" w:line="124" w:lineRule="exact"/>
              <w:rPr>
                <w:sz w:val="20"/>
                <w:szCs w:val="20"/>
                <w:color w:val="auto"/>
              </w:rPr>
            </w:pPr>
            <w:r>
              <w:rPr>
                <w:rFonts w:ascii="Times New Roman" w:cs="Times New Roman" w:eastAsia="Times New Roman" w:hAnsi="Times New Roman"/>
                <w:sz w:val="13"/>
                <w:szCs w:val="13"/>
                <w:color w:val="auto"/>
                <w:w w:val="92"/>
              </w:rPr>
              <w:t>156</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16,723</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$ 16,290</w:t>
            </w: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81"/>
              </w:rPr>
              <w:t>680</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5"/>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ind w:left="360"/>
              <w:spacing w:after="0" w:line="124" w:lineRule="exact"/>
              <w:rPr>
                <w:sz w:val="20"/>
                <w:szCs w:val="20"/>
                <w:color w:val="auto"/>
              </w:rPr>
            </w:pPr>
            <w:r>
              <w:rPr>
                <w:rFonts w:ascii="Times New Roman" w:cs="Times New Roman" w:eastAsia="Times New Roman" w:hAnsi="Times New Roman"/>
                <w:sz w:val="13"/>
                <w:szCs w:val="13"/>
                <w:color w:val="auto"/>
                <w:w w:val="81"/>
              </w:rPr>
              <w:t>262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$ 16,621</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234</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(74)</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Capital contribution</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84</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54</w:t>
            </w:r>
          </w:p>
        </w:tc>
        <w:tc>
          <w:tcPr>
            <w:tcW w:w="3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Adjustment of puttable common units to redemption value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76"/>
              </w:rPr>
              <w:t>40</w:t>
            </w:r>
          </w:p>
        </w:tc>
        <w:tc>
          <w:tcPr>
            <w:tcW w:w="12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280"/>
              <w:spacing w:after="0" w:line="132" w:lineRule="exact"/>
              <w:rPr>
                <w:sz w:val="20"/>
                <w:szCs w:val="20"/>
                <w:color w:val="auto"/>
              </w:rPr>
            </w:pPr>
            <w:r>
              <w:rPr>
                <w:rFonts w:ascii="Times New Roman" w:cs="Times New Roman" w:eastAsia="Times New Roman" w:hAnsi="Times New Roman"/>
                <w:sz w:val="13"/>
                <w:szCs w:val="13"/>
                <w:color w:val="auto"/>
                <w:w w:val="91"/>
              </w:rPr>
              <w:t>40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(40)</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1"/>
              </w:rPr>
              <w:t>37</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1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ind w:left="20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60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(114)</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128</w:t>
            </w:r>
          </w:p>
        </w:tc>
        <w:tc>
          <w:tcPr>
            <w:tcW w:w="30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w w:val="81"/>
              </w:rPr>
              <w:t>178</w:t>
            </w:r>
          </w:p>
        </w:tc>
        <w:tc>
          <w:tcPr>
            <w:tcW w:w="3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82</w:t>
            </w:r>
          </w:p>
        </w:tc>
        <w:tc>
          <w:tcPr>
            <w:tcW w:w="240" w:type="dxa"/>
            <w:vAlign w:val="bottom"/>
            <w:gridSpan w:val="2"/>
            <w:shd w:val="clear" w:color="auto" w:fill="CCEEFF"/>
          </w:tcPr>
          <w:p>
            <w:pPr>
              <w:jc w:val="right"/>
              <w:ind w:right="7"/>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55</w:t>
            </w:r>
          </w:p>
        </w:tc>
        <w:tc>
          <w:tcPr>
            <w:tcW w:w="16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ind w:left="220"/>
              <w:spacing w:after="0" w:line="132" w:lineRule="exact"/>
              <w:rPr>
                <w:sz w:val="20"/>
                <w:szCs w:val="20"/>
                <w:color w:val="auto"/>
              </w:rPr>
            </w:pPr>
            <w:r>
              <w:rPr>
                <w:rFonts w:ascii="Times New Roman" w:cs="Times New Roman" w:eastAsia="Times New Roman" w:hAnsi="Times New Roman"/>
                <w:sz w:val="13"/>
                <w:szCs w:val="13"/>
                <w:color w:val="auto"/>
                <w:w w:val="92"/>
              </w:rPr>
              <w:t>233</w:t>
            </w:r>
          </w:p>
        </w:tc>
        <w:tc>
          <w:tcPr>
            <w:tcW w:w="100" w:type="dxa"/>
            <w:vAlign w:val="bottom"/>
            <w:tcBorders>
              <w:right w:val="single" w:sz="8" w:color="auto"/>
            </w:tcBorders>
            <w:shd w:val="clear" w:color="auto" w:fill="CCEEFF"/>
          </w:tcPr>
          <w:p>
            <w:pPr>
              <w:spacing w:after="0"/>
              <w:rPr>
                <w:sz w:val="11"/>
                <w:szCs w:val="11"/>
                <w:color w:val="auto"/>
              </w:rPr>
            </w:pPr>
          </w:p>
        </w:tc>
        <w:tc>
          <w:tcPr>
            <w:tcW w:w="58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0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16,422</w:t>
            </w: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754</w:t>
            </w:r>
          </w:p>
        </w:tc>
        <w:tc>
          <w:tcPr>
            <w:tcW w:w="30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108</w:t>
            </w: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jc w:val="right"/>
              <w:ind w:right="5"/>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26</w:t>
            </w: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25"/>
              <w:spacing w:after="0" w:line="13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188</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16,744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F-7</w:t>
      </w:r>
    </w:p>
    <w:p>
      <w:pPr>
        <w:sectPr>
          <w:pgSz w:w="11900" w:h="16838" w:orient="portrait"/>
          <w:cols w:equalWidth="0" w:num="1">
            <w:col w:w="10500"/>
          </w:cols>
          <w:pgMar w:left="320" w:top="420" w:right="107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CONSOLIDATED STATEMENTS OF MEZZANINE EQUITY AND PARTNERS’ CAPITAL</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135"/>
        </w:trPr>
        <w:tc>
          <w:tcPr>
            <w:tcW w:w="29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1"/>
                <w:szCs w:val="11"/>
                <w:color w:val="auto"/>
              </w:rPr>
              <w:t>Year ended December 31, 2022</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gridSpan w:val="6"/>
          </w:tcPr>
          <w:p>
            <w:pPr>
              <w:ind w:left="160"/>
              <w:spacing w:after="0" w:line="112" w:lineRule="exact"/>
              <w:rPr>
                <w:sz w:val="20"/>
                <w:szCs w:val="20"/>
                <w:color w:val="auto"/>
              </w:rPr>
            </w:pPr>
            <w:r>
              <w:rPr>
                <w:rFonts w:ascii="Times New Roman" w:cs="Times New Roman" w:eastAsia="Times New Roman" w:hAnsi="Times New Roman"/>
                <w:sz w:val="11"/>
                <w:szCs w:val="11"/>
                <w:color w:val="auto"/>
              </w:rPr>
              <w:t>Mezzanine Equity</w:t>
            </w: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6"/>
          </w:tcPr>
          <w:p>
            <w:pPr>
              <w:ind w:left="40"/>
              <w:spacing w:after="0" w:line="112" w:lineRule="exact"/>
              <w:rPr>
                <w:sz w:val="20"/>
                <w:szCs w:val="20"/>
                <w:color w:val="auto"/>
              </w:rPr>
            </w:pPr>
            <w:r>
              <w:rPr>
                <w:rFonts w:ascii="Times New Roman" w:cs="Times New Roman" w:eastAsia="Times New Roman" w:hAnsi="Times New Roman"/>
                <w:sz w:val="11"/>
                <w:szCs w:val="11"/>
                <w:color w:val="auto"/>
              </w:rPr>
              <w:t>Partners’ Capital</w:t>
            </w: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right w:val="single" w:sz="8" w:color="auto"/>
            </w:tcBorders>
          </w:tcPr>
          <w:p>
            <w:pPr>
              <w:jc w:val="center"/>
              <w:ind w:right="58"/>
              <w:spacing w:after="0" w:line="100" w:lineRule="exact"/>
              <w:rPr>
                <w:sz w:val="20"/>
                <w:szCs w:val="20"/>
                <w:color w:val="auto"/>
              </w:rPr>
            </w:pPr>
            <w:r>
              <w:rPr>
                <w:rFonts w:ascii="Times New Roman" w:cs="Times New Roman" w:eastAsia="Times New Roman" w:hAnsi="Times New Roman"/>
                <w:sz w:val="11"/>
                <w:szCs w:val="11"/>
                <w:color w:val="auto"/>
                <w:w w:val="94"/>
              </w:rPr>
              <w:t>Total</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tcPr>
          <w:p>
            <w:pPr>
              <w:jc w:val="center"/>
              <w:ind w:right="120"/>
              <w:spacing w:after="0" w:line="100" w:lineRule="exact"/>
              <w:rPr>
                <w:sz w:val="20"/>
                <w:szCs w:val="20"/>
                <w:color w:val="auto"/>
              </w:rPr>
            </w:pPr>
            <w:r>
              <w:rPr>
                <w:rFonts w:ascii="Times New Roman" w:cs="Times New Roman" w:eastAsia="Times New Roman" w:hAnsi="Times New Roman"/>
                <w:sz w:val="11"/>
                <w:szCs w:val="11"/>
                <w:color w:val="auto"/>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4"/>
          </w:tcPr>
          <w:p>
            <w:pPr>
              <w:jc w:val="center"/>
              <w:spacing w:after="0" w:line="120" w:lineRule="exact"/>
              <w:rPr>
                <w:sz w:val="20"/>
                <w:szCs w:val="20"/>
                <w:color w:val="auto"/>
              </w:rPr>
            </w:pPr>
            <w:r>
              <w:rPr>
                <w:rFonts w:ascii="Times New Roman" w:cs="Times New Roman" w:eastAsia="Times New Roman" w:hAnsi="Times New Roman"/>
                <w:sz w:val="11"/>
                <w:szCs w:val="11"/>
                <w:color w:val="auto"/>
              </w:rPr>
              <w:t>Stock-based</w:t>
            </w:r>
          </w:p>
        </w:tc>
        <w:tc>
          <w:tcPr>
            <w:tcW w:w="120" w:type="dxa"/>
            <w:vAlign w:val="bottom"/>
          </w:tcPr>
          <w:p>
            <w:pPr>
              <w:spacing w:after="0"/>
              <w:rPr>
                <w:sz w:val="10"/>
                <w:szCs w:val="10"/>
                <w:color w:val="auto"/>
              </w:rPr>
            </w:pPr>
          </w:p>
        </w:tc>
        <w:tc>
          <w:tcPr>
            <w:tcW w:w="560" w:type="dxa"/>
            <w:vAlign w:val="bottom"/>
            <w:tcBorders>
              <w:right w:val="single" w:sz="8" w:color="auto"/>
            </w:tcBorders>
            <w:gridSpan w:val="2"/>
          </w:tcPr>
          <w:p>
            <w:pPr>
              <w:jc w:val="center"/>
              <w:spacing w:after="0" w:line="120" w:lineRule="exact"/>
              <w:rPr>
                <w:sz w:val="20"/>
                <w:szCs w:val="20"/>
                <w:color w:val="auto"/>
              </w:rPr>
            </w:pPr>
            <w:r>
              <w:rPr>
                <w:rFonts w:ascii="Times New Roman" w:cs="Times New Roman" w:eastAsia="Times New Roman" w:hAnsi="Times New Roman"/>
                <w:sz w:val="11"/>
                <w:szCs w:val="11"/>
                <w:color w:val="auto"/>
              </w:rPr>
              <w:t>Mezzanine</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1"/>
                <w:szCs w:val="11"/>
                <w:color w:val="auto"/>
                <w:w w:val="97"/>
              </w:rPr>
              <w:t>other</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32"/>
        </w:trPr>
        <w:tc>
          <w:tcPr>
            <w:tcW w:w="2980" w:type="dxa"/>
            <w:vAlign w:val="bottom"/>
          </w:tcPr>
          <w:p>
            <w:pPr>
              <w:spacing w:after="0"/>
              <w:rPr>
                <w:sz w:val="11"/>
                <w:szCs w:val="11"/>
                <w:color w:val="auto"/>
              </w:rPr>
            </w:pPr>
          </w:p>
        </w:tc>
        <w:tc>
          <w:tcPr>
            <w:tcW w:w="54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w w:val="92"/>
              </w:rPr>
              <w:t>Class A</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rPr>
              <w:t>Compensation</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color w:val="auto"/>
              </w:rPr>
              <w:t>Equity</w:t>
            </w:r>
          </w:p>
        </w:tc>
        <w:tc>
          <w:tcPr>
            <w:tcW w:w="220" w:type="dxa"/>
            <w:vAlign w:val="bottom"/>
          </w:tcPr>
          <w:p>
            <w:pPr>
              <w:spacing w:after="0"/>
              <w:rPr>
                <w:sz w:val="11"/>
                <w:szCs w:val="11"/>
                <w:color w:val="auto"/>
              </w:rPr>
            </w:pPr>
          </w:p>
        </w:tc>
        <w:tc>
          <w:tcPr>
            <w:tcW w:w="1100" w:type="dxa"/>
            <w:vAlign w:val="bottom"/>
            <w:gridSpan w:val="5"/>
          </w:tcPr>
          <w:p>
            <w:pPr>
              <w:ind w:left="300"/>
              <w:spacing w:after="0"/>
              <w:rPr>
                <w:sz w:val="20"/>
                <w:szCs w:val="20"/>
                <w:color w:val="auto"/>
              </w:rPr>
            </w:pPr>
            <w:r>
              <w:rPr>
                <w:rFonts w:ascii="Times New Roman" w:cs="Times New Roman" w:eastAsia="Times New Roman" w:hAnsi="Times New Roman"/>
                <w:sz w:val="11"/>
                <w:szCs w:val="11"/>
                <w:color w:val="auto"/>
              </w:rPr>
              <w:t>Class A</w:t>
            </w: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Class B</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5"/>
          </w:tcPr>
          <w:p>
            <w:pPr>
              <w:jc w:val="right"/>
              <w:ind w:right="16"/>
              <w:spacing w:after="0"/>
              <w:rPr>
                <w:sz w:val="20"/>
                <w:szCs w:val="20"/>
                <w:color w:val="auto"/>
              </w:rPr>
            </w:pPr>
            <w:r>
              <w:rPr>
                <w:rFonts w:ascii="Times New Roman" w:cs="Times New Roman" w:eastAsia="Times New Roman" w:hAnsi="Times New Roman"/>
                <w:sz w:val="11"/>
                <w:szCs w:val="11"/>
                <w:color w:val="auto"/>
              </w:rPr>
              <w:t>Class B CUPI</w:t>
            </w:r>
          </w:p>
        </w:tc>
        <w:tc>
          <w:tcPr>
            <w:tcW w:w="120" w:type="dxa"/>
            <w:vAlign w:val="bottom"/>
          </w:tcPr>
          <w:p>
            <w:pPr>
              <w:spacing w:after="0"/>
              <w:rPr>
                <w:sz w:val="11"/>
                <w:szCs w:val="1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color w:val="auto"/>
              </w:rPr>
              <w:t>comprehensive</w:t>
            </w:r>
          </w:p>
        </w:tc>
        <w:tc>
          <w:tcPr>
            <w:tcW w:w="6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2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9"/>
                <w:szCs w:val="9"/>
                <w:color w:val="auto"/>
              </w:rPr>
            </w:pPr>
          </w:p>
        </w:tc>
        <w:tc>
          <w:tcPr>
            <w:tcW w:w="26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right w:val="single" w:sz="8" w:color="auto"/>
            </w:tcBorders>
          </w:tcPr>
          <w:p>
            <w:pPr>
              <w:jc w:val="center"/>
              <w:ind w:right="58"/>
              <w:spacing w:after="0" w:line="112" w:lineRule="exact"/>
              <w:rPr>
                <w:sz w:val="20"/>
                <w:szCs w:val="20"/>
                <w:color w:val="auto"/>
              </w:rPr>
            </w:pPr>
            <w:r>
              <w:rPr>
                <w:rFonts w:ascii="Times New Roman" w:cs="Times New Roman" w:eastAsia="Times New Roman" w:hAnsi="Times New Roman"/>
                <w:sz w:val="11"/>
                <w:szCs w:val="11"/>
                <w:color w:val="auto"/>
              </w:rPr>
              <w:t>Amount</w:t>
            </w:r>
          </w:p>
        </w:tc>
        <w:tc>
          <w:tcPr>
            <w:tcW w:w="220" w:type="dxa"/>
            <w:vAlign w:val="bottom"/>
          </w:tcPr>
          <w:p>
            <w:pPr>
              <w:spacing w:after="0"/>
              <w:rPr>
                <w:sz w:val="9"/>
                <w:szCs w:val="9"/>
                <w:color w:val="auto"/>
              </w:rPr>
            </w:pPr>
          </w:p>
        </w:tc>
        <w:tc>
          <w:tcPr>
            <w:tcW w:w="440" w:type="dxa"/>
            <w:vAlign w:val="bottom"/>
            <w:tcBorders>
              <w:top w:val="single" w:sz="8" w:color="auto"/>
            </w:tcBorders>
            <w:gridSpan w:val="2"/>
          </w:tcPr>
          <w:p>
            <w:pPr>
              <w:ind w:left="60"/>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12" w:lineRule="exact"/>
              <w:rPr>
                <w:sz w:val="20"/>
                <w:szCs w:val="20"/>
                <w:color w:val="auto"/>
              </w:rPr>
            </w:pPr>
            <w:r>
              <w:rPr>
                <w:rFonts w:ascii="Times New Roman" w:cs="Times New Roman" w:eastAsia="Times New Roman" w:hAnsi="Times New Roman"/>
                <w:sz w:val="11"/>
                <w:szCs w:val="11"/>
                <w:color w:val="auto"/>
              </w:rPr>
              <w:t>Amount</w:t>
            </w:r>
          </w:p>
        </w:tc>
        <w:tc>
          <w:tcPr>
            <w:tcW w:w="160" w:type="dxa"/>
            <w:vAlign w:val="bottom"/>
          </w:tcPr>
          <w:p>
            <w:pPr>
              <w:spacing w:after="0"/>
              <w:rPr>
                <w:sz w:val="9"/>
                <w:szCs w:val="9"/>
                <w:color w:val="auto"/>
              </w:rPr>
            </w:pPr>
          </w:p>
        </w:tc>
        <w:tc>
          <w:tcPr>
            <w:tcW w:w="42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38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Pr>
          <w:p>
            <w:pPr>
              <w:spacing w:after="0"/>
              <w:rPr>
                <w:sz w:val="9"/>
                <w:szCs w:val="9"/>
                <w:color w:val="auto"/>
              </w:rPr>
            </w:pPr>
          </w:p>
        </w:tc>
        <w:tc>
          <w:tcPr>
            <w:tcW w:w="360" w:type="dxa"/>
            <w:vAlign w:val="bottom"/>
            <w:tcBorders>
              <w:top w:val="single" w:sz="8" w:color="auto"/>
            </w:tcBorders>
            <w:gridSpan w:val="2"/>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9"/>
                <w:szCs w:val="9"/>
                <w:color w:val="auto"/>
              </w:rPr>
            </w:pPr>
          </w:p>
        </w:tc>
        <w:tc>
          <w:tcPr>
            <w:tcW w:w="800" w:type="dxa"/>
            <w:vAlign w:val="bottom"/>
            <w:gridSpan w:val="3"/>
          </w:tcPr>
          <w:p>
            <w:pPr>
              <w:jc w:val="center"/>
              <w:ind w:right="120"/>
              <w:spacing w:after="0" w:line="112" w:lineRule="exact"/>
              <w:rPr>
                <w:sz w:val="20"/>
                <w:szCs w:val="20"/>
                <w:color w:val="auto"/>
              </w:rPr>
            </w:pPr>
            <w:r>
              <w:rPr>
                <w:rFonts w:ascii="Times New Roman" w:cs="Times New Roman" w:eastAsia="Times New Roman" w:hAnsi="Times New Roman"/>
                <w:sz w:val="11"/>
                <w:szCs w:val="11"/>
                <w:color w:val="auto"/>
              </w:rPr>
              <w:t>income (loss)</w:t>
            </w:r>
          </w:p>
        </w:tc>
        <w:tc>
          <w:tcPr>
            <w:tcW w:w="60" w:type="dxa"/>
            <w:vAlign w:val="bottom"/>
          </w:tcPr>
          <w:p>
            <w:pPr>
              <w:spacing w:after="0"/>
              <w:rPr>
                <w:sz w:val="9"/>
                <w:szCs w:val="9"/>
                <w:color w:val="auto"/>
              </w:rPr>
            </w:pPr>
          </w:p>
        </w:tc>
        <w:tc>
          <w:tcPr>
            <w:tcW w:w="50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1"/>
                <w:szCs w:val="11"/>
                <w:color w:val="auto"/>
              </w:rPr>
              <w:t>capital</w:t>
            </w:r>
          </w:p>
        </w:tc>
        <w:tc>
          <w:tcPr>
            <w:tcW w:w="0" w:type="dxa"/>
            <w:vAlign w:val="bottom"/>
          </w:tcPr>
          <w:p>
            <w:pPr>
              <w:spacing w:after="0"/>
              <w:rPr>
                <w:sz w:val="1"/>
                <w:szCs w:val="1"/>
                <w:color w:val="auto"/>
              </w:rPr>
            </w:pPr>
          </w:p>
        </w:tc>
      </w:tr>
      <w:tr>
        <w:trPr>
          <w:trHeight w:val="124"/>
        </w:trPr>
        <w:tc>
          <w:tcPr>
            <w:tcW w:w="29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January 1, 2022</w:t>
            </w: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128</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w w:val="81"/>
              </w:rPr>
              <w:t>128</w:t>
            </w: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right w:val="single" w:sz="8" w:color="auto"/>
            </w:tcBorders>
            <w:shd w:val="clear" w:color="auto" w:fill="CCEEFF"/>
          </w:tcPr>
          <w:p>
            <w:pPr>
              <w:ind w:left="240"/>
              <w:spacing w:after="0" w:line="124" w:lineRule="exact"/>
              <w:rPr>
                <w:sz w:val="20"/>
                <w:szCs w:val="20"/>
                <w:color w:val="auto"/>
              </w:rPr>
            </w:pPr>
            <w:r>
              <w:rPr>
                <w:rFonts w:ascii="Times New Roman" w:cs="Times New Roman" w:eastAsia="Times New Roman" w:hAnsi="Times New Roman"/>
                <w:sz w:val="13"/>
                <w:szCs w:val="13"/>
                <w:color w:val="auto"/>
              </w:rPr>
              <w:t>128</w:t>
            </w:r>
          </w:p>
        </w:tc>
        <w:tc>
          <w:tcPr>
            <w:tcW w:w="2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ind w:left="40"/>
              <w:spacing w:after="0" w:line="124" w:lineRule="exact"/>
              <w:rPr>
                <w:sz w:val="20"/>
                <w:szCs w:val="20"/>
                <w:color w:val="auto"/>
              </w:rPr>
            </w:pPr>
            <w:r>
              <w:rPr>
                <w:rFonts w:ascii="Times New Roman" w:cs="Times New Roman" w:eastAsia="Times New Roman" w:hAnsi="Times New Roman"/>
                <w:sz w:val="13"/>
                <w:szCs w:val="13"/>
                <w:color w:val="auto"/>
                <w:w w:val="89"/>
              </w:rPr>
              <w:t>16,723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2"/>
              </w:rPr>
              <w:t>$ 16,285</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717</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5"/>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ind w:left="380"/>
              <w:spacing w:after="0" w:line="124" w:lineRule="exact"/>
              <w:rPr>
                <w:sz w:val="20"/>
                <w:szCs w:val="20"/>
                <w:color w:val="auto"/>
              </w:rPr>
            </w:pPr>
            <w:r>
              <w:rPr>
                <w:rFonts w:ascii="Times New Roman" w:cs="Times New Roman" w:eastAsia="Times New Roman" w:hAnsi="Times New Roman"/>
                <w:sz w:val="11"/>
                <w:szCs w:val="11"/>
                <w:color w:val="auto"/>
                <w:w w:val="76"/>
              </w:rPr>
              <w:t>(34)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$ 16,262</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9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Adoption of new accounting standard (Topic 326)</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2"/>
        </w:trPr>
        <w:tc>
          <w:tcPr>
            <w:tcW w:w="2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loss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(25)</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2"/>
        </w:trPr>
        <w:tc>
          <w:tcPr>
            <w:tcW w:w="29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income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60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40" w:type="dxa"/>
            <w:vAlign w:val="bottom"/>
            <w:gridSpan w:val="2"/>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296</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296</w:t>
            </w:r>
          </w:p>
        </w:tc>
        <w:tc>
          <w:tcPr>
            <w:tcW w:w="0" w:type="dxa"/>
            <w:vAlign w:val="bottom"/>
          </w:tcPr>
          <w:p>
            <w:pPr>
              <w:spacing w:after="0"/>
              <w:rPr>
                <w:sz w:val="1"/>
                <w:szCs w:val="1"/>
                <w:color w:val="auto"/>
              </w:rPr>
            </w:pPr>
          </w:p>
        </w:tc>
      </w:tr>
      <w:tr>
        <w:trPr>
          <w:trHeight w:val="132"/>
        </w:trPr>
        <w:tc>
          <w:tcPr>
            <w:tcW w:w="2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Capital contribution</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85</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32"/>
        </w:trPr>
        <w:tc>
          <w:tcPr>
            <w:tcW w:w="29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right w:val="single" w:sz="8" w:color="auto"/>
            </w:tcBorders>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6</w:t>
            </w:r>
          </w:p>
        </w:tc>
        <w:tc>
          <w:tcPr>
            <w:tcW w:w="42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3"/>
                <w:szCs w:val="13"/>
                <w:color w:val="auto"/>
              </w:rPr>
              <w:t>(37)</w:t>
            </w:r>
          </w:p>
        </w:tc>
        <w:tc>
          <w:tcPr>
            <w:tcW w:w="160" w:type="dxa"/>
            <w:vAlign w:val="bottom"/>
          </w:tcPr>
          <w:p>
            <w:pPr>
              <w:spacing w:after="0"/>
              <w:rPr>
                <w:sz w:val="11"/>
                <w:szCs w:val="11"/>
                <w:color w:val="auto"/>
              </w:rPr>
            </w:pPr>
          </w:p>
        </w:tc>
        <w:tc>
          <w:tcPr>
            <w:tcW w:w="34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45</w:t>
            </w:r>
          </w:p>
        </w:tc>
        <w:tc>
          <w:tcPr>
            <w:tcW w:w="3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12"/>
        </w:trPr>
        <w:tc>
          <w:tcPr>
            <w:tcW w:w="298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puttable common units to redemption</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10</w:t>
            </w:r>
          </w:p>
        </w:tc>
        <w:tc>
          <w:tcPr>
            <w:tcW w:w="1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tcBorders>
              <w:right w:val="single" w:sz="8" w:color="auto"/>
            </w:tcBorders>
            <w:vMerge w:val="restart"/>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w:t>
            </w:r>
          </w:p>
        </w:tc>
        <w:tc>
          <w:tcPr>
            <w:tcW w:w="4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52"/>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tcBorders>
              <w:right w:val="single" w:sz="8" w:color="auto"/>
            </w:tcBorders>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w w:val="76"/>
              </w:rPr>
              <w:t>18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tcPr>
          <w:p>
            <w:pPr>
              <w:spacing w:after="0"/>
              <w:rPr>
                <w:sz w:val="9"/>
                <w:szCs w:val="9"/>
                <w:color w:val="auto"/>
              </w:rPr>
            </w:pPr>
          </w:p>
        </w:tc>
        <w:tc>
          <w:tcPr>
            <w:tcW w:w="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(18)</w:t>
            </w:r>
          </w:p>
        </w:tc>
        <w:tc>
          <w:tcPr>
            <w:tcW w:w="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9"/>
                <w:szCs w:val="9"/>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right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660" w:type="dxa"/>
            <w:vAlign w:val="bottom"/>
            <w:gridSpan w:val="3"/>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9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tcBorders>
              <w:right w:val="single" w:sz="8" w:color="auto"/>
            </w:tcBorders>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ind w:left="3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36"/>
        </w:trPr>
        <w:tc>
          <w:tcPr>
            <w:tcW w:w="29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Balance, December 31, 2022</w:t>
            </w:r>
          </w:p>
        </w:tc>
        <w:tc>
          <w:tcPr>
            <w:tcW w:w="26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128</w:t>
            </w:r>
          </w:p>
        </w:tc>
        <w:tc>
          <w:tcPr>
            <w:tcW w:w="1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bottom w:val="single" w:sz="8" w:color="auto"/>
            </w:tcBorders>
          </w:tcPr>
          <w:p>
            <w:pPr>
              <w:ind w:left="20"/>
              <w:spacing w:after="0" w:line="136" w:lineRule="exact"/>
              <w:rPr>
                <w:sz w:val="20"/>
                <w:szCs w:val="20"/>
                <w:color w:val="auto"/>
              </w:rPr>
            </w:pPr>
            <w:r>
              <w:rPr>
                <w:rFonts w:ascii="Times New Roman" w:cs="Times New Roman" w:eastAsia="Times New Roman" w:hAnsi="Times New Roman"/>
                <w:sz w:val="13"/>
                <w:szCs w:val="13"/>
                <w:color w:val="auto"/>
                <w:w w:val="81"/>
              </w:rPr>
              <w:t>138</w:t>
            </w:r>
          </w:p>
        </w:tc>
        <w:tc>
          <w:tcPr>
            <w:tcW w:w="12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bottom w:val="single" w:sz="8" w:color="auto"/>
            </w:tcBorders>
          </w:tcPr>
          <w:p>
            <w:pPr>
              <w:ind w:left="120"/>
              <w:spacing w:after="0" w:line="136" w:lineRule="exact"/>
              <w:rPr>
                <w:sz w:val="20"/>
                <w:szCs w:val="20"/>
                <w:color w:val="auto"/>
              </w:rPr>
            </w:pPr>
            <w:r>
              <w:rPr>
                <w:rFonts w:ascii="Times New Roman" w:cs="Times New Roman" w:eastAsia="Times New Roman" w:hAnsi="Times New Roman"/>
                <w:sz w:val="13"/>
                <w:szCs w:val="13"/>
                <w:color w:val="auto"/>
                <w:w w:val="76"/>
              </w:rPr>
              <w:t>18</w:t>
            </w:r>
          </w:p>
        </w:tc>
        <w:tc>
          <w:tcPr>
            <w:tcW w:w="12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right w:val="single" w:sz="8" w:color="auto"/>
            </w:tcBorders>
          </w:tcPr>
          <w:p>
            <w:pPr>
              <w:ind w:left="240"/>
              <w:spacing w:after="0" w:line="136" w:lineRule="exact"/>
              <w:rPr>
                <w:sz w:val="20"/>
                <w:szCs w:val="20"/>
                <w:color w:val="auto"/>
              </w:rPr>
            </w:pPr>
            <w:r>
              <w:rPr>
                <w:rFonts w:ascii="Times New Roman" w:cs="Times New Roman" w:eastAsia="Times New Roman" w:hAnsi="Times New Roman"/>
                <w:sz w:val="13"/>
                <w:szCs w:val="13"/>
                <w:color w:val="auto"/>
              </w:rPr>
              <w:t>156</w:t>
            </w:r>
          </w:p>
        </w:tc>
        <w:tc>
          <w:tcPr>
            <w:tcW w:w="220" w:type="dxa"/>
            <w:vAlign w:val="bottom"/>
          </w:tcPr>
          <w:p>
            <w:pPr>
              <w:spacing w:after="0"/>
              <w:rPr>
                <w:sz w:val="11"/>
                <w:szCs w:val="11"/>
                <w:color w:val="auto"/>
              </w:rPr>
            </w:pPr>
          </w:p>
        </w:tc>
        <w:tc>
          <w:tcPr>
            <w:tcW w:w="380" w:type="dxa"/>
            <w:vAlign w:val="bottom"/>
            <w:tcBorders>
              <w:top w:val="single" w:sz="8" w:color="auto"/>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89"/>
              </w:rPr>
              <w:t>16,723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 xml:space="preserve"> 16,290</w:t>
            </w: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680</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ind w:left="360"/>
              <w:spacing w:after="0" w:line="136" w:lineRule="exact"/>
              <w:rPr>
                <w:sz w:val="20"/>
                <w:szCs w:val="20"/>
                <w:color w:val="auto"/>
              </w:rPr>
            </w:pPr>
            <w:r>
              <w:rPr>
                <w:rFonts w:ascii="Times New Roman" w:cs="Times New Roman" w:eastAsia="Times New Roman" w:hAnsi="Times New Roman"/>
                <w:sz w:val="13"/>
                <w:szCs w:val="13"/>
                <w:color w:val="auto"/>
                <w:w w:val="81"/>
              </w:rPr>
              <w:t>262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16,621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F-8</w:t>
      </w:r>
    </w:p>
    <w:p>
      <w:pPr>
        <w:sectPr>
          <w:pgSz w:w="11900" w:h="16838" w:orient="portrait"/>
          <w:cols w:equalWidth="0" w:num="1">
            <w:col w:w="10500"/>
          </w:cols>
          <w:pgMar w:left="320" w:top="420" w:right="10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3"/>
                <w:szCs w:val="13"/>
                <w:color w:val="auto"/>
              </w:rPr>
              <w:t>Year ended</w:t>
            </w: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32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102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280" w:type="dxa"/>
            <w:vAlign w:val="bottom"/>
          </w:tcPr>
          <w:p>
            <w:pPr>
              <w:spacing w:after="0"/>
              <w:rPr>
                <w:sz w:val="9"/>
                <w:szCs w:val="9"/>
                <w:color w:val="auto"/>
              </w:rPr>
            </w:pPr>
          </w:p>
        </w:tc>
        <w:tc>
          <w:tcPr>
            <w:tcW w:w="72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2024</w:t>
            </w:r>
          </w:p>
        </w:tc>
        <w:tc>
          <w:tcPr>
            <w:tcW w:w="6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3"/>
                <w:szCs w:val="13"/>
                <w:color w:val="auto"/>
              </w:rPr>
              <w:t>2023</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2022</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3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60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234</w:t>
            </w: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320" w:type="dxa"/>
            <w:vAlign w:val="bottom"/>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977</w:t>
            </w: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951</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Credit losses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Loss on disposition of property and equipment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Unrealized foreign exchange (gain) loss, net</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inventory step-up</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90</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Non cash lease expense</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(256)</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(545)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444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liabilities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(109)</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(275)</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Investment proceeds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Investment payments</w:t>
            </w:r>
          </w:p>
        </w:tc>
        <w:tc>
          <w:tcPr>
            <w:tcW w:w="16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(1,126)</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asset acquisitions</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6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6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16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15,932</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Repayment for long-term borrowings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(15,995)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Repayments under lines of credit</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Proceeds from lines of credit</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Payment for debt issuance cost</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16"/>
                <w:szCs w:val="16"/>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Payment towards Class B unit repurchases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160" w:type="dxa"/>
            <w:vAlign w:val="bottom"/>
          </w:tcPr>
          <w:p>
            <w:pPr>
              <w:spacing w:after="0"/>
              <w:rPr>
                <w:sz w:val="16"/>
                <w:szCs w:val="16"/>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(1,518)</w:t>
            </w:r>
          </w:p>
        </w:tc>
        <w:tc>
          <w:tcPr>
            <w:tcW w:w="140" w:type="dxa"/>
            <w:vAlign w:val="bottom"/>
          </w:tcPr>
          <w:p>
            <w:pPr>
              <w:spacing w:after="0"/>
              <w:rPr>
                <w:sz w:val="16"/>
                <w:szCs w:val="16"/>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(1,613)</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160" w:type="dxa"/>
            <w:vAlign w:val="bottom"/>
          </w:tcPr>
          <w:p>
            <w:pPr>
              <w:spacing w:after="0"/>
              <w:rPr>
                <w:sz w:val="16"/>
                <w:szCs w:val="16"/>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and restricted cash</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(1,335)</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1,186</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399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250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1,585</w:t>
            </w:r>
          </w:p>
        </w:tc>
        <w:tc>
          <w:tcPr>
            <w:tcW w:w="4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F-9</w:t>
      </w:r>
    </w:p>
    <w:p>
      <w:pPr>
        <w:sectPr>
          <w:pgSz w:w="11900" w:h="16838" w:orient="portrait"/>
          <w:cols w:equalWidth="0" w:num="1">
            <w:col w:w="10500"/>
          </w:cols>
          <w:pgMar w:left="320" w:top="420" w:right="10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9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64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3"/>
                <w:szCs w:val="13"/>
                <w:color w:val="auto"/>
                <w:w w:val="93"/>
              </w:rPr>
              <w:t>Year ended</w:t>
            </w:r>
          </w:p>
        </w:tc>
        <w:tc>
          <w:tcPr>
            <w:tcW w:w="7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4"/>
        </w:trPr>
        <w:tc>
          <w:tcPr>
            <w:tcW w:w="6440" w:type="dxa"/>
            <w:vAlign w:val="bottom"/>
          </w:tcPr>
          <w:p>
            <w:pPr>
              <w:spacing w:after="0"/>
              <w:rPr>
                <w:sz w:val="9"/>
                <w:szCs w:val="9"/>
                <w:color w:val="auto"/>
              </w:rPr>
            </w:pPr>
          </w:p>
        </w:tc>
        <w:tc>
          <w:tcPr>
            <w:tcW w:w="128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1280" w:type="dxa"/>
            <w:vAlign w:val="bottom"/>
            <w:gridSpan w:val="2"/>
          </w:tcPr>
          <w:p>
            <w:pPr>
              <w:jc w:val="center"/>
              <w:ind w:right="560"/>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720" w:type="dxa"/>
            <w:vAlign w:val="bottom"/>
          </w:tcPr>
          <w:p>
            <w:pPr>
              <w:jc w:val="right"/>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40" w:type="dxa"/>
            <w:vAlign w:val="bottom"/>
          </w:tcPr>
          <w:p>
            <w:pPr>
              <w:spacing w:after="0"/>
              <w:rPr>
                <w:sz w:val="9"/>
                <w:szCs w:val="9"/>
                <w:color w:val="auto"/>
              </w:rPr>
            </w:pPr>
          </w:p>
        </w:tc>
      </w:tr>
      <w:tr>
        <w:trPr>
          <w:trHeight w:val="152"/>
        </w:trPr>
        <w:tc>
          <w:tcPr>
            <w:tcW w:w="64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5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2023</w:t>
            </w:r>
          </w:p>
        </w:tc>
        <w:tc>
          <w:tcPr>
            <w:tcW w:w="5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3"/>
                <w:szCs w:val="13"/>
                <w:color w:val="auto"/>
              </w:rPr>
              <w:t>2022</w:t>
            </w:r>
          </w:p>
        </w:tc>
        <w:tc>
          <w:tcPr>
            <w:tcW w:w="40" w:type="dxa"/>
            <w:vAlign w:val="bottom"/>
            <w:tcBorders>
              <w:bottom w:val="single" w:sz="8" w:color="CCEEFF"/>
            </w:tcBorders>
          </w:tcPr>
          <w:p>
            <w:pPr>
              <w:spacing w:after="0"/>
              <w:rPr>
                <w:sz w:val="13"/>
                <w:szCs w:val="13"/>
                <w:color w:val="auto"/>
              </w:rPr>
            </w:pPr>
          </w:p>
        </w:tc>
      </w:tr>
      <w:tr>
        <w:trPr>
          <w:trHeight w:val="172"/>
        </w:trPr>
        <w:tc>
          <w:tcPr>
            <w:tcW w:w="64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7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payments for interest on borrowings</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560" w:type="dxa"/>
            <w:vAlign w:val="bottom"/>
          </w:tcPr>
          <w:p>
            <w:pPr>
              <w:spacing w:after="0"/>
              <w:rPr>
                <w:sz w:val="16"/>
                <w:szCs w:val="16"/>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1,126</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800</w:t>
            </w: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received from interest rate hedging activities</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170</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170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6"/>
                <w:szCs w:val="16"/>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payments for income taxes, net</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101</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52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6"/>
                <w:szCs w:val="16"/>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Operating cash flows paid for operating leases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5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shd w:val="clear" w:color="auto" w:fill="CCEEFF"/>
          </w:tcPr>
          <w:p>
            <w:pPr>
              <w:spacing w:after="0"/>
              <w:rPr>
                <w:sz w:val="16"/>
                <w:szCs w:val="16"/>
                <w:color w:val="auto"/>
              </w:rPr>
            </w:pPr>
          </w:p>
        </w:tc>
      </w:tr>
      <w:tr>
        <w:trPr>
          <w:trHeight w:val="192"/>
        </w:trPr>
        <w:tc>
          <w:tcPr>
            <w:tcW w:w="64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Right-of-use operating lease assets obtained in exchange for lease obligations</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143</w:t>
            </w: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145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tcPr>
          <w:p>
            <w:pPr>
              <w:spacing w:after="0"/>
              <w:rPr>
                <w:sz w:val="16"/>
                <w:szCs w:val="16"/>
                <w:color w:val="auto"/>
              </w:rPr>
            </w:pPr>
          </w:p>
        </w:tc>
      </w:tr>
      <w:tr>
        <w:trPr>
          <w:trHeight w:val="192"/>
        </w:trPr>
        <w:tc>
          <w:tcPr>
            <w:tcW w:w="6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Non-cash capital contribution</w:t>
            </w:r>
          </w:p>
        </w:tc>
        <w:tc>
          <w:tcPr>
            <w:tcW w:w="12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84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40" w:type="dxa"/>
            <w:vAlign w:val="bottom"/>
            <w:shd w:val="clear" w:color="auto" w:fill="CCEEFF"/>
          </w:tcPr>
          <w:p>
            <w:pPr>
              <w:spacing w:after="0"/>
              <w:rPr>
                <w:sz w:val="16"/>
                <w:szCs w:val="16"/>
                <w:color w:val="auto"/>
              </w:rPr>
            </w:pPr>
          </w:p>
        </w:tc>
      </w:tr>
    </w:tbl>
    <w:p>
      <w:pPr>
        <w:spacing w:after="0" w:line="175"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The following table provides reconciliation of cash, cash equivalent and restricted cash shown above to the amounts reported within the consolidated balance sheets as of December 31, 2024 and December 31, 2023:</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Year ended</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4"/>
        </w:trPr>
        <w:tc>
          <w:tcPr>
            <w:tcW w:w="20" w:type="dxa"/>
            <w:vAlign w:val="bottom"/>
          </w:tcPr>
          <w:p>
            <w:pPr>
              <w:spacing w:after="0"/>
              <w:rPr>
                <w:sz w:val="9"/>
                <w:szCs w:val="9"/>
                <w:color w:val="auto"/>
              </w:rPr>
            </w:pPr>
          </w:p>
        </w:tc>
        <w:tc>
          <w:tcPr>
            <w:tcW w:w="6700" w:type="dxa"/>
            <w:vAlign w:val="bottom"/>
          </w:tcPr>
          <w:p>
            <w:pPr>
              <w:spacing w:after="0"/>
              <w:rPr>
                <w:sz w:val="9"/>
                <w:szCs w:val="9"/>
                <w:color w:val="auto"/>
              </w:rPr>
            </w:pPr>
          </w:p>
        </w:tc>
        <w:tc>
          <w:tcPr>
            <w:tcW w:w="76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720" w:type="dxa"/>
            <w:vAlign w:val="bottom"/>
          </w:tcPr>
          <w:p>
            <w:pPr>
              <w:spacing w:after="0"/>
              <w:rPr>
                <w:sz w:val="9"/>
                <w:szCs w:val="9"/>
                <w:color w:val="auto"/>
              </w:rPr>
            </w:pPr>
          </w:p>
        </w:tc>
        <w:tc>
          <w:tcPr>
            <w:tcW w:w="72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6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67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3"/>
                <w:szCs w:val="13"/>
                <w:color w:val="auto"/>
              </w:rPr>
            </w:pPr>
          </w:p>
        </w:tc>
      </w:tr>
      <w:tr>
        <w:trPr>
          <w:trHeight w:val="184"/>
        </w:trPr>
        <w:tc>
          <w:tcPr>
            <w:tcW w:w="20" w:type="dxa"/>
            <w:vAlign w:val="bottom"/>
          </w:tcPr>
          <w:p>
            <w:pPr>
              <w:spacing w:after="0"/>
              <w:rPr>
                <w:sz w:val="15"/>
                <w:szCs w:val="15"/>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60" w:type="dxa"/>
            <w:vAlign w:val="bottom"/>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c>
          <w:tcPr>
            <w:tcW w:w="8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1,585</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F-10</w:t>
      </w:r>
    </w:p>
    <w:p>
      <w:pPr>
        <w:sectPr>
          <w:pgSz w:w="11900" w:h="16838" w:orient="portrait"/>
          <w:cols w:equalWidth="0" w:num="1">
            <w:col w:w="10500"/>
          </w:cols>
          <w:pgMar w:left="320" w:top="421" w:right="10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 — NATURE OF BUSINESS AND SIGNIFICANT ACCOUNTING POLICIES</w:t>
      </w:r>
    </w:p>
    <w:p>
      <w:pPr>
        <w:spacing w:after="0" w:line="105" w:lineRule="exact"/>
        <w:rPr>
          <w:sz w:val="20"/>
          <w:szCs w:val="20"/>
          <w:color w:val="auto"/>
        </w:rPr>
      </w:pPr>
    </w:p>
    <w:p>
      <w:pPr>
        <w:ind w:left="740" w:right="60"/>
        <w:spacing w:after="0" w:line="257" w:lineRule="auto"/>
        <w:rPr>
          <w:sz w:val="20"/>
          <w:szCs w:val="20"/>
          <w:color w:val="auto"/>
        </w:rPr>
      </w:pPr>
      <w:r>
        <w:rPr>
          <w:rFonts w:ascii="Times New Roman" w:cs="Times New Roman" w:eastAsia="Times New Roman" w:hAnsi="Times New Roman"/>
          <w:sz w:val="16"/>
          <w:szCs w:val="16"/>
          <w:u w:val="single" w:color="auto"/>
          <w:color w:val="auto"/>
        </w:rPr>
        <w:t>Nature of Business</w:t>
      </w:r>
      <w:r>
        <w:rPr>
          <w:rFonts w:ascii="Times New Roman" w:cs="Times New Roman" w:eastAsia="Times New Roman" w:hAnsi="Times New Roman"/>
          <w:sz w:val="16"/>
          <w:szCs w:val="16"/>
          <w:color w:val="auto"/>
        </w:rPr>
        <w:t>: Mozart Holdings, LP (“Mozart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64"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57" w:lineRule="exact"/>
        <w:rPr>
          <w:sz w:val="20"/>
          <w:szCs w:val="20"/>
          <w:color w:val="auto"/>
        </w:rPr>
      </w:pPr>
    </w:p>
    <w:p>
      <w:pPr>
        <w:ind w:left="740" w:right="280"/>
        <w:spacing w:after="0" w:line="265" w:lineRule="auto"/>
        <w:rPr>
          <w:sz w:val="20"/>
          <w:szCs w:val="20"/>
          <w:color w:val="auto"/>
        </w:rPr>
      </w:pPr>
      <w:r>
        <w:rPr>
          <w:rFonts w:ascii="Times New Roman" w:cs="Times New Roman" w:eastAsia="Times New Roman" w:hAnsi="Times New Roman"/>
          <w:sz w:val="16"/>
          <w:szCs w:val="16"/>
          <w:color w:val="auto"/>
        </w:rPr>
        <w:t>In December 2024, the Company changed the name of Mozart Holdings, LP to Medline Holdings, LP (“Medline Holdings”). The Company will not distinguish between the prior and current name of Medline Holdings and will refer to the current name of Medline Holdings throughout these consolidated financial statements.</w:t>
      </w:r>
    </w:p>
    <w:p>
      <w:pPr>
        <w:spacing w:after="0" w:line="157"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u w:val="single" w:color="auto"/>
          <w:color w:val="auto"/>
        </w:rPr>
        <w:t>Principles of Consolidation</w:t>
      </w:r>
      <w:r>
        <w:rPr>
          <w:rFonts w:ascii="Times New Roman" w:cs="Times New Roman" w:eastAsia="Times New Roman" w:hAnsi="Times New Roman"/>
          <w:sz w:val="16"/>
          <w:szCs w:val="16"/>
          <w:color w:val="auto"/>
        </w:rPr>
        <w:t>: The consolidated financial statements include the accounts of Medline Holdings and its wholly owned subsidiaries. All intercompany transactions and balances have been eliminated in consolidation.</w:t>
      </w:r>
    </w:p>
    <w:p>
      <w:pPr>
        <w:spacing w:after="0" w:line="144" w:lineRule="exact"/>
        <w:rPr>
          <w:sz w:val="20"/>
          <w:szCs w:val="20"/>
          <w:color w:val="auto"/>
        </w:rPr>
      </w:pPr>
    </w:p>
    <w:p>
      <w:pPr>
        <w:jc w:val="both"/>
        <w:ind w:left="740" w:right="80"/>
        <w:spacing w:after="0" w:line="260" w:lineRule="auto"/>
        <w:rPr>
          <w:sz w:val="20"/>
          <w:szCs w:val="20"/>
          <w:color w:val="auto"/>
        </w:rPr>
      </w:pPr>
      <w:r>
        <w:rPr>
          <w:rFonts w:ascii="Times New Roman" w:cs="Times New Roman" w:eastAsia="Times New Roman" w:hAnsi="Times New Roman"/>
          <w:sz w:val="16"/>
          <w:szCs w:val="16"/>
          <w:u w:val="single" w:color="auto"/>
          <w:color w:val="auto"/>
        </w:rPr>
        <w:t>Basis of Presentation</w:t>
      </w:r>
      <w:r>
        <w:rPr>
          <w:rFonts w:ascii="Times New Roman" w:cs="Times New Roman" w:eastAsia="Times New Roman" w:hAnsi="Times New Roman"/>
          <w:sz w:val="16"/>
          <w:szCs w:val="16"/>
          <w:color w:val="auto"/>
        </w:rPr>
        <w:t>: The consolidated financial statements and accompanying notes are prepared in accordance with United States (“U.S.”) generally accepted accounting principles (“GAAP”).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61"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18 — Segment Information” for additional details.</w:t>
      </w:r>
    </w:p>
    <w:p>
      <w:pPr>
        <w:spacing w:after="0" w:line="161" w:lineRule="exact"/>
        <w:rPr>
          <w:sz w:val="20"/>
          <w:szCs w:val="20"/>
          <w:color w:val="auto"/>
        </w:rPr>
      </w:pPr>
    </w:p>
    <w:p>
      <w:pPr>
        <w:ind w:left="740" w:right="100"/>
        <w:spacing w:after="0" w:line="281" w:lineRule="auto"/>
        <w:rPr>
          <w:sz w:val="20"/>
          <w:szCs w:val="20"/>
          <w:color w:val="auto"/>
        </w:rPr>
      </w:pPr>
      <w:r>
        <w:rPr>
          <w:rFonts w:ascii="Times New Roman" w:cs="Times New Roman" w:eastAsia="Times New Roman" w:hAnsi="Times New Roman"/>
          <w:sz w:val="16"/>
          <w:szCs w:val="16"/>
          <w:color w:val="auto"/>
        </w:rPr>
        <w:t>The Company reclassified certain prior period amounts to make them comparable to the current period. The changes relate to presenting operating cash flows for leases gross rather than net with supplemental disclosures</w:t>
      </w:r>
    </w:p>
    <w:p>
      <w:pPr>
        <w:spacing w:after="0" w:line="144" w:lineRule="exact"/>
        <w:rPr>
          <w:sz w:val="20"/>
          <w:szCs w:val="20"/>
          <w:color w:val="auto"/>
        </w:rPr>
      </w:pPr>
    </w:p>
    <w:p>
      <w:pPr>
        <w:ind w:left="740" w:right="300"/>
        <w:spacing w:after="0" w:line="265" w:lineRule="auto"/>
        <w:rPr>
          <w:sz w:val="20"/>
          <w:szCs w:val="20"/>
          <w:color w:val="auto"/>
        </w:rPr>
      </w:pPr>
      <w:r>
        <w:rPr>
          <w:rFonts w:ascii="Times New Roman" w:cs="Times New Roman" w:eastAsia="Times New Roman" w:hAnsi="Times New Roman"/>
          <w:sz w:val="16"/>
          <w:szCs w:val="16"/>
          <w:u w:val="single" w:color="auto"/>
          <w:color w:val="auto"/>
        </w:rPr>
        <w:t>Fiscal Periods</w:t>
      </w:r>
      <w:r>
        <w:rPr>
          <w:rFonts w:ascii="Times New Roman" w:cs="Times New Roman" w:eastAsia="Times New Roman" w:hAnsi="Times New Roman"/>
          <w:sz w:val="16"/>
          <w:szCs w:val="16"/>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57" w:lineRule="exact"/>
        <w:rPr>
          <w:sz w:val="20"/>
          <w:szCs w:val="20"/>
          <w:color w:val="auto"/>
        </w:rPr>
      </w:pPr>
    </w:p>
    <w:p>
      <w:pPr>
        <w:ind w:left="740" w:right="120"/>
        <w:spacing w:after="0" w:line="256"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F-11</w:t>
      </w:r>
    </w:p>
    <w:p>
      <w:pPr>
        <w:sectPr>
          <w:pgSz w:w="11900" w:h="16838" w:orient="portrait"/>
          <w:cols w:equalWidth="0" w:num="1">
            <w:col w:w="10500"/>
          </w:cols>
          <w:pgMar w:left="320" w:top="421" w:right="10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20"/>
        <w:spacing w:after="0" w:line="253" w:lineRule="auto"/>
        <w:rPr>
          <w:sz w:val="20"/>
          <w:szCs w:val="20"/>
          <w:color w:val="auto"/>
        </w:rPr>
      </w:pPr>
      <w:r>
        <w:rPr>
          <w:rFonts w:ascii="Times New Roman" w:cs="Times New Roman" w:eastAsia="Times New Roman" w:hAnsi="Times New Roman"/>
          <w:sz w:val="16"/>
          <w:szCs w:val="16"/>
          <w:u w:val="single" w:color="auto"/>
          <w:color w:val="auto"/>
        </w:rPr>
        <w:t>Cash and Cash Equivalents</w:t>
      </w:r>
      <w:r>
        <w:rPr>
          <w:rFonts w:ascii="Times New Roman" w:cs="Times New Roman" w:eastAsia="Times New Roman" w:hAnsi="Times New Roman"/>
          <w:sz w:val="16"/>
          <w:szCs w:val="16"/>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$115 and $222 of cash held in foreign bank accounts as of December 31, 2024 and December 31, 2023, respectively. Restricted cash represents cash balances restricted as to withdrawal or use and are included in other current assets on the consolidated balance sheets. As of December 31, 2024, restricted cash includes $47 held in an escrow account related to settlement for ethylene oxide sterilization (“EtO”) litigation. See “Note 12 — Commitments and Contingencies” for additional information on EtO related claims and litigation.</w:t>
      </w:r>
    </w:p>
    <w:p>
      <w:pPr>
        <w:spacing w:after="0" w:line="168" w:lineRule="exact"/>
        <w:rPr>
          <w:sz w:val="20"/>
          <w:szCs w:val="20"/>
          <w:color w:val="auto"/>
        </w:rPr>
      </w:pPr>
    </w:p>
    <w:p>
      <w:pPr>
        <w:ind w:left="740" w:right="20"/>
        <w:spacing w:after="0" w:line="255" w:lineRule="auto"/>
        <w:rPr>
          <w:sz w:val="20"/>
          <w:szCs w:val="20"/>
          <w:color w:val="auto"/>
        </w:rPr>
      </w:pPr>
      <w:r>
        <w:rPr>
          <w:rFonts w:ascii="Times New Roman" w:cs="Times New Roman" w:eastAsia="Times New Roman" w:hAnsi="Times New Roman"/>
          <w:sz w:val="16"/>
          <w:szCs w:val="16"/>
          <w:u w:val="single" w:color="auto"/>
          <w:color w:val="auto"/>
        </w:rPr>
        <w:t>Equity Method Investments</w:t>
      </w:r>
      <w:r>
        <w:rPr>
          <w:rFonts w:ascii="Times New Roman" w:cs="Times New Roman" w:eastAsia="Times New Roman" w:hAnsi="Times New Roman"/>
          <w:sz w:val="16"/>
          <w:szCs w:val="16"/>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(expense) income, net in the consolidated statements of comprehensive income.</w:t>
      </w:r>
    </w:p>
    <w:p>
      <w:pPr>
        <w:spacing w:after="0" w:line="164"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u w:val="single" w:color="auto"/>
          <w:color w:val="auto"/>
        </w:rPr>
        <w:t>Inventories</w:t>
      </w:r>
      <w:r>
        <w:rPr>
          <w:rFonts w:ascii="Times New Roman" w:cs="Times New Roman" w:eastAsia="Times New Roman" w:hAnsi="Times New Roman"/>
          <w:sz w:val="16"/>
          <w:szCs w:val="16"/>
          <w:color w:val="auto"/>
        </w:rPr>
        <w:t>: Inventories are stated at the lower of cost or net realizable value. Cost is determined primarily by the last-in,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$53, $61, and $154 in the years ended December 31, 2024, December 31, 2023, and December 31, 2022, respectively, all within Cost of goods sold in the consolidated statements of comprehensive income. For certain foreign subsidiaries, cost is determined using the first-in, first-out (“FIFO”) method. The LIFO method was used to value approximately 89% and 91% of the Company’s inventories at December 31, 2024 and December 31, 2023, respectively.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68" w:lineRule="exact"/>
        <w:rPr>
          <w:sz w:val="20"/>
          <w:szCs w:val="20"/>
          <w:color w:val="auto"/>
        </w:rPr>
      </w:pPr>
    </w:p>
    <w:p>
      <w:pPr>
        <w:ind w:left="740" w:right="40"/>
        <w:spacing w:after="0" w:line="255" w:lineRule="auto"/>
        <w:rPr>
          <w:sz w:val="20"/>
          <w:szCs w:val="20"/>
          <w:color w:val="auto"/>
        </w:rPr>
      </w:pPr>
      <w:r>
        <w:rPr>
          <w:rFonts w:ascii="Times New Roman" w:cs="Times New Roman" w:eastAsia="Times New Roman" w:hAnsi="Times New Roman"/>
          <w:sz w:val="16"/>
          <w:szCs w:val="16"/>
          <w:u w:val="single" w:color="auto"/>
          <w:color w:val="auto"/>
        </w:rPr>
        <w:t>Accounts Receivable, Net of Allowance for Credit Losses</w:t>
      </w:r>
      <w:r>
        <w:rPr>
          <w:rFonts w:ascii="Times New Roman" w:cs="Times New Roman" w:eastAsia="Times New Roman" w:hAnsi="Times New Roman"/>
          <w:sz w:val="16"/>
          <w:szCs w:val="16"/>
          <w:color w:val="auto"/>
        </w:rPr>
        <w:t>: Accounts receivable are carried at amortized cost less an allowance for credit losses. The determination of the allowance for credit losses is discussed in Recently Adopted Accounting Standards: ASU 2016-13. The Company charges interest on overdue receivables and evaluates the collection of this interest. Net interest on overdue receivables was not material as of December 31, 2024, December 31, 2023, and December 31, 2022. Accounts receivable are written off when deemed uncollectible. Recoveries of accounts receivable previously written off are recorded when received. The Company does not reduce customer rebates from accounts receivable as right of set-off does not exist, we classify it separately under Accrued expenses and Other Current Liabilities (for more details please refer to “Note 6 — Accrued expenses and Other Current Liabilities”).</w:t>
      </w:r>
    </w:p>
    <w:p>
      <w:pPr>
        <w:spacing w:after="0" w:line="164" w:lineRule="exact"/>
        <w:rPr>
          <w:sz w:val="20"/>
          <w:szCs w:val="20"/>
          <w:color w:val="auto"/>
        </w:rPr>
      </w:pPr>
    </w:p>
    <w:p>
      <w:pPr>
        <w:ind w:left="740" w:right="500"/>
        <w:spacing w:after="0" w:line="281" w:lineRule="auto"/>
        <w:rPr>
          <w:sz w:val="20"/>
          <w:szCs w:val="20"/>
          <w:color w:val="auto"/>
        </w:rPr>
      </w:pPr>
      <w:r>
        <w:rPr>
          <w:rFonts w:ascii="Times New Roman" w:cs="Times New Roman" w:eastAsia="Times New Roman" w:hAnsi="Times New Roman"/>
          <w:sz w:val="16"/>
          <w:szCs w:val="16"/>
          <w:u w:val="single" w:color="auto"/>
          <w:color w:val="auto"/>
        </w:rPr>
        <w:t>Concentrations of Credit Risk</w:t>
      </w:r>
      <w:r>
        <w:rPr>
          <w:rFonts w:ascii="Times New Roman" w:cs="Times New Roman" w:eastAsia="Times New Roman" w:hAnsi="Times New Roman"/>
          <w:sz w:val="16"/>
          <w:szCs w:val="16"/>
          <w:color w:val="auto"/>
        </w:rPr>
        <w:t>: The Company diversifies the concentration of its cash by maintaining deposits with a number of major banks and investing in money market funds. The Company’s customers are primarily in</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F-12</w:t>
      </w:r>
    </w:p>
    <w:p>
      <w:pPr>
        <w:sectPr>
          <w:pgSz w:w="11900" w:h="16838" w:orient="portrait"/>
          <w:cols w:equalWidth="0" w:num="1">
            <w:col w:w="10480"/>
          </w:cols>
          <w:pgMar w:left="320" w:top="421" w:right="10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80"/>
        <w:spacing w:after="0" w:line="260" w:lineRule="auto"/>
        <w:rPr>
          <w:sz w:val="20"/>
          <w:szCs w:val="20"/>
          <w:color w:val="auto"/>
        </w:rPr>
      </w:pPr>
      <w:r>
        <w:rPr>
          <w:rFonts w:ascii="Times New Roman" w:cs="Times New Roman" w:eastAsia="Times New Roman" w:hAnsi="Times New Roman"/>
          <w:sz w:val="16"/>
          <w:szCs w:val="16"/>
          <w:color w:val="auto"/>
        </w:rPr>
        <w:t>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credit losses. Refer to the “Accounts Receivable” section within this Note for additional information on the accounting treatment of reserves for allowance for credit losses.</w:t>
      </w:r>
    </w:p>
    <w:p>
      <w:pPr>
        <w:spacing w:after="0" w:line="161"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u w:val="single" w:color="auto"/>
          <w:color w:val="auto"/>
        </w:rPr>
        <w:t>Research and Development Expenses:</w:t>
      </w:r>
      <w:r>
        <w:rPr>
          <w:rFonts w:ascii="Times New Roman" w:cs="Times New Roman" w:eastAsia="Times New Roman" w:hAnsi="Times New Roman"/>
          <w:sz w:val="16"/>
          <w:szCs w:val="16"/>
          <w:color w:val="auto"/>
        </w:rPr>
        <w:t xml:space="preserve"> Research and development expenses are charged to earnings as incurred. Research and development costs for the years ended December 31, 2024, December 31, 2023, and December 31, 2022 were $67, $60, and $58, respectively.</w:t>
      </w:r>
    </w:p>
    <w:p>
      <w:pPr>
        <w:spacing w:after="0" w:line="144" w:lineRule="exact"/>
        <w:rPr>
          <w:sz w:val="20"/>
          <w:szCs w:val="20"/>
          <w:color w:val="auto"/>
        </w:rPr>
      </w:pPr>
    </w:p>
    <w:p>
      <w:pPr>
        <w:ind w:left="740" w:right="60"/>
        <w:spacing w:after="0" w:line="255" w:lineRule="auto"/>
        <w:rPr>
          <w:sz w:val="20"/>
          <w:szCs w:val="20"/>
          <w:color w:val="auto"/>
        </w:rPr>
      </w:pPr>
      <w:r>
        <w:rPr>
          <w:rFonts w:ascii="Times New Roman" w:cs="Times New Roman" w:eastAsia="Times New Roman" w:hAnsi="Times New Roman"/>
          <w:sz w:val="16"/>
          <w:szCs w:val="16"/>
          <w:u w:val="single" w:color="auto"/>
          <w:color w:val="auto"/>
        </w:rPr>
        <w:t>Property, Plant, and Equipment</w:t>
      </w:r>
      <w:r>
        <w:rPr>
          <w:rFonts w:ascii="Times New Roman" w:cs="Times New Roman" w:eastAsia="Times New Roman" w:hAnsi="Times New Roman"/>
          <w:sz w:val="16"/>
          <w:szCs w:val="16"/>
          <w:color w:val="auto"/>
        </w:rPr>
        <w:t>: Property, plant, and equipment are stated at cost less accumulated depreciation and amortization. Depreciation and amortization are provided over the estimated useful lives, using straight-line 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183" w:lineRule="exact"/>
        <w:rPr>
          <w:sz w:val="20"/>
          <w:szCs w:val="20"/>
          <w:color w:val="auto"/>
        </w:rPr>
      </w:pPr>
    </w:p>
    <w:tbl>
      <w:tblPr>
        <w:tblLayout w:type="fixed"/>
        <w:tblInd w:w="740" w:type="dxa"/>
        <w:tblCellMar>
          <w:top w:w="0" w:type="dxa"/>
          <w:left w:w="0" w:type="dxa"/>
          <w:bottom w:w="0" w:type="dxa"/>
          <w:right w:w="0" w:type="dxa"/>
        </w:tblCellMar>
      </w:tblPr>
      <w:tr>
        <w:trPr>
          <w:trHeight w:val="166"/>
        </w:trPr>
        <w:tc>
          <w:tcPr>
            <w:tcW w:w="5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Asset Class</w:t>
            </w:r>
          </w:p>
        </w:tc>
        <w:tc>
          <w:tcPr>
            <w:tcW w:w="4600" w:type="dxa"/>
            <w:vAlign w:val="bottom"/>
            <w:gridSpan w:val="2"/>
          </w:tcPr>
          <w:p>
            <w:pPr>
              <w:jc w:val="right"/>
              <w:ind w:right="200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67"/>
        </w:trPr>
        <w:tc>
          <w:tcPr>
            <w:tcW w:w="20" w:type="dxa"/>
            <w:vAlign w:val="bottom"/>
          </w:tcPr>
          <w:p>
            <w:pPr>
              <w:spacing w:after="0"/>
              <w:rPr>
                <w:sz w:val="14"/>
                <w:szCs w:val="14"/>
                <w:color w:val="auto"/>
              </w:rPr>
            </w:pPr>
          </w:p>
        </w:tc>
        <w:tc>
          <w:tcPr>
            <w:tcW w:w="498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6"/>
                <w:szCs w:val="16"/>
                <w:color w:val="auto"/>
              </w:rPr>
              <w:t>Buildings and Improvements - Owned</w:t>
            </w:r>
          </w:p>
        </w:tc>
        <w:tc>
          <w:tcPr>
            <w:tcW w:w="180" w:type="dxa"/>
            <w:vAlign w:val="bottom"/>
          </w:tcPr>
          <w:p>
            <w:pPr>
              <w:spacing w:after="0"/>
              <w:rPr>
                <w:sz w:val="14"/>
                <w:szCs w:val="14"/>
                <w:color w:val="auto"/>
              </w:rPr>
            </w:pPr>
          </w:p>
        </w:tc>
        <w:tc>
          <w:tcPr>
            <w:tcW w:w="45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6"/>
                <w:szCs w:val="16"/>
                <w:color w:val="auto"/>
              </w:rPr>
              <w:t>15-40 years</w:t>
            </w:r>
          </w:p>
        </w:tc>
        <w:tc>
          <w:tcPr>
            <w:tcW w:w="20" w:type="dxa"/>
            <w:vAlign w:val="bottom"/>
          </w:tcPr>
          <w:p>
            <w:pPr>
              <w:spacing w:after="0"/>
              <w:rPr>
                <w:sz w:val="14"/>
                <w:szCs w:val="14"/>
                <w:color w:val="auto"/>
              </w:rPr>
            </w:pPr>
          </w:p>
        </w:tc>
      </w:tr>
      <w:tr>
        <w:trPr>
          <w:trHeight w:val="192"/>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Building Improvements - Leased</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Shorter of 10 years/Remaining lease term</w:t>
            </w:r>
          </w:p>
        </w:tc>
      </w:tr>
      <w:tr>
        <w:trPr>
          <w:trHeight w:val="192"/>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Land Improvements</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years</w:t>
            </w:r>
          </w:p>
        </w:tc>
      </w:tr>
      <w:tr>
        <w:trPr>
          <w:trHeight w:val="192"/>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Machinery and Equipment</w:t>
            </w:r>
          </w:p>
        </w:tc>
        <w:tc>
          <w:tcPr>
            <w:tcW w:w="4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 years</w:t>
            </w:r>
          </w:p>
        </w:tc>
      </w:tr>
      <w:tr>
        <w:trPr>
          <w:trHeight w:val="192"/>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4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 years</w:t>
            </w:r>
          </w:p>
        </w:tc>
      </w:tr>
      <w:tr>
        <w:trPr>
          <w:trHeight w:val="192"/>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4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 years</w:t>
            </w:r>
          </w:p>
        </w:tc>
      </w:tr>
      <w:tr>
        <w:trPr>
          <w:trHeight w:val="208"/>
        </w:trPr>
        <w:tc>
          <w:tcPr>
            <w:tcW w:w="5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Auto and Trucks</w:t>
            </w:r>
          </w:p>
        </w:tc>
        <w:tc>
          <w:tcPr>
            <w:tcW w:w="4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5-7 years</w:t>
            </w:r>
          </w:p>
        </w:tc>
      </w:tr>
    </w:tbl>
    <w:p>
      <w:pPr>
        <w:spacing w:after="0" w:line="175" w:lineRule="exact"/>
        <w:rPr>
          <w:sz w:val="20"/>
          <w:szCs w:val="20"/>
          <w:color w:val="auto"/>
        </w:rPr>
      </w:pPr>
    </w:p>
    <w:p>
      <w:pPr>
        <w:ind w:left="740" w:right="60"/>
        <w:spacing w:after="0" w:line="256" w:lineRule="auto"/>
        <w:rPr>
          <w:sz w:val="20"/>
          <w:szCs w:val="20"/>
          <w:color w:val="auto"/>
        </w:rPr>
      </w:pPr>
      <w:r>
        <w:rPr>
          <w:rFonts w:ascii="Times New Roman" w:cs="Times New Roman" w:eastAsia="Times New Roman" w:hAnsi="Times New Roman"/>
          <w:sz w:val="16"/>
          <w:szCs w:val="16"/>
          <w:u w:val="single" w:color="auto"/>
          <w:color w:val="auto"/>
        </w:rPr>
        <w:t>Impairment of Long-Lived Assets</w:t>
      </w:r>
      <w:r>
        <w:rPr>
          <w:rFonts w:ascii="Times New Roman" w:cs="Times New Roman" w:eastAsia="Times New Roman" w:hAnsi="Times New Roman"/>
          <w:sz w:val="16"/>
          <w:szCs w:val="16"/>
          <w:color w:val="auto"/>
        </w:rPr>
        <w:t>: The Company reviews long-lived assets, including property, plant, and equipment, definite-lived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years ended December 31, 2024, December 31, 2023, and December 31, 2022.</w:t>
      </w:r>
    </w:p>
    <w:p>
      <w:pPr>
        <w:spacing w:after="0" w:line="164" w:lineRule="exact"/>
        <w:rPr>
          <w:sz w:val="20"/>
          <w:szCs w:val="20"/>
          <w:color w:val="auto"/>
        </w:rPr>
      </w:pPr>
    </w:p>
    <w:p>
      <w:pPr>
        <w:ind w:left="740" w:right="520"/>
        <w:spacing w:after="0" w:line="281" w:lineRule="auto"/>
        <w:rPr>
          <w:sz w:val="20"/>
          <w:szCs w:val="20"/>
          <w:color w:val="auto"/>
        </w:rPr>
      </w:pPr>
      <w:r>
        <w:rPr>
          <w:rFonts w:ascii="Times New Roman" w:cs="Times New Roman" w:eastAsia="Times New Roman" w:hAnsi="Times New Roman"/>
          <w:sz w:val="16"/>
          <w:szCs w:val="16"/>
          <w:u w:val="single" w:color="auto"/>
          <w:color w:val="auto"/>
        </w:rPr>
        <w:t>Goodwill</w:t>
      </w:r>
      <w:r>
        <w:rPr>
          <w:rFonts w:ascii="Times New Roman" w:cs="Times New Roman" w:eastAsia="Times New Roman" w:hAnsi="Times New Roman"/>
          <w:sz w:val="16"/>
          <w:szCs w:val="16"/>
          <w:color w:val="auto"/>
        </w:rPr>
        <w:t>: Goodwill represents the excess of the purchase price over the fair value of the identifiable assets acquired and liabilities assumed for a business combination.</w:t>
      </w:r>
    </w:p>
    <w:p>
      <w:pPr>
        <w:spacing w:after="0" w:line="144"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F-13</w:t>
      </w:r>
    </w:p>
    <w:p>
      <w:pPr>
        <w:sectPr>
          <w:pgSz w:w="11900" w:h="16838" w:orient="portrait"/>
          <w:cols w:equalWidth="0" w:num="1">
            <w:col w:w="10520"/>
          </w:cols>
          <w:pgMar w:left="320" w:top="420" w:right="10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jc w:val="both"/>
        <w:ind w:left="740" w:right="460"/>
        <w:spacing w:after="0" w:line="265" w:lineRule="auto"/>
        <w:rPr>
          <w:sz w:val="20"/>
          <w:szCs w:val="20"/>
          <w:color w:val="auto"/>
        </w:rPr>
      </w:pPr>
      <w:r>
        <w:rPr>
          <w:rFonts w:ascii="Times New Roman" w:cs="Times New Roman" w:eastAsia="Times New Roman" w:hAnsi="Times New Roman"/>
          <w:sz w:val="16"/>
          <w:szCs w:val="16"/>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57"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u w:val="single" w:color="auto"/>
          <w:color w:val="auto"/>
        </w:rPr>
        <w:t>Leases:</w:t>
      </w:r>
      <w:r>
        <w:rPr>
          <w:rFonts w:ascii="Times New Roman" w:cs="Times New Roman" w:eastAsia="Times New Roman" w:hAnsi="Times New Roman"/>
          <w:sz w:val="16"/>
          <w:szCs w:val="16"/>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61"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Operating lease right-of-use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64" w:lineRule="exact"/>
        <w:rPr>
          <w:sz w:val="20"/>
          <w:szCs w:val="20"/>
          <w:color w:val="auto"/>
        </w:rPr>
      </w:pPr>
    </w:p>
    <w:p>
      <w:pPr>
        <w:ind w:left="740" w:right="120"/>
        <w:spacing w:after="0" w:line="257" w:lineRule="auto"/>
        <w:rPr>
          <w:sz w:val="20"/>
          <w:szCs w:val="20"/>
          <w:color w:val="auto"/>
        </w:rPr>
      </w:pPr>
      <w:r>
        <w:rPr>
          <w:rFonts w:ascii="Times New Roman" w:cs="Times New Roman" w:eastAsia="Times New Roman" w:hAnsi="Times New Roman"/>
          <w:sz w:val="16"/>
          <w:szCs w:val="16"/>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65" w:lineRule="exact"/>
        <w:rPr>
          <w:sz w:val="20"/>
          <w:szCs w:val="20"/>
          <w:color w:val="auto"/>
        </w:rPr>
      </w:pPr>
    </w:p>
    <w:p>
      <w:pPr>
        <w:ind w:left="740" w:right="60"/>
        <w:spacing w:after="0" w:line="281" w:lineRule="auto"/>
        <w:rPr>
          <w:sz w:val="20"/>
          <w:szCs w:val="20"/>
          <w:color w:val="auto"/>
        </w:rPr>
      </w:pPr>
      <w:r>
        <w:rPr>
          <w:rFonts w:ascii="Times New Roman" w:cs="Times New Roman" w:eastAsia="Times New Roman" w:hAnsi="Times New Roman"/>
          <w:sz w:val="16"/>
          <w:szCs w:val="16"/>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44" w:lineRule="exact"/>
        <w:rPr>
          <w:sz w:val="20"/>
          <w:szCs w:val="20"/>
          <w:color w:val="auto"/>
        </w:rPr>
      </w:pPr>
    </w:p>
    <w:p>
      <w:pPr>
        <w:ind w:left="740" w:right="140"/>
        <w:spacing w:after="0" w:line="257" w:lineRule="auto"/>
        <w:rPr>
          <w:sz w:val="20"/>
          <w:szCs w:val="20"/>
          <w:color w:val="auto"/>
        </w:rPr>
      </w:pPr>
      <w:r>
        <w:rPr>
          <w:rFonts w:ascii="Times New Roman" w:cs="Times New Roman" w:eastAsia="Times New Roman" w:hAnsi="Times New Roman"/>
          <w:sz w:val="16"/>
          <w:szCs w:val="16"/>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Refer to “Note 9 — Leases” for additional information on the Company’s leases.</w:t>
      </w:r>
    </w:p>
    <w:p>
      <w:pPr>
        <w:spacing w:after="0" w:line="199" w:lineRule="exact"/>
        <w:rPr>
          <w:sz w:val="20"/>
          <w:szCs w:val="20"/>
          <w:color w:val="auto"/>
        </w:rPr>
      </w:pPr>
    </w:p>
    <w:p>
      <w:pPr>
        <w:ind w:left="740" w:right="240"/>
        <w:spacing w:after="0" w:line="316" w:lineRule="auto"/>
        <w:rPr>
          <w:sz w:val="20"/>
          <w:szCs w:val="20"/>
          <w:color w:val="auto"/>
        </w:rPr>
      </w:pPr>
      <w:r>
        <w:rPr>
          <w:rFonts w:ascii="Times New Roman" w:cs="Times New Roman" w:eastAsia="Times New Roman" w:hAnsi="Times New Roman"/>
          <w:sz w:val="15"/>
          <w:szCs w:val="15"/>
          <w:u w:val="single" w:color="auto"/>
          <w:color w:val="auto"/>
        </w:rPr>
        <w:t>Intangible Assets</w:t>
      </w:r>
      <w:r>
        <w:rPr>
          <w:rFonts w:ascii="Times New Roman" w:cs="Times New Roman" w:eastAsia="Times New Roman" w:hAnsi="Times New Roman"/>
          <w:sz w:val="15"/>
          <w:szCs w:val="15"/>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121" w:lineRule="exact"/>
        <w:rPr>
          <w:sz w:val="20"/>
          <w:szCs w:val="20"/>
          <w:color w:val="auto"/>
        </w:rPr>
      </w:pPr>
    </w:p>
    <w:p>
      <w:pPr>
        <w:ind w:left="740"/>
        <w:spacing w:after="0" w:line="265" w:lineRule="auto"/>
        <w:rPr>
          <w:sz w:val="20"/>
          <w:szCs w:val="20"/>
          <w:color w:val="auto"/>
        </w:rPr>
      </w:pPr>
      <w:r>
        <w:rPr>
          <w:rFonts w:ascii="Times New Roman" w:cs="Times New Roman" w:eastAsia="Times New Roman" w:hAnsi="Times New Roman"/>
          <w:sz w:val="16"/>
          <w:szCs w:val="16"/>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F-14</w:t>
      </w:r>
    </w:p>
    <w:p>
      <w:pPr>
        <w:sectPr>
          <w:pgSz w:w="11900" w:h="16838" w:orient="portrait"/>
          <w:cols w:equalWidth="0" w:num="1">
            <w:col w:w="10480"/>
          </w:cols>
          <w:pgMar w:left="320" w:top="420" w:right="109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64"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u w:val="single" w:color="auto"/>
          <w:color w:val="auto"/>
        </w:rPr>
        <w:t>Revenue Recognition</w:t>
      </w:r>
      <w:r>
        <w:rPr>
          <w:rFonts w:ascii="Times New Roman" w:cs="Times New Roman" w:eastAsia="Times New Roman" w:hAnsi="Times New Roman"/>
          <w:sz w:val="16"/>
          <w:szCs w:val="16"/>
          <w:color w:val="auto"/>
        </w:rPr>
        <w:t>: 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68"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61" w:lineRule="exact"/>
        <w:rPr>
          <w:sz w:val="20"/>
          <w:szCs w:val="20"/>
          <w:color w:val="auto"/>
        </w:rPr>
      </w:pPr>
    </w:p>
    <w:p>
      <w:pPr>
        <w:ind w:left="740" w:right="40"/>
        <w:spacing w:after="0" w:line="274" w:lineRule="auto"/>
        <w:rPr>
          <w:sz w:val="20"/>
          <w:szCs w:val="20"/>
          <w:color w:val="auto"/>
        </w:rPr>
      </w:pPr>
      <w:r>
        <w:rPr>
          <w:rFonts w:ascii="Times New Roman" w:cs="Times New Roman" w:eastAsia="Times New Roman" w:hAnsi="Times New Roman"/>
          <w:sz w:val="15"/>
          <w:szCs w:val="15"/>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54"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44" w:lineRule="exact"/>
        <w:rPr>
          <w:sz w:val="20"/>
          <w:szCs w:val="20"/>
          <w:color w:val="auto"/>
        </w:rPr>
      </w:pPr>
    </w:p>
    <w:p>
      <w:pPr>
        <w:ind w:left="740" w:right="20"/>
        <w:spacing w:after="0" w:line="260" w:lineRule="auto"/>
        <w:rPr>
          <w:sz w:val="20"/>
          <w:szCs w:val="20"/>
          <w:color w:val="auto"/>
        </w:rPr>
      </w:pPr>
      <w:r>
        <w:rPr>
          <w:rFonts w:ascii="Times New Roman" w:cs="Times New Roman" w:eastAsia="Times New Roman" w:hAnsi="Times New Roman"/>
          <w:sz w:val="16"/>
          <w:szCs w:val="16"/>
          <w:u w:val="single" w:color="auto"/>
          <w:color w:val="auto"/>
        </w:rPr>
        <w:t>Cost of Goods Sold:</w:t>
      </w:r>
      <w:r>
        <w:rPr>
          <w:rFonts w:ascii="Times New Roman" w:cs="Times New Roman" w:eastAsia="Times New Roman" w:hAnsi="Times New Roman"/>
          <w:sz w:val="16"/>
          <w:szCs w:val="16"/>
          <w:color w:val="auto"/>
        </w:rPr>
        <w:t xml:space="preserve"> 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our distribution network are included in selling, general and administrative (“SG&amp;A”) expenses.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F-15</w:t>
      </w:r>
    </w:p>
    <w:p>
      <w:pPr>
        <w:sectPr>
          <w:pgSz w:w="11900" w:h="16838" w:orient="portrait"/>
          <w:cols w:equalWidth="0" w:num="1">
            <w:col w:w="10460"/>
          </w:cols>
          <w:pgMar w:left="320" w:top="420" w:right="111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u w:val="single" w:color="auto"/>
          <w:color w:val="auto"/>
        </w:rPr>
        <w:t>Shipping and Handling:</w:t>
      </w:r>
      <w:r>
        <w:rPr>
          <w:rFonts w:ascii="Times New Roman" w:cs="Times New Roman" w:eastAsia="Times New Roman" w:hAnsi="Times New Roman"/>
          <w:sz w:val="16"/>
          <w:szCs w:val="16"/>
          <w:color w:val="auto"/>
        </w:rPr>
        <w:t xml:space="preserve"> Shipping and handling costs are primarily included in SG&amp;A expenses in our consolidated statements of comprehensive income and include all delivery expenses as well as all costs to prepare the product for shipment to the customer.</w:t>
      </w:r>
    </w:p>
    <w:p>
      <w:pPr>
        <w:spacing w:after="0" w:line="144"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u w:val="single" w:color="auto"/>
          <w:color w:val="auto"/>
        </w:rPr>
        <w:t>Stock-based Compensation</w:t>
      </w:r>
      <w:r>
        <w:rPr>
          <w:rFonts w:ascii="Times New Roman" w:cs="Times New Roman" w:eastAsia="Times New Roman" w:hAnsi="Times New Roman"/>
          <w:sz w:val="16"/>
          <w:szCs w:val="16"/>
          <w:color w:val="auto"/>
        </w:rPr>
        <w:t>: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over the period during which an employee is required to provide service in exchange for the award. Equity-based compensation awards which ultimately settle in cash are accounted for as liabilities, and awards which are contingently settled in cash or units of the Company are accounted for as mezzanine equity. For the periods that management determined it was probable that the units would become redeemable, the Company had elected to carry the shares at the maximum redemption value, or fair value, in mezzanine equity on the consolidated balance sheets. The mezzanine equity is initially measured based on the intrinsic value as determined on grant date and subsequently updated as of each reporting date, so long as the redemption is concluded to be probable. During the fourth quarter of 2024, management determined it was not probable that the mezzanine equity would become redeemable, and therefore no changes in redemption value were recorded prospectively.</w:t>
      </w:r>
    </w:p>
    <w:p>
      <w:pPr>
        <w:spacing w:after="0" w:line="168" w:lineRule="exact"/>
        <w:rPr>
          <w:sz w:val="20"/>
          <w:szCs w:val="20"/>
          <w:color w:val="auto"/>
        </w:rPr>
      </w:pPr>
    </w:p>
    <w:p>
      <w:pPr>
        <w:jc w:val="both"/>
        <w:ind w:left="740" w:right="100"/>
        <w:spacing w:after="0" w:line="260" w:lineRule="auto"/>
        <w:rPr>
          <w:sz w:val="20"/>
          <w:szCs w:val="20"/>
          <w:color w:val="auto"/>
        </w:rPr>
      </w:pPr>
      <w:r>
        <w:rPr>
          <w:rFonts w:ascii="Times New Roman" w:cs="Times New Roman" w:eastAsia="Times New Roman" w:hAnsi="Times New Roman"/>
          <w:sz w:val="16"/>
          <w:szCs w:val="16"/>
          <w:u w:val="single" w:color="auto"/>
          <w:color w:val="auto"/>
        </w:rPr>
        <w:t>Income Taxes</w:t>
      </w:r>
      <w:r>
        <w:rPr>
          <w:rFonts w:ascii="Times New Roman" w:cs="Times New Roman" w:eastAsia="Times New Roman" w:hAnsi="Times New Roman"/>
          <w:sz w:val="16"/>
          <w:szCs w:val="16"/>
          <w:color w:val="auto"/>
        </w:rPr>
        <w:t>: Medline Holdings, with the consent of its partners, is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61"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intangibles, property, plant &amp; equipment, other accruals and expenses, and the impact of temporary differences related to accrued pension obligations. The Company also pays certain foreign branch taxes for subsidiaries located in foreign jurisdictions.</w:t>
      </w:r>
    </w:p>
    <w:p>
      <w:pPr>
        <w:spacing w:after="0" w:line="164" w:lineRule="exact"/>
        <w:rPr>
          <w:sz w:val="20"/>
          <w:szCs w:val="20"/>
          <w:color w:val="auto"/>
        </w:rPr>
      </w:pPr>
    </w:p>
    <w:p>
      <w:pPr>
        <w:ind w:left="740" w:right="160"/>
        <w:spacing w:after="0" w:line="281" w:lineRule="auto"/>
        <w:rPr>
          <w:sz w:val="20"/>
          <w:szCs w:val="20"/>
          <w:color w:val="auto"/>
        </w:rPr>
      </w:pPr>
      <w:r>
        <w:rPr>
          <w:rFonts w:ascii="Times New Roman" w:cs="Times New Roman" w:eastAsia="Times New Roman" w:hAnsi="Times New Roman"/>
          <w:sz w:val="16"/>
          <w:szCs w:val="16"/>
          <w:color w:val="auto"/>
        </w:rPr>
        <w:t>The Company recognizes Global Intangible Low Taxed Income (“GILTI”) charge as a period cost when incurred for wholly owned subsidiaries which are taxed as C Corporation under state and federal laws.</w:t>
      </w:r>
    </w:p>
    <w:p>
      <w:pPr>
        <w:spacing w:after="0" w:line="144" w:lineRule="exact"/>
        <w:rPr>
          <w:sz w:val="20"/>
          <w:szCs w:val="20"/>
          <w:color w:val="auto"/>
        </w:rPr>
      </w:pPr>
    </w:p>
    <w:p>
      <w:pPr>
        <w:ind w:left="740" w:right="100"/>
        <w:spacing w:after="0" w:line="260" w:lineRule="auto"/>
        <w:rPr>
          <w:sz w:val="20"/>
          <w:szCs w:val="20"/>
          <w:color w:val="auto"/>
        </w:rPr>
      </w:pPr>
      <w:r>
        <w:rPr>
          <w:rFonts w:ascii="Times New Roman" w:cs="Times New Roman" w:eastAsia="Times New Roman" w:hAnsi="Times New Roman"/>
          <w:sz w:val="16"/>
          <w:szCs w:val="16"/>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As of December 31, 2024 and December 31, 2023, the Company did not have any material uncertain tax positions.</w:t>
      </w:r>
    </w:p>
    <w:p>
      <w:pPr>
        <w:spacing w:after="0" w:line="161" w:lineRule="exact"/>
        <w:rPr>
          <w:sz w:val="20"/>
          <w:szCs w:val="20"/>
          <w:color w:val="auto"/>
        </w:rPr>
      </w:pPr>
    </w:p>
    <w:p>
      <w:pPr>
        <w:jc w:val="both"/>
        <w:ind w:left="740" w:right="60"/>
        <w:spacing w:after="0" w:line="260" w:lineRule="auto"/>
        <w:rPr>
          <w:sz w:val="20"/>
          <w:szCs w:val="20"/>
          <w:color w:val="auto"/>
        </w:rPr>
      </w:pPr>
      <w:r>
        <w:rPr>
          <w:rFonts w:ascii="Times New Roman" w:cs="Times New Roman" w:eastAsia="Times New Roman" w:hAnsi="Times New Roman"/>
          <w:sz w:val="16"/>
          <w:szCs w:val="16"/>
          <w:color w:val="auto"/>
        </w:rPr>
        <w:t>The Company recognizes interest and penalties related to unrecognized tax benefits in interest and income tax expense, respectively. The Company had no amounts accrued for interest or penalties related to unrecognized tax benefits as of December 31, 2024 and December 31, 2023. The Company does not expect the total amount of unrecognized tax benefits to substantially change in the next 12 months. As of December 31, 2024, the tax years of 2014-2023 remain subject to examination by major tax jurisdictions.</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F-16</w:t>
      </w:r>
    </w:p>
    <w:p>
      <w:pPr>
        <w:sectPr>
          <w:pgSz w:w="11900" w:h="16838" w:orient="portrait"/>
          <w:cols w:equalWidth="0" w:num="1">
            <w:col w:w="10500"/>
          </w:cols>
          <w:pgMar w:left="320" w:top="421" w:right="10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u w:val="single" w:color="auto"/>
          <w:color w:val="auto"/>
        </w:rPr>
        <w:t>Loss contingencies:</w:t>
      </w:r>
      <w:r>
        <w:rPr>
          <w:rFonts w:ascii="Times New Roman" w:cs="Times New Roman" w:eastAsia="Times New Roman" w:hAnsi="Times New Roman"/>
          <w:sz w:val="16"/>
          <w:szCs w:val="16"/>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Refer to “Note 12 — Commitments and Contingencies,” for additional information.</w:t>
      </w:r>
    </w:p>
    <w:p>
      <w:pPr>
        <w:spacing w:after="0" w:line="170" w:lineRule="exact"/>
        <w:rPr>
          <w:sz w:val="20"/>
          <w:szCs w:val="20"/>
          <w:color w:val="auto"/>
        </w:rPr>
      </w:pPr>
    </w:p>
    <w:p>
      <w:pPr>
        <w:jc w:val="both"/>
        <w:ind w:left="740" w:right="200"/>
        <w:spacing w:after="0" w:line="265" w:lineRule="auto"/>
        <w:rPr>
          <w:sz w:val="20"/>
          <w:szCs w:val="20"/>
          <w:color w:val="auto"/>
        </w:rPr>
      </w:pPr>
      <w:r>
        <w:rPr>
          <w:rFonts w:ascii="Times New Roman" w:cs="Times New Roman" w:eastAsia="Times New Roman" w:hAnsi="Times New Roman"/>
          <w:sz w:val="16"/>
          <w:szCs w:val="16"/>
          <w:u w:val="single" w:color="auto"/>
          <w:color w:val="auto"/>
        </w:rPr>
        <w:t>Interest expense, net:</w:t>
      </w:r>
      <w:r>
        <w:rPr>
          <w:rFonts w:ascii="Times New Roman" w:cs="Times New Roman" w:eastAsia="Times New Roman" w:hAnsi="Times New Roman"/>
          <w:sz w:val="16"/>
          <w:szCs w:val="16"/>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57" w:lineRule="exact"/>
        <w:rPr>
          <w:sz w:val="20"/>
          <w:szCs w:val="20"/>
          <w:color w:val="auto"/>
        </w:rPr>
      </w:pPr>
    </w:p>
    <w:p>
      <w:pPr>
        <w:ind w:left="740" w:right="40"/>
        <w:spacing w:after="0" w:line="253" w:lineRule="auto"/>
        <w:rPr>
          <w:sz w:val="20"/>
          <w:szCs w:val="20"/>
          <w:color w:val="auto"/>
        </w:rPr>
      </w:pPr>
      <w:r>
        <w:rPr>
          <w:rFonts w:ascii="Times New Roman" w:cs="Times New Roman" w:eastAsia="Times New Roman" w:hAnsi="Times New Roman"/>
          <w:sz w:val="16"/>
          <w:szCs w:val="16"/>
          <w:u w:val="single" w:color="auto"/>
          <w:color w:val="auto"/>
        </w:rPr>
        <w:t>Defined Benefit Pension Plans</w:t>
      </w:r>
      <w:r>
        <w:rPr>
          <w:rFonts w:ascii="Times New Roman" w:cs="Times New Roman" w:eastAsia="Times New Roman" w:hAnsi="Times New Roman"/>
          <w:sz w:val="16"/>
          <w:szCs w:val="16"/>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70" w:lineRule="exact"/>
        <w:rPr>
          <w:sz w:val="20"/>
          <w:szCs w:val="20"/>
          <w:color w:val="auto"/>
        </w:rPr>
      </w:pPr>
    </w:p>
    <w:p>
      <w:pPr>
        <w:ind w:left="740" w:right="180"/>
        <w:spacing w:after="0" w:line="260" w:lineRule="auto"/>
        <w:rPr>
          <w:sz w:val="20"/>
          <w:szCs w:val="20"/>
          <w:color w:val="auto"/>
        </w:rPr>
      </w:pPr>
      <w:r>
        <w:rPr>
          <w:rFonts w:ascii="Times New Roman" w:cs="Times New Roman" w:eastAsia="Times New Roman" w:hAnsi="Times New Roman"/>
          <w:sz w:val="16"/>
          <w:szCs w:val="16"/>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pacing w:after="0" w:line="161" w:lineRule="exact"/>
        <w:rPr>
          <w:sz w:val="20"/>
          <w:szCs w:val="20"/>
          <w:color w:val="auto"/>
        </w:rPr>
      </w:pPr>
    </w:p>
    <w:p>
      <w:pPr>
        <w:jc w:val="both"/>
        <w:ind w:left="740" w:right="220"/>
        <w:spacing w:after="0" w:line="260" w:lineRule="auto"/>
        <w:rPr>
          <w:sz w:val="20"/>
          <w:szCs w:val="20"/>
          <w:color w:val="auto"/>
        </w:rPr>
      </w:pPr>
      <w:r>
        <w:rPr>
          <w:rFonts w:ascii="Times New Roman" w:cs="Times New Roman" w:eastAsia="Times New Roman" w:hAnsi="Times New Roman"/>
          <w:sz w:val="16"/>
          <w:szCs w:val="16"/>
          <w:u w:val="single" w:color="auto"/>
          <w:color w:val="auto"/>
        </w:rPr>
        <w:t>Translation of Financial Statements of Foreign Subsidiaries</w:t>
      </w:r>
      <w:r>
        <w:rPr>
          <w:rFonts w:ascii="Times New Roman" w:cs="Times New Roman" w:eastAsia="Times New Roman" w:hAnsi="Times New Roman"/>
          <w:sz w:val="16"/>
          <w:szCs w:val="16"/>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61" w:lineRule="exact"/>
        <w:rPr>
          <w:sz w:val="20"/>
          <w:szCs w:val="20"/>
          <w:color w:val="auto"/>
        </w:rPr>
      </w:pPr>
    </w:p>
    <w:p>
      <w:pPr>
        <w:ind w:left="740" w:right="100"/>
        <w:spacing w:after="0" w:line="281" w:lineRule="auto"/>
        <w:rPr>
          <w:sz w:val="20"/>
          <w:szCs w:val="20"/>
          <w:color w:val="auto"/>
        </w:rPr>
      </w:pPr>
      <w:r>
        <w:rPr>
          <w:rFonts w:ascii="Times New Roman" w:cs="Times New Roman" w:eastAsia="Times New Roman" w:hAnsi="Times New Roman"/>
          <w:sz w:val="16"/>
          <w:szCs w:val="16"/>
          <w:u w:val="single" w:color="auto"/>
          <w:color w:val="auto"/>
        </w:rPr>
        <w:t>Derivative Financial Instruments:</w:t>
      </w:r>
      <w:r>
        <w:rPr>
          <w:rFonts w:ascii="Times New Roman" w:cs="Times New Roman" w:eastAsia="Times New Roman" w:hAnsi="Times New Roman"/>
          <w:sz w:val="16"/>
          <w:szCs w:val="16"/>
          <w:color w:val="auto"/>
        </w:rPr>
        <w:t xml:space="preserve"> Derivative financial instruments are used primarily to manage interest rate and foreign currency exchange exposures, and are recorded at fair value in the Company’s consolidated balance sheets.</w:t>
      </w:r>
    </w:p>
    <w:p>
      <w:pPr>
        <w:spacing w:after="0" w:line="144" w:lineRule="exact"/>
        <w:rPr>
          <w:sz w:val="20"/>
          <w:szCs w:val="20"/>
          <w:color w:val="auto"/>
        </w:rPr>
      </w:pPr>
    </w:p>
    <w:p>
      <w:pPr>
        <w:ind w:left="740" w:right="20"/>
        <w:spacing w:after="0" w:line="281" w:lineRule="auto"/>
        <w:rPr>
          <w:sz w:val="20"/>
          <w:szCs w:val="20"/>
          <w:color w:val="auto"/>
        </w:rPr>
      </w:pPr>
      <w:r>
        <w:rPr>
          <w:rFonts w:ascii="Times New Roman" w:cs="Times New Roman" w:eastAsia="Times New Roman" w:hAnsi="Times New Roman"/>
          <w:sz w:val="16"/>
          <w:szCs w:val="16"/>
          <w:color w:val="auto"/>
        </w:rPr>
        <w:t>The Company uses interest rate derivatives such as interest rate swaps and caps to add stability to interest expense and to manage its exposure to interest rate movements. The Company designates certain of its interest</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F-17</w:t>
      </w:r>
    </w:p>
    <w:p>
      <w:pPr>
        <w:sectPr>
          <w:pgSz w:w="11900" w:h="16838" w:orient="portrait"/>
          <w:cols w:equalWidth="0" w:num="1">
            <w:col w:w="10500"/>
          </w:cols>
          <w:pgMar w:left="320" w:top="420" w:right="107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140"/>
        <w:spacing w:after="0" w:line="278" w:lineRule="auto"/>
        <w:rPr>
          <w:sz w:val="20"/>
          <w:szCs w:val="20"/>
          <w:color w:val="auto"/>
        </w:rPr>
      </w:pPr>
      <w:r>
        <w:rPr>
          <w:rFonts w:ascii="Times New Roman" w:cs="Times New Roman" w:eastAsia="Times New Roman" w:hAnsi="Times New Roman"/>
          <w:sz w:val="15"/>
          <w:szCs w:val="15"/>
          <w:color w:val="auto"/>
        </w:rPr>
        <w:t>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w:t>
      </w:r>
    </w:p>
    <w:p>
      <w:pPr>
        <w:ind w:left="740" w:right="120" w:hanging="2"/>
        <w:spacing w:after="0" w:line="251" w:lineRule="auto"/>
        <w:tabs>
          <w:tab w:leader="none" w:pos="1059"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marked-to-market at the end of each reporting period with the fair value change included in earnings. Refer to “Note 14 — Derivatives and Hedging Activities Risk Management,” for additional information.</w:t>
      </w:r>
    </w:p>
    <w:p>
      <w:pPr>
        <w:spacing w:after="0" w:line="168"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(expense) income, net of the Company’s consolidated statements of comprehensive income.</w:t>
      </w:r>
    </w:p>
    <w:p>
      <w:pPr>
        <w:spacing w:after="0" w:line="161" w:lineRule="exact"/>
        <w:rPr>
          <w:sz w:val="20"/>
          <w:szCs w:val="20"/>
          <w:color w:val="auto"/>
        </w:rPr>
      </w:pPr>
    </w:p>
    <w:p>
      <w:pPr>
        <w:jc w:val="both"/>
        <w:ind w:left="740" w:right="160"/>
        <w:spacing w:after="0" w:line="265" w:lineRule="auto"/>
        <w:rPr>
          <w:sz w:val="20"/>
          <w:szCs w:val="20"/>
          <w:color w:val="auto"/>
        </w:rPr>
      </w:pPr>
      <w:r>
        <w:rPr>
          <w:rFonts w:ascii="Times New Roman" w:cs="Times New Roman" w:eastAsia="Times New Roman" w:hAnsi="Times New Roman"/>
          <w:sz w:val="16"/>
          <w:szCs w:val="16"/>
          <w:u w:val="single" w:color="auto"/>
          <w:color w:val="auto"/>
        </w:rPr>
        <w:t>Fair Value of Financial Instruments</w:t>
      </w:r>
      <w:r>
        <w:rPr>
          <w:rFonts w:ascii="Times New Roman" w:cs="Times New Roman" w:eastAsia="Times New Roman" w:hAnsi="Times New Roman"/>
          <w:sz w:val="16"/>
          <w:szCs w:val="16"/>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61" w:lineRule="exact"/>
        <w:rPr>
          <w:sz w:val="20"/>
          <w:szCs w:val="20"/>
          <w:color w:val="auto"/>
        </w:rPr>
      </w:pPr>
    </w:p>
    <w:p>
      <w:pPr>
        <w:ind w:left="1120" w:right="580"/>
        <w:spacing w:after="0" w:line="281" w:lineRule="auto"/>
        <w:rPr>
          <w:sz w:val="20"/>
          <w:szCs w:val="20"/>
          <w:color w:val="auto"/>
        </w:rPr>
      </w:pPr>
      <w:r>
        <w:rPr>
          <w:rFonts w:ascii="Times New Roman" w:cs="Times New Roman" w:eastAsia="Times New Roman" w:hAnsi="Times New Roman"/>
          <w:sz w:val="16"/>
          <w:szCs w:val="16"/>
          <w:color w:val="auto"/>
        </w:rPr>
        <w:t>Level 1: Quoted prices (unadjusted) for identical assets or liabilities in active markets that the Company has the ability to access as of the measurement date.</w:t>
      </w:r>
    </w:p>
    <w:p>
      <w:pPr>
        <w:spacing w:after="0" w:line="48" w:lineRule="exact"/>
        <w:rPr>
          <w:sz w:val="20"/>
          <w:szCs w:val="20"/>
          <w:color w:val="auto"/>
        </w:rPr>
      </w:pPr>
    </w:p>
    <w:p>
      <w:pPr>
        <w:ind w:left="1120" w:right="460"/>
        <w:spacing w:after="0" w:line="281" w:lineRule="auto"/>
        <w:rPr>
          <w:sz w:val="20"/>
          <w:szCs w:val="20"/>
          <w:color w:val="auto"/>
        </w:rPr>
      </w:pPr>
      <w:r>
        <w:rPr>
          <w:rFonts w:ascii="Times New Roman" w:cs="Times New Roman" w:eastAsia="Times New Roman" w:hAnsi="Times New Roman"/>
          <w:sz w:val="16"/>
          <w:szCs w:val="16"/>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48" w:lineRule="exact"/>
        <w:rPr>
          <w:sz w:val="20"/>
          <w:szCs w:val="20"/>
          <w:color w:val="auto"/>
        </w:rPr>
      </w:pPr>
    </w:p>
    <w:p>
      <w:pPr>
        <w:ind w:left="1120" w:right="20"/>
        <w:spacing w:after="0" w:line="281" w:lineRule="auto"/>
        <w:rPr>
          <w:sz w:val="20"/>
          <w:szCs w:val="20"/>
          <w:color w:val="auto"/>
        </w:rPr>
      </w:pPr>
      <w:r>
        <w:rPr>
          <w:rFonts w:ascii="Times New Roman" w:cs="Times New Roman" w:eastAsia="Times New Roman" w:hAnsi="Times New Roman"/>
          <w:sz w:val="16"/>
          <w:szCs w:val="16"/>
          <w:color w:val="auto"/>
        </w:rPr>
        <w:t>Level 3: Significant unobservable inputs that reflect the Company’s own assumptions about the assumptions that market participants would use in pricing an asset or liability.</w:t>
      </w:r>
    </w:p>
    <w:p>
      <w:pPr>
        <w:spacing w:after="0" w:line="144" w:lineRule="exact"/>
        <w:rPr>
          <w:sz w:val="20"/>
          <w:szCs w:val="20"/>
          <w:color w:val="auto"/>
        </w:rPr>
      </w:pPr>
    </w:p>
    <w:p>
      <w:pPr>
        <w:ind w:left="740" w:right="340"/>
        <w:spacing w:after="0" w:line="281" w:lineRule="auto"/>
        <w:rPr>
          <w:sz w:val="20"/>
          <w:szCs w:val="20"/>
          <w:color w:val="auto"/>
        </w:rPr>
      </w:pPr>
      <w:r>
        <w:rPr>
          <w:rFonts w:ascii="Times New Roman" w:cs="Times New Roman" w:eastAsia="Times New Roman" w:hAnsi="Times New Roman"/>
          <w:sz w:val="16"/>
          <w:szCs w:val="16"/>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44" w:lineRule="exact"/>
        <w:rPr>
          <w:sz w:val="20"/>
          <w:szCs w:val="20"/>
          <w:color w:val="auto"/>
        </w:rPr>
      </w:pPr>
    </w:p>
    <w:p>
      <w:pPr>
        <w:ind w:left="740" w:right="600"/>
        <w:spacing w:after="0" w:line="281" w:lineRule="auto"/>
        <w:rPr>
          <w:sz w:val="20"/>
          <w:szCs w:val="20"/>
          <w:color w:val="auto"/>
        </w:rPr>
      </w:pPr>
      <w:r>
        <w:rPr>
          <w:rFonts w:ascii="Times New Roman" w:cs="Times New Roman" w:eastAsia="Times New Roman" w:hAnsi="Times New Roman"/>
          <w:sz w:val="16"/>
          <w:szCs w:val="16"/>
          <w:color w:val="auto"/>
        </w:rPr>
        <w:t>The carrying amount of financial instruments, including cash and cash equivalents, accounts receivable, notes receivable and accounts payable, approximates fair value due to the short maturities of these instruments.</w:t>
      </w:r>
    </w:p>
    <w:p>
      <w:pPr>
        <w:spacing w:after="0" w:line="144"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u w:val="single" w:color="auto"/>
          <w:color w:val="auto"/>
        </w:rPr>
        <w:t>Recently Adopted Accounting Standards</w:t>
      </w:r>
      <w:r>
        <w:rPr>
          <w:rFonts w:ascii="Times New Roman" w:cs="Times New Roman" w:eastAsia="Times New Roman" w:hAnsi="Times New Roman"/>
          <w:sz w:val="16"/>
          <w:szCs w:val="16"/>
          <w:color w:val="auto"/>
        </w:rPr>
        <w:t>: In November 2023, the Financial Accounting Standards Board (“FASB”) issued ASU 2023-07, Segment Reporting (Topic 280): Improvements to Segment Reporting. ASU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to allocate resources. The Company adopted this standard retrospectively to all prior periods presented in the financial statements. For further information regarding the Company’s Business Segments, see “Note 18 — Segment Information.”</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F-18</w:t>
      </w:r>
    </w:p>
    <w:p>
      <w:pPr>
        <w:sectPr>
          <w:pgSz w:w="11900" w:h="16838" w:orient="portrait"/>
          <w:cols w:equalWidth="0" w:num="1">
            <w:col w:w="10480"/>
          </w:cols>
          <w:pgMar w:left="320" w:top="420" w:right="10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140"/>
        <w:spacing w:after="0" w:line="283" w:lineRule="auto"/>
        <w:rPr>
          <w:sz w:val="20"/>
          <w:szCs w:val="20"/>
          <w:color w:val="auto"/>
        </w:rPr>
      </w:pPr>
      <w:r>
        <w:rPr>
          <w:rFonts w:ascii="Times New Roman" w:cs="Times New Roman" w:eastAsia="Times New Roman" w:hAnsi="Times New Roman"/>
          <w:sz w:val="15"/>
          <w:szCs w:val="15"/>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The Company adopted this standard on a prospective basis in 2024. The adoption did not have a material impact on the Company’s consolidated financial statements.</w:t>
      </w:r>
    </w:p>
    <w:p>
      <w:pPr>
        <w:spacing w:after="0" w:line="144"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In October 2021, the FASB issued ASU No. 2021-08, Business Combinations (Topic 805): Accounting for Contract Assets and Contract Liabilities from Contracts with Customers. ASU 2021-08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2023. The adoption did not have an impact on the Company’s consolidated financial statements.</w:t>
      </w:r>
    </w:p>
    <w:p>
      <w:pPr>
        <w:spacing w:after="0" w:line="164" w:lineRule="exact"/>
        <w:rPr>
          <w:sz w:val="20"/>
          <w:szCs w:val="20"/>
          <w:color w:val="auto"/>
        </w:rPr>
      </w:pPr>
    </w:p>
    <w:p>
      <w:pPr>
        <w:ind w:left="740" w:right="140"/>
        <w:spacing w:after="0" w:line="255" w:lineRule="auto"/>
        <w:rPr>
          <w:sz w:val="20"/>
          <w:szCs w:val="20"/>
          <w:color w:val="auto"/>
        </w:rPr>
      </w:pPr>
      <w:r>
        <w:rPr>
          <w:rFonts w:ascii="Times New Roman" w:cs="Times New Roman" w:eastAsia="Times New Roman" w:hAnsi="Times New Roman"/>
          <w:sz w:val="16"/>
          <w:szCs w:val="16"/>
          <w:color w:val="auto"/>
        </w:rPr>
        <w:t>In June 2016, the Financial Accounting Standards Board (FASB) issued Accounting Standards Update (ASU) No. 2016-13,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64" w:lineRule="exact"/>
        <w:rPr>
          <w:sz w:val="20"/>
          <w:szCs w:val="20"/>
          <w:color w:val="auto"/>
        </w:rPr>
      </w:pPr>
    </w:p>
    <w:p>
      <w:pPr>
        <w:ind w:left="740" w:right="60"/>
        <w:spacing w:after="0" w:line="257" w:lineRule="auto"/>
        <w:rPr>
          <w:sz w:val="20"/>
          <w:szCs w:val="20"/>
          <w:color w:val="auto"/>
        </w:rPr>
      </w:pPr>
      <w:r>
        <w:rPr>
          <w:rFonts w:ascii="Times New Roman" w:cs="Times New Roman" w:eastAsia="Times New Roman" w:hAnsi="Times New Roman"/>
          <w:sz w:val="16"/>
          <w:szCs w:val="16"/>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2024 and December 31, 2023.</w:t>
      </w:r>
    </w:p>
    <w:p>
      <w:pPr>
        <w:spacing w:after="0" w:line="165" w:lineRule="exact"/>
        <w:rPr>
          <w:sz w:val="20"/>
          <w:szCs w:val="20"/>
          <w:color w:val="auto"/>
        </w:rPr>
      </w:pPr>
    </w:p>
    <w:p>
      <w:pPr>
        <w:ind w:left="740" w:right="100"/>
        <w:spacing w:after="0" w:line="260" w:lineRule="auto"/>
        <w:rPr>
          <w:sz w:val="20"/>
          <w:szCs w:val="20"/>
          <w:color w:val="auto"/>
        </w:rPr>
      </w:pPr>
      <w:r>
        <w:rPr>
          <w:rFonts w:ascii="Times New Roman" w:cs="Times New Roman" w:eastAsia="Times New Roman" w:hAnsi="Times New Roman"/>
          <w:sz w:val="16"/>
          <w:szCs w:val="16"/>
          <w:color w:val="auto"/>
        </w:rPr>
        <w:t>The Company charges interest on certain past-due trade receivable balances; for the accrued interest that is included in the amortized cost basis of trade receivables, the Company elects not to measure an allowance for credit losses and to timely write off the interest deemed uncollectible by reversing interest income. The amounts of interest written off for the years ended December 31, 2024, December 31, 2023, and December 31, 2022 were immaterial.</w:t>
      </w:r>
    </w:p>
    <w:p>
      <w:pPr>
        <w:spacing w:after="0" w:line="161" w:lineRule="exact"/>
        <w:rPr>
          <w:sz w:val="20"/>
          <w:szCs w:val="20"/>
          <w:color w:val="auto"/>
        </w:rPr>
      </w:pPr>
    </w:p>
    <w:p>
      <w:pPr>
        <w:ind w:left="740" w:right="80"/>
        <w:spacing w:after="0" w:line="257" w:lineRule="auto"/>
        <w:rPr>
          <w:sz w:val="20"/>
          <w:szCs w:val="20"/>
          <w:color w:val="auto"/>
        </w:rPr>
      </w:pPr>
      <w:r>
        <w:rPr>
          <w:rFonts w:ascii="Times New Roman" w:cs="Times New Roman" w:eastAsia="Times New Roman" w:hAnsi="Times New Roman"/>
          <w:sz w:val="16"/>
          <w:szCs w:val="16"/>
          <w:u w:val="single" w:color="auto"/>
          <w:color w:val="auto"/>
        </w:rPr>
        <w:t>Recently Issued Accounting Standards Not Yet Adopted:</w:t>
      </w:r>
      <w:r>
        <w:rPr>
          <w:rFonts w:ascii="Times New Roman" w:cs="Times New Roman" w:eastAsia="Times New Roman" w:hAnsi="Times New Roman"/>
          <w:sz w:val="16"/>
          <w:szCs w:val="16"/>
          <w:color w:val="auto"/>
        </w:rPr>
        <w:t xml:space="preserve"> 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2025 and should be applied on a prospective basis,</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F-19</w:t>
      </w:r>
    </w:p>
    <w:p>
      <w:pPr>
        <w:sectPr>
          <w:pgSz w:w="11900" w:h="16838" w:orient="portrait"/>
          <w:cols w:equalWidth="0" w:num="1">
            <w:col w:w="10500"/>
          </w:cols>
          <w:pgMar w:left="320" w:top="420" w:right="10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500"/>
        <w:spacing w:after="0" w:line="281" w:lineRule="auto"/>
        <w:rPr>
          <w:sz w:val="20"/>
          <w:szCs w:val="20"/>
          <w:color w:val="auto"/>
        </w:rPr>
      </w:pPr>
      <w:r>
        <w:rPr>
          <w:rFonts w:ascii="Times New Roman" w:cs="Times New Roman" w:eastAsia="Times New Roman" w:hAnsi="Times New Roman"/>
          <w:sz w:val="16"/>
          <w:szCs w:val="16"/>
          <w:color w:val="auto"/>
        </w:rPr>
        <w:t>with retrospective application permitted. Early adoption is permitted. The Company is currently evaluating the impact of this ASU on the related disclosures.</w:t>
      </w:r>
    </w:p>
    <w:p>
      <w:pPr>
        <w:spacing w:after="0" w:line="144" w:lineRule="exact"/>
        <w:rPr>
          <w:sz w:val="20"/>
          <w:szCs w:val="20"/>
          <w:color w:val="auto"/>
        </w:rPr>
      </w:pPr>
    </w:p>
    <w:p>
      <w:pPr>
        <w:ind w:left="740" w:right="120"/>
        <w:spacing w:after="0" w:line="272"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 — Reporting Comprehensive Income — 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w:t>
      </w:r>
    </w:p>
    <w:p>
      <w:pPr>
        <w:spacing w:after="0" w:line="1" w:lineRule="exact"/>
        <w:rPr>
          <w:sz w:val="20"/>
          <w:szCs w:val="20"/>
          <w:color w:val="auto"/>
        </w:rPr>
      </w:pPr>
    </w:p>
    <w:p>
      <w:pPr>
        <w:ind w:left="740" w:hanging="2"/>
        <w:spacing w:after="0" w:line="273" w:lineRule="auto"/>
        <w:tabs>
          <w:tab w:leader="none" w:pos="913" w:val="left"/>
        </w:tabs>
        <w:numPr>
          <w:ilvl w:val="0"/>
          <w:numId w:val="1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AND EQUITY INVESTMENT</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Microtek</w:t>
      </w:r>
    </w:p>
    <w:p>
      <w:pPr>
        <w:spacing w:after="0" w:line="107" w:lineRule="exact"/>
        <w:rPr>
          <w:sz w:val="20"/>
          <w:szCs w:val="20"/>
          <w:color w:val="auto"/>
        </w:rPr>
      </w:pPr>
    </w:p>
    <w:p>
      <w:pPr>
        <w:ind w:left="740" w:right="240"/>
        <w:spacing w:after="0" w:line="274" w:lineRule="auto"/>
        <w:rPr>
          <w:sz w:val="20"/>
          <w:szCs w:val="20"/>
          <w:color w:val="auto"/>
        </w:rPr>
      </w:pPr>
      <w:r>
        <w:rPr>
          <w:rFonts w:ascii="Times New Roman" w:cs="Times New Roman" w:eastAsia="Times New Roman" w:hAnsi="Times New Roman"/>
          <w:sz w:val="15"/>
          <w:szCs w:val="15"/>
          <w:color w:val="auto"/>
        </w:rPr>
        <w:t>On August 1, 2024, the Company acquired all of the outstanding shares of the global surgical solutions business of Ecolab (the “Microtek” business) pursuant to a share purchase agreement for $911 cash consideration. The primary purpose of the business combination to expand Medline Brand business (defined in “Note 18 — Segment Information”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54" w:lineRule="exact"/>
        <w:rPr>
          <w:sz w:val="20"/>
          <w:szCs w:val="20"/>
          <w:color w:val="auto"/>
        </w:rPr>
      </w:pPr>
    </w:p>
    <w:p>
      <w:pPr>
        <w:ind w:left="740" w:right="100"/>
        <w:spacing w:after="0" w:line="254"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Accounting Standards Codification 805 Business Combinations (“ASC 805”) and was accounted for using the acquisition method of accounting. The assets acquired and liabilities assumed, affected for preliminary adjustments to reflect fair market values assigned to assets acquired and liabilities assumed, and results of operations, are included in the Company’s consolidated financial statements from the acquisition date. The Microtek acquisition contributed $127 of net sales for the year ended December 31, 2024. The net income from the Microtek acquisition was immaterial for the year ended December 31, 2024. The Company has preliminarily allocated the purchase price to the tangible and identifiable intangible assets acquired and liabilities assumed based on their estimated fair market values at the acquisition date as required under ASC 805. The fair value determinations of other assets, other liabilities, income taxes payable and deferred taxes are ongoing and will be finalized within the one-year measurement period.</w:t>
      </w:r>
    </w:p>
    <w:p>
      <w:pPr>
        <w:spacing w:after="0" w:line="1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F-20</w:t>
      </w:r>
    </w:p>
    <w:p>
      <w:pPr>
        <w:sectPr>
          <w:pgSz w:w="11900" w:h="16838" w:orient="portrait"/>
          <w:cols w:equalWidth="0" w:num="1">
            <w:col w:w="10480"/>
          </w:cols>
          <w:pgMar w:left="320" w:top="420" w:right="10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 has allocated the preliminary purchase price to the assets acquired and the liabilities assumed based on their estimated fair values as of the date of acquisition as below:</w:t>
      </w:r>
    </w:p>
    <w:p>
      <w:pPr>
        <w:spacing w:after="0" w:line="145"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5720" w:type="dxa"/>
            <w:vAlign w:val="bottom"/>
          </w:tcPr>
          <w:p>
            <w:pPr>
              <w:spacing w:after="0"/>
              <w:rPr>
                <w:sz w:val="12"/>
                <w:szCs w:val="12"/>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Estimated Fair</w:t>
            </w:r>
          </w:p>
        </w:tc>
      </w:tr>
      <w:tr>
        <w:trPr>
          <w:trHeight w:val="154"/>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Value</w:t>
            </w:r>
          </w:p>
        </w:tc>
      </w:tr>
      <w:tr>
        <w:trPr>
          <w:trHeight w:val="184"/>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r>
      <w:tr>
        <w:trPr>
          <w:trHeight w:val="19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6"/>
                <w:szCs w:val="16"/>
                <w:color w:val="auto"/>
              </w:rPr>
            </w:pP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6"/>
                <w:szCs w:val="16"/>
                <w:color w:val="auto"/>
              </w:rPr>
            </w:pPr>
          </w:p>
        </w:tc>
      </w:tr>
      <w:tr>
        <w:trPr>
          <w:trHeight w:val="19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w:t>
            </w:r>
          </w:p>
        </w:tc>
      </w:tr>
      <w:tr>
        <w:trPr>
          <w:trHeight w:val="192"/>
        </w:trPr>
        <w:tc>
          <w:tcPr>
            <w:tcW w:w="572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418</w:t>
            </w:r>
          </w:p>
        </w:tc>
        <w:tc>
          <w:tcPr>
            <w:tcW w:w="80" w:type="dxa"/>
            <w:vAlign w:val="bottom"/>
            <w:shd w:val="clear" w:color="auto" w:fill="CCEEFF"/>
          </w:tcPr>
          <w:p>
            <w:pPr>
              <w:spacing w:after="0"/>
              <w:rPr>
                <w:sz w:val="16"/>
                <w:szCs w:val="16"/>
                <w:color w:val="auto"/>
              </w:rPr>
            </w:pPr>
          </w:p>
        </w:tc>
      </w:tr>
      <w:tr>
        <w:trPr>
          <w:trHeight w:val="196"/>
        </w:trPr>
        <w:tc>
          <w:tcPr>
            <w:tcW w:w="57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740" w:right="20"/>
        <w:spacing w:after="0" w:line="265"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For 2024, $424 of the goodwill is estimated to be tax deductible over the amortizable period. Goodwill is comprised of expected synergies related to the combined operations, trade name, and customer relationships acquired in the business combination.</w:t>
      </w:r>
    </w:p>
    <w:p>
      <w:pPr>
        <w:spacing w:after="0" w:line="157" w:lineRule="exact"/>
        <w:rPr>
          <w:sz w:val="20"/>
          <w:szCs w:val="20"/>
          <w:color w:val="auto"/>
        </w:rPr>
      </w:pPr>
    </w:p>
    <w:p>
      <w:pPr>
        <w:ind w:left="740" w:right="120"/>
        <w:spacing w:after="0" w:line="257" w:lineRule="auto"/>
        <w:rPr>
          <w:sz w:val="20"/>
          <w:szCs w:val="20"/>
          <w:color w:val="auto"/>
        </w:rPr>
      </w:pPr>
      <w:r>
        <w:rPr>
          <w:rFonts w:ascii="Times New Roman" w:cs="Times New Roman" w:eastAsia="Times New Roman" w:hAnsi="Times New Roman"/>
          <w:sz w:val="16"/>
          <w:szCs w:val="16"/>
          <w:color w:val="auto"/>
        </w:rPr>
        <w:t>At the date of acquisition, the fair value for trade name and developed technology were determined using the relief from royalty method and the fair values of customer relationship was determined using the distributor method. The Company considers the fair value of the intangible assets to be Level 3 measurements due to the significant estimates and assumptions used by management in establishing the estimated fair value which includes discount rates, revenue growth and royalty rates. The identifiable intangible assets acquired subject to amortization have a weighted average useful life of 11 years. Below is a summary of the intangible assets acquired in the acquisition:</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5820" w:type="dxa"/>
            <w:vAlign w:val="bottom"/>
          </w:tcPr>
          <w:p>
            <w:pPr>
              <w:spacing w:after="0"/>
              <w:rPr>
                <w:sz w:val="13"/>
                <w:szCs w:val="13"/>
                <w:color w:val="auto"/>
              </w:rPr>
            </w:pPr>
          </w:p>
        </w:tc>
        <w:tc>
          <w:tcPr>
            <w:tcW w:w="4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4"/>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6"/>
              </w:rPr>
              <w:t>Indefinite</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16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c>
          <w:tcPr>
            <w:tcW w:w="400" w:type="dxa"/>
            <w:vAlign w:val="bottom"/>
          </w:tcPr>
          <w:p>
            <w:pPr>
              <w:spacing w:after="0"/>
              <w:rPr>
                <w:sz w:val="16"/>
                <w:szCs w:val="16"/>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10 years</w:t>
            </w:r>
          </w:p>
        </w:tc>
      </w:tr>
      <w:tr>
        <w:trPr>
          <w:trHeight w:val="192"/>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12 years</w:t>
            </w:r>
          </w:p>
        </w:tc>
      </w:tr>
      <w:tr>
        <w:trPr>
          <w:trHeight w:val="196"/>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Acquisition-related costs for Microtek are included in selling, general and administrative expenses in our consolidated statements of comprehensive income as incurred and are not material.</w:t>
      </w:r>
    </w:p>
    <w:p>
      <w:pPr>
        <w:spacing w:after="0" w:line="144" w:lineRule="exact"/>
        <w:rPr>
          <w:sz w:val="20"/>
          <w:szCs w:val="20"/>
          <w:color w:val="auto"/>
        </w:rPr>
      </w:pPr>
    </w:p>
    <w:p>
      <w:pPr>
        <w:ind w:left="740" w:right="140"/>
        <w:spacing w:after="0" w:line="257" w:lineRule="auto"/>
        <w:rPr>
          <w:sz w:val="20"/>
          <w:szCs w:val="20"/>
          <w:color w:val="auto"/>
        </w:rPr>
      </w:pPr>
      <w:r>
        <w:rPr>
          <w:rFonts w:ascii="Times New Roman" w:cs="Times New Roman" w:eastAsia="Times New Roman" w:hAnsi="Times New Roman"/>
          <w:sz w:val="16"/>
          <w:szCs w:val="16"/>
          <w:color w:val="auto"/>
        </w:rPr>
        <w:t>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current preliminary fair value of the intangible assets acquired, incremental cost of sales related to the fair value adjustments on acquisition-date inventory, and the reclassification of acquisition-related costs incurred during the year-ended December 31, 2024</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F-21</w:t>
      </w:r>
    </w:p>
    <w:p>
      <w:pPr>
        <w:sectPr>
          <w:pgSz w:w="11900" w:h="16838" w:orient="portrait"/>
          <w:cols w:equalWidth="0" w:num="1">
            <w:col w:w="10500"/>
          </w:cols>
          <w:pgMar w:left="320" w:top="421" w:right="107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160"/>
        <w:spacing w:after="0" w:line="265" w:lineRule="auto"/>
        <w:rPr>
          <w:sz w:val="20"/>
          <w:szCs w:val="20"/>
          <w:color w:val="auto"/>
        </w:rPr>
      </w:pPr>
      <w:r>
        <w:rPr>
          <w:rFonts w:ascii="Times New Roman" w:cs="Times New Roman" w:eastAsia="Times New Roman" w:hAnsi="Times New Roman"/>
          <w:sz w:val="16"/>
          <w:szCs w:val="16"/>
          <w:color w:val="auto"/>
        </w:rPr>
        <w:t>to the year-ended December 31,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75"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5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4"/>
        </w:trPr>
        <w:tc>
          <w:tcPr>
            <w:tcW w:w="5240" w:type="dxa"/>
            <w:vAlign w:val="bottom"/>
          </w:tcPr>
          <w:p>
            <w:pPr>
              <w:spacing w:after="0"/>
              <w:rPr>
                <w:sz w:val="9"/>
                <w:szCs w:val="9"/>
                <w:color w:val="auto"/>
              </w:rPr>
            </w:pPr>
          </w:p>
        </w:tc>
        <w:tc>
          <w:tcPr>
            <w:tcW w:w="74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660" w:type="dxa"/>
            <w:vAlign w:val="bottom"/>
          </w:tcPr>
          <w:p>
            <w:pPr>
              <w:spacing w:after="0"/>
              <w:rPr>
                <w:sz w:val="9"/>
                <w:szCs w:val="9"/>
                <w:color w:val="auto"/>
              </w:rPr>
            </w:pPr>
          </w:p>
        </w:tc>
        <w:tc>
          <w:tcPr>
            <w:tcW w:w="720" w:type="dxa"/>
            <w:vAlign w:val="bottom"/>
            <w:gridSpan w:val="2"/>
          </w:tcPr>
          <w:p>
            <w:pPr>
              <w:ind w:left="20"/>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60" w:type="dxa"/>
            <w:vAlign w:val="bottom"/>
          </w:tcPr>
          <w:p>
            <w:pPr>
              <w:spacing w:after="0"/>
              <w:rPr>
                <w:sz w:val="9"/>
                <w:szCs w:val="9"/>
                <w:color w:val="auto"/>
              </w:rPr>
            </w:pPr>
          </w:p>
        </w:tc>
      </w:tr>
      <w:tr>
        <w:trPr>
          <w:trHeight w:val="152"/>
        </w:trPr>
        <w:tc>
          <w:tcPr>
            <w:tcW w:w="5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3"/>
                <w:szCs w:val="13"/>
                <w:color w:val="auto"/>
              </w:rPr>
            </w:pPr>
          </w:p>
        </w:tc>
      </w:tr>
      <w:tr>
        <w:trPr>
          <w:trHeight w:val="184"/>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25,689</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23,588</w:t>
            </w:r>
          </w:p>
        </w:tc>
        <w:tc>
          <w:tcPr>
            <w:tcW w:w="60" w:type="dxa"/>
            <w:vAlign w:val="bottom"/>
            <w:shd w:val="clear" w:color="auto" w:fill="CCEEFF"/>
          </w:tcPr>
          <w:p>
            <w:pPr>
              <w:spacing w:after="0"/>
              <w:rPr>
                <w:sz w:val="15"/>
                <w:szCs w:val="15"/>
                <w:color w:val="auto"/>
              </w:rPr>
            </w:pPr>
          </w:p>
        </w:tc>
      </w:tr>
      <w:tr>
        <w:trPr>
          <w:trHeight w:val="208"/>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1,272</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w:t>
            </w:r>
          </w:p>
        </w:tc>
      </w:tr>
    </w:tbl>
    <w:p>
      <w:pPr>
        <w:spacing w:after="0" w:line="158"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For the period ended December 31, 2024, the Company incurred $25 of incremental cost of sales from the fair value step-ups on acquired Microtek inventory that was sold in 2024. The Company also incurred $11 of additional amortization expense from the current fair values of identifiable intangible assets acquired. The unaudited proforma combined financial information includes adjustments to reflect incremental amortization expense based on the current preliminary fair values of the identifiable intangible assets acquired and some immaterial nonrecurring transaction expenses directly attributable to the acquisition.</w:t>
      </w:r>
    </w:p>
    <w:p>
      <w:pPr>
        <w:spacing w:after="0" w:line="25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Sinclair Dental</w:t>
      </w:r>
    </w:p>
    <w:p>
      <w:pPr>
        <w:spacing w:after="0" w:line="107" w:lineRule="exact"/>
        <w:rPr>
          <w:sz w:val="20"/>
          <w:szCs w:val="20"/>
          <w:color w:val="auto"/>
        </w:rPr>
      </w:pPr>
    </w:p>
    <w:p>
      <w:pPr>
        <w:ind w:left="740" w:right="80"/>
        <w:spacing w:after="0" w:line="257" w:lineRule="auto"/>
        <w:rPr>
          <w:sz w:val="20"/>
          <w:szCs w:val="20"/>
          <w:color w:val="auto"/>
        </w:rPr>
      </w:pPr>
      <w:r>
        <w:rPr>
          <w:rFonts w:ascii="Times New Roman" w:cs="Times New Roman" w:eastAsia="Times New Roman" w:hAnsi="Times New Roman"/>
          <w:sz w:val="16"/>
          <w:szCs w:val="16"/>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18 - 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65" w:lineRule="exact"/>
        <w:rPr>
          <w:sz w:val="20"/>
          <w:szCs w:val="20"/>
          <w:color w:val="auto"/>
        </w:rPr>
      </w:pPr>
    </w:p>
    <w:p>
      <w:pPr>
        <w:ind w:left="740" w:right="220"/>
        <w:spacing w:after="0" w:line="257"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Sinclair Dental acquisition contributed $226 of net sales for the year ended December 31, 2024. The net income from the Sinclair Dental acquisition was immaterial for the year ended December 31, 2024.</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F-22</w:t>
      </w:r>
    </w:p>
    <w:p>
      <w:pPr>
        <w:sectPr>
          <w:pgSz w:w="11900" w:h="16838" w:orient="portrait"/>
          <w:cols w:equalWidth="0" w:num="1">
            <w:col w:w="10500"/>
          </w:cols>
          <w:pgMar w:left="320" w:top="420" w:right="10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February 1, 2024 as below:</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100" w:type="dxa"/>
            <w:vAlign w:val="bottom"/>
          </w:tcPr>
          <w:p>
            <w:pPr>
              <w:spacing w:after="0"/>
              <w:rPr>
                <w:sz w:val="13"/>
                <w:szCs w:val="13"/>
                <w:color w:val="auto"/>
              </w:rPr>
            </w:pPr>
          </w:p>
        </w:tc>
        <w:tc>
          <w:tcPr>
            <w:tcW w:w="5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4"/>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6"/>
                <w:szCs w:val="16"/>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6"/>
                <w:szCs w:val="16"/>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4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6"/>
                <w:szCs w:val="16"/>
                <w:color w:val="auto"/>
              </w:rPr>
            </w:pP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1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57"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values of customer relationship was determined using the excess earnings method. The Company considers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5840" w:type="dxa"/>
            <w:vAlign w:val="bottom"/>
          </w:tcPr>
          <w:p>
            <w:pPr>
              <w:spacing w:after="0"/>
              <w:rPr>
                <w:sz w:val="13"/>
                <w:szCs w:val="13"/>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4"/>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1"/>
              </w:rPr>
              <w:t>7 years</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16"/>
                <w:szCs w:val="16"/>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74</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14 years</w:t>
            </w:r>
          </w:p>
        </w:tc>
      </w:tr>
      <w:tr>
        <w:trPr>
          <w:trHeight w:val="24"/>
        </w:trPr>
        <w:tc>
          <w:tcPr>
            <w:tcW w:w="5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93</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940"/>
        <w:spacing w:after="0" w:line="281" w:lineRule="auto"/>
        <w:rPr>
          <w:sz w:val="20"/>
          <w:szCs w:val="20"/>
          <w:color w:val="auto"/>
        </w:rPr>
      </w:pPr>
      <w:r>
        <w:rPr>
          <w:rFonts w:ascii="Times New Roman" w:cs="Times New Roman" w:eastAsia="Times New Roman" w:hAnsi="Times New Roman"/>
          <w:sz w:val="16"/>
          <w:szCs w:val="16"/>
          <w:color w:val="auto"/>
        </w:rPr>
        <w:t>Acquisition-related costs for Sinclair Dental are included in selling, general and administrative expenses in our consolidated statements of comprehensive income as incurred and are not material.</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United Medco</w:t>
      </w:r>
    </w:p>
    <w:p>
      <w:pPr>
        <w:spacing w:after="0" w:line="107" w:lineRule="exact"/>
        <w:rPr>
          <w:sz w:val="20"/>
          <w:szCs w:val="20"/>
          <w:color w:val="auto"/>
        </w:rPr>
      </w:pPr>
    </w:p>
    <w:p>
      <w:pPr>
        <w:ind w:left="740" w:right="100"/>
        <w:spacing w:after="0" w:line="257" w:lineRule="auto"/>
        <w:rPr>
          <w:sz w:val="20"/>
          <w:szCs w:val="20"/>
          <w:color w:val="auto"/>
        </w:rPr>
      </w:pPr>
      <w:r>
        <w:rPr>
          <w:rFonts w:ascii="Times New Roman" w:cs="Times New Roman" w:eastAsia="Times New Roman" w:hAnsi="Times New Roman"/>
          <w:sz w:val="16"/>
          <w:szCs w:val="16"/>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consideration and a contingent liability at a fair value of $20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F-23</w:t>
      </w:r>
    </w:p>
    <w:p>
      <w:pPr>
        <w:sectPr>
          <w:pgSz w:w="11900" w:h="16838" w:orient="portrait"/>
          <w:cols w:equalWidth="0" w:num="1">
            <w:col w:w="10480"/>
          </w:cols>
          <w:pgMar w:left="320" w:top="421" w:right="10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 The United Medco acquisition contributed $89 of net sales for the year ended December 31, 2024. The net income from the United Medco acquisition was immaterial for the year ended December 31, 2024.</w:t>
      </w:r>
    </w:p>
    <w:p>
      <w:pPr>
        <w:spacing w:after="0" w:line="165" w:lineRule="exact"/>
        <w:rPr>
          <w:sz w:val="20"/>
          <w:szCs w:val="20"/>
          <w:color w:val="auto"/>
        </w:rPr>
      </w:pPr>
    </w:p>
    <w:p>
      <w:pPr>
        <w:ind w:left="740" w:right="40"/>
        <w:spacing w:after="0" w:line="256" w:lineRule="auto"/>
        <w:rPr>
          <w:sz w:val="20"/>
          <w:szCs w:val="20"/>
          <w:color w:val="auto"/>
        </w:rPr>
      </w:pPr>
      <w:r>
        <w:rPr>
          <w:rFonts w:ascii="Times New Roman" w:cs="Times New Roman" w:eastAsia="Times New Roman" w:hAnsi="Times New Roman"/>
          <w:sz w:val="16"/>
          <w:szCs w:val="16"/>
          <w:color w:val="auto"/>
        </w:rPr>
        <w:t>The maximum payout under the contingent liability is $35 and will be paid over two years based on the defined metrics in 2024 and 2025. The Company recorded the contingent liability of $20 on the acquisition date. $8 was considered current and recorded as other current liabilities, and the remaining $12 was considered non-current and recorded as Other Long-Term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164"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January 4, 2024 as below:</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1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84"/>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1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6"/>
                <w:szCs w:val="16"/>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1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r>
      <w:tr>
        <w:trPr>
          <w:trHeight w:val="192"/>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6"/>
                <w:szCs w:val="16"/>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44"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values of customer relationship was determined using the excess earnings method. The Company consider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25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4"/>
        </w:trPr>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3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1"/>
              </w:rPr>
              <w:t>2 years</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22</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11 years</w:t>
            </w:r>
          </w:p>
        </w:tc>
      </w:tr>
      <w:tr>
        <w:trPr>
          <w:trHeight w:val="24"/>
        </w:trPr>
        <w:tc>
          <w:tcPr>
            <w:tcW w:w="25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2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3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24</w:t>
            </w: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2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3520" w:type="dxa"/>
            <w:vAlign w:val="bottom"/>
            <w:gridSpan w:val="2"/>
          </w:tcPr>
          <w:p>
            <w:pPr>
              <w:ind w:left="1040"/>
              <w:spacing w:after="0"/>
              <w:rPr>
                <w:sz w:val="20"/>
                <w:szCs w:val="20"/>
                <w:color w:val="auto"/>
              </w:rPr>
            </w:pPr>
            <w:r>
              <w:rPr>
                <w:rFonts w:ascii="Times New Roman" w:cs="Times New Roman" w:eastAsia="Times New Roman" w:hAnsi="Times New Roman"/>
                <w:sz w:val="16"/>
                <w:szCs w:val="16"/>
                <w:color w:val="auto"/>
              </w:rPr>
              <w:t>F-24</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80"/>
          </w:cols>
          <w:pgMar w:left="320" w:top="420" w:right="10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980"/>
        <w:spacing w:after="0" w:line="281" w:lineRule="auto"/>
        <w:rPr>
          <w:sz w:val="20"/>
          <w:szCs w:val="20"/>
          <w:color w:val="auto"/>
        </w:rPr>
      </w:pPr>
      <w:r>
        <w:rPr>
          <w:rFonts w:ascii="Times New Roman" w:cs="Times New Roman" w:eastAsia="Times New Roman" w:hAnsi="Times New Roman"/>
          <w:sz w:val="16"/>
          <w:szCs w:val="16"/>
          <w:color w:val="auto"/>
        </w:rPr>
        <w:t>Acquisition-related costs for United Medco are included in selling, general and administrative expenses in our consolidated statements of comprehensive income as incurred and are not material.</w:t>
      </w:r>
    </w:p>
    <w:p>
      <w:pPr>
        <w:spacing w:after="0" w:line="144" w:lineRule="exact"/>
        <w:rPr>
          <w:sz w:val="20"/>
          <w:szCs w:val="20"/>
          <w:color w:val="auto"/>
        </w:rPr>
      </w:pPr>
    </w:p>
    <w:p>
      <w:pPr>
        <w:ind w:left="740" w:right="200"/>
        <w:spacing w:after="0" w:line="281" w:lineRule="auto"/>
        <w:rPr>
          <w:sz w:val="20"/>
          <w:szCs w:val="20"/>
          <w:color w:val="auto"/>
        </w:rPr>
      </w:pPr>
      <w:r>
        <w:rPr>
          <w:rFonts w:ascii="Times New Roman" w:cs="Times New Roman" w:eastAsia="Times New Roman" w:hAnsi="Times New Roman"/>
          <w:sz w:val="16"/>
          <w:szCs w:val="16"/>
          <w:color w:val="auto"/>
        </w:rPr>
        <w:t>Other than the Microtek acquisition, the pro forma impacts of the acquisitions during fiscal years 2024 were not material, either individually or in the aggregate, to the consolidated results of the Company.</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2023 Acquisition</w:t>
      </w:r>
    </w:p>
    <w:p>
      <w:pPr>
        <w:spacing w:after="0" w:line="107" w:lineRule="exact"/>
        <w:rPr>
          <w:sz w:val="20"/>
          <w:szCs w:val="20"/>
          <w:color w:val="auto"/>
        </w:rPr>
      </w:pPr>
    </w:p>
    <w:p>
      <w:pPr>
        <w:ind w:left="740" w:right="20"/>
        <w:spacing w:after="0" w:line="209" w:lineRule="auto"/>
        <w:rPr>
          <w:sz w:val="20"/>
          <w:szCs w:val="20"/>
          <w:color w:val="auto"/>
        </w:rPr>
      </w:pPr>
      <w:r>
        <w:rPr>
          <w:rFonts w:ascii="Times New Roman" w:cs="Times New Roman" w:eastAsia="Times New Roman" w:hAnsi="Times New Roman"/>
          <w:sz w:val="16"/>
          <w:szCs w:val="16"/>
          <w:color w:val="auto"/>
        </w:rPr>
        <w:t>On December 4, 2023, the Company completed the second step of the acquisition of the Hudson RCI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business, for consideration of $24. The Hudson RCI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6"/>
          <w:szCs w:val="16"/>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2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2022 Acquisition</w:t>
      </w:r>
    </w:p>
    <w:p>
      <w:pPr>
        <w:spacing w:after="0" w:line="107"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On May 11, 2022, the Company completed the acquisition to purchase all shares in Asid Bonz GmbH, a 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65" w:lineRule="exact"/>
        <w:rPr>
          <w:sz w:val="20"/>
          <w:szCs w:val="20"/>
          <w:color w:val="auto"/>
        </w:rPr>
      </w:pPr>
    </w:p>
    <w:p>
      <w:pPr>
        <w:ind w:left="740" w:right="20"/>
        <w:spacing w:after="0" w:line="281" w:lineRule="auto"/>
        <w:rPr>
          <w:sz w:val="20"/>
          <w:szCs w:val="20"/>
          <w:color w:val="auto"/>
        </w:rPr>
      </w:pPr>
      <w:r>
        <w:rPr>
          <w:rFonts w:ascii="Times New Roman" w:cs="Times New Roman" w:eastAsia="Times New Roman" w:hAnsi="Times New Roman"/>
          <w:sz w:val="16"/>
          <w:szCs w:val="16"/>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Equity Investment</w:t>
      </w:r>
    </w:p>
    <w:p>
      <w:pPr>
        <w:spacing w:after="0" w:line="107" w:lineRule="exact"/>
        <w:rPr>
          <w:sz w:val="20"/>
          <w:szCs w:val="20"/>
          <w:color w:val="auto"/>
        </w:rPr>
      </w:pPr>
    </w:p>
    <w:p>
      <w:pPr>
        <w:ind w:left="740" w:right="20"/>
        <w:spacing w:after="0" w:line="256" w:lineRule="auto"/>
        <w:rPr>
          <w:sz w:val="20"/>
          <w:szCs w:val="20"/>
          <w:color w:val="auto"/>
        </w:rPr>
      </w:pPr>
      <w:r>
        <w:rPr>
          <w:rFonts w:ascii="Times New Roman" w:cs="Times New Roman" w:eastAsia="Times New Roman" w:hAnsi="Times New Roman"/>
          <w:sz w:val="16"/>
          <w:szCs w:val="16"/>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as of October 11, 2023 and were transferred in batches throughout 2024. As of December 31, 2023, the Company recorded an initial acquisition cost of $32 for the investment in HCD in other non-current assets of the Company’s consolidated balance sheets and a liability of $22 for the underlying contracts to be transferred in accrued expenses and other current liabilities in the Company’s consolidated balance sheets. As of December 31, 2024, the investment balance in HCD is $20. The Company’s maximum loss exposure is its investment in HCD.</w:t>
      </w:r>
    </w:p>
    <w:p>
      <w:pPr>
        <w:spacing w:after="0" w:line="164" w:lineRule="exact"/>
        <w:rPr>
          <w:sz w:val="20"/>
          <w:szCs w:val="20"/>
          <w:color w:val="auto"/>
        </w:rPr>
      </w:pPr>
    </w:p>
    <w:p>
      <w:pPr>
        <w:ind w:left="740" w:right="160"/>
        <w:spacing w:after="0" w:line="256" w:lineRule="auto"/>
        <w:rPr>
          <w:sz w:val="20"/>
          <w:szCs w:val="20"/>
          <w:color w:val="auto"/>
        </w:rPr>
      </w:pPr>
      <w:r>
        <w:rPr>
          <w:rFonts w:ascii="Times New Roman" w:cs="Times New Roman" w:eastAsia="Times New Roman" w:hAnsi="Times New Roman"/>
          <w:sz w:val="16"/>
          <w:szCs w:val="16"/>
          <w:color w:val="auto"/>
        </w:rPr>
        <w:t>The investment in HCD enables the Company to influence HCD’s operating and financial decisions, but not to control HCD. As such, the Company accounts for the investment in HCD using the equity method of accounting and records its share of losses in other (expense) income, net in the consolidated statements of comprehensive income.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years ended December 31, 2024 and December 31, 2023.</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F-25</w:t>
      </w:r>
    </w:p>
    <w:p>
      <w:pPr>
        <w:sectPr>
          <w:pgSz w:w="11900" w:h="16838" w:orient="portrait"/>
          <w:cols w:equalWidth="0" w:num="1">
            <w:col w:w="10480"/>
          </w:cols>
          <w:pgMar w:left="320" w:top="420" w:right="10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3 — INVENTORIES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Inventories consisted of the following as of:</w:t>
      </w:r>
    </w:p>
    <w:p>
      <w:pPr>
        <w:spacing w:after="0" w:line="200"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8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4"/>
        </w:trPr>
        <w:tc>
          <w:tcPr>
            <w:tcW w:w="38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r>
      <w:tr>
        <w:trPr>
          <w:trHeight w:val="184"/>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 and work in process, net</w:t>
            </w:r>
          </w:p>
        </w:tc>
        <w:tc>
          <w:tcPr>
            <w:tcW w:w="1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60" w:type="dxa"/>
            <w:vAlign w:val="bottom"/>
            <w:shd w:val="clear" w:color="auto" w:fill="CCEEFF"/>
          </w:tcPr>
          <w:p>
            <w:pPr>
              <w:spacing w:after="0"/>
              <w:rPr>
                <w:sz w:val="15"/>
                <w:szCs w:val="15"/>
                <w:color w:val="auto"/>
              </w:rPr>
            </w:pPr>
          </w:p>
        </w:tc>
      </w:tr>
      <w:tr>
        <w:trPr>
          <w:trHeight w:val="192"/>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3,142</w:t>
            </w:r>
          </w:p>
        </w:tc>
      </w:tr>
      <w:tr>
        <w:trPr>
          <w:trHeight w:val="24"/>
        </w:trPr>
        <w:tc>
          <w:tcPr>
            <w:tcW w:w="3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3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 net</w:t>
            </w:r>
          </w:p>
        </w:tc>
        <w:tc>
          <w:tcPr>
            <w:tcW w:w="14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4,456</w:t>
            </w:r>
          </w:p>
        </w:tc>
        <w:tc>
          <w:tcPr>
            <w:tcW w:w="5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3,813</w:t>
            </w:r>
          </w:p>
        </w:tc>
      </w:tr>
      <w:tr>
        <w:trPr>
          <w:trHeight w:val="20"/>
        </w:trPr>
        <w:tc>
          <w:tcPr>
            <w:tcW w:w="3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220"/>
        <w:spacing w:after="0" w:line="265" w:lineRule="auto"/>
        <w:rPr>
          <w:sz w:val="20"/>
          <w:szCs w:val="20"/>
          <w:color w:val="auto"/>
        </w:rPr>
      </w:pPr>
      <w:r>
        <w:rPr>
          <w:rFonts w:ascii="Times New Roman" w:cs="Times New Roman" w:eastAsia="Times New Roman" w:hAnsi="Times New Roman"/>
          <w:sz w:val="16"/>
          <w:szCs w:val="16"/>
          <w:color w:val="auto"/>
        </w:rPr>
        <w:t>If LIFO inventories had been valued on a current cost or FIFO basis, they would have been greater by $276 and $223 as of December 31, 2024 and December 31, 2023, respectively. The inventory reserve for obsolescence was $35 and $26 as of December 31, 2024 and December 31, 2023, respectively.</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4 — PROPERTY, PLANT, AND EQUIPMENT</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Property, plant, and equipment, net consists of the following as of:</w:t>
      </w:r>
    </w:p>
    <w:p>
      <w:pPr>
        <w:spacing w:after="0" w:line="200"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4"/>
        </w:trPr>
        <w:tc>
          <w:tcPr>
            <w:tcW w:w="50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r>
      <w:tr>
        <w:trPr>
          <w:trHeight w:val="18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shd w:val="clear" w:color="auto" w:fill="CCEEFF"/>
          </w:tcPr>
          <w:p>
            <w:pPr>
              <w:spacing w:after="0"/>
              <w:rPr>
                <w:sz w:val="15"/>
                <w:szCs w:val="15"/>
                <w:color w:val="auto"/>
              </w:rPr>
            </w:pPr>
          </w:p>
        </w:tc>
      </w:tr>
      <w:tr>
        <w:trPr>
          <w:trHeight w:val="19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2,989</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100" w:type="dxa"/>
            <w:vAlign w:val="bottom"/>
          </w:tcPr>
          <w:p>
            <w:pPr>
              <w:spacing w:after="0"/>
              <w:rPr>
                <w:sz w:val="16"/>
                <w:szCs w:val="16"/>
                <w:color w:val="auto"/>
              </w:rPr>
            </w:pPr>
          </w:p>
        </w:tc>
      </w:tr>
      <w:tr>
        <w:trPr>
          <w:trHeight w:val="19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 and improvements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640</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638</w:t>
            </w:r>
          </w:p>
        </w:tc>
      </w:tr>
      <w:tr>
        <w:trPr>
          <w:trHeight w:val="19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Auto and trucks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249</w:t>
            </w:r>
          </w:p>
        </w:tc>
      </w:tr>
      <w:tr>
        <w:trPr>
          <w:trHeight w:val="19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w:t>
            </w:r>
          </w:p>
        </w:tc>
      </w:tr>
      <w:tr>
        <w:trPr>
          <w:trHeight w:val="192"/>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6"/>
                <w:szCs w:val="16"/>
                <w:color w:val="auto"/>
              </w:rPr>
            </w:pPr>
          </w:p>
        </w:tc>
      </w:tr>
      <w:tr>
        <w:trPr>
          <w:trHeight w:val="19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6"/>
                <w:szCs w:val="16"/>
                <w:color w:val="auto"/>
              </w:rPr>
            </w:pPr>
          </w:p>
        </w:tc>
      </w:tr>
      <w:tr>
        <w:trPr>
          <w:trHeight w:val="196"/>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property, plant, and equipment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100" w:type="dxa"/>
            <w:vAlign w:val="bottom"/>
          </w:tcPr>
          <w:p>
            <w:pPr>
              <w:spacing w:after="0"/>
              <w:rPr>
                <w:sz w:val="17"/>
                <w:szCs w:val="17"/>
                <w:color w:val="auto"/>
              </w:rPr>
            </w:pPr>
          </w:p>
        </w:tc>
      </w:tr>
      <w:tr>
        <w:trPr>
          <w:trHeight w:val="19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(861)</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(576)</w:t>
            </w:r>
          </w:p>
        </w:tc>
      </w:tr>
      <w:tr>
        <w:trPr>
          <w:trHeight w:val="196"/>
        </w:trPr>
        <w:tc>
          <w:tcPr>
            <w:tcW w:w="504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20" w:type="dxa"/>
            <w:vAlign w:val="bottom"/>
            <w:tcBorders>
              <w:bottom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0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740" w:right="120"/>
        <w:spacing w:after="0" w:line="281" w:lineRule="auto"/>
        <w:rPr>
          <w:sz w:val="20"/>
          <w:szCs w:val="20"/>
          <w:color w:val="auto"/>
        </w:rPr>
      </w:pPr>
      <w:r>
        <w:rPr>
          <w:rFonts w:ascii="Times New Roman" w:cs="Times New Roman" w:eastAsia="Times New Roman" w:hAnsi="Times New Roman"/>
          <w:sz w:val="16"/>
          <w:szCs w:val="16"/>
          <w:color w:val="auto"/>
        </w:rPr>
        <w:t>Depreciation expense related to property, plant, and equipment for the years ended December 31, 2024, December 31, 2023, and December 31, 2022 was $292, $289, and $273, respectively.</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5 — GOODWILL AND INTANGIBLE ASSETS</w:t>
      </w:r>
    </w:p>
    <w:p>
      <w:pPr>
        <w:spacing w:after="0" w:line="105" w:lineRule="exact"/>
        <w:rPr>
          <w:sz w:val="20"/>
          <w:szCs w:val="20"/>
          <w:color w:val="auto"/>
        </w:rPr>
      </w:pPr>
    </w:p>
    <w:p>
      <w:pPr>
        <w:jc w:val="both"/>
        <w:ind w:left="740" w:right="120"/>
        <w:spacing w:after="0" w:line="265" w:lineRule="auto"/>
        <w:rPr>
          <w:sz w:val="20"/>
          <w:szCs w:val="20"/>
          <w:color w:val="auto"/>
        </w:rPr>
      </w:pPr>
      <w:r>
        <w:rPr>
          <w:rFonts w:ascii="Times New Roman" w:cs="Times New Roman" w:eastAsia="Times New Roman" w:hAnsi="Times New Roman"/>
          <w:sz w:val="16"/>
          <w:szCs w:val="16"/>
          <w:color w:val="auto"/>
        </w:rPr>
        <w:t>During 2024, the Company reorganized operations to align around its two primary reportable segments, Medline Brand and Supply Chain Solutions. Subsequent to the reorganization, each of the reportable segments also represents a single reporting unit. See “Note 18 — Segment Information” for additional details.</w:t>
      </w:r>
    </w:p>
    <w:p>
      <w:pPr>
        <w:spacing w:after="0" w:line="157" w:lineRule="exact"/>
        <w:rPr>
          <w:sz w:val="20"/>
          <w:szCs w:val="20"/>
          <w:color w:val="auto"/>
        </w:rPr>
      </w:pPr>
    </w:p>
    <w:p>
      <w:pPr>
        <w:ind w:left="740"/>
        <w:spacing w:after="0" w:line="265" w:lineRule="auto"/>
        <w:rPr>
          <w:sz w:val="20"/>
          <w:szCs w:val="20"/>
          <w:color w:val="auto"/>
        </w:rPr>
      </w:pPr>
      <w:r>
        <w:rPr>
          <w:rFonts w:ascii="Times New Roman" w:cs="Times New Roman" w:eastAsia="Times New Roman" w:hAnsi="Times New Roman"/>
          <w:sz w:val="16"/>
          <w:szCs w:val="16"/>
          <w:color w:val="auto"/>
        </w:rPr>
        <w:t>In 2024, total goodwill of $8,070 was allocated to the new reporting units based on their relative fair value with $6,716 assigned to Medline Brand and $1,354 assigned to Supply Chain Solutions. In conjunction with the change in reportable segments, the Company evaluated goodwill for impairment, both before and after the segment change and determined that the goodwill was not impaired.</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F-26</w:t>
      </w:r>
    </w:p>
    <w:p>
      <w:pPr>
        <w:sectPr>
          <w:pgSz w:w="11900" w:h="16838" w:orient="portrait"/>
          <w:cols w:equalWidth="0" w:num="1">
            <w:col w:w="10360"/>
          </w:cols>
          <w:pgMar w:left="320" w:top="421" w:right="121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Changes in the carrying amount of goodwill were as follows:</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6"/>
            <w:vMerge w:val="restart"/>
          </w:tcPr>
          <w:p>
            <w:pPr>
              <w:ind w:left="460"/>
              <w:spacing w:after="0"/>
              <w:rPr>
                <w:sz w:val="20"/>
                <w:szCs w:val="20"/>
                <w:color w:val="auto"/>
              </w:rPr>
            </w:pPr>
            <w:r>
              <w:rPr>
                <w:rFonts w:ascii="Times New Roman" w:cs="Times New Roman" w:eastAsia="Times New Roman" w:hAnsi="Times New Roman"/>
                <w:sz w:val="13"/>
                <w:szCs w:val="13"/>
                <w:color w:val="auto"/>
              </w:rPr>
              <w:t>Medline Brand</w:t>
            </w:r>
          </w:p>
        </w:tc>
        <w:tc>
          <w:tcPr>
            <w:tcW w:w="1520" w:type="dxa"/>
            <w:vAlign w:val="bottom"/>
            <w:gridSpan w:val="8"/>
          </w:tcPr>
          <w:p>
            <w:pPr>
              <w:ind w:left="360"/>
              <w:spacing w:after="0"/>
              <w:rPr>
                <w:sz w:val="20"/>
                <w:szCs w:val="20"/>
                <w:color w:val="auto"/>
              </w:rPr>
            </w:pPr>
            <w:r>
              <w:rPr>
                <w:rFonts w:ascii="Times New Roman" w:cs="Times New Roman" w:eastAsia="Times New Roman" w:hAnsi="Times New Roman"/>
                <w:sz w:val="13"/>
                <w:szCs w:val="13"/>
                <w:color w:val="auto"/>
              </w:rPr>
              <w:t>Supply Chain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6"/>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gridSpan w:val="7"/>
          </w:tcPr>
          <w:p>
            <w:pPr>
              <w:ind w:left="100"/>
              <w:spacing w:after="0"/>
              <w:rPr>
                <w:sz w:val="20"/>
                <w:szCs w:val="20"/>
                <w:color w:val="auto"/>
              </w:rPr>
            </w:pPr>
            <w:r>
              <w:rPr>
                <w:rFonts w:ascii="Times New Roman" w:cs="Times New Roman" w:eastAsia="Times New Roman" w:hAnsi="Times New Roman"/>
                <w:sz w:val="13"/>
                <w:szCs w:val="13"/>
                <w:color w:val="auto"/>
              </w:rPr>
              <w:t>Solutions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5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left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$ 7,526</w:t>
            </w: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left w:val="single" w:sz="8" w:color="CCEEFF"/>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$ 7,532</w:t>
            </w:r>
          </w:p>
        </w:tc>
        <w:tc>
          <w:tcPr>
            <w:tcW w:w="100" w:type="dxa"/>
            <w:vAlign w:val="bottom"/>
            <w:tcBorders>
              <w:lef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Allocation to reporting segments</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24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$ 8,070</w:t>
            </w:r>
          </w:p>
        </w:tc>
        <w:tc>
          <w:tcPr>
            <w:tcW w:w="100" w:type="dxa"/>
            <w:vAlign w:val="bottom"/>
            <w:tcBorders>
              <w:lef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240" w:type="dxa"/>
            <w:vAlign w:val="bottom"/>
            <w:tcBorders>
              <w:left w:val="single" w:sz="8" w:color="CCEEFF"/>
            </w:tcBorders>
            <w:shd w:val="clear" w:color="auto" w:fill="CCEEFF"/>
          </w:tcPr>
          <w:p>
            <w:pPr>
              <w:spacing w:after="0"/>
              <w:rPr>
                <w:sz w:val="16"/>
                <w:szCs w:val="16"/>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$ 8,065</w:t>
            </w:r>
          </w:p>
        </w:tc>
        <w:tc>
          <w:tcPr>
            <w:tcW w:w="100" w:type="dxa"/>
            <w:vAlign w:val="bottom"/>
            <w:tcBorders>
              <w:left w:val="single" w:sz="8" w:color="CCEEFF"/>
            </w:tcBorders>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auto"/>
              </w:rPr>
              <w:t>Identifiable intangible assets consist of the following as of:</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340" w:type="dxa"/>
            <w:vAlign w:val="bottom"/>
            <w:gridSpan w:val="5"/>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8"/>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780" w:type="dxa"/>
            <w:vAlign w:val="bottom"/>
          </w:tcPr>
          <w:p>
            <w:pPr>
              <w:spacing w:after="0"/>
              <w:rPr>
                <w:sz w:val="9"/>
                <w:szCs w:val="9"/>
                <w:color w:val="auto"/>
              </w:rPr>
            </w:pPr>
          </w:p>
        </w:tc>
        <w:tc>
          <w:tcPr>
            <w:tcW w:w="7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2"/>
                <w:szCs w:val="12"/>
                <w:color w:val="auto"/>
              </w:rPr>
              <w:t>Weighted</w:t>
            </w:r>
          </w:p>
        </w:tc>
        <w:tc>
          <w:tcPr>
            <w:tcW w:w="7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color w:val="auto"/>
                <w:w w:val="98"/>
              </w:rPr>
              <w:t>Gross</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5"/>
              </w:rPr>
              <w:t>Net</w:t>
            </w:r>
          </w:p>
        </w:tc>
        <w:tc>
          <w:tcPr>
            <w:tcW w:w="640" w:type="dxa"/>
            <w:vAlign w:val="bottom"/>
            <w:gridSpan w:val="3"/>
          </w:tcPr>
          <w:p>
            <w:pPr>
              <w:jc w:val="center"/>
              <w:ind w:right="40"/>
              <w:spacing w:after="0" w:line="104" w:lineRule="exact"/>
              <w:rPr>
                <w:sz w:val="20"/>
                <w:szCs w:val="20"/>
                <w:color w:val="auto"/>
              </w:rPr>
            </w:pPr>
            <w:r>
              <w:rPr>
                <w:rFonts w:ascii="Times New Roman" w:cs="Times New Roman" w:eastAsia="Times New Roman" w:hAnsi="Times New Roman"/>
                <w:sz w:val="12"/>
                <w:szCs w:val="12"/>
                <w:color w:val="auto"/>
              </w:rPr>
              <w:t>Weighted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8"/>
              </w:rPr>
              <w:t>Gross</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Net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5"/>
              </w:rPr>
              <w:t>Average</w:t>
            </w:r>
          </w:p>
        </w:tc>
        <w:tc>
          <w:tcPr>
            <w:tcW w:w="740" w:type="dxa"/>
            <w:vAlign w:val="bottom"/>
            <w:gridSpan w:val="2"/>
            <w:vMerge w:val="continue"/>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4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3"/>
                <w:szCs w:val="13"/>
                <w:color w:val="auto"/>
                <w:w w:val="95"/>
              </w:rPr>
              <w:t>Average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94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color w:val="auto"/>
                <w:w w:val="98"/>
              </w:rPr>
              <w:t>Remaining</w:t>
            </w:r>
          </w:p>
        </w:tc>
        <w:tc>
          <w:tcPr>
            <w:tcW w:w="7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64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3"/>
                <w:szCs w:val="13"/>
                <w:color w:val="auto"/>
                <w:w w:val="98"/>
              </w:rPr>
              <w:t>Remaining</w:t>
            </w:r>
          </w:p>
        </w:tc>
        <w:tc>
          <w:tcPr>
            <w:tcW w:w="160" w:type="dxa"/>
            <w:vAlign w:val="bottom"/>
          </w:tcPr>
          <w:p>
            <w:pPr>
              <w:spacing w:after="0"/>
              <w:rPr>
                <w:sz w:val="11"/>
                <w:szCs w:val="11"/>
                <w:color w:val="auto"/>
              </w:rPr>
            </w:pPr>
          </w:p>
        </w:tc>
        <w:tc>
          <w:tcPr>
            <w:tcW w:w="720" w:type="dxa"/>
            <w:vAlign w:val="bottom"/>
            <w:gridSpan w:val="4"/>
          </w:tcPr>
          <w:p>
            <w:pPr>
              <w:jc w:val="center"/>
              <w:ind w:right="22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940" w:type="dxa"/>
            <w:vAlign w:val="bottom"/>
            <w:gridSpan w:val="5"/>
            <w:vMerge w:val="continue"/>
          </w:tcPr>
          <w:p>
            <w:pPr>
              <w:spacing w:after="0"/>
              <w:rPr>
                <w:sz w:val="11"/>
                <w:szCs w:val="11"/>
                <w:color w:val="auto"/>
              </w:rPr>
            </w:pPr>
          </w:p>
        </w:tc>
        <w:tc>
          <w:tcPr>
            <w:tcW w:w="56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3"/>
                <w:szCs w:val="13"/>
                <w:color w:val="auto"/>
                <w:w w:val="95"/>
              </w:rPr>
              <w:t>Carrying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Useful Life</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8"/>
              </w:rPr>
              <w:t>Amount</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8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8"/>
              </w:rPr>
              <w:t>Amount</w:t>
            </w: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3"/>
              </w:rPr>
              <w:t>Useful Life</w:t>
            </w:r>
          </w:p>
        </w:tc>
        <w:tc>
          <w:tcPr>
            <w:tcW w:w="160" w:type="dxa"/>
            <w:vAlign w:val="bottom"/>
          </w:tcPr>
          <w:p>
            <w:pPr>
              <w:spacing w:after="0"/>
              <w:rPr>
                <w:sz w:val="13"/>
                <w:szCs w:val="13"/>
                <w:color w:val="auto"/>
              </w:rPr>
            </w:pPr>
          </w:p>
        </w:tc>
        <w:tc>
          <w:tcPr>
            <w:tcW w:w="7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color w:val="auto"/>
                <w:w w:val="98"/>
              </w:rPr>
              <w:t>Amount</w:t>
            </w:r>
          </w:p>
        </w:tc>
        <w:tc>
          <w:tcPr>
            <w:tcW w:w="94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w w:val="98"/>
              </w:rPr>
              <w:t>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Finite-lived intangible assets:</w:t>
            </w: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righ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left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left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$10,679</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(1,787)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8,892</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w w:val="95"/>
              </w:rPr>
              <w:t>10,499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(1,216)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16</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Pr>
          <w:p>
            <w:pPr>
              <w:spacing w:after="0"/>
              <w:rPr>
                <w:sz w:val="16"/>
                <w:szCs w:val="16"/>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finite-lived intangible assets</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12,845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10,729</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12,450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11,018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Indefinite-lived trade names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$ 3,830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0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16,675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14,559</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16,220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(1,432)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14,788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160"/>
        <w:spacing w:after="0" w:line="265" w:lineRule="auto"/>
        <w:rPr>
          <w:sz w:val="20"/>
          <w:szCs w:val="20"/>
          <w:color w:val="auto"/>
        </w:rPr>
      </w:pPr>
      <w:r>
        <w:rPr>
          <w:rFonts w:ascii="Times New Roman" w:cs="Times New Roman" w:eastAsia="Times New Roman" w:hAnsi="Times New Roman"/>
          <w:sz w:val="16"/>
          <w:szCs w:val="16"/>
          <w:color w:val="auto"/>
        </w:rPr>
        <w:t>The net carrying amount of intangible assets, net as of December 31, 2024 includes the preliminary fair values for customer relationships, trade names and developed technology assets based on management’s preliminary estimate of fair value. See “Note 2 — Acquisitions and Equity Investment” for further details.</w:t>
      </w:r>
    </w:p>
    <w:p>
      <w:pPr>
        <w:spacing w:after="0" w:line="157"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The annual impairment testing performed did not indicate any impairment of intangible assets for the years ended December 31, 2024, December 31, 2023, and December 31, 2022.</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weighted-average amortization periods for definite lived intangible assets acquired during the year ended December 31, 2024 are as follows:</w:t>
      </w:r>
    </w:p>
    <w:p>
      <w:pPr>
        <w:spacing w:after="0" w:line="220" w:lineRule="exact"/>
        <w:rPr>
          <w:sz w:val="20"/>
          <w:szCs w:val="20"/>
          <w:color w:val="auto"/>
        </w:rPr>
      </w:pPr>
    </w:p>
    <w:tbl>
      <w:tblPr>
        <w:tblLayout w:type="fixed"/>
        <w:tblInd w:w="2300" w:type="dxa"/>
        <w:tblCellMar>
          <w:top w:w="0" w:type="dxa"/>
          <w:left w:w="0" w:type="dxa"/>
          <w:bottom w:w="0" w:type="dxa"/>
          <w:right w:w="0" w:type="dxa"/>
        </w:tblCellMar>
      </w:tblPr>
      <w:tr>
        <w:trPr>
          <w:trHeight w:val="152"/>
        </w:trPr>
        <w:tc>
          <w:tcPr>
            <w:tcW w:w="30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Life (Years)</w:t>
            </w:r>
          </w:p>
        </w:tc>
      </w:tr>
      <w:tr>
        <w:trPr>
          <w:trHeight w:val="184"/>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9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3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3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08"/>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amortization period (Total)</w:t>
            </w:r>
          </w:p>
        </w:tc>
        <w:tc>
          <w:tcPr>
            <w:tcW w:w="3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r>
      <w:tr>
        <w:trPr>
          <w:trHeight w:val="307"/>
        </w:trPr>
        <w:tc>
          <w:tcPr>
            <w:tcW w:w="3060" w:type="dxa"/>
            <w:vAlign w:val="bottom"/>
          </w:tcPr>
          <w:p>
            <w:pPr>
              <w:spacing w:after="0"/>
              <w:rPr>
                <w:sz w:val="24"/>
                <w:szCs w:val="24"/>
                <w:color w:val="auto"/>
              </w:rPr>
            </w:pPr>
          </w:p>
        </w:tc>
        <w:tc>
          <w:tcPr>
            <w:tcW w:w="35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F-27</w:t>
            </w:r>
          </w:p>
        </w:tc>
      </w:tr>
    </w:tbl>
    <w:p>
      <w:pPr>
        <w:sectPr>
          <w:pgSz w:w="11900" w:h="16838" w:orient="portrait"/>
          <w:cols w:equalWidth="0" w:num="1">
            <w:col w:w="10500"/>
          </w:cols>
          <w:pgMar w:left="320" w:top="420" w:right="107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604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MEDLINE HOLDINGS, LP AND SUBSIDIARIES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8"/>
        </w:trPr>
        <w:tc>
          <w:tcPr>
            <w:tcW w:w="1560" w:type="dxa"/>
            <w:vAlign w:val="bottom"/>
          </w:tcPr>
          <w:p>
            <w:pPr>
              <w:spacing w:after="0"/>
              <w:rPr>
                <w:sz w:val="18"/>
                <w:szCs w:val="18"/>
                <w:color w:val="auto"/>
              </w:rPr>
            </w:pPr>
          </w:p>
        </w:tc>
        <w:tc>
          <w:tcPr>
            <w:tcW w:w="604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(Dollars/units in millions)</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120"/>
        </w:trPr>
        <w:tc>
          <w:tcPr>
            <w:tcW w:w="1560" w:type="dxa"/>
            <w:vAlign w:val="bottom"/>
            <w:tcBorders>
              <w:bottom w:val="single" w:sz="8" w:color="auto"/>
            </w:tcBorders>
          </w:tcPr>
          <w:p>
            <w:pPr>
              <w:spacing w:after="0"/>
              <w:rPr>
                <w:sz w:val="10"/>
                <w:szCs w:val="10"/>
                <w:color w:val="auto"/>
              </w:rPr>
            </w:pPr>
          </w:p>
        </w:tc>
        <w:tc>
          <w:tcPr>
            <w:tcW w:w="6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220"/>
        </w:trPr>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Estimated amortization expense over the next five years and thereafter is as follows:</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47"/>
        </w:trPr>
        <w:tc>
          <w:tcPr>
            <w:tcW w:w="15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Total</w:t>
            </w:r>
          </w:p>
        </w:tc>
      </w:tr>
      <w:tr>
        <w:trPr>
          <w:trHeight w:val="184"/>
        </w:trPr>
        <w:tc>
          <w:tcPr>
            <w:tcW w:w="1560" w:type="dxa"/>
            <w:vAlign w:val="bottom"/>
          </w:tcPr>
          <w:p>
            <w:pPr>
              <w:spacing w:after="0"/>
              <w:rPr>
                <w:sz w:val="15"/>
                <w:szCs w:val="15"/>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620" w:type="dxa"/>
            <w:vAlign w:val="bottom"/>
            <w:tcBorders>
              <w:left w:val="single" w:sz="8" w:color="CCEEFF"/>
            </w:tcBorders>
          </w:tcPr>
          <w:p>
            <w:pPr>
              <w:spacing w:after="0"/>
              <w:rPr>
                <w:sz w:val="15"/>
                <w:szCs w:val="15"/>
                <w:color w:val="auto"/>
              </w:rPr>
            </w:pPr>
          </w:p>
        </w:tc>
      </w:tr>
      <w:tr>
        <w:trPr>
          <w:trHeight w:val="192"/>
        </w:trPr>
        <w:tc>
          <w:tcPr>
            <w:tcW w:w="156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620" w:type="dxa"/>
            <w:vAlign w:val="bottom"/>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620" w:type="dxa"/>
            <w:vAlign w:val="bottom"/>
            <w:tcBorders>
              <w:left w:val="single" w:sz="8" w:color="CCEEFF"/>
            </w:tcBorders>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620" w:type="dxa"/>
            <w:vAlign w:val="bottom"/>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620" w:type="dxa"/>
            <w:vAlign w:val="bottom"/>
            <w:tcBorders>
              <w:left w:val="single" w:sz="8" w:color="CCEEFF"/>
            </w:tcBorders>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w:t>
            </w:r>
          </w:p>
        </w:tc>
        <w:tc>
          <w:tcPr>
            <w:tcW w:w="1620" w:type="dxa"/>
            <w:vAlign w:val="bottom"/>
          </w:tcPr>
          <w:p>
            <w:pPr>
              <w:spacing w:after="0"/>
              <w:rPr>
                <w:sz w:val="16"/>
                <w:szCs w:val="16"/>
                <w:color w:val="auto"/>
              </w:rPr>
            </w:pPr>
          </w:p>
        </w:tc>
      </w:tr>
      <w:tr>
        <w:trPr>
          <w:trHeight w:val="24"/>
        </w:trPr>
        <w:tc>
          <w:tcPr>
            <w:tcW w:w="1560" w:type="dxa"/>
            <w:vAlign w:val="bottom"/>
          </w:tcPr>
          <w:p>
            <w:pPr>
              <w:spacing w:after="0"/>
              <w:rPr>
                <w:sz w:val="2"/>
                <w:szCs w:val="2"/>
                <w:color w:val="auto"/>
              </w:rPr>
            </w:pPr>
          </w:p>
        </w:tc>
        <w:tc>
          <w:tcPr>
            <w:tcW w:w="6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r>
      <w:tr>
        <w:trPr>
          <w:trHeight w:val="192"/>
        </w:trPr>
        <w:tc>
          <w:tcPr>
            <w:tcW w:w="1560" w:type="dxa"/>
            <w:vAlign w:val="bottom"/>
          </w:tcPr>
          <w:p>
            <w:pPr>
              <w:spacing w:after="0"/>
              <w:rPr>
                <w:sz w:val="16"/>
                <w:szCs w:val="16"/>
                <w:color w:val="auto"/>
              </w:rPr>
            </w:pPr>
          </w:p>
        </w:tc>
        <w:tc>
          <w:tcPr>
            <w:tcW w:w="60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10,729</w:t>
            </w:r>
          </w:p>
        </w:tc>
        <w:tc>
          <w:tcPr>
            <w:tcW w:w="1620" w:type="dxa"/>
            <w:vAlign w:val="bottom"/>
            <w:tcBorders>
              <w:left w:val="single" w:sz="8" w:color="CCEEFF"/>
            </w:tcBorders>
          </w:tcPr>
          <w:p>
            <w:pPr>
              <w:spacing w:after="0"/>
              <w:rPr>
                <w:sz w:val="16"/>
                <w:szCs w:val="16"/>
                <w:color w:val="auto"/>
              </w:rPr>
            </w:pPr>
          </w:p>
        </w:tc>
      </w:tr>
      <w:tr>
        <w:trPr>
          <w:trHeight w:val="20"/>
        </w:trPr>
        <w:tc>
          <w:tcPr>
            <w:tcW w:w="156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right="4440"/>
        <w:spacing w:after="0" w:line="452" w:lineRule="auto"/>
        <w:rPr>
          <w:sz w:val="20"/>
          <w:szCs w:val="20"/>
          <w:color w:val="auto"/>
        </w:rPr>
      </w:pPr>
      <w:r>
        <w:rPr>
          <w:rFonts w:ascii="Times New Roman" w:cs="Times New Roman" w:eastAsia="Times New Roman" w:hAnsi="Times New Roman"/>
          <w:sz w:val="15"/>
          <w:szCs w:val="15"/>
          <w:b w:val="1"/>
          <w:bCs w:val="1"/>
          <w:color w:val="auto"/>
        </w:rPr>
        <w:t xml:space="preserve">NOTE 6 — ACCRUED EXPENSES AND OTHER CURRENT LIABILITIES </w:t>
      </w:r>
      <w:r>
        <w:rPr>
          <w:rFonts w:ascii="Times New Roman" w:cs="Times New Roman" w:eastAsia="Times New Roman" w:hAnsi="Times New Roman"/>
          <w:sz w:val="15"/>
          <w:szCs w:val="15"/>
          <w:color w:val="auto"/>
        </w:rPr>
        <w:t>The elements of accrued expenses and other current liabilities are as follows as of:</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596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1520" w:type="dxa"/>
            <w:vAlign w:val="bottom"/>
            <w:gridSpan w:val="4"/>
          </w:tcPr>
          <w:p>
            <w:pPr>
              <w:ind w:left="720"/>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4"/>
        </w:trPr>
        <w:tc>
          <w:tcPr>
            <w:tcW w:w="59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CCEEFF"/>
            </w:tcBorders>
          </w:tcPr>
          <w:p>
            <w:pPr>
              <w:spacing w:after="0"/>
              <w:rPr>
                <w:sz w:val="13"/>
                <w:szCs w:val="13"/>
                <w:color w:val="auto"/>
              </w:rPr>
            </w:pPr>
          </w:p>
        </w:tc>
      </w:tr>
      <w:tr>
        <w:trPr>
          <w:trHeight w:val="18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60" w:type="dxa"/>
            <w:vAlign w:val="bottom"/>
            <w:shd w:val="clear" w:color="auto" w:fill="CCEEFF"/>
          </w:tcPr>
          <w:p>
            <w:pPr>
              <w:spacing w:after="0"/>
              <w:rPr>
                <w:sz w:val="15"/>
                <w:szCs w:val="15"/>
                <w:color w:val="auto"/>
              </w:rPr>
            </w:pPr>
          </w:p>
        </w:tc>
      </w:tr>
      <w:tr>
        <w:trPr>
          <w:trHeight w:val="19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Customer rebates and distributor chargebacks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60" w:type="dxa"/>
            <w:vAlign w:val="bottom"/>
          </w:tcPr>
          <w:p>
            <w:pPr>
              <w:spacing w:after="0"/>
              <w:rPr>
                <w:sz w:val="16"/>
                <w:szCs w:val="16"/>
                <w:color w:val="auto"/>
              </w:rPr>
            </w:pPr>
          </w:p>
        </w:tc>
      </w:tr>
      <w:tr>
        <w:trPr>
          <w:trHeight w:val="19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 net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60" w:type="dxa"/>
            <w:vAlign w:val="bottom"/>
            <w:shd w:val="clear" w:color="auto" w:fill="CCEEFF"/>
          </w:tcPr>
          <w:p>
            <w:pPr>
              <w:spacing w:after="0"/>
              <w:rPr>
                <w:sz w:val="16"/>
                <w:szCs w:val="16"/>
                <w:color w:val="auto"/>
              </w:rPr>
            </w:pPr>
          </w:p>
        </w:tc>
      </w:tr>
      <w:tr>
        <w:trPr>
          <w:trHeight w:val="19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Indirect tax payable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60" w:type="dxa"/>
            <w:vAlign w:val="bottom"/>
          </w:tcPr>
          <w:p>
            <w:pPr>
              <w:spacing w:after="0"/>
              <w:rPr>
                <w:sz w:val="16"/>
                <w:szCs w:val="16"/>
                <w:color w:val="auto"/>
              </w:rPr>
            </w:pPr>
          </w:p>
        </w:tc>
      </w:tr>
      <w:tr>
        <w:trPr>
          <w:trHeight w:val="19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shd w:val="clear" w:color="auto" w:fill="CCEEFF"/>
          </w:tcPr>
          <w:p>
            <w:pPr>
              <w:spacing w:after="0"/>
              <w:rPr>
                <w:sz w:val="16"/>
                <w:szCs w:val="16"/>
                <w:color w:val="auto"/>
              </w:rPr>
            </w:pPr>
          </w:p>
        </w:tc>
      </w:tr>
      <w:tr>
        <w:trPr>
          <w:trHeight w:val="192"/>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Litigation accrual (EtO)</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60" w:type="dxa"/>
            <w:vAlign w:val="bottom"/>
          </w:tcPr>
          <w:p>
            <w:pPr>
              <w:spacing w:after="0"/>
              <w:rPr>
                <w:sz w:val="16"/>
                <w:szCs w:val="16"/>
                <w:color w:val="auto"/>
              </w:rPr>
            </w:pPr>
          </w:p>
        </w:tc>
      </w:tr>
      <w:tr>
        <w:trPr>
          <w:trHeight w:val="192"/>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7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60" w:type="dxa"/>
            <w:vAlign w:val="bottom"/>
            <w:shd w:val="clear" w:color="auto" w:fill="CCEEFF"/>
          </w:tcPr>
          <w:p>
            <w:pPr>
              <w:spacing w:after="0"/>
              <w:rPr>
                <w:sz w:val="16"/>
                <w:szCs w:val="16"/>
                <w:color w:val="auto"/>
              </w:rPr>
            </w:pPr>
          </w:p>
        </w:tc>
      </w:tr>
      <w:tr>
        <w:trPr>
          <w:trHeight w:val="196"/>
        </w:trPr>
        <w:tc>
          <w:tcPr>
            <w:tcW w:w="59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accrued expenses and other current liabilities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7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6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7 — CREDIT AGREEMENTS AND BORROWINGS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Company’s current portion of long-term borrowings and other short-term borrowings consists of the following:</w:t>
      </w:r>
    </w:p>
    <w:p>
      <w:pPr>
        <w:spacing w:after="0" w:line="202"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48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284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3"/>
                <w:szCs w:val="13"/>
                <w:color w:val="auto"/>
              </w:rPr>
            </w:pPr>
          </w:p>
        </w:tc>
      </w:tr>
      <w:tr>
        <w:trPr>
          <w:trHeight w:val="184"/>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60" w:type="dxa"/>
            <w:vAlign w:val="bottom"/>
            <w:shd w:val="clear" w:color="auto" w:fill="CCEEFF"/>
          </w:tcPr>
          <w:p>
            <w:pPr>
              <w:spacing w:after="0"/>
              <w:rPr>
                <w:sz w:val="15"/>
                <w:szCs w:val="15"/>
                <w:color w:val="auto"/>
              </w:rPr>
            </w:pPr>
          </w:p>
        </w:tc>
      </w:tr>
      <w:tr>
        <w:trPr>
          <w:trHeight w:val="192"/>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Other short-term debt</w:t>
            </w: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4"/>
        </w:trPr>
        <w:tc>
          <w:tcPr>
            <w:tcW w:w="28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w:t>
            </w:r>
          </w:p>
        </w:tc>
      </w:tr>
      <w:tr>
        <w:trPr>
          <w:trHeight w:val="20"/>
        </w:trPr>
        <w:tc>
          <w:tcPr>
            <w:tcW w:w="28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2840" w:type="dxa"/>
            <w:vAlign w:val="bottom"/>
          </w:tcPr>
          <w:p>
            <w:pPr>
              <w:spacing w:after="0"/>
              <w:rPr>
                <w:sz w:val="24"/>
                <w:szCs w:val="24"/>
                <w:color w:val="auto"/>
              </w:rPr>
            </w:pPr>
          </w:p>
        </w:tc>
        <w:tc>
          <w:tcPr>
            <w:tcW w:w="228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F-28</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00"/>
          </w:cols>
          <w:pgMar w:left="320" w:top="421" w:right="10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long-term borrowings and the effective interest rates as of December 31, 2024 and December 31, 2023 are summarized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4"/>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80" w:type="dxa"/>
            <w:vAlign w:val="bottom"/>
          </w:tcPr>
          <w:p>
            <w:pPr>
              <w:spacing w:after="0"/>
              <w:rPr>
                <w:sz w:val="13"/>
                <w:szCs w:val="13"/>
                <w:color w:val="auto"/>
              </w:rPr>
            </w:pPr>
          </w:p>
        </w:tc>
        <w:tc>
          <w:tcPr>
            <w:tcW w:w="152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Average</w:t>
            </w:r>
          </w:p>
        </w:tc>
        <w:tc>
          <w:tcPr>
            <w:tcW w:w="4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Average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3"/>
                <w:szCs w:val="13"/>
                <w:color w:val="auto"/>
                <w:w w:val="97"/>
              </w:rPr>
              <w:t>Maturity dates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3"/>
                <w:szCs w:val="13"/>
                <w:color w:val="auto"/>
                <w:w w:val="96"/>
              </w:rPr>
              <w:t>effective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6"/>
              </w:rPr>
              <w:t>effective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color w:val="auto"/>
              </w:rPr>
              <w:t>Amount</w:t>
            </w:r>
          </w:p>
        </w:tc>
        <w:tc>
          <w:tcPr>
            <w:tcW w:w="880" w:type="dxa"/>
            <w:vAlign w:val="bottom"/>
            <w:gridSpan w:val="2"/>
          </w:tcPr>
          <w:p>
            <w:pPr>
              <w:jc w:val="center"/>
              <w:ind w:right="420"/>
              <w:spacing w:after="0" w:line="132" w:lineRule="exact"/>
              <w:rPr>
                <w:sz w:val="20"/>
                <w:szCs w:val="20"/>
                <w:color w:val="auto"/>
              </w:rPr>
            </w:pPr>
            <w:r>
              <w:rPr>
                <w:rFonts w:ascii="Times New Roman" w:cs="Times New Roman" w:eastAsia="Times New Roman" w:hAnsi="Times New Roman"/>
                <w:sz w:val="13"/>
                <w:szCs w:val="13"/>
                <w:color w:val="auto"/>
                <w:w w:val="99"/>
              </w:rPr>
              <w:t>interest</w:t>
            </w:r>
          </w:p>
        </w:tc>
        <w:tc>
          <w:tcPr>
            <w:tcW w:w="9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3"/>
                <w:szCs w:val="13"/>
                <w:color w:val="auto"/>
              </w:rPr>
              <w:t>Amount</w:t>
            </w:r>
          </w:p>
        </w:tc>
        <w:tc>
          <w:tcPr>
            <w:tcW w:w="64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color w:val="auto"/>
                <w:w w:val="99"/>
              </w:rPr>
              <w:t>interest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9"/>
              </w:rPr>
              <w:t>by fiscal year</w:t>
            </w:r>
          </w:p>
        </w:tc>
        <w:tc>
          <w:tcPr>
            <w:tcW w:w="960" w:type="dxa"/>
            <w:vAlign w:val="bottom"/>
            <w:gridSpan w:val="3"/>
            <w:vMerge w:val="continue"/>
          </w:tcPr>
          <w:p>
            <w:pPr>
              <w:spacing w:after="0"/>
              <w:rPr>
                <w:sz w:val="13"/>
                <w:szCs w:val="13"/>
                <w:color w:val="auto"/>
              </w:rPr>
            </w:pPr>
          </w:p>
        </w:tc>
        <w:tc>
          <w:tcPr>
            <w:tcW w:w="88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color w:val="auto"/>
              </w:rPr>
              <w:t>rate</w:t>
            </w:r>
          </w:p>
        </w:tc>
        <w:tc>
          <w:tcPr>
            <w:tcW w:w="960" w:type="dxa"/>
            <w:vAlign w:val="bottom"/>
            <w:gridSpan w:val="3"/>
            <w:vMerge w:val="continue"/>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2"/>
              </w:rPr>
              <w:t>rate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8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Unsecured debt</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2,500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96"/>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Total unsecured debt</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Secured debt</w:t>
            </w: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6,000</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44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5"/>
                <w:szCs w:val="15"/>
                <w:color w:val="auto"/>
              </w:rPr>
              <w:t>Variable (euro-denominated)</w:t>
            </w:r>
            <w:r>
              <w:rPr>
                <w:rFonts w:ascii="Times New Roman" w:cs="Times New Roman" w:eastAsia="Times New Roman" w:hAnsi="Times New Roman"/>
                <w:sz w:val="22"/>
                <w:szCs w:val="22"/>
                <w:color w:val="auto"/>
                <w:vertAlign w:val="superscript"/>
              </w:rPr>
              <w:t>1</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645</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6.68%</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480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Variable</w:t>
            </w: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2025 - 2028</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4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9,362</w:t>
            </w:r>
          </w:p>
        </w:tc>
        <w:tc>
          <w:tcPr>
            <w:tcW w:w="44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secured debt</w:t>
            </w: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w w:val="95"/>
              </w:rPr>
              <w:t>14,257</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5"/>
              </w:rPr>
              <w:t>14,342</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debt</w:t>
            </w: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16,757</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16,842</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amounts due within one year</w:t>
            </w: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(76)</w:t>
            </w: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(73)</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20" w:type="dxa"/>
            <w:vAlign w:val="bottom"/>
          </w:tcPr>
          <w:p>
            <w:pPr>
              <w:ind w:left="300"/>
              <w:spacing w:after="0" w:line="191" w:lineRule="exact"/>
              <w:rPr>
                <w:sz w:val="20"/>
                <w:szCs w:val="20"/>
                <w:color w:val="auto"/>
              </w:rPr>
            </w:pPr>
            <w:r>
              <w:rPr>
                <w:rFonts w:ascii="Times New Roman" w:cs="Times New Roman" w:eastAsia="Times New Roman" w:hAnsi="Times New Roman"/>
                <w:sz w:val="15"/>
                <w:szCs w:val="15"/>
                <w:color w:val="auto"/>
              </w:rPr>
              <w:t>Total other</w:t>
            </w:r>
            <w:r>
              <w:rPr>
                <w:rFonts w:ascii="Times New Roman" w:cs="Times New Roman" w:eastAsia="Times New Roman" w:hAnsi="Times New Roman"/>
                <w:sz w:val="22"/>
                <w:szCs w:val="22"/>
                <w:color w:val="auto"/>
                <w:vertAlign w:val="superscript"/>
              </w:rPr>
              <w:t>2</w:t>
            </w: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(265)</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(327)</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16,416</w:t>
            </w:r>
          </w:p>
        </w:tc>
        <w:tc>
          <w:tcPr>
            <w:tcW w:w="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w w:val="95"/>
              </w:rPr>
              <w:t>16,442</w:t>
            </w:r>
          </w:p>
        </w:tc>
        <w:tc>
          <w:tcPr>
            <w:tcW w:w="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740"/>
        <w:spacing w:after="0"/>
        <w:tabs>
          <w:tab w:leader="none" w:pos="110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3"/>
          <w:szCs w:val="13"/>
          <w:color w:val="auto"/>
        </w:rPr>
        <w:t>includes exchange rate adjustments.</w:t>
      </w:r>
    </w:p>
    <w:p>
      <w:pPr>
        <w:ind w:left="740"/>
        <w:spacing w:after="0"/>
        <w:tabs>
          <w:tab w:leader="none" w:pos="1100" w:val="left"/>
        </w:tabs>
        <w:rPr>
          <w:sz w:val="20"/>
          <w:szCs w:val="20"/>
          <w:color w:val="auto"/>
        </w:rPr>
      </w:pP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3"/>
          <w:szCs w:val="13"/>
          <w:color w:val="auto"/>
        </w:rPr>
        <w:t>includes deferred financing costs.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Long-Term Debt</w:t>
      </w:r>
    </w:p>
    <w:p>
      <w:pPr>
        <w:spacing w:after="0" w:line="105"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Amortization payments equal to 0.25% of initial aggregate principal amount of the New Dollar Term Loans (as defined below) are due quarterly, commencing with the three months ending June 25, 2022 and remaining principal is set to mature on October 21, 2028. The Company made payments of $46 and $73 towards principal of the New Dollar Term Loans, Additional Dollar Term Loans (as defined below), Refinanced Dollar Term Loans (as defined below) and Initial Dollar Term Loans, as applicable, during the years ended December 31, 2024 and December 31, 2023, respectively. The Euro Term Loans do not have any mandatory amortization.</w:t>
      </w:r>
    </w:p>
    <w:p>
      <w:pPr>
        <w:spacing w:after="0" w:line="171"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On October 21, 2021, the Company received net proceeds of $4,421 for a 3.875% fixed rate note issued with a maturity date of April 2029. Principal amount of the senior secured notes issued was $4,500.</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F-29</w:t>
      </w:r>
    </w:p>
    <w:p>
      <w:pPr>
        <w:sectPr>
          <w:pgSz w:w="11900" w:h="16838" w:orient="portrait"/>
          <w:cols w:equalWidth="0" w:num="1">
            <w:col w:w="10480"/>
          </w:cols>
          <w:pgMar w:left="320" w:top="420" w:right="10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On October 21, 2021, the Company received net proceeds of $2,442 for a 5.250% fixed rate note issued with a maturity date of October 2029. Principal amount of the senior unsecured notes issued was $2,500.</w:t>
      </w:r>
    </w:p>
    <w:p>
      <w:pPr>
        <w:spacing w:after="0" w:line="144"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intended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SOFR plus the spreads ranging from 1.21% to 5.51% became the variable interest rates to CMBS Loan. The Company has fully repaid the CMBS Loan on July 9, 2024 for $2,219 by using the proceeds from senior secured notes raised on June 24, 2024, the Incremental Term Loans raised on July 8, 2024, and the Company’s excess cash.</w:t>
      </w:r>
    </w:p>
    <w:p>
      <w:pPr>
        <w:spacing w:after="0" w:line="170" w:lineRule="exact"/>
        <w:rPr>
          <w:sz w:val="20"/>
          <w:szCs w:val="20"/>
          <w:color w:val="auto"/>
        </w:rPr>
      </w:pPr>
    </w:p>
    <w:p>
      <w:pPr>
        <w:ind w:left="740" w:right="20"/>
        <w:spacing w:after="0" w:line="253" w:lineRule="auto"/>
        <w:rPr>
          <w:sz w:val="20"/>
          <w:szCs w:val="20"/>
          <w:color w:val="auto"/>
        </w:rPr>
      </w:pPr>
      <w:r>
        <w:rPr>
          <w:rFonts w:ascii="Times New Roman" w:cs="Times New Roman" w:eastAsia="Times New Roman" w:hAnsi="Times New Roman"/>
          <w:sz w:val="16"/>
          <w:szCs w:val="16"/>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w:t>
      </w:r>
    </w:p>
    <w:p>
      <w:pPr>
        <w:ind w:left="740" w:right="120"/>
        <w:spacing w:after="0" w:line="253" w:lineRule="auto"/>
        <w:rPr>
          <w:sz w:val="20"/>
          <w:szCs w:val="20"/>
          <w:color w:val="auto"/>
        </w:rPr>
      </w:pPr>
      <w:r>
        <w:rPr>
          <w:rFonts w:ascii="Times New Roman" w:cs="Times New Roman" w:eastAsia="Times New Roman" w:hAnsi="Times New Roman"/>
          <w:sz w:val="16"/>
          <w:szCs w:val="16"/>
          <w:color w:val="auto"/>
        </w:rPr>
        <w:t>0.36%, resulting in a margin spread of SOFR plus 2.75% per annum. Amortization payments equal to 0.25% of revised aggregate principal amount of $6,143 of the Refinanced Dollar Term Loans are still due quarterly. The maturity date of the Refinanced Dollar Term Loans remains October 21, 2028. For the financing transaction on March 27, 2024, the Company recorded $29 of debt extinguishment costs, which were included in other (expense) income, net on the consolidated statements of comprehensive income.</w:t>
      </w:r>
    </w:p>
    <w:p>
      <w:pPr>
        <w:spacing w:after="0" w:line="166" w:lineRule="exact"/>
        <w:rPr>
          <w:sz w:val="20"/>
          <w:szCs w:val="20"/>
          <w:color w:val="auto"/>
        </w:rPr>
      </w:pPr>
    </w:p>
    <w:p>
      <w:pPr>
        <w:ind w:left="740" w:right="60"/>
        <w:spacing w:after="0" w:line="252" w:lineRule="auto"/>
        <w:rPr>
          <w:sz w:val="20"/>
          <w:szCs w:val="20"/>
          <w:color w:val="auto"/>
        </w:rPr>
      </w:pPr>
      <w:r>
        <w:rPr>
          <w:rFonts w:ascii="Times New Roman" w:cs="Times New Roman" w:eastAsia="Times New Roman" w:hAnsi="Times New Roman"/>
          <w:sz w:val="16"/>
          <w:szCs w:val="16"/>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 the Credit Agreement and received net proceeds of $1,503 of additional dollar-denominated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$495 proceeds received on June 24, 2024 to repay the CMBS Loan on July 9, 2024, as noted above.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 the “New Euro Term Loan Facility” and the loans thereunder, the “New Euro Term Loans”). Similar to the Refinanced Dollar Term Loans under the same Credit Agreement, the Additional Dollar Term Loans require amortization payments equal to</w:t>
      </w:r>
    </w:p>
    <w:p>
      <w:pPr>
        <w:spacing w:after="0" w:line="11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F-30</w:t>
      </w:r>
    </w:p>
    <w:p>
      <w:pPr>
        <w:sectPr>
          <w:pgSz w:w="11900" w:h="16838" w:orient="portrait"/>
          <w:cols w:equalWidth="0" w:num="1">
            <w:col w:w="10500"/>
          </w:cols>
          <w:pgMar w:left="320" w:top="421" w:right="10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260"/>
        <w:spacing w:after="0" w:line="257" w:lineRule="auto"/>
        <w:rPr>
          <w:sz w:val="20"/>
          <w:szCs w:val="20"/>
          <w:color w:val="auto"/>
        </w:rPr>
      </w:pPr>
      <w:r>
        <w:rPr>
          <w:rFonts w:ascii="Times New Roman" w:cs="Times New Roman" w:eastAsia="Times New Roman" w:hAnsi="Times New Roman"/>
          <w:sz w:val="16"/>
          <w:szCs w:val="16"/>
          <w:color w:val="auto"/>
        </w:rPr>
        <w:t>0.25% of aggregate principal amount of the Additional Dollar Term Loans quarterly, commencing with the three months ending December 31, 2024 while the remaining principal is set to mature on October 21, 2028. For the year ended December 31, 2024, the Company made the amortization payment of $4 towards the Additional Dollar Term Loans. Like the Refinanced Euro Term Loans, the Additional Euro Term Loans do not have any mandatory amortization and mature on October 21, 2028. For the financing transaction in July 2024, the Company recorded $2 debt extinguishment costs, which were included in other (expense) income, net on the consolidated statements of comprehensive income.</w:t>
      </w:r>
    </w:p>
    <w:p>
      <w:pPr>
        <w:spacing w:after="0" w:line="16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On November 19, 2024, we entered into the fourth amendment to the credit agreement that governs the Senior Secured Credit Facilities to (i) 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For the financing transaction in November 2024, the Company recorded $1 debt extinguishment costs, which were included in other (expense) income, net on the consolidated statements of comprehensive income.</w:t>
      </w:r>
    </w:p>
    <w:p>
      <w:pPr>
        <w:spacing w:after="0" w:line="164" w:lineRule="exact"/>
        <w:rPr>
          <w:sz w:val="20"/>
          <w:szCs w:val="20"/>
          <w:color w:val="auto"/>
        </w:rPr>
      </w:pPr>
    </w:p>
    <w:p>
      <w:pPr>
        <w:ind w:left="740" w:right="40"/>
        <w:spacing w:after="0" w:line="256" w:lineRule="auto"/>
        <w:rPr>
          <w:sz w:val="20"/>
          <w:szCs w:val="20"/>
          <w:color w:val="auto"/>
        </w:rPr>
      </w:pPr>
      <w:r>
        <w:rPr>
          <w:rFonts w:ascii="Times New Roman" w:cs="Times New Roman" w:eastAsia="Times New Roman" w:hAnsi="Times New Roman"/>
          <w:sz w:val="16"/>
          <w:szCs w:val="16"/>
          <w:color w:val="auto"/>
        </w:rPr>
        <w:t>The fair value of the New Dollar Term Loans and New Euro Term Loans as of December 31, 2024 was $7,660 and $647, respectively. The fair value of the Initial Dollar Term Loans and Initial Euro Term Loans as of December 31, 2023 was $7,170 and $481, respectively. The fair value of the 3.875% fixed rate note, the 5.250% fixed rate note, and the 6.250% fixed rate note as of December 31, 2024 was $4,166, $2,411 and $1,517, respectively. The fair value of the 3.875% fixed rate note and the 5.250% fixed rate note as of December 31, 2023 was $4,056 and $2,359, respectively. The fair value of the CMBS Loan as of December 31, 2023 was $2,141. The estimated fair value of these loans was based on recent trades as reported by a third-party bond pricing service. Due to the infrequency of trades, these inputs are considered to be Level 2 inputs.</w:t>
      </w:r>
    </w:p>
    <w:p>
      <w:pPr>
        <w:spacing w:after="0" w:line="164"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Compliance with the covenants does not significantly impact the Company’s operations. As of December 31, 2024, the Company was in compliance with all the covenants under the Credit Agreement.</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Future aggregate principal amounts over the next five years and thereafter are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5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w w:val="99"/>
              </w:rPr>
              <w:t>Annual Maturities</w:t>
            </w:r>
          </w:p>
        </w:tc>
      </w:tr>
      <w:tr>
        <w:trPr>
          <w:trHeight w:val="184"/>
        </w:trPr>
        <w:tc>
          <w:tcPr>
            <w:tcW w:w="5580" w:type="dxa"/>
            <w:vAlign w:val="bottom"/>
            <w:tcBorders>
              <w:top w:val="single" w:sz="8" w:color="CCEEFF"/>
            </w:tcBorders>
            <w:shd w:val="clear" w:color="auto" w:fill="CCEEFF"/>
          </w:tcPr>
          <w:p>
            <w:pPr>
              <w:jc w:val="right"/>
              <w:ind w:right="5180"/>
              <w:spacing w:after="0"/>
              <w:rPr>
                <w:sz w:val="20"/>
                <w:szCs w:val="20"/>
                <w:color w:val="auto"/>
              </w:rPr>
            </w:pPr>
            <w:r>
              <w:rPr>
                <w:rFonts w:ascii="Times New Roman" w:cs="Times New Roman" w:eastAsia="Times New Roman" w:hAnsi="Times New Roman"/>
                <w:sz w:val="16"/>
                <w:szCs w:val="16"/>
                <w:color w:val="auto"/>
                <w:w w:val="93"/>
              </w:rPr>
              <w:t>2025</w:t>
            </w: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204"/>
        </w:trPr>
        <w:tc>
          <w:tcPr>
            <w:tcW w:w="5580" w:type="dxa"/>
            <w:vAlign w:val="bottom"/>
          </w:tcPr>
          <w:p>
            <w:pPr>
              <w:jc w:val="right"/>
              <w:ind w:right="5180"/>
              <w:spacing w:after="0"/>
              <w:rPr>
                <w:sz w:val="20"/>
                <w:szCs w:val="20"/>
                <w:color w:val="auto"/>
              </w:rPr>
            </w:pPr>
            <w:r>
              <w:rPr>
                <w:rFonts w:ascii="Times New Roman" w:cs="Times New Roman" w:eastAsia="Times New Roman" w:hAnsi="Times New Roman"/>
                <w:sz w:val="16"/>
                <w:szCs w:val="16"/>
                <w:color w:val="auto"/>
                <w:w w:val="93"/>
              </w:rPr>
              <w:t>2026</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tcPr>
          <w:p>
            <w:pPr>
              <w:spacing w:after="0"/>
              <w:rPr>
                <w:sz w:val="17"/>
                <w:szCs w:val="17"/>
                <w:color w:val="auto"/>
              </w:rPr>
            </w:pPr>
          </w:p>
        </w:tc>
      </w:tr>
      <w:tr>
        <w:trPr>
          <w:trHeight w:val="204"/>
        </w:trPr>
        <w:tc>
          <w:tcPr>
            <w:tcW w:w="5580" w:type="dxa"/>
            <w:vAlign w:val="bottom"/>
            <w:shd w:val="clear" w:color="auto" w:fill="CCEEFF"/>
          </w:tcPr>
          <w:p>
            <w:pPr>
              <w:jc w:val="right"/>
              <w:ind w:right="5180"/>
              <w:spacing w:after="0"/>
              <w:rPr>
                <w:sz w:val="20"/>
                <w:szCs w:val="20"/>
                <w:color w:val="auto"/>
              </w:rPr>
            </w:pPr>
            <w:r>
              <w:rPr>
                <w:rFonts w:ascii="Times New Roman" w:cs="Times New Roman" w:eastAsia="Times New Roman" w:hAnsi="Times New Roman"/>
                <w:sz w:val="16"/>
                <w:szCs w:val="16"/>
                <w:color w:val="auto"/>
                <w:w w:val="93"/>
              </w:rPr>
              <w:t>2027</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76</w:t>
            </w:r>
          </w:p>
        </w:tc>
        <w:tc>
          <w:tcPr>
            <w:tcW w:w="20" w:type="dxa"/>
            <w:vAlign w:val="bottom"/>
            <w:shd w:val="clear" w:color="auto" w:fill="CCEEFF"/>
          </w:tcPr>
          <w:p>
            <w:pPr>
              <w:spacing w:after="0"/>
              <w:rPr>
                <w:sz w:val="17"/>
                <w:szCs w:val="17"/>
                <w:color w:val="auto"/>
              </w:rPr>
            </w:pPr>
          </w:p>
        </w:tc>
      </w:tr>
      <w:tr>
        <w:trPr>
          <w:trHeight w:val="204"/>
        </w:trPr>
        <w:tc>
          <w:tcPr>
            <w:tcW w:w="5580" w:type="dxa"/>
            <w:vAlign w:val="bottom"/>
          </w:tcPr>
          <w:p>
            <w:pPr>
              <w:jc w:val="right"/>
              <w:ind w:right="5180"/>
              <w:spacing w:after="0"/>
              <w:rPr>
                <w:sz w:val="20"/>
                <w:szCs w:val="20"/>
                <w:color w:val="auto"/>
              </w:rPr>
            </w:pPr>
            <w:r>
              <w:rPr>
                <w:rFonts w:ascii="Times New Roman" w:cs="Times New Roman" w:eastAsia="Times New Roman" w:hAnsi="Times New Roman"/>
                <w:sz w:val="16"/>
                <w:szCs w:val="16"/>
                <w:color w:val="auto"/>
                <w:w w:val="93"/>
              </w:rPr>
              <w:t>2028</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8,029</w:t>
            </w:r>
          </w:p>
        </w:tc>
        <w:tc>
          <w:tcPr>
            <w:tcW w:w="20" w:type="dxa"/>
            <w:vAlign w:val="bottom"/>
          </w:tcPr>
          <w:p>
            <w:pPr>
              <w:spacing w:after="0"/>
              <w:rPr>
                <w:sz w:val="17"/>
                <w:szCs w:val="17"/>
                <w:color w:val="auto"/>
              </w:rPr>
            </w:pPr>
          </w:p>
        </w:tc>
      </w:tr>
      <w:tr>
        <w:trPr>
          <w:trHeight w:val="204"/>
        </w:trPr>
        <w:tc>
          <w:tcPr>
            <w:tcW w:w="5580" w:type="dxa"/>
            <w:vAlign w:val="bottom"/>
            <w:shd w:val="clear" w:color="auto" w:fill="CCEEFF"/>
          </w:tcPr>
          <w:p>
            <w:pPr>
              <w:jc w:val="right"/>
              <w:ind w:right="5180"/>
              <w:spacing w:after="0"/>
              <w:rPr>
                <w:sz w:val="20"/>
                <w:szCs w:val="20"/>
                <w:color w:val="auto"/>
              </w:rPr>
            </w:pPr>
            <w:r>
              <w:rPr>
                <w:rFonts w:ascii="Times New Roman" w:cs="Times New Roman" w:eastAsia="Times New Roman" w:hAnsi="Times New Roman"/>
                <w:sz w:val="16"/>
                <w:szCs w:val="16"/>
                <w:color w:val="auto"/>
                <w:w w:val="93"/>
              </w:rPr>
              <w:t>2029</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8,500</w:t>
            </w:r>
          </w:p>
        </w:tc>
        <w:tc>
          <w:tcPr>
            <w:tcW w:w="20" w:type="dxa"/>
            <w:vAlign w:val="bottom"/>
            <w:shd w:val="clear" w:color="auto" w:fill="CCEEFF"/>
          </w:tcPr>
          <w:p>
            <w:pPr>
              <w:spacing w:after="0"/>
              <w:rPr>
                <w:sz w:val="17"/>
                <w:szCs w:val="17"/>
                <w:color w:val="auto"/>
              </w:rPr>
            </w:pPr>
          </w:p>
        </w:tc>
      </w:tr>
      <w:tr>
        <w:trPr>
          <w:trHeight w:val="196"/>
        </w:trPr>
        <w:tc>
          <w:tcPr>
            <w:tcW w:w="55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Revolving Credit Facilities</w:t>
      </w:r>
    </w:p>
    <w:p>
      <w:pPr>
        <w:spacing w:after="0" w:line="105" w:lineRule="exact"/>
        <w:rPr>
          <w:sz w:val="20"/>
          <w:szCs w:val="20"/>
          <w:color w:val="auto"/>
        </w:rPr>
      </w:pPr>
    </w:p>
    <w:p>
      <w:pPr>
        <w:ind w:left="740" w:right="60"/>
        <w:spacing w:after="0" w:line="283" w:lineRule="auto"/>
        <w:rPr>
          <w:sz w:val="20"/>
          <w:szCs w:val="20"/>
          <w:color w:val="auto"/>
        </w:rPr>
      </w:pPr>
      <w:r>
        <w:rPr>
          <w:rFonts w:ascii="Times New Roman" w:cs="Times New Roman" w:eastAsia="Times New Roman" w:hAnsi="Times New Roman"/>
          <w:sz w:val="15"/>
          <w:szCs w:val="15"/>
          <w:color w:val="auto"/>
        </w:rPr>
        <w:t>As part of the Transaction, on October 21, 2021, certain lenders have provided the Company with commitments under a senior secured revolving credit facility (the “Revolving Credit Facility,” together with the New Dollar Term Loan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44" w:lineRule="exact"/>
        <w:rPr>
          <w:sz w:val="20"/>
          <w:szCs w:val="20"/>
          <w:color w:val="auto"/>
        </w:rPr>
      </w:pPr>
    </w:p>
    <w:p>
      <w:pPr>
        <w:ind w:left="740" w:right="60"/>
        <w:spacing w:after="0" w:line="281" w:lineRule="auto"/>
        <w:rPr>
          <w:sz w:val="20"/>
          <w:szCs w:val="20"/>
          <w:color w:val="auto"/>
        </w:rPr>
      </w:pPr>
      <w:r>
        <w:rPr>
          <w:rFonts w:ascii="Times New Roman" w:cs="Times New Roman" w:eastAsia="Times New Roman" w:hAnsi="Times New Roman"/>
          <w:sz w:val="16"/>
          <w:szCs w:val="16"/>
          <w:color w:val="auto"/>
        </w:rPr>
        <w:t>As of December 31, 2024 and December 31, 2023, the Revolving Credit Facility had several financial institutions as lenders for a maximum borrowing capacity of $1,000. As of December 31, 2024 and December 31, 2023,</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F-31</w:t>
      </w:r>
    </w:p>
    <w:p>
      <w:pPr>
        <w:sectPr>
          <w:pgSz w:w="11900" w:h="16838" w:orient="portrait"/>
          <w:cols w:equalWidth="0" w:num="1">
            <w:col w:w="10460"/>
          </w:cols>
          <w:pgMar w:left="320" w:top="420" w:right="111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availability under the Revolving Credit Facility was $951 and $975, respectively, after taking into account outstanding letters of credit of $49 and $25, respectively. The Company borrowed and repaid $166 under the Revolving Credit Facility during the year ended December 31, 2024 while there were no borrowings during the year ended December 31, 2023. No amounts were outstanding as of December 31, 2024 or December 31, 2023.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 For the financing activities in July 2024, the Company recorded immaterial debt extinguishment costs, which are included in other (expense) income, net on the consolidated statements of comprehensive income.</w:t>
      </w:r>
    </w:p>
    <w:p>
      <w:pPr>
        <w:spacing w:after="0" w:line="164"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44" w:lineRule="exact"/>
        <w:rPr>
          <w:sz w:val="20"/>
          <w:szCs w:val="20"/>
          <w:color w:val="auto"/>
        </w:rPr>
      </w:pPr>
    </w:p>
    <w:p>
      <w:pPr>
        <w:ind w:left="740" w:right="420"/>
        <w:spacing w:after="0" w:line="281" w:lineRule="auto"/>
        <w:rPr>
          <w:sz w:val="20"/>
          <w:szCs w:val="20"/>
          <w:color w:val="auto"/>
        </w:rPr>
      </w:pPr>
      <w:r>
        <w:rPr>
          <w:rFonts w:ascii="Times New Roman" w:cs="Times New Roman" w:eastAsia="Times New Roman" w:hAnsi="Times New Roman"/>
          <w:sz w:val="16"/>
          <w:szCs w:val="16"/>
          <w:color w:val="auto"/>
        </w:rPr>
        <w:t>The indentures contain certain affirmative and negative covenants, which require, among other provisions, delivery of these consolidated financial statements to the relevant note holders. As of December 31, 2024, the Company was in compliance with all covenants.</w:t>
      </w:r>
    </w:p>
    <w:p>
      <w:pPr>
        <w:spacing w:after="0" w:line="144" w:lineRule="exact"/>
        <w:rPr>
          <w:sz w:val="20"/>
          <w:szCs w:val="20"/>
          <w:color w:val="auto"/>
        </w:rPr>
      </w:pPr>
    </w:p>
    <w:p>
      <w:pPr>
        <w:ind w:left="740" w:right="120"/>
        <w:spacing w:after="0" w:line="279" w:lineRule="auto"/>
        <w:rPr>
          <w:sz w:val="20"/>
          <w:szCs w:val="20"/>
          <w:color w:val="auto"/>
        </w:rPr>
      </w:pPr>
      <w:r>
        <w:rPr>
          <w:rFonts w:ascii="Times New Roman" w:cs="Times New Roman" w:eastAsia="Times New Roman" w:hAnsi="Times New Roman"/>
          <w:sz w:val="15"/>
          <w:szCs w:val="15"/>
          <w:u w:val="single" w:color="auto"/>
          <w:color w:val="auto"/>
        </w:rPr>
        <w:t>Reference Rate Reform and the Discontinuation of LIBOR:</w:t>
      </w:r>
      <w:r>
        <w:rPr>
          <w:rFonts w:ascii="Times New Roman" w:cs="Times New Roman" w:eastAsia="Times New Roman" w:hAnsi="Times New Roman"/>
          <w:sz w:val="15"/>
          <w:szCs w:val="15"/>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4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8 — INTEREST EXPENSE, NET</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Interest expense, net consists of the following for the years ended December 31, 2024, December 31, 2023, and December 31, 2022:</w:t>
      </w:r>
    </w:p>
    <w:p>
      <w:pPr>
        <w:spacing w:after="0" w:line="202"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w w:val="93"/>
              </w:rPr>
              <w:t>December 31,</w:t>
            </w:r>
          </w:p>
        </w:tc>
        <w:tc>
          <w:tcPr>
            <w:tcW w:w="360" w:type="dxa"/>
            <w:vAlign w:val="bottom"/>
          </w:tcPr>
          <w:p>
            <w:pPr>
              <w:spacing w:after="0"/>
              <w:rPr>
                <w:sz w:val="12"/>
                <w:szCs w:val="12"/>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242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w w:val="92"/>
              </w:rPr>
              <w:t>2024</w:t>
            </w:r>
          </w:p>
        </w:tc>
        <w:tc>
          <w:tcPr>
            <w:tcW w:w="4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tcPr>
          <w:p>
            <w:pPr>
              <w:spacing w:after="0"/>
              <w:rPr>
                <w:sz w:val="13"/>
                <w:szCs w:val="13"/>
                <w:color w:val="auto"/>
              </w:rPr>
            </w:pPr>
          </w:p>
        </w:tc>
      </w:tr>
      <w:tr>
        <w:trPr>
          <w:trHeight w:val="18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5"/>
                <w:szCs w:val="15"/>
                <w:color w:val="auto"/>
              </w:rPr>
            </w:pPr>
          </w:p>
        </w:tc>
      </w:tr>
      <w:tr>
        <w:trPr>
          <w:trHeight w:val="196"/>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7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r>
      <w:tr>
        <w:trPr>
          <w:trHeight w:val="192"/>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(864)</w:t>
            </w:r>
          </w:p>
        </w:tc>
        <w:tc>
          <w:tcPr>
            <w:tcW w:w="5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(976)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w:t>
            </w:r>
          </w:p>
        </w:tc>
      </w:tr>
      <w:tr>
        <w:trPr>
          <w:trHeight w:val="20"/>
        </w:trPr>
        <w:tc>
          <w:tcPr>
            <w:tcW w:w="2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242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F-32</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500"/>
          </w:cols>
          <w:pgMar w:left="320" w:top="420" w:right="107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10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9 — LEASES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Lessee Activities: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The following table summarizes the components of lease cost for the years ended December 31, 2024, December 31, 2023, and December 31, 2022:</w:t>
      </w:r>
    </w:p>
    <w:p>
      <w:pPr>
        <w:spacing w:after="0" w:line="213"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December 31,</w:t>
            </w:r>
          </w:p>
        </w:tc>
        <w:tc>
          <w:tcPr>
            <w:tcW w:w="15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35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2023</w:t>
            </w:r>
          </w:p>
        </w:tc>
        <w:tc>
          <w:tcPr>
            <w:tcW w:w="8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tcPr>
          <w:p>
            <w:pPr>
              <w:spacing w:after="0"/>
              <w:rPr>
                <w:sz w:val="13"/>
                <w:szCs w:val="13"/>
                <w:color w:val="auto"/>
              </w:rPr>
            </w:pP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5"/>
                <w:szCs w:val="15"/>
                <w:color w:val="auto"/>
              </w:rPr>
            </w:pP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6"/>
                <w:szCs w:val="16"/>
                <w:color w:val="auto"/>
              </w:rPr>
            </w:pPr>
          </w:p>
        </w:tc>
      </w:tr>
      <w:tr>
        <w:trPr>
          <w:trHeight w:val="19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6"/>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7"/>
                <w:szCs w:val="17"/>
                <w:color w:val="auto"/>
              </w:rPr>
            </w:pPr>
          </w:p>
        </w:tc>
      </w:tr>
      <w:tr>
        <w:trPr>
          <w:trHeight w:val="19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r>
      <w:tr>
        <w:trPr>
          <w:trHeight w:val="196"/>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 lease cost, net</w:t>
            </w: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Borders>
              <w:bottom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Variable lease cost primarily includes payments for operating expenses, maintenance, electricity and property taxes.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presents the lease-related assets and liabilities recorded on the consolidated balance sheets: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300" w:type="dxa"/>
            <w:vAlign w:val="bottom"/>
            <w:vMerge w:val="restart"/>
          </w:tcPr>
          <w:p>
            <w:pPr>
              <w:ind w:left="1200"/>
              <w:spacing w:after="0"/>
              <w:rPr>
                <w:sz w:val="20"/>
                <w:szCs w:val="20"/>
                <w:color w:val="auto"/>
              </w:rPr>
            </w:pPr>
            <w:r>
              <w:rPr>
                <w:rFonts w:ascii="Times New Roman" w:cs="Times New Roman" w:eastAsia="Times New Roman" w:hAnsi="Times New Roman"/>
                <w:sz w:val="13"/>
                <w:szCs w:val="13"/>
                <w:color w:val="auto"/>
              </w:rPr>
              <w:t>Consolidated balance sheet captions:</w:t>
            </w:r>
          </w:p>
        </w:tc>
        <w:tc>
          <w:tcPr>
            <w:tcW w:w="1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4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Operating leases</w:t>
            </w:r>
            <w:r>
              <w:rPr>
                <w:rFonts w:ascii="Times New Roman" w:cs="Times New Roman" w:eastAsia="Times New Roman" w:hAnsi="Times New Roman"/>
                <w:sz w:val="16"/>
                <w:szCs w:val="16"/>
                <w:color w:val="auto"/>
              </w:rPr>
              <w:t>:</w:t>
            </w:r>
          </w:p>
        </w:tc>
        <w:tc>
          <w:tcPr>
            <w:tcW w:w="4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long-term assets</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384</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8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Current portion of operating lease</w:t>
            </w:r>
          </w:p>
        </w:tc>
        <w:tc>
          <w:tcPr>
            <w:tcW w:w="4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4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43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liabilities</w:t>
            </w:r>
          </w:p>
        </w:tc>
        <w:tc>
          <w:tcPr>
            <w:tcW w:w="4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Company’s operating leases have a weighted-average remaining lease term of 7 years for both December 31, 2024 and December 31, 2023. The weighted-average discount rate of the Company’s operating leases is 8% for both December 31, 2024 and December 31, 2023.</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Future lease annual operating lease payments under non-cancelable leases over the next five years and thereafter is as follows:</w:t>
      </w:r>
    </w:p>
    <w:p>
      <w:pPr>
        <w:spacing w:after="0" w:line="220" w:lineRule="exact"/>
        <w:rPr>
          <w:sz w:val="20"/>
          <w:szCs w:val="20"/>
          <w:color w:val="auto"/>
        </w:rPr>
      </w:pPr>
    </w:p>
    <w:tbl>
      <w:tblPr>
        <w:tblLayout w:type="fixed"/>
        <w:tblInd w:w="2300" w:type="dxa"/>
        <w:tblCellMar>
          <w:top w:w="0" w:type="dxa"/>
          <w:left w:w="0" w:type="dxa"/>
          <w:bottom w:w="0" w:type="dxa"/>
          <w:right w:w="0" w:type="dxa"/>
        </w:tblCellMar>
      </w:tblPr>
      <w:tr>
        <w:trPr>
          <w:trHeight w:val="152"/>
        </w:trPr>
        <w:tc>
          <w:tcPr>
            <w:tcW w:w="298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Total</w:t>
            </w:r>
          </w:p>
        </w:tc>
      </w:tr>
      <w:tr>
        <w:trPr>
          <w:trHeight w:val="184"/>
        </w:trPr>
        <w:tc>
          <w:tcPr>
            <w:tcW w:w="2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$ 103</w:t>
            </w:r>
          </w:p>
        </w:tc>
        <w:tc>
          <w:tcPr>
            <w:tcW w:w="100" w:type="dxa"/>
            <w:vAlign w:val="bottom"/>
            <w:tcBorders>
              <w:top w:val="single" w:sz="8" w:color="CCEEFF"/>
            </w:tcBorders>
            <w:shd w:val="clear" w:color="auto" w:fill="CCEEFF"/>
          </w:tcPr>
          <w:p>
            <w:pPr>
              <w:spacing w:after="0"/>
              <w:rPr>
                <w:sz w:val="15"/>
                <w:szCs w:val="15"/>
                <w:color w:val="auto"/>
              </w:rPr>
            </w:pPr>
          </w:p>
        </w:tc>
      </w:tr>
      <w:tr>
        <w:trPr>
          <w:trHeight w:val="204"/>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7"/>
                <w:szCs w:val="17"/>
                <w:color w:val="auto"/>
              </w:rPr>
            </w:pPr>
          </w:p>
        </w:tc>
      </w:tr>
      <w:tr>
        <w:trPr>
          <w:trHeight w:val="20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7"/>
                <w:szCs w:val="17"/>
                <w:color w:val="auto"/>
              </w:rPr>
            </w:pPr>
          </w:p>
        </w:tc>
      </w:tr>
      <w:tr>
        <w:trPr>
          <w:trHeight w:val="204"/>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r>
      <w:tr>
        <w:trPr>
          <w:trHeight w:val="204"/>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7"/>
                <w:szCs w:val="17"/>
                <w:color w:val="auto"/>
              </w:rPr>
            </w:pPr>
          </w:p>
        </w:tc>
      </w:tr>
      <w:tr>
        <w:trPr>
          <w:trHeight w:val="192"/>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200" w:type="dxa"/>
            <w:vAlign w:val="bottom"/>
          </w:tcPr>
          <w:p>
            <w:pPr>
              <w:spacing w:after="0"/>
              <w:rPr>
                <w:sz w:val="16"/>
                <w:szCs w:val="16"/>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r>
      <w:tr>
        <w:trPr>
          <w:trHeight w:val="24"/>
        </w:trPr>
        <w:tc>
          <w:tcPr>
            <w:tcW w:w="2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2"/>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future lease payments</w:t>
            </w:r>
          </w:p>
        </w:tc>
        <w:tc>
          <w:tcPr>
            <w:tcW w:w="3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$ 517</w:t>
            </w:r>
          </w:p>
        </w:tc>
      </w:tr>
      <w:tr>
        <w:trPr>
          <w:trHeight w:val="192"/>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320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r>
      <w:tr>
        <w:trPr>
          <w:trHeight w:val="24"/>
        </w:trPr>
        <w:tc>
          <w:tcPr>
            <w:tcW w:w="29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2"/>
        </w:trPr>
        <w:tc>
          <w:tcPr>
            <w:tcW w:w="2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$ 405</w:t>
            </w:r>
          </w:p>
        </w:tc>
      </w:tr>
      <w:tr>
        <w:trPr>
          <w:trHeight w:val="20"/>
        </w:trPr>
        <w:tc>
          <w:tcPr>
            <w:tcW w:w="29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1"/>
        </w:trPr>
        <w:tc>
          <w:tcPr>
            <w:tcW w:w="2980" w:type="dxa"/>
            <w:vAlign w:val="bottom"/>
          </w:tcPr>
          <w:p>
            <w:pPr>
              <w:spacing w:after="0"/>
              <w:rPr>
                <w:sz w:val="24"/>
                <w:szCs w:val="24"/>
                <w:color w:val="auto"/>
              </w:rPr>
            </w:pPr>
          </w:p>
        </w:tc>
        <w:tc>
          <w:tcPr>
            <w:tcW w:w="3660" w:type="dxa"/>
            <w:vAlign w:val="bottom"/>
            <w:gridSpan w:val="3"/>
          </w:tcPr>
          <w:p>
            <w:pPr>
              <w:jc w:val="right"/>
              <w:ind w:right="3160"/>
              <w:spacing w:after="0"/>
              <w:rPr>
                <w:sz w:val="20"/>
                <w:szCs w:val="20"/>
                <w:color w:val="auto"/>
              </w:rPr>
            </w:pPr>
            <w:r>
              <w:rPr>
                <w:rFonts w:ascii="Times New Roman" w:cs="Times New Roman" w:eastAsia="Times New Roman" w:hAnsi="Times New Roman"/>
                <w:sz w:val="16"/>
                <w:szCs w:val="16"/>
                <w:color w:val="auto"/>
              </w:rPr>
              <w:t>F-33</w:t>
            </w:r>
          </w:p>
        </w:tc>
      </w:tr>
    </w:tbl>
    <w:p>
      <w:pPr>
        <w:sectPr>
          <w:pgSz w:w="11900" w:h="16838" w:orient="portrait"/>
          <w:cols w:equalWidth="0" w:num="1">
            <w:col w:w="10220"/>
          </w:cols>
          <w:pgMar w:left="320" w:top="421" w:right="13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340"/>
        <w:spacing w:after="0" w:line="265" w:lineRule="auto"/>
        <w:rPr>
          <w:sz w:val="20"/>
          <w:szCs w:val="20"/>
          <w:color w:val="auto"/>
        </w:rPr>
      </w:pPr>
      <w:r>
        <w:rPr>
          <w:rFonts w:ascii="Times New Roman" w:cs="Times New Roman" w:eastAsia="Times New Roman" w:hAnsi="Times New Roman"/>
          <w:sz w:val="16"/>
          <w:szCs w:val="16"/>
          <w:color w:val="auto"/>
        </w:rPr>
        <w:t>As of December 31, 2024, the Company has executed operating lease agreements for office spaces that have not yet commenced. As such the total expected future lease payments of $101 for these agreements are not reflected in the table above. These operating leases will commence after December 31, 2024 with lease terms ranging between 10 to 12 years.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Lessor Activities:</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following table summarizes the components of lease income recorded in cost of goods sold and selling, general and administrative expenses for the years ended December 31, 2024, December 31, 2023, and December 31, 2022:</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3280" w:type="dxa"/>
            <w:vAlign w:val="bottom"/>
          </w:tcPr>
          <w:p>
            <w:pPr>
              <w:spacing w:after="0"/>
              <w:rPr>
                <w:sz w:val="12"/>
                <w:szCs w:val="12"/>
                <w:color w:val="auto"/>
              </w:rPr>
            </w:pPr>
          </w:p>
        </w:tc>
        <w:tc>
          <w:tcPr>
            <w:tcW w:w="1820" w:type="dxa"/>
            <w:vAlign w:val="bottom"/>
            <w:gridSpan w:val="3"/>
          </w:tcPr>
          <w:p>
            <w:pPr>
              <w:ind w:left="1100"/>
              <w:spacing w:after="0"/>
              <w:rPr>
                <w:sz w:val="20"/>
                <w:szCs w:val="20"/>
                <w:color w:val="auto"/>
              </w:rPr>
            </w:pPr>
            <w:r>
              <w:rPr>
                <w:rFonts w:ascii="Times New Roman" w:cs="Times New Roman" w:eastAsia="Times New Roman" w:hAnsi="Times New Roman"/>
                <w:sz w:val="13"/>
                <w:szCs w:val="13"/>
                <w:color w:val="auto"/>
                <w:w w:val="95"/>
              </w:rPr>
              <w:t>December 31,</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December 31,</w:t>
            </w:r>
          </w:p>
        </w:tc>
        <w:tc>
          <w:tcPr>
            <w:tcW w:w="1580" w:type="dxa"/>
            <w:vAlign w:val="bottom"/>
            <w:gridSpan w:val="4"/>
          </w:tcPr>
          <w:p>
            <w:pPr>
              <w:ind w:left="800"/>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328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2024</w:t>
            </w:r>
          </w:p>
        </w:tc>
        <w:tc>
          <w:tcPr>
            <w:tcW w:w="8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8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2022</w:t>
            </w:r>
          </w:p>
        </w:tc>
        <w:tc>
          <w:tcPr>
            <w:tcW w:w="60" w:type="dxa"/>
            <w:vAlign w:val="bottom"/>
            <w:tcBorders>
              <w:bottom w:val="single" w:sz="8" w:color="CCEEFF"/>
            </w:tcBorders>
          </w:tcPr>
          <w:p>
            <w:pPr>
              <w:spacing w:after="0"/>
              <w:rPr>
                <w:sz w:val="13"/>
                <w:szCs w:val="13"/>
                <w:color w:val="auto"/>
              </w:rPr>
            </w:pPr>
          </w:p>
        </w:tc>
      </w:tr>
      <w:tr>
        <w:trPr>
          <w:trHeight w:val="184"/>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income</w:t>
            </w: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shd w:val="clear" w:color="auto" w:fill="CCEEFF"/>
          </w:tcPr>
          <w:p>
            <w:pPr>
              <w:spacing w:after="0"/>
              <w:rPr>
                <w:sz w:val="15"/>
                <w:szCs w:val="15"/>
                <w:color w:val="auto"/>
              </w:rPr>
            </w:pPr>
          </w:p>
        </w:tc>
      </w:tr>
      <w:tr>
        <w:trPr>
          <w:trHeight w:val="196"/>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Variable lease income</w:t>
            </w:r>
          </w:p>
        </w:tc>
        <w:tc>
          <w:tcPr>
            <w:tcW w:w="1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7"/>
                <w:szCs w:val="17"/>
                <w:color w:val="auto"/>
              </w:rPr>
            </w:pPr>
          </w:p>
        </w:tc>
      </w:tr>
      <w:tr>
        <w:trPr>
          <w:trHeight w:val="192"/>
        </w:trPr>
        <w:tc>
          <w:tcPr>
            <w:tcW w:w="32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b w:val="1"/>
                <w:bCs w:val="1"/>
                <w:color w:val="auto"/>
              </w:rPr>
              <w:t>Total lease income</w:t>
            </w:r>
          </w:p>
        </w:tc>
        <w:tc>
          <w:tcPr>
            <w:tcW w:w="12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9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60" w:type="dxa"/>
            <w:vAlign w:val="bottom"/>
            <w:shd w:val="clear" w:color="auto" w:fill="CCEEFF"/>
          </w:tcPr>
          <w:p>
            <w:pPr>
              <w:spacing w:after="0"/>
              <w:rPr>
                <w:sz w:val="16"/>
                <w:szCs w:val="16"/>
                <w:color w:val="auto"/>
              </w:rPr>
            </w:pPr>
          </w:p>
        </w:tc>
      </w:tr>
      <w:tr>
        <w:trPr>
          <w:trHeight w:val="20"/>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variable lease income includes reimbursements for tenant improvements, property tax, services, utilities, and maintenance.</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Estimated maturities of operating lease receivables over the next five years and thereafter is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30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$ 15</w:t>
            </w:r>
          </w:p>
        </w:tc>
        <w:tc>
          <w:tcPr>
            <w:tcW w:w="40" w:type="dxa"/>
            <w:vAlign w:val="bottom"/>
            <w:tcBorders>
              <w:top w:val="single" w:sz="8" w:color="CCEEFF"/>
            </w:tcBorders>
            <w:shd w:val="clear" w:color="auto" w:fill="CCEEFF"/>
          </w:tcPr>
          <w:p>
            <w:pPr>
              <w:spacing w:after="0"/>
              <w:rPr>
                <w:sz w:val="15"/>
                <w:szCs w:val="15"/>
                <w:color w:val="auto"/>
              </w:rPr>
            </w:pPr>
          </w:p>
        </w:tc>
      </w:tr>
      <w:tr>
        <w:trPr>
          <w:trHeight w:val="204"/>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204"/>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40" w:type="dxa"/>
            <w:vAlign w:val="bottom"/>
          </w:tcPr>
          <w:p>
            <w:pPr>
              <w:spacing w:after="0"/>
              <w:rPr>
                <w:sz w:val="17"/>
                <w:szCs w:val="17"/>
                <w:color w:val="auto"/>
              </w:rPr>
            </w:pPr>
          </w:p>
        </w:tc>
      </w:tr>
      <w:tr>
        <w:trPr>
          <w:trHeight w:val="192"/>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future lease receivables</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$ 69</w:t>
            </w:r>
          </w:p>
        </w:tc>
      </w:tr>
      <w:tr>
        <w:trPr>
          <w:trHeight w:val="20"/>
        </w:trPr>
        <w:tc>
          <w:tcPr>
            <w:tcW w:w="6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Assets under operating leases are included in property, plant, and equipment of the Company’s consolidated balance sheets and are consisted of the following as of:</w:t>
      </w:r>
    </w:p>
    <w:p>
      <w:pPr>
        <w:spacing w:after="0" w:line="145"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54"/>
        </w:trPr>
        <w:tc>
          <w:tcPr>
            <w:tcW w:w="49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r>
      <w:tr>
        <w:trPr>
          <w:trHeight w:val="18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Buildings and improvements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5"/>
                <w:szCs w:val="15"/>
                <w:color w:val="auto"/>
              </w:rPr>
            </w:pP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Land and improvements</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6"/>
                <w:szCs w:val="16"/>
                <w:color w:val="auto"/>
              </w:rPr>
            </w:pPr>
          </w:p>
        </w:tc>
      </w:tr>
      <w:tr>
        <w:trPr>
          <w:trHeight w:val="19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Pr>
          <w:p>
            <w:pPr>
              <w:spacing w:after="0"/>
              <w:rPr>
                <w:sz w:val="16"/>
                <w:szCs w:val="16"/>
                <w:color w:val="auto"/>
              </w:rPr>
            </w:pPr>
          </w:p>
        </w:tc>
        <w:tc>
          <w:tcPr>
            <w:tcW w:w="146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w:t>
            </w:r>
          </w:p>
        </w:tc>
      </w:tr>
      <w:tr>
        <w:trPr>
          <w:trHeight w:val="24"/>
        </w:trPr>
        <w:tc>
          <w:tcPr>
            <w:tcW w:w="4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92"/>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Assets under operating leases, net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w:t>
            </w:r>
          </w:p>
        </w:tc>
      </w:tr>
      <w:tr>
        <w:trPr>
          <w:trHeight w:val="20"/>
        </w:trPr>
        <w:tc>
          <w:tcPr>
            <w:tcW w:w="4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10 — RETIREMENT PLANS</w:t>
      </w:r>
    </w:p>
    <w:p>
      <w:pPr>
        <w:spacing w:after="0" w:line="105"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F-34</w:t>
      </w:r>
    </w:p>
    <w:p>
      <w:pPr>
        <w:sectPr>
          <w:pgSz w:w="11900" w:h="16838" w:orient="portrait"/>
          <w:cols w:equalWidth="0" w:num="1">
            <w:col w:w="10440"/>
          </w:cols>
          <w:pgMar w:left="320" w:top="420" w:right="11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8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sets forth the various plans’ unfunded status and amounts recognized in the Company’s balance sheets:</w:t>
      </w:r>
    </w:p>
    <w:p>
      <w:pPr>
        <w:spacing w:after="0" w:line="200"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11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54"/>
        </w:trPr>
        <w:tc>
          <w:tcPr>
            <w:tcW w:w="1180" w:type="dxa"/>
            <w:vAlign w:val="bottom"/>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Projected benefit obligation</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Less: Fair value of plan assets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4"/>
        </w:trPr>
        <w:tc>
          <w:tcPr>
            <w:tcW w:w="11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tcPr>
          <w:p>
            <w:pPr>
              <w:spacing w:after="0"/>
              <w:rPr>
                <w:sz w:val="16"/>
                <w:szCs w:val="16"/>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Unfunded status</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6"/>
                <w:szCs w:val="16"/>
                <w:color w:val="auto"/>
              </w:rPr>
            </w:pPr>
          </w:p>
        </w:tc>
        <w:tc>
          <w:tcPr>
            <w:tcW w:w="9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Amounts recognized in the consolidated balance sheets are as below:</w:t>
            </w:r>
          </w:p>
        </w:tc>
        <w:tc>
          <w:tcPr>
            <w:tcW w:w="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22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1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40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CCEEFF"/>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2"/>
        </w:trPr>
        <w:tc>
          <w:tcPr>
            <w:tcW w:w="118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ind w:right="90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4"/>
        </w:trPr>
        <w:tc>
          <w:tcPr>
            <w:tcW w:w="11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180" w:type="dxa"/>
            <w:vAlign w:val="bottom"/>
          </w:tcPr>
          <w:p>
            <w:pPr>
              <w:spacing w:after="0"/>
              <w:rPr>
                <w:sz w:val="16"/>
                <w:szCs w:val="16"/>
                <w:color w:val="auto"/>
              </w:rPr>
            </w:pPr>
          </w:p>
        </w:tc>
        <w:tc>
          <w:tcPr>
            <w:tcW w:w="4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liability recognized</w:t>
            </w:r>
          </w:p>
        </w:tc>
        <w:tc>
          <w:tcPr>
            <w:tcW w:w="9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right w:val="single" w:sz="8" w:color="CCEEFF"/>
            </w:tcBorders>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presents information relating to unfunded status that have an accumulated benefit obligation in excess of plan assets:</w:t>
      </w:r>
    </w:p>
    <w:p>
      <w:pPr>
        <w:spacing w:after="0" w:line="202" w:lineRule="exact"/>
        <w:rPr>
          <w:sz w:val="20"/>
          <w:szCs w:val="20"/>
          <w:color w:val="auto"/>
        </w:rPr>
      </w:pPr>
    </w:p>
    <w:tbl>
      <w:tblPr>
        <w:tblLayout w:type="fixed"/>
        <w:tblInd w:w="230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460" w:type="dxa"/>
            <w:vAlign w:val="bottom"/>
          </w:tcPr>
          <w:p>
            <w:pPr>
              <w:spacing w:after="0"/>
              <w:rPr>
                <w:sz w:val="12"/>
                <w:szCs w:val="12"/>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5"/>
              </w:rPr>
              <w:t>December 31,</w:t>
            </w:r>
          </w:p>
        </w:tc>
      </w:tr>
      <w:tr>
        <w:trPr>
          <w:trHeight w:val="152"/>
        </w:trPr>
        <w:tc>
          <w:tcPr>
            <w:tcW w:w="310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2024</w:t>
            </w:r>
          </w:p>
        </w:tc>
        <w:tc>
          <w:tcPr>
            <w:tcW w:w="5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2023</w:t>
            </w:r>
          </w:p>
        </w:tc>
        <w:tc>
          <w:tcPr>
            <w:tcW w:w="40" w:type="dxa"/>
            <w:vAlign w:val="bottom"/>
            <w:tcBorders>
              <w:bottom w:val="single" w:sz="8" w:color="CCEEFF"/>
            </w:tcBorders>
          </w:tcPr>
          <w:p>
            <w:pPr>
              <w:spacing w:after="0"/>
              <w:rPr>
                <w:sz w:val="13"/>
                <w:szCs w:val="13"/>
                <w:color w:val="auto"/>
              </w:rPr>
            </w:pPr>
          </w:p>
        </w:tc>
      </w:tr>
      <w:tr>
        <w:trPr>
          <w:trHeight w:val="18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benefit obligation</w:t>
            </w: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0" w:type="dxa"/>
            <w:vAlign w:val="bottom"/>
            <w:shd w:val="clear" w:color="auto" w:fill="CCEEFF"/>
          </w:tcPr>
          <w:p>
            <w:pPr>
              <w:spacing w:after="0"/>
              <w:rPr>
                <w:sz w:val="15"/>
                <w:szCs w:val="15"/>
                <w:color w:val="auto"/>
              </w:rPr>
            </w:pPr>
          </w:p>
        </w:tc>
      </w:tr>
      <w:tr>
        <w:trPr>
          <w:trHeight w:val="192"/>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Less: Fair value of plan assets</w:t>
            </w: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(6)</w:t>
            </w: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3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92"/>
        </w:trPr>
        <w:tc>
          <w:tcPr>
            <w:tcW w:w="3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Unfunded status</w:t>
            </w:r>
          </w:p>
        </w:tc>
        <w:tc>
          <w:tcPr>
            <w:tcW w:w="12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31</w:t>
            </w:r>
          </w:p>
        </w:tc>
        <w:tc>
          <w:tcPr>
            <w:tcW w:w="6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3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740"/>
        <w:spacing w:after="0" w:line="265" w:lineRule="auto"/>
        <w:rPr>
          <w:sz w:val="20"/>
          <w:szCs w:val="20"/>
          <w:color w:val="auto"/>
        </w:rPr>
      </w:pPr>
      <w:r>
        <w:rPr>
          <w:rFonts w:ascii="Times New Roman" w:cs="Times New Roman" w:eastAsia="Times New Roman" w:hAnsi="Times New Roman"/>
          <w:sz w:val="16"/>
          <w:szCs w:val="16"/>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2024, December 31, 2023, and December 31, 2022.</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weighted-average assumptions are as follows: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4320" w:type="dxa"/>
            <w:vAlign w:val="bottom"/>
          </w:tcPr>
          <w:p>
            <w:pPr>
              <w:spacing w:after="0"/>
              <w:rPr>
                <w:sz w:val="13"/>
                <w:szCs w:val="13"/>
                <w:color w:val="auto"/>
              </w:rPr>
            </w:pPr>
          </w:p>
        </w:tc>
        <w:tc>
          <w:tcPr>
            <w:tcW w:w="2580" w:type="dxa"/>
            <w:vAlign w:val="bottom"/>
            <w:gridSpan w:val="4"/>
          </w:tcPr>
          <w:p>
            <w:pPr>
              <w:jc w:val="right"/>
              <w:ind w:right="1140"/>
              <w:spacing w:after="0"/>
              <w:rPr>
                <w:sz w:val="20"/>
                <w:szCs w:val="20"/>
                <w:color w:val="auto"/>
              </w:rPr>
            </w:pPr>
            <w:r>
              <w:rPr>
                <w:rFonts w:ascii="Times New Roman" w:cs="Times New Roman" w:eastAsia="Times New Roman" w:hAnsi="Times New Roman"/>
                <w:sz w:val="13"/>
                <w:szCs w:val="13"/>
                <w:color w:val="auto"/>
              </w:rPr>
              <w:t>December 31, 2024</w:t>
            </w:r>
          </w:p>
        </w:tc>
        <w:tc>
          <w:tcPr>
            <w:tcW w:w="2080" w:type="dxa"/>
            <w:vAlign w:val="bottom"/>
            <w:gridSpan w:val="4"/>
          </w:tcPr>
          <w:p>
            <w:pPr>
              <w:ind w:left="440"/>
              <w:spacing w:after="0"/>
              <w:rPr>
                <w:sz w:val="20"/>
                <w:szCs w:val="20"/>
                <w:color w:val="auto"/>
              </w:rPr>
            </w:pPr>
            <w:r>
              <w:rPr>
                <w:rFonts w:ascii="Times New Roman" w:cs="Times New Roman" w:eastAsia="Times New Roman" w:hAnsi="Times New Roman"/>
                <w:sz w:val="13"/>
                <w:szCs w:val="13"/>
                <w:color w:val="auto"/>
              </w:rPr>
              <w:t>December 31, 2023</w:t>
            </w:r>
          </w:p>
        </w:tc>
        <w:tc>
          <w:tcPr>
            <w:tcW w:w="0" w:type="dxa"/>
            <w:vAlign w:val="bottom"/>
          </w:tcPr>
          <w:p>
            <w:pPr>
              <w:spacing w:after="0"/>
              <w:rPr>
                <w:sz w:val="1"/>
                <w:szCs w:val="1"/>
                <w:color w:val="auto"/>
              </w:rPr>
            </w:pPr>
          </w:p>
        </w:tc>
      </w:tr>
      <w:tr>
        <w:trPr>
          <w:trHeight w:val="104"/>
        </w:trPr>
        <w:tc>
          <w:tcPr>
            <w:tcW w:w="4320" w:type="dxa"/>
            <w:vAlign w:val="bottom"/>
          </w:tcPr>
          <w:p>
            <w:pPr>
              <w:spacing w:after="0"/>
              <w:rPr>
                <w:sz w:val="9"/>
                <w:szCs w:val="9"/>
                <w:color w:val="auto"/>
              </w:rPr>
            </w:pPr>
          </w:p>
        </w:tc>
        <w:tc>
          <w:tcPr>
            <w:tcW w:w="1240" w:type="dxa"/>
            <w:vAlign w:val="bottom"/>
            <w:tcBorders>
              <w:top w:val="single" w:sz="8" w:color="auto"/>
            </w:tcBorders>
            <w:gridSpan w:val="2"/>
          </w:tcPr>
          <w:p>
            <w:pPr>
              <w:jc w:val="right"/>
              <w:ind w:right="780"/>
              <w:spacing w:after="0" w:line="104" w:lineRule="exact"/>
              <w:rPr>
                <w:sz w:val="20"/>
                <w:szCs w:val="20"/>
                <w:color w:val="auto"/>
              </w:rPr>
            </w:pPr>
            <w:r>
              <w:rPr>
                <w:rFonts w:ascii="Times New Roman" w:cs="Times New Roman" w:eastAsia="Times New Roman" w:hAnsi="Times New Roman"/>
                <w:sz w:val="12"/>
                <w:szCs w:val="12"/>
                <w:color w:val="auto"/>
              </w:rPr>
              <w:t>Benefit</w:t>
            </w:r>
          </w:p>
        </w:tc>
        <w:tc>
          <w:tcPr>
            <w:tcW w:w="640" w:type="dxa"/>
            <w:vAlign w:val="bottom"/>
            <w:tcBorders>
              <w:top w:val="single" w:sz="8" w:color="auto"/>
            </w:tcBorders>
          </w:tcPr>
          <w:p>
            <w:pPr>
              <w:spacing w:after="0" w:line="104" w:lineRule="exact"/>
              <w:rPr>
                <w:sz w:val="20"/>
                <w:szCs w:val="20"/>
                <w:color w:val="auto"/>
              </w:rPr>
            </w:pPr>
            <w:r>
              <w:rPr>
                <w:rFonts w:ascii="Times New Roman" w:cs="Times New Roman" w:eastAsia="Times New Roman" w:hAnsi="Times New Roman"/>
                <w:sz w:val="12"/>
                <w:szCs w:val="12"/>
                <w:color w:val="auto"/>
              </w:rPr>
              <w:t>Net Periodic</w:t>
            </w:r>
          </w:p>
        </w:tc>
        <w:tc>
          <w:tcPr>
            <w:tcW w:w="700" w:type="dxa"/>
            <w:vAlign w:val="bottom"/>
          </w:tcPr>
          <w:p>
            <w:pPr>
              <w:spacing w:after="0"/>
              <w:rPr>
                <w:sz w:val="9"/>
                <w:szCs w:val="9"/>
                <w:color w:val="auto"/>
              </w:rPr>
            </w:pPr>
          </w:p>
        </w:tc>
        <w:tc>
          <w:tcPr>
            <w:tcW w:w="1240" w:type="dxa"/>
            <w:vAlign w:val="bottom"/>
            <w:tcBorders>
              <w:top w:val="single" w:sz="8" w:color="auto"/>
            </w:tcBorders>
            <w:gridSpan w:val="2"/>
          </w:tcPr>
          <w:p>
            <w:pPr>
              <w:ind w:left="100"/>
              <w:spacing w:after="0" w:line="104" w:lineRule="exact"/>
              <w:rPr>
                <w:sz w:val="20"/>
                <w:szCs w:val="20"/>
                <w:color w:val="auto"/>
              </w:rPr>
            </w:pPr>
            <w:r>
              <w:rPr>
                <w:rFonts w:ascii="Times New Roman" w:cs="Times New Roman" w:eastAsia="Times New Roman" w:hAnsi="Times New Roman"/>
                <w:sz w:val="12"/>
                <w:szCs w:val="12"/>
                <w:color w:val="auto"/>
              </w:rPr>
              <w:t>Benefit</w:t>
            </w:r>
          </w:p>
        </w:tc>
        <w:tc>
          <w:tcPr>
            <w:tcW w:w="660" w:type="dxa"/>
            <w:vAlign w:val="bottom"/>
            <w:tcBorders>
              <w:top w:val="single" w:sz="8" w:color="auto"/>
            </w:tcBorders>
          </w:tcPr>
          <w:p>
            <w:pPr>
              <w:ind w:left="20"/>
              <w:spacing w:after="0" w:line="104" w:lineRule="exact"/>
              <w:rPr>
                <w:sz w:val="20"/>
                <w:szCs w:val="20"/>
                <w:color w:val="auto"/>
              </w:rPr>
            </w:pPr>
            <w:r>
              <w:rPr>
                <w:rFonts w:ascii="Times New Roman" w:cs="Times New Roman" w:eastAsia="Times New Roman" w:hAnsi="Times New Roman"/>
                <w:sz w:val="12"/>
                <w:szCs w:val="12"/>
                <w:color w:val="auto"/>
              </w:rPr>
              <w:t>Net Periodic</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4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w w:val="93"/>
              </w:rPr>
              <w:t>Obligation</w:t>
            </w:r>
          </w:p>
        </w:tc>
        <w:tc>
          <w:tcPr>
            <w:tcW w:w="1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Benefit Cost</w:t>
            </w: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Obligation</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Benefit Cost</w:t>
            </w:r>
          </w:p>
        </w:tc>
        <w:tc>
          <w:tcPr>
            <w:tcW w:w="0" w:type="dxa"/>
            <w:vAlign w:val="bottom"/>
          </w:tcPr>
          <w:p>
            <w:pPr>
              <w:spacing w:after="0"/>
              <w:rPr>
                <w:sz w:val="1"/>
                <w:szCs w:val="1"/>
                <w:color w:val="auto"/>
              </w:rPr>
            </w:pPr>
          </w:p>
        </w:tc>
      </w:tr>
      <w:tr>
        <w:trPr>
          <w:trHeight w:val="20"/>
        </w:trPr>
        <w:tc>
          <w:tcPr>
            <w:tcW w:w="4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5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320" w:type="dxa"/>
            <w:vAlign w:val="bottom"/>
            <w:vMerge w:val="continue"/>
            <w:shd w:val="clear" w:color="auto" w:fill="CCEEFF"/>
          </w:tcPr>
          <w:p>
            <w:pPr>
              <w:spacing w:after="0"/>
              <w:rPr>
                <w:sz w:val="15"/>
                <w:szCs w:val="15"/>
                <w:color w:val="auto"/>
              </w:rPr>
            </w:pP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7.00%</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6.28%</w:t>
            </w:r>
          </w:p>
        </w:tc>
        <w:tc>
          <w:tcPr>
            <w:tcW w:w="1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6.88%</w:t>
            </w: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Rate of compensation increase</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4.35%</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4.34%</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4.34%</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Social Security increase rate</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3.07%</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3.04%</w:t>
            </w:r>
          </w:p>
        </w:tc>
        <w:tc>
          <w:tcPr>
            <w:tcW w:w="1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3.64%</w:t>
            </w: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2"/>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Pension increase rate (in payment)</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0.47%</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0.58%</w:t>
            </w: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2.25%</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9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long-term return on plan assets</w:t>
            </w:r>
          </w:p>
        </w:tc>
        <w:tc>
          <w:tcPr>
            <w:tcW w:w="12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3.25%</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3.45%</w:t>
            </w:r>
          </w:p>
        </w:tc>
        <w:tc>
          <w:tcPr>
            <w:tcW w:w="1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323"/>
        </w:trPr>
        <w:tc>
          <w:tcPr>
            <w:tcW w:w="4320" w:type="dxa"/>
            <w:vAlign w:val="bottom"/>
          </w:tcPr>
          <w:p>
            <w:pPr>
              <w:spacing w:after="0"/>
              <w:rPr>
                <w:sz w:val="24"/>
                <w:szCs w:val="24"/>
                <w:color w:val="auto"/>
              </w:rPr>
            </w:pPr>
          </w:p>
        </w:tc>
        <w:tc>
          <w:tcPr>
            <w:tcW w:w="1240" w:type="dxa"/>
            <w:vAlign w:val="bottom"/>
            <w:gridSpan w:val="2"/>
          </w:tcPr>
          <w:p>
            <w:pPr>
              <w:jc w:val="right"/>
              <w:ind w:right="920"/>
              <w:spacing w:after="0"/>
              <w:rPr>
                <w:sz w:val="20"/>
                <w:szCs w:val="20"/>
                <w:color w:val="auto"/>
              </w:rPr>
            </w:pPr>
            <w:r>
              <w:rPr>
                <w:rFonts w:ascii="Times New Roman" w:cs="Times New Roman" w:eastAsia="Times New Roman" w:hAnsi="Times New Roman"/>
                <w:sz w:val="16"/>
                <w:szCs w:val="16"/>
                <w:color w:val="auto"/>
                <w:w w:val="99"/>
              </w:rPr>
              <w:t>F-35</w:t>
            </w: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60"/>
          </w:cols>
          <w:pgMar w:left="320" w:top="421" w:right="121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6300" w:type="dxa"/>
            <w:vAlign w:val="bottom"/>
          </w:tcPr>
          <w:p>
            <w:pPr>
              <w:ind w:left="1660"/>
              <w:spacing w:after="0"/>
              <w:rPr>
                <w:sz w:val="20"/>
                <w:szCs w:val="20"/>
                <w:color w:val="auto"/>
              </w:rPr>
            </w:pPr>
            <w:r>
              <w:rPr>
                <w:rFonts w:ascii="Times New Roman" w:cs="Times New Roman" w:eastAsia="Times New Roman" w:hAnsi="Times New Roman"/>
                <w:sz w:val="16"/>
                <w:szCs w:val="16"/>
                <w:color w:val="auto"/>
              </w:rPr>
              <w:t>MEDLINE HOLDINGS, LP AND SUBSIDIARIES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8"/>
        </w:trPr>
        <w:tc>
          <w:tcPr>
            <w:tcW w:w="1560" w:type="dxa"/>
            <w:vAlign w:val="bottom"/>
          </w:tcPr>
          <w:p>
            <w:pPr>
              <w:spacing w:after="0"/>
              <w:rPr>
                <w:sz w:val="18"/>
                <w:szCs w:val="18"/>
                <w:color w:val="auto"/>
              </w:rPr>
            </w:pPr>
          </w:p>
        </w:tc>
        <w:tc>
          <w:tcPr>
            <w:tcW w:w="630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(Dollars/units 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120"/>
        </w:trPr>
        <w:tc>
          <w:tcPr>
            <w:tcW w:w="1560" w:type="dxa"/>
            <w:vAlign w:val="bottom"/>
            <w:tcBorders>
              <w:bottom w:val="single" w:sz="8" w:color="auto"/>
            </w:tcBorders>
          </w:tcPr>
          <w:p>
            <w:pPr>
              <w:spacing w:after="0"/>
              <w:rPr>
                <w:sz w:val="10"/>
                <w:szCs w:val="10"/>
                <w:color w:val="auto"/>
              </w:rPr>
            </w:pPr>
          </w:p>
        </w:tc>
        <w:tc>
          <w:tcPr>
            <w:tcW w:w="6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r>
        <w:trPr>
          <w:trHeight w:val="220"/>
        </w:trPr>
        <w:tc>
          <w:tcPr>
            <w:tcW w:w="7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Estimated benefit payments over the next five years and thereafter are as follows: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47"/>
        </w:trPr>
        <w:tc>
          <w:tcPr>
            <w:tcW w:w="15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1560" w:type="dxa"/>
            <w:vAlign w:val="bottom"/>
          </w:tcPr>
          <w:p>
            <w:pPr>
              <w:spacing w:after="0"/>
              <w:rPr>
                <w:sz w:val="15"/>
                <w:szCs w:val="15"/>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tcPr>
          <w:p>
            <w:pPr>
              <w:spacing w:after="0"/>
              <w:rPr>
                <w:sz w:val="15"/>
                <w:szCs w:val="15"/>
                <w:color w:val="auto"/>
              </w:rPr>
            </w:pPr>
          </w:p>
        </w:tc>
      </w:tr>
      <w:tr>
        <w:trPr>
          <w:trHeight w:val="192"/>
        </w:trPr>
        <w:tc>
          <w:tcPr>
            <w:tcW w:w="1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560" w:type="dxa"/>
            <w:vAlign w:val="bottom"/>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Pr>
          <w:p>
            <w:pPr>
              <w:spacing w:after="0"/>
              <w:rPr>
                <w:sz w:val="16"/>
                <w:szCs w:val="16"/>
                <w:color w:val="auto"/>
              </w:rPr>
            </w:pPr>
          </w:p>
        </w:tc>
      </w:tr>
      <w:tr>
        <w:trPr>
          <w:trHeight w:val="192"/>
        </w:trPr>
        <w:tc>
          <w:tcPr>
            <w:tcW w:w="156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560" w:type="dxa"/>
            <w:vAlign w:val="bottom"/>
          </w:tcPr>
          <w:p>
            <w:pPr>
              <w:spacing w:after="0"/>
              <w:rPr>
                <w:sz w:val="16"/>
                <w:szCs w:val="16"/>
                <w:color w:val="auto"/>
              </w:rPr>
            </w:pPr>
          </w:p>
        </w:tc>
      </w:tr>
      <w:tr>
        <w:trPr>
          <w:trHeight w:val="196"/>
        </w:trPr>
        <w:tc>
          <w:tcPr>
            <w:tcW w:w="1560" w:type="dxa"/>
            <w:vAlign w:val="bottom"/>
          </w:tcPr>
          <w:p>
            <w:pPr>
              <w:spacing w:after="0"/>
              <w:rPr>
                <w:sz w:val="17"/>
                <w:szCs w:val="17"/>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560" w:type="dxa"/>
            <w:vAlign w:val="bottom"/>
          </w:tcPr>
          <w:p>
            <w:pPr>
              <w:spacing w:after="0"/>
              <w:rPr>
                <w:sz w:val="17"/>
                <w:szCs w:val="17"/>
                <w:color w:val="auto"/>
              </w:rPr>
            </w:pPr>
          </w:p>
        </w:tc>
      </w:tr>
      <w:tr>
        <w:trPr>
          <w:trHeight w:val="192"/>
        </w:trPr>
        <w:tc>
          <w:tcPr>
            <w:tcW w:w="1560" w:type="dxa"/>
            <w:vAlign w:val="bottom"/>
          </w:tcPr>
          <w:p>
            <w:pPr>
              <w:spacing w:after="0"/>
              <w:rPr>
                <w:sz w:val="16"/>
                <w:szCs w:val="16"/>
                <w:color w:val="auto"/>
              </w:rPr>
            </w:pPr>
          </w:p>
        </w:tc>
        <w:tc>
          <w:tcPr>
            <w:tcW w:w="6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560" w:type="dxa"/>
            <w:vAlign w:val="bottom"/>
          </w:tcPr>
          <w:p>
            <w:pPr>
              <w:spacing w:after="0"/>
              <w:rPr>
                <w:sz w:val="16"/>
                <w:szCs w:val="16"/>
                <w:color w:val="auto"/>
              </w:rPr>
            </w:pPr>
          </w:p>
        </w:tc>
      </w:tr>
      <w:tr>
        <w:trPr>
          <w:trHeight w:val="20"/>
        </w:trPr>
        <w:tc>
          <w:tcPr>
            <w:tcW w:w="15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740" w:right="320"/>
        <w:spacing w:after="0" w:line="265" w:lineRule="auto"/>
        <w:rPr>
          <w:sz w:val="20"/>
          <w:szCs w:val="20"/>
          <w:color w:val="auto"/>
        </w:rPr>
      </w:pPr>
      <w:r>
        <w:rPr>
          <w:rFonts w:ascii="Times New Roman" w:cs="Times New Roman" w:eastAsia="Times New Roman" w:hAnsi="Times New Roman"/>
          <w:sz w:val="16"/>
          <w:szCs w:val="16"/>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57" w:lineRule="exact"/>
        <w:rPr>
          <w:sz w:val="20"/>
          <w:szCs w:val="20"/>
          <w:color w:val="auto"/>
        </w:rPr>
      </w:pPr>
    </w:p>
    <w:p>
      <w:pPr>
        <w:jc w:val="both"/>
        <w:ind w:left="740" w:right="180"/>
        <w:spacing w:after="0" w:line="265" w:lineRule="auto"/>
        <w:rPr>
          <w:sz w:val="20"/>
          <w:szCs w:val="20"/>
          <w:color w:val="auto"/>
        </w:rPr>
      </w:pPr>
      <w:r>
        <w:rPr>
          <w:rFonts w:ascii="Times New Roman" w:cs="Times New Roman" w:eastAsia="Times New Roman" w:hAnsi="Times New Roman"/>
          <w:sz w:val="16"/>
          <w:szCs w:val="16"/>
          <w:color w:val="auto"/>
        </w:rPr>
        <w:t>The total expense for the employee retirement savings plan for the years ended December 31, 2024, December 31, 2023, and December 31, 2022 was $43, $37, and $32, respectively, which were included in selling, general and administrative expenses on the consolidated statements of comprehensive income.</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11 — INCOME TAXES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Income Before Income Tax Expense by Category</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Income before taxes and equity in earnings of affiliates from continuing operations was as follows:</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7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Year ended</w:t>
            </w: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78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3"/>
          </w:tcPr>
          <w:p>
            <w:pPr>
              <w:jc w:val="right"/>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580" w:type="dxa"/>
            <w:vAlign w:val="bottom"/>
          </w:tcPr>
          <w:p>
            <w:pPr>
              <w:spacing w:after="0"/>
              <w:rPr>
                <w:sz w:val="9"/>
                <w:szCs w:val="9"/>
                <w:color w:val="auto"/>
              </w:rPr>
            </w:pPr>
          </w:p>
        </w:tc>
        <w:tc>
          <w:tcPr>
            <w:tcW w:w="860" w:type="dxa"/>
            <w:vAlign w:val="bottom"/>
            <w:gridSpan w:val="4"/>
          </w:tcPr>
          <w:p>
            <w:pPr>
              <w:ind w:left="140"/>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1460" w:type="dxa"/>
            <w:vAlign w:val="bottom"/>
            <w:gridSpan w:val="3"/>
          </w:tcPr>
          <w:p>
            <w:pPr>
              <w:jc w:val="center"/>
              <w:ind w:left="648"/>
              <w:spacing w:after="0" w:line="104" w:lineRule="exact"/>
              <w:rPr>
                <w:sz w:val="20"/>
                <w:szCs w:val="20"/>
                <w:color w:val="auto"/>
              </w:rPr>
            </w:pPr>
            <w:r>
              <w:rPr>
                <w:rFonts w:ascii="Times New Roman" w:cs="Times New Roman" w:eastAsia="Times New Roman" w:hAnsi="Times New Roman"/>
                <w:sz w:val="12"/>
                <w:szCs w:val="12"/>
                <w:color w:val="auto"/>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0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2024</w:t>
            </w:r>
          </w:p>
        </w:tc>
        <w:tc>
          <w:tcPr>
            <w:tcW w:w="5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80" w:type="dxa"/>
            <w:vAlign w:val="bottom"/>
          </w:tcPr>
          <w:p>
            <w:pPr>
              <w:spacing w:after="0"/>
              <w:rPr>
                <w:sz w:val="15"/>
                <w:szCs w:val="15"/>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6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80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Tax Expense (Benefit)</w:t>
            </w: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expense for each reporting period consists of the following: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color w:val="auto"/>
              </w:rPr>
              <w:t>December 31,</w:t>
            </w:r>
          </w:p>
        </w:tc>
        <w:tc>
          <w:tcPr>
            <w:tcW w:w="1440" w:type="dxa"/>
            <w:vAlign w:val="bottom"/>
            <w:gridSpan w:val="5"/>
          </w:tcPr>
          <w:p>
            <w:pPr>
              <w:ind w:left="580"/>
              <w:spacing w:after="0"/>
              <w:rPr>
                <w:sz w:val="20"/>
                <w:szCs w:val="20"/>
                <w:color w:val="auto"/>
              </w:rPr>
            </w:pPr>
            <w:r>
              <w:rPr>
                <w:rFonts w:ascii="Times New Roman" w:cs="Times New Roman" w:eastAsia="Times New Roman" w:hAnsi="Times New Roman"/>
                <w:sz w:val="13"/>
                <w:szCs w:val="13"/>
                <w:color w:val="auto"/>
              </w:rPr>
              <w:t>December 31,</w:t>
            </w:r>
          </w:p>
        </w:tc>
        <w:tc>
          <w:tcPr>
            <w:tcW w:w="1560" w:type="dxa"/>
            <w:vAlign w:val="bottom"/>
            <w:gridSpan w:val="4"/>
          </w:tcPr>
          <w:p>
            <w:pPr>
              <w:jc w:val="center"/>
              <w:ind w:left="548"/>
              <w:spacing w:after="0"/>
              <w:rPr>
                <w:sz w:val="20"/>
                <w:szCs w:val="20"/>
                <w:color w:val="auto"/>
              </w:rPr>
            </w:pPr>
            <w:r>
              <w:rPr>
                <w:rFonts w:ascii="Times New Roman" w:cs="Times New Roman" w:eastAsia="Times New Roman" w:hAnsi="Times New Roman"/>
                <w:sz w:val="13"/>
                <w:szCs w:val="13"/>
                <w:color w:val="auto"/>
                <w:w w:val="95"/>
              </w:rPr>
              <w:t>December 31,</w:t>
            </w: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940" w:type="dxa"/>
            <w:vAlign w:val="bottom"/>
            <w:gridSpan w:val="4"/>
          </w:tcPr>
          <w:p>
            <w:pPr>
              <w:jc w:val="right"/>
              <w:ind w:right="165"/>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63"/>
              <w:spacing w:after="0"/>
              <w:rPr>
                <w:sz w:val="20"/>
                <w:szCs w:val="20"/>
                <w:color w:val="auto"/>
              </w:rPr>
            </w:pPr>
            <w:r>
              <w:rPr>
                <w:rFonts w:ascii="Times New Roman" w:cs="Times New Roman" w:eastAsia="Times New Roman" w:hAnsi="Times New Roman"/>
                <w:sz w:val="13"/>
                <w:szCs w:val="13"/>
                <w:color w:val="auto"/>
                <w:w w:val="92"/>
              </w:rPr>
              <w:t>2023</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center"/>
              <w:ind w:right="83"/>
              <w:spacing w:after="0"/>
              <w:rPr>
                <w:sz w:val="20"/>
                <w:szCs w:val="20"/>
                <w:color w:val="auto"/>
              </w:rPr>
            </w:pPr>
            <w:r>
              <w:rPr>
                <w:rFonts w:ascii="Times New Roman" w:cs="Times New Roman" w:eastAsia="Times New Roman" w:hAnsi="Times New Roman"/>
                <w:sz w:val="13"/>
                <w:szCs w:val="13"/>
                <w:color w:val="auto"/>
                <w:w w:val="99"/>
              </w:rPr>
              <w:t>2022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780" w:type="dxa"/>
            <w:vAlign w:val="bottom"/>
          </w:tcPr>
          <w:p>
            <w:pPr>
              <w:spacing w:after="0"/>
              <w:rPr>
                <w:sz w:val="14"/>
                <w:szCs w:val="14"/>
                <w:color w:val="auto"/>
              </w:rPr>
            </w:pPr>
          </w:p>
        </w:tc>
        <w:tc>
          <w:tcPr>
            <w:tcW w:w="40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Current income tax expense</w:t>
            </w: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U.S. federal and state income tax expense</w:t>
            </w:r>
            <w:r>
              <w:rPr>
                <w:rFonts w:ascii="Times New Roman" w:cs="Times New Roman" w:eastAsia="Times New Roman" w:hAnsi="Times New Roman"/>
                <w:sz w:val="22"/>
                <w:szCs w:val="22"/>
                <w:color w:val="auto"/>
                <w:vertAlign w:val="superscript"/>
              </w:rPr>
              <w:t>(1)</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80" w:type="dxa"/>
            <w:vAlign w:val="bottom"/>
          </w:tcPr>
          <w:p>
            <w:pPr>
              <w:spacing w:after="0"/>
              <w:rPr>
                <w:sz w:val="16"/>
                <w:szCs w:val="16"/>
                <w:color w:val="auto"/>
              </w:rPr>
            </w:pP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400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Foreign income tax expense in various foreign tax</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jurisdictions</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00" w:type="dxa"/>
            <w:vAlign w:val="bottom"/>
          </w:tcPr>
          <w:p>
            <w:pPr>
              <w:spacing w:after="0" w:line="191" w:lineRule="exact"/>
              <w:rPr>
                <w:sz w:val="20"/>
                <w:szCs w:val="20"/>
                <w:color w:val="auto"/>
              </w:rPr>
            </w:pPr>
            <w:r>
              <w:rPr>
                <w:rFonts w:ascii="Times New Roman" w:cs="Times New Roman" w:eastAsia="Times New Roman" w:hAnsi="Times New Roman"/>
                <w:sz w:val="15"/>
                <w:szCs w:val="15"/>
                <w:color w:val="auto"/>
              </w:rPr>
              <w:t>U.S. federal and state income tax expense</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w w:val="99"/>
              </w:rPr>
              <w:t>— </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80" w:type="dxa"/>
            <w:vAlign w:val="bottom"/>
          </w:tcPr>
          <w:p>
            <w:pPr>
              <w:spacing w:after="0"/>
              <w:rPr>
                <w:sz w:val="15"/>
                <w:szCs w:val="15"/>
                <w:color w:val="auto"/>
              </w:rPr>
            </w:pPr>
          </w:p>
        </w:tc>
        <w:tc>
          <w:tcPr>
            <w:tcW w:w="400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Foreign income tax expense in various foreign tax</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jurisdictions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9"/>
        </w:trPr>
        <w:tc>
          <w:tcPr>
            <w:tcW w:w="780" w:type="dxa"/>
            <w:vAlign w:val="bottom"/>
          </w:tcPr>
          <w:p>
            <w:pPr>
              <w:spacing w:after="0"/>
              <w:rPr>
                <w:sz w:val="17"/>
                <w:szCs w:val="17"/>
                <w:color w:val="auto"/>
              </w:rPr>
            </w:pPr>
          </w:p>
        </w:tc>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deferred</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20" w:hanging="382"/>
        <w:spacing w:after="0" w:line="238" w:lineRule="auto"/>
        <w:tabs>
          <w:tab w:leader="none" w:pos="11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recognizes a GILTI charge at the C-Corporation level as a current period expense, and no charge is recognized at Medline Holdings, as the inclusion is passed through to its partners.</w:t>
      </w:r>
    </w:p>
    <w:p>
      <w:pPr>
        <w:spacing w:after="0" w:line="10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F-36</w:t>
      </w:r>
    </w:p>
    <w:p>
      <w:pPr>
        <w:sectPr>
          <w:pgSz w:w="11900" w:h="16838" w:orient="portrait"/>
          <w:cols w:equalWidth="0" w:num="1">
            <w:col w:w="10500"/>
          </w:cols>
          <w:pgMar w:left="320" w:top="420" w:right="107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Deferred Tax Assets and Liabilities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presents the components of deferred tax assets and liabilities:</w:t>
      </w:r>
    </w:p>
    <w:p>
      <w:pPr>
        <w:spacing w:after="0" w:line="202"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406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2024</w:t>
            </w:r>
          </w:p>
        </w:tc>
        <w:tc>
          <w:tcPr>
            <w:tcW w:w="8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2023</w:t>
            </w:r>
          </w:p>
        </w:tc>
        <w:tc>
          <w:tcPr>
            <w:tcW w:w="100" w:type="dxa"/>
            <w:vAlign w:val="bottom"/>
            <w:tcBorders>
              <w:bottom w:val="single" w:sz="8" w:color="CCEEFF"/>
            </w:tcBorders>
          </w:tcPr>
          <w:p>
            <w:pPr>
              <w:spacing w:after="0"/>
              <w:rPr>
                <w:sz w:val="13"/>
                <w:szCs w:val="13"/>
                <w:color w:val="auto"/>
              </w:rPr>
            </w:pPr>
          </w:p>
        </w:tc>
      </w:tr>
      <w:tr>
        <w:trPr>
          <w:trHeight w:val="172"/>
        </w:trPr>
        <w:tc>
          <w:tcPr>
            <w:tcW w:w="40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Deferred tax asset</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Pensions and other post-retirement benefits</w:t>
            </w:r>
          </w:p>
        </w:tc>
        <w:tc>
          <w:tcPr>
            <w:tcW w:w="11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13</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6"/>
                <w:szCs w:val="16"/>
                <w:color w:val="auto"/>
              </w:rPr>
            </w:pP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6"/>
                <w:szCs w:val="16"/>
                <w:color w:val="auto"/>
              </w:rPr>
            </w:pP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Valuation Allowances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96"/>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asset</w:t>
            </w:r>
          </w:p>
        </w:tc>
        <w:tc>
          <w:tcPr>
            <w:tcW w:w="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liability</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(37)</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w:t>
            </w: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Intangibles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w:t>
            </w:r>
          </w:p>
        </w:tc>
      </w:tr>
      <w:tr>
        <w:trPr>
          <w:trHeight w:val="192"/>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Others</w:t>
            </w: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 deferred tax liability</w:t>
            </w:r>
          </w:p>
        </w:tc>
        <w:tc>
          <w:tcPr>
            <w:tcW w:w="9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Pr>
          <w:p>
            <w:pPr>
              <w:spacing w:after="0"/>
              <w:rPr>
                <w:sz w:val="17"/>
                <w:szCs w:val="17"/>
                <w:color w:val="auto"/>
              </w:rPr>
            </w:pPr>
          </w:p>
        </w:tc>
      </w:tr>
      <w:tr>
        <w:trPr>
          <w:trHeight w:val="19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deferred tax liability</w:t>
            </w:r>
          </w:p>
        </w:tc>
        <w:tc>
          <w:tcPr>
            <w:tcW w:w="11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(195)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4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line="279" w:lineRule="auto"/>
        <w:rPr>
          <w:sz w:val="20"/>
          <w:szCs w:val="20"/>
          <w:color w:val="auto"/>
        </w:rPr>
      </w:pPr>
      <w:r>
        <w:rPr>
          <w:rFonts w:ascii="Times New Roman" w:cs="Times New Roman" w:eastAsia="Times New Roman" w:hAnsi="Times New Roman"/>
          <w:sz w:val="15"/>
          <w:szCs w:val="15"/>
          <w:color w:val="auto"/>
        </w:rPr>
        <w:t>As of December 31, 2024, the Company had foreign net operating loss (“NOL”) carryforwards of $9. Out of this $4 of the foreign NOL carryforwards will expire between 2027 and 2034, and $5 of the foreign NOL carryforwards have no expiration date. Realization of the foreign net operating loss carryforwards depends on generating sufficient future earnings. As of December 31, 2023, the Company had immaterial deferred tax assets on foreign NOL carryforward. The Company recognized an immaterial valuation allowance as of December 31, 2024 to reduce the deferred tax assets associated with net operating loss because the Company does not believe it is more likely than not that these assets will be fully realized prior to expiration.</w:t>
      </w:r>
    </w:p>
    <w:p>
      <w:pPr>
        <w:spacing w:after="0" w:line="14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The Company did not have any unrecognized tax benefits recorded on its balance sheet as of December 31, 2024 and December 31, 2023.</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Income Tax Expense Reconciliation:</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3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December 31, 2024</w:t>
            </w:r>
          </w:p>
        </w:tc>
        <w:tc>
          <w:tcPr>
            <w:tcW w:w="460" w:type="dxa"/>
            <w:vAlign w:val="bottom"/>
          </w:tcPr>
          <w:p>
            <w:pPr>
              <w:spacing w:after="0"/>
              <w:rPr>
                <w:sz w:val="13"/>
                <w:szCs w:val="13"/>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2023</w:t>
            </w:r>
          </w:p>
        </w:tc>
        <w:tc>
          <w:tcPr>
            <w:tcW w:w="11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2022</w:t>
            </w:r>
          </w:p>
        </w:tc>
      </w:tr>
      <w:tr>
        <w:trPr>
          <w:trHeight w:val="184"/>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at US statutory rate</w:t>
            </w: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9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Tax rate differential</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(211)</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940"/>
              <w:spacing w:after="0"/>
              <w:rPr>
                <w:sz w:val="20"/>
                <w:szCs w:val="20"/>
                <w:color w:val="auto"/>
              </w:rPr>
            </w:pPr>
            <w:r>
              <w:rPr>
                <w:rFonts w:ascii="Times New Roman" w:cs="Times New Roman" w:eastAsia="Times New Roman" w:hAnsi="Times New Roman"/>
                <w:sz w:val="16"/>
                <w:szCs w:val="16"/>
                <w:color w:val="auto"/>
              </w:rPr>
              <w:t>(42)</w:t>
            </w:r>
          </w:p>
        </w:tc>
        <w:tc>
          <w:tcPr>
            <w:tcW w:w="4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holidays</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9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GILTI and Subpart F</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28</w:t>
            </w:r>
          </w:p>
        </w:tc>
        <w:tc>
          <w:tcPr>
            <w:tcW w:w="4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r>
      <w:tr>
        <w:trPr>
          <w:trHeight w:val="19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credits</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(32)</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rPr>
              <w:t>(24)</w:t>
            </w:r>
          </w:p>
        </w:tc>
        <w:tc>
          <w:tcPr>
            <w:tcW w:w="4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r>
      <w:tr>
        <w:trPr>
          <w:trHeight w:val="19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State tax effect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7</w:t>
            </w:r>
          </w:p>
        </w:tc>
        <w:tc>
          <w:tcPr>
            <w:tcW w:w="4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w:t>
            </w:r>
          </w:p>
        </w:tc>
      </w:tr>
      <w:tr>
        <w:trPr>
          <w:trHeight w:val="19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NOL</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r>
      <w:tr>
        <w:trPr>
          <w:trHeight w:val="19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gridSpan w:val="2"/>
          </w:tcPr>
          <w:p>
            <w:pPr>
              <w:jc w:val="right"/>
              <w:ind w:right="980"/>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r>
      <w:tr>
        <w:trPr>
          <w:trHeight w:val="192"/>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196"/>
        </w:trPr>
        <w:tc>
          <w:tcPr>
            <w:tcW w:w="3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expense</w:t>
            </w: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98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460"/>
        <w:spacing w:after="0" w:line="281" w:lineRule="auto"/>
        <w:rPr>
          <w:sz w:val="20"/>
          <w:szCs w:val="20"/>
          <w:color w:val="auto"/>
        </w:rPr>
      </w:pPr>
      <w:r>
        <w:rPr>
          <w:rFonts w:ascii="Times New Roman" w:cs="Times New Roman" w:eastAsia="Times New Roman" w:hAnsi="Times New Roman"/>
          <w:sz w:val="16"/>
          <w:szCs w:val="16"/>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F-37</w:t>
      </w:r>
    </w:p>
    <w:p>
      <w:pPr>
        <w:sectPr>
          <w:pgSz w:w="11900" w:h="16838" w:orient="portrait"/>
          <w:cols w:equalWidth="0" w:num="1">
            <w:col w:w="10360"/>
          </w:cols>
          <w:pgMar w:left="320" w:top="420" w:right="121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Tax Holidays</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Examinations of Tax Returns</w:t>
      </w:r>
    </w:p>
    <w:p>
      <w:pPr>
        <w:spacing w:after="0" w:line="105" w:lineRule="exact"/>
        <w:rPr>
          <w:sz w:val="20"/>
          <w:szCs w:val="20"/>
          <w:color w:val="auto"/>
        </w:rPr>
      </w:pPr>
    </w:p>
    <w:p>
      <w:pPr>
        <w:ind w:left="740" w:right="180"/>
        <w:spacing w:after="0" w:line="260" w:lineRule="auto"/>
        <w:rPr>
          <w:sz w:val="20"/>
          <w:szCs w:val="20"/>
          <w:color w:val="auto"/>
        </w:rPr>
      </w:pPr>
      <w:r>
        <w:rPr>
          <w:rFonts w:ascii="Times New Roman" w:cs="Times New Roman" w:eastAsia="Times New Roman" w:hAnsi="Times New Roman"/>
          <w:sz w:val="16"/>
          <w:szCs w:val="16"/>
          <w:color w:val="auto"/>
        </w:rPr>
        <w:t>As of December 31, 2024, the Company had ongoing audits in the United States, Germany, Spain, and other jurisdictions. While the final outcome of these matters is inherently uncertain, the Company does not believe that any of these pose a material risk to the financial statements. During 2024, the Company closed audits in Spain and Germany, with no material adjustments to the financial statements. During 2023, the Company closed several United States state audits, as well as audits in Switzerland and Germany, with no material adjustments to the financial statements.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COMMITMENTS AND CONTINGENCIES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5" w:lineRule="exact"/>
        <w:rPr>
          <w:sz w:val="20"/>
          <w:szCs w:val="20"/>
          <w:color w:val="auto"/>
        </w:rPr>
      </w:pPr>
    </w:p>
    <w:p>
      <w:pPr>
        <w:ind w:left="740" w:right="380"/>
        <w:spacing w:after="0" w:line="283" w:lineRule="auto"/>
        <w:rPr>
          <w:sz w:val="20"/>
          <w:szCs w:val="20"/>
          <w:color w:val="auto"/>
        </w:rPr>
      </w:pPr>
      <w:r>
        <w:rPr>
          <w:rFonts w:ascii="Times New Roman" w:cs="Times New Roman" w:eastAsia="Times New Roman" w:hAnsi="Times New Roman"/>
          <w:sz w:val="15"/>
          <w:szCs w:val="15"/>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44"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In January 2019 and thereafter, the Company has been named as a defendant in mass tort litigation in Cook County, Illinois involving claims by approximately 380 plaintiffs that allege personal injuries associated with the Company’s EtO activities in Lake County, Illinois. Through settlement discussions with mediators, the Company has reached binding settlements with 7 plaintiffs, as well as a contingent settlement encompassing substantially all the remaining claimants. This contingent group settlement requires a neutral third party to allocate settlement funds among participating plaintiffs and, in turn, entitles individual claimants to appeal their allocation to such third party and, if they so choose, opt-out of the group settlement after such appeal. Likewise, the Company may opt-out of the contingent group settlement if a significant number of plaintiffs opt-out or do not qualify to participate in the settlement.</w:t>
      </w:r>
    </w:p>
    <w:p>
      <w:pPr>
        <w:spacing w:after="0" w:line="164" w:lineRule="exact"/>
        <w:rPr>
          <w:sz w:val="20"/>
          <w:szCs w:val="20"/>
          <w:color w:val="auto"/>
        </w:rPr>
      </w:pPr>
    </w:p>
    <w:p>
      <w:pPr>
        <w:ind w:left="740" w:right="60"/>
        <w:spacing w:after="0" w:line="253" w:lineRule="auto"/>
        <w:rPr>
          <w:sz w:val="20"/>
          <w:szCs w:val="20"/>
          <w:color w:val="auto"/>
        </w:rPr>
      </w:pPr>
      <w:r>
        <w:rPr>
          <w:rFonts w:ascii="Times New Roman" w:cs="Times New Roman" w:eastAsia="Times New Roman" w:hAnsi="Times New Roman"/>
          <w:sz w:val="16"/>
          <w:szCs w:val="16"/>
          <w:color w:val="auto"/>
        </w:rPr>
        <w:t>The Company accrued $176 in other operating expenses on the consolidated statements of comprehensive income, the gross amount among all settlements, for this litigation without discount in 2023. As of December 31, 2024, the outstanding liability decreased to $174. During the year ended December 31, 2023, the Company also reached agreements with the primary insurance carriers to recover $13, which is 100% of their limits and recorded in other operating expenses on the consolidated statements of comprehensive income. As of December 31, 2024, the Company carried a receivable of $10 related to these insurance recoveries and the company also deposited $47 in escrow account in accordance with the contingent group settlement. The Company is actively pursuing litigation with its excess insurance carriers related to their obligations to reimburse the Company for substantially all remaining settlement payments in connection with the lawsuit described above. The Company is confident in its position on this matter and will aggressively litigate to enforce its contractual rights. The Company has not recorded a receivable for expected recoveries of the remaining settlement payments as of December 31, 2024.</w:t>
      </w:r>
    </w:p>
    <w:p>
      <w:pPr>
        <w:spacing w:after="0" w:line="170" w:lineRule="exact"/>
        <w:rPr>
          <w:sz w:val="20"/>
          <w:szCs w:val="20"/>
          <w:color w:val="auto"/>
        </w:rPr>
      </w:pPr>
    </w:p>
    <w:p>
      <w:pPr>
        <w:ind w:left="740" w:right="140"/>
        <w:spacing w:after="0" w:line="281" w:lineRule="auto"/>
        <w:rPr>
          <w:sz w:val="20"/>
          <w:szCs w:val="20"/>
          <w:color w:val="auto"/>
        </w:rPr>
      </w:pPr>
      <w:r>
        <w:rPr>
          <w:rFonts w:ascii="Times New Roman" w:cs="Times New Roman" w:eastAsia="Times New Roman" w:hAnsi="Times New Roman"/>
          <w:sz w:val="16"/>
          <w:szCs w:val="16"/>
          <w:color w:val="auto"/>
        </w:rPr>
        <w:t>Based on current knowledge and the advice of legal counsel, management believes that the accrual as of December 31, 2024 for other pending matters considered probable of loss is sufficient. In addition, management</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F-38</w:t>
      </w:r>
    </w:p>
    <w:p>
      <w:pPr>
        <w:sectPr>
          <w:pgSz w:w="11900" w:h="16838" w:orient="portrait"/>
          <w:cols w:equalWidth="0" w:num="1">
            <w:col w:w="10480"/>
          </w:cols>
          <w:pgMar w:left="320" w:top="420" w:right="10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jc w:val="both"/>
        <w:ind w:left="740" w:right="300"/>
        <w:spacing w:after="0" w:line="260" w:lineRule="auto"/>
        <w:rPr>
          <w:sz w:val="20"/>
          <w:szCs w:val="20"/>
          <w:color w:val="auto"/>
        </w:rPr>
      </w:pPr>
      <w:r>
        <w:rPr>
          <w:rFonts w:ascii="Times New Roman" w:cs="Times New Roman" w:eastAsia="Times New Roman" w:hAnsi="Times New Roman"/>
          <w:sz w:val="16"/>
          <w:szCs w:val="16"/>
          <w:color w:val="auto"/>
        </w:rPr>
        <w:t>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Unconditional purchase obligations</w:t>
      </w:r>
    </w:p>
    <w:p>
      <w:pPr>
        <w:spacing w:after="0" w:line="10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$274, $212, and $227 for the years ended December 31, 2024, December 31, 2023, and December 31, 2022, respectively.</w:t>
      </w:r>
    </w:p>
    <w:p>
      <w:pPr>
        <w:spacing w:after="0" w:line="164" w:lineRule="exact"/>
        <w:rPr>
          <w:sz w:val="20"/>
          <w:szCs w:val="20"/>
          <w:color w:val="auto"/>
        </w:rPr>
      </w:pPr>
    </w:p>
    <w:tbl>
      <w:tblPr>
        <w:tblLayout w:type="fixed"/>
        <w:tblInd w:w="740" w:type="dxa"/>
        <w:tblCellMar>
          <w:top w:w="0" w:type="dxa"/>
          <w:left w:w="0" w:type="dxa"/>
          <w:bottom w:w="0" w:type="dxa"/>
          <w:right w:w="0" w:type="dxa"/>
        </w:tblCellMar>
      </w:tblPr>
      <w:tr>
        <w:trPr>
          <w:trHeight w:val="208"/>
        </w:trPr>
        <w:tc>
          <w:tcPr>
            <w:tcW w:w="7820" w:type="dxa"/>
            <w:vAlign w:val="bottom"/>
            <w:gridSpan w:val="2"/>
          </w:tcPr>
          <w:p>
            <w:pPr>
              <w:jc w:val="right"/>
              <w:ind w:right="2460"/>
              <w:spacing w:after="0"/>
              <w:rPr>
                <w:sz w:val="20"/>
                <w:szCs w:val="20"/>
                <w:color w:val="auto"/>
              </w:rPr>
            </w:pPr>
            <w:r>
              <w:rPr>
                <w:rFonts w:ascii="Times New Roman" w:cs="Times New Roman" w:eastAsia="Times New Roman" w:hAnsi="Times New Roman"/>
                <w:sz w:val="16"/>
                <w:szCs w:val="16"/>
                <w:color w:val="auto"/>
                <w:w w:val="99"/>
              </w:rPr>
              <w:t>As of December 31, 2024, future payments related to commitments are as follows: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56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60" w:type="dxa"/>
            <w:vAlign w:val="bottom"/>
            <w:vMerge w:val="continue"/>
          </w:tcPr>
          <w:p>
            <w:pPr>
              <w:spacing w:after="0"/>
              <w:rPr>
                <w:sz w:val="16"/>
                <w:szCs w:val="16"/>
                <w:color w:val="auto"/>
              </w:rPr>
            </w:pPr>
          </w:p>
        </w:tc>
        <w:tc>
          <w:tcPr>
            <w:tcW w:w="6260" w:type="dxa"/>
            <w:vAlign w:val="bottom"/>
            <w:shd w:val="clear" w:color="auto" w:fill="CCEEFF"/>
          </w:tcPr>
          <w:p>
            <w:pPr>
              <w:jc w:val="right"/>
              <w:ind w:right="5860"/>
              <w:spacing w:after="0"/>
              <w:rPr>
                <w:sz w:val="20"/>
                <w:szCs w:val="20"/>
                <w:color w:val="auto"/>
              </w:rPr>
            </w:pPr>
            <w:r>
              <w:rPr>
                <w:rFonts w:ascii="Times New Roman" w:cs="Times New Roman" w:eastAsia="Times New Roman" w:hAnsi="Times New Roman"/>
                <w:sz w:val="16"/>
                <w:szCs w:val="16"/>
                <w:color w:val="auto"/>
                <w:w w:val="93"/>
              </w:rPr>
              <w:t>2025</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$160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6260" w:type="dxa"/>
            <w:vAlign w:val="bottom"/>
          </w:tcPr>
          <w:p>
            <w:pPr>
              <w:jc w:val="right"/>
              <w:ind w:right="5860"/>
              <w:spacing w:after="0"/>
              <w:rPr>
                <w:sz w:val="20"/>
                <w:szCs w:val="20"/>
                <w:color w:val="auto"/>
              </w:rPr>
            </w:pPr>
            <w:r>
              <w:rPr>
                <w:rFonts w:ascii="Times New Roman" w:cs="Times New Roman" w:eastAsia="Times New Roman" w:hAnsi="Times New Roman"/>
                <w:sz w:val="16"/>
                <w:szCs w:val="16"/>
                <w:color w:val="auto"/>
                <w:w w:val="93"/>
              </w:rPr>
              <w:t>2026</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6260" w:type="dxa"/>
            <w:vAlign w:val="bottom"/>
            <w:shd w:val="clear" w:color="auto" w:fill="CCEEFF"/>
          </w:tcPr>
          <w:p>
            <w:pPr>
              <w:jc w:val="right"/>
              <w:ind w:right="5860"/>
              <w:spacing w:after="0"/>
              <w:rPr>
                <w:sz w:val="20"/>
                <w:szCs w:val="20"/>
                <w:color w:val="auto"/>
              </w:rPr>
            </w:pPr>
            <w:r>
              <w:rPr>
                <w:rFonts w:ascii="Times New Roman" w:cs="Times New Roman" w:eastAsia="Times New Roman" w:hAnsi="Times New Roman"/>
                <w:sz w:val="16"/>
                <w:szCs w:val="16"/>
                <w:color w:val="auto"/>
                <w:w w:val="93"/>
              </w:rPr>
              <w:t>2027</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6260" w:type="dxa"/>
            <w:vAlign w:val="bottom"/>
          </w:tcPr>
          <w:p>
            <w:pPr>
              <w:jc w:val="right"/>
              <w:ind w:right="5860"/>
              <w:spacing w:after="0"/>
              <w:rPr>
                <w:sz w:val="20"/>
                <w:szCs w:val="20"/>
                <w:color w:val="auto"/>
              </w:rPr>
            </w:pPr>
            <w:r>
              <w:rPr>
                <w:rFonts w:ascii="Times New Roman" w:cs="Times New Roman" w:eastAsia="Times New Roman" w:hAnsi="Times New Roman"/>
                <w:sz w:val="16"/>
                <w:szCs w:val="16"/>
                <w:color w:val="auto"/>
                <w:w w:val="93"/>
              </w:rPr>
              <w:t>2028</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60" w:type="dxa"/>
            <w:vAlign w:val="bottom"/>
          </w:tcPr>
          <w:p>
            <w:pPr>
              <w:spacing w:after="0"/>
              <w:rPr>
                <w:sz w:val="16"/>
                <w:szCs w:val="16"/>
                <w:color w:val="auto"/>
              </w:rPr>
            </w:pPr>
          </w:p>
        </w:tc>
        <w:tc>
          <w:tcPr>
            <w:tcW w:w="6260" w:type="dxa"/>
            <w:vAlign w:val="bottom"/>
            <w:shd w:val="clear" w:color="auto" w:fill="CCEEFF"/>
          </w:tcPr>
          <w:p>
            <w:pPr>
              <w:jc w:val="right"/>
              <w:ind w:right="5860"/>
              <w:spacing w:after="0"/>
              <w:rPr>
                <w:sz w:val="20"/>
                <w:szCs w:val="20"/>
                <w:color w:val="auto"/>
              </w:rPr>
            </w:pPr>
            <w:r>
              <w:rPr>
                <w:rFonts w:ascii="Times New Roman" w:cs="Times New Roman" w:eastAsia="Times New Roman" w:hAnsi="Times New Roman"/>
                <w:sz w:val="16"/>
                <w:szCs w:val="16"/>
                <w:color w:val="auto"/>
                <w:w w:val="93"/>
              </w:rPr>
              <w:t>2029</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3"/>
              </w:rPr>
              <w:t>$</w:t>
            </w:r>
            <w:r>
              <w:rPr>
                <w:rFonts w:ascii="Times New Roman" w:cs="Times New Roman" w:eastAsia="Times New Roman" w:hAnsi="Times New Roman"/>
                <w:sz w:val="16"/>
                <w:szCs w:val="16"/>
                <w:color w:val="auto"/>
                <w:w w:val="93"/>
              </w:rPr>
              <w:t>521</w:t>
            </w:r>
          </w:p>
        </w:tc>
        <w:tc>
          <w:tcPr>
            <w:tcW w:w="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13 — FAIR VALUE MEASUREMENTS</w:t>
      </w:r>
    </w:p>
    <w:p>
      <w:pPr>
        <w:spacing w:after="0" w:line="105" w:lineRule="exact"/>
        <w:rPr>
          <w:sz w:val="20"/>
          <w:szCs w:val="20"/>
          <w:color w:val="auto"/>
        </w:rPr>
      </w:pPr>
    </w:p>
    <w:p>
      <w:pPr>
        <w:ind w:left="740" w:right="480"/>
        <w:spacing w:after="0" w:line="281" w:lineRule="auto"/>
        <w:rPr>
          <w:sz w:val="20"/>
          <w:szCs w:val="20"/>
          <w:color w:val="auto"/>
        </w:rPr>
      </w:pPr>
      <w:r>
        <w:rPr>
          <w:rFonts w:ascii="Times New Roman" w:cs="Times New Roman" w:eastAsia="Times New Roman" w:hAnsi="Times New Roman"/>
          <w:sz w:val="16"/>
          <w:szCs w:val="16"/>
          <w:color w:val="auto"/>
        </w:rPr>
        <w:t>The following descriptions of the valuation methods and assumptions used by the Company to estimate the fair values of investments apply to all investments held directly by the Company:</w:t>
      </w:r>
    </w:p>
    <w:p>
      <w:pPr>
        <w:spacing w:after="0" w:line="144"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u w:val="single" w:color="auto"/>
          <w:color w:val="auto"/>
        </w:rPr>
        <w:t>Interest Rate Contracts</w:t>
      </w:r>
      <w:r>
        <w:rPr>
          <w:rFonts w:ascii="Times New Roman" w:cs="Times New Roman" w:eastAsia="Times New Roman" w:hAnsi="Times New Roman"/>
          <w:sz w:val="16"/>
          <w:szCs w:val="16"/>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61" w:lineRule="exact"/>
        <w:rPr>
          <w:sz w:val="20"/>
          <w:szCs w:val="20"/>
          <w:color w:val="auto"/>
        </w:rPr>
      </w:pPr>
    </w:p>
    <w:p>
      <w:pPr>
        <w:jc w:val="both"/>
        <w:ind w:left="740"/>
        <w:spacing w:after="0" w:line="291" w:lineRule="auto"/>
        <w:rPr>
          <w:sz w:val="20"/>
          <w:szCs w:val="20"/>
          <w:color w:val="auto"/>
        </w:rPr>
      </w:pPr>
      <w:r>
        <w:rPr>
          <w:rFonts w:ascii="Times New Roman" w:cs="Times New Roman" w:eastAsia="Times New Roman" w:hAnsi="Times New Roman"/>
          <w:sz w:val="15"/>
          <w:szCs w:val="15"/>
          <w:u w:val="single" w:color="auto"/>
          <w:color w:val="auto"/>
        </w:rPr>
        <w:t>Foreign Currency Forward Contract:</w:t>
      </w:r>
      <w:r>
        <w:rPr>
          <w:rFonts w:ascii="Times New Roman" w:cs="Times New Roman" w:eastAsia="Times New Roman" w:hAnsi="Times New Roman"/>
          <w:sz w:val="15"/>
          <w:szCs w:val="15"/>
          <w:color w:val="auto"/>
        </w:rPr>
        <w:t xml:space="preserve">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139" w:lineRule="exact"/>
        <w:rPr>
          <w:sz w:val="20"/>
          <w:szCs w:val="20"/>
          <w:color w:val="auto"/>
        </w:rPr>
      </w:pPr>
    </w:p>
    <w:p>
      <w:pPr>
        <w:ind w:left="740" w:right="260"/>
        <w:spacing w:after="0" w:line="257" w:lineRule="auto"/>
        <w:rPr>
          <w:sz w:val="20"/>
          <w:szCs w:val="20"/>
          <w:color w:val="auto"/>
        </w:rPr>
      </w:pPr>
      <w:r>
        <w:rPr>
          <w:rFonts w:ascii="Times New Roman" w:cs="Times New Roman" w:eastAsia="Times New Roman" w:hAnsi="Times New Roman"/>
          <w:sz w:val="16"/>
          <w:szCs w:val="16"/>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F-39</w:t>
      </w:r>
    </w:p>
    <w:p>
      <w:pPr>
        <w:sectPr>
          <w:pgSz w:w="11900" w:h="16838" w:orient="portrait"/>
          <w:cols w:equalWidth="0" w:num="1">
            <w:col w:w="10500"/>
          </w:cols>
          <w:pgMar w:left="320" w:top="420" w:right="107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400"/>
        <w:spacing w:after="0" w:line="281" w:lineRule="auto"/>
        <w:rPr>
          <w:sz w:val="20"/>
          <w:szCs w:val="20"/>
          <w:color w:val="auto"/>
        </w:rPr>
      </w:pPr>
      <w:r>
        <w:rPr>
          <w:rFonts w:ascii="Times New Roman" w:cs="Times New Roman" w:eastAsia="Times New Roman" w:hAnsi="Times New Roman"/>
          <w:sz w:val="16"/>
          <w:szCs w:val="16"/>
          <w:color w:val="auto"/>
        </w:rPr>
        <w:t>derivative contracts, which determination was based on the fair value of each individual contract, was not significant to the overall valuation. As a result, all of the derivatives held as of December 31, 2024 and December 31, 2023 were classified as Level 2 of the fair value hierarchy.</w:t>
      </w:r>
    </w:p>
    <w:p>
      <w:pPr>
        <w:spacing w:after="0" w:line="144"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See “Note 14 — Derivatives and Hedging Activities Risk Management” for additional information regarding interest rate contracts and foreign currency forward contract.</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Acquisition-Related Contingent Consideration:</w:t>
      </w:r>
    </w:p>
    <w:p>
      <w:pPr>
        <w:spacing w:after="0" w:line="105" w:lineRule="exact"/>
        <w:rPr>
          <w:sz w:val="20"/>
          <w:szCs w:val="20"/>
          <w:color w:val="auto"/>
        </w:rPr>
      </w:pPr>
    </w:p>
    <w:p>
      <w:pPr>
        <w:ind w:left="740" w:right="80"/>
        <w:spacing w:after="0" w:line="276" w:lineRule="auto"/>
        <w:rPr>
          <w:sz w:val="20"/>
          <w:szCs w:val="20"/>
          <w:color w:val="auto"/>
        </w:rPr>
      </w:pPr>
      <w:r>
        <w:rPr>
          <w:rFonts w:ascii="Times New Roman" w:cs="Times New Roman" w:eastAsia="Times New Roman" w:hAnsi="Times New Roman"/>
          <w:sz w:val="15"/>
          <w:szCs w:val="15"/>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and Equity Investment” for additional information regarding the acquisition.</w:t>
      </w:r>
    </w:p>
    <w:p>
      <w:pPr>
        <w:spacing w:after="0" w:line="1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 are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10"/>
          </w:tcPr>
          <w:p>
            <w:pPr>
              <w:ind w:left="560"/>
              <w:spacing w:after="0" w:line="124" w:lineRule="exact"/>
              <w:rPr>
                <w:sz w:val="20"/>
                <w:szCs w:val="20"/>
                <w:color w:val="auto"/>
              </w:rPr>
            </w:pPr>
            <w:r>
              <w:rPr>
                <w:rFonts w:ascii="Times New Roman" w:cs="Times New Roman" w:eastAsia="Times New Roman" w:hAnsi="Times New Roman"/>
                <w:sz w:val="13"/>
                <w:szCs w:val="13"/>
                <w:b w:val="1"/>
                <w:bCs w:val="1"/>
                <w:color w:val="auto"/>
              </w:rPr>
              <w:t>Basis of fair value measurement</w:t>
            </w: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100"/>
              <w:spacing w:after="0" w:line="102"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320" w:type="dxa"/>
            <w:vAlign w:val="bottom"/>
          </w:tcPr>
          <w:p>
            <w:pPr>
              <w:spacing w:after="0"/>
              <w:rPr>
                <w:sz w:val="8"/>
                <w:szCs w:val="8"/>
                <w:color w:val="auto"/>
              </w:rPr>
            </w:pPr>
          </w:p>
        </w:tc>
        <w:tc>
          <w:tcPr>
            <w:tcW w:w="110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Significant</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w w:val="96"/>
              </w:rPr>
              <w:t>in active markets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3"/>
                <w:szCs w:val="13"/>
                <w:b w:val="1"/>
                <w:bCs w:val="1"/>
                <w:color w:val="auto"/>
                <w:w w:val="97"/>
              </w:rPr>
              <w:t>for identical</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jc w:val="center"/>
              <w:ind w:right="320"/>
              <w:spacing w:after="0" w:line="132"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1420" w:type="dxa"/>
            <w:vAlign w:val="bottom"/>
            <w:gridSpan w:val="5"/>
          </w:tcPr>
          <w:p>
            <w:pPr>
              <w:jc w:val="center"/>
              <w:ind w:right="60"/>
              <w:spacing w:after="0" w:line="132" w:lineRule="exact"/>
              <w:rPr>
                <w:sz w:val="20"/>
                <w:szCs w:val="20"/>
                <w:color w:val="auto"/>
              </w:rPr>
            </w:pPr>
            <w:r>
              <w:rPr>
                <w:rFonts w:ascii="Times New Roman" w:cs="Times New Roman" w:eastAsia="Times New Roman" w:hAnsi="Times New Roman"/>
                <w:sz w:val="13"/>
                <w:szCs w:val="13"/>
                <w:b w:val="1"/>
                <w:bCs w:val="1"/>
                <w:color w:val="auto"/>
                <w:w w:val="96"/>
              </w:rPr>
              <w:t>unobservable</w:t>
            </w:r>
          </w:p>
        </w:tc>
        <w:tc>
          <w:tcPr>
            <w:tcW w:w="320" w:type="dxa"/>
            <w:vAlign w:val="bottom"/>
          </w:tcPr>
          <w:p>
            <w:pPr>
              <w:spacing w:after="0"/>
              <w:rPr>
                <w:sz w:val="11"/>
                <w:szCs w:val="11"/>
                <w:color w:val="auto"/>
              </w:rPr>
            </w:pPr>
          </w:p>
        </w:tc>
        <w:tc>
          <w:tcPr>
            <w:tcW w:w="6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4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48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32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320" w:type="dxa"/>
            <w:vAlign w:val="bottom"/>
          </w:tcPr>
          <w:p>
            <w:pPr>
              <w:spacing w:after="0"/>
              <w:rPr>
                <w:sz w:val="13"/>
                <w:szCs w:val="13"/>
                <w:color w:val="auto"/>
              </w:rPr>
            </w:pPr>
          </w:p>
        </w:tc>
        <w:tc>
          <w:tcPr>
            <w:tcW w:w="62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Financial assets</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lef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contracts (hedge)</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w w:val="91"/>
              </w:rPr>
              <w:t>127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83"/>
              </w:rPr>
              <w:t>— </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bottom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b w:val="1"/>
                <w:bCs w:val="1"/>
                <w:color w:val="auto"/>
                <w:w w:val="96"/>
              </w:rPr>
              <w:t>Financial liabilities</w:t>
            </w:r>
          </w:p>
        </w:tc>
        <w:tc>
          <w:tcPr>
            <w:tcW w:w="27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right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left w:val="single" w:sz="8" w:color="CCEEFF"/>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72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xml:space="preserve">—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tcPr>
          <w:p>
            <w:pPr>
              <w:jc w:val="center"/>
              <w:ind w:left="6"/>
              <w:spacing w:after="0"/>
              <w:rPr>
                <w:sz w:val="20"/>
                <w:szCs w:val="20"/>
                <w:color w:val="auto"/>
              </w:rPr>
            </w:pPr>
            <w:r>
              <w:rPr>
                <w:rFonts w:ascii="Times New Roman" w:cs="Times New Roman" w:eastAsia="Times New Roman" w:hAnsi="Times New Roman"/>
                <w:sz w:val="16"/>
                <w:szCs w:val="16"/>
                <w:color w:val="auto"/>
                <w:w w:val="97"/>
              </w:rPr>
              <w:t>(27)</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xml:space="preserve">—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center"/>
              <w:ind w:left="6"/>
              <w:spacing w:after="0"/>
              <w:rPr>
                <w:sz w:val="20"/>
                <w:szCs w:val="20"/>
                <w:color w:val="auto"/>
              </w:rPr>
            </w:pPr>
            <w:r>
              <w:rPr>
                <w:rFonts w:ascii="Times New Roman" w:cs="Times New Roman" w:eastAsia="Times New Roman" w:hAnsi="Times New Roman"/>
                <w:sz w:val="16"/>
                <w:szCs w:val="16"/>
                <w:color w:val="auto"/>
                <w:w w:val="97"/>
              </w:rPr>
              <w:t>(27)</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gridSpan w:val="10"/>
          </w:tcPr>
          <w:p>
            <w:pPr>
              <w:ind w:left="540"/>
              <w:spacing w:after="0" w:line="124" w:lineRule="exact"/>
              <w:rPr>
                <w:sz w:val="20"/>
                <w:szCs w:val="20"/>
                <w:color w:val="auto"/>
              </w:rPr>
            </w:pPr>
            <w:r>
              <w:rPr>
                <w:rFonts w:ascii="Times New Roman" w:cs="Times New Roman" w:eastAsia="Times New Roman" w:hAnsi="Times New Roman"/>
                <w:sz w:val="13"/>
                <w:szCs w:val="13"/>
                <w:b w:val="1"/>
                <w:bCs w:val="1"/>
                <w:color w:val="auto"/>
              </w:rPr>
              <w:t>Basis of fair value measurement</w:t>
            </w: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320" w:type="dxa"/>
            <w:vAlign w:val="bottom"/>
          </w:tcPr>
          <w:p>
            <w:pPr>
              <w:spacing w:after="0"/>
              <w:rPr>
                <w:sz w:val="8"/>
                <w:szCs w:val="8"/>
                <w:color w:val="auto"/>
              </w:rPr>
            </w:pPr>
          </w:p>
        </w:tc>
        <w:tc>
          <w:tcPr>
            <w:tcW w:w="11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20" w:type="dxa"/>
            <w:vAlign w:val="bottom"/>
            <w:gridSpan w:val="4"/>
          </w:tcPr>
          <w:p>
            <w:pPr>
              <w:jc w:val="center"/>
              <w:ind w:right="80"/>
              <w:spacing w:after="0" w:line="132" w:lineRule="exact"/>
              <w:rPr>
                <w:sz w:val="20"/>
                <w:szCs w:val="20"/>
                <w:color w:val="auto"/>
              </w:rPr>
            </w:pPr>
            <w:r>
              <w:rPr>
                <w:rFonts w:ascii="Times New Roman" w:cs="Times New Roman" w:eastAsia="Times New Roman" w:hAnsi="Times New Roman"/>
                <w:sz w:val="13"/>
                <w:szCs w:val="13"/>
                <w:b w:val="1"/>
                <w:bCs w:val="1"/>
                <w:color w:val="auto"/>
                <w:w w:val="98"/>
              </w:rPr>
              <w:t>in active markets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vMerge w:val="continue"/>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jc w:val="center"/>
              <w:ind w:right="1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for identical</w:t>
            </w:r>
          </w:p>
        </w:tc>
        <w:tc>
          <w:tcPr>
            <w:tcW w:w="620" w:type="dxa"/>
            <w:vAlign w:val="bottom"/>
          </w:tcPr>
          <w:p>
            <w:pPr>
              <w:spacing w:after="0"/>
              <w:rPr>
                <w:sz w:val="11"/>
                <w:szCs w:val="11"/>
                <w:color w:val="auto"/>
              </w:rPr>
            </w:pPr>
          </w:p>
        </w:tc>
        <w:tc>
          <w:tcPr>
            <w:tcW w:w="920" w:type="dxa"/>
            <w:vAlign w:val="bottom"/>
            <w:gridSpan w:val="4"/>
          </w:tcPr>
          <w:p>
            <w:pPr>
              <w:jc w:val="center"/>
              <w:ind w:right="340"/>
              <w:spacing w:after="0" w:line="132"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320" w:type="dxa"/>
            <w:vAlign w:val="bottom"/>
          </w:tcPr>
          <w:p>
            <w:pPr>
              <w:spacing w:after="0"/>
              <w:rPr>
                <w:sz w:val="11"/>
                <w:szCs w:val="11"/>
                <w:color w:val="auto"/>
              </w:rPr>
            </w:pPr>
          </w:p>
        </w:tc>
        <w:tc>
          <w:tcPr>
            <w:tcW w:w="1100" w:type="dxa"/>
            <w:vAlign w:val="bottom"/>
            <w:gridSpan w:val="4"/>
          </w:tcPr>
          <w:p>
            <w:pPr>
              <w:jc w:val="center"/>
              <w:ind w:right="280"/>
              <w:spacing w:after="0" w:line="13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320" w:type="dxa"/>
            <w:vAlign w:val="bottom"/>
          </w:tcPr>
          <w:p>
            <w:pPr>
              <w:spacing w:after="0"/>
              <w:rPr>
                <w:sz w:val="11"/>
                <w:szCs w:val="11"/>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60"/>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44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center"/>
              <w:ind w:right="4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32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Financial assets</w:t>
            </w: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right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lef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left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0" w:type="dxa"/>
            <w:vAlign w:val="bottom"/>
            <w:tcBorders>
              <w:left w:val="single" w:sz="8" w:color="CCEEFF"/>
            </w:tcBorders>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contracts (hedge)</w:t>
            </w:r>
          </w:p>
        </w:tc>
        <w:tc>
          <w:tcPr>
            <w:tcW w:w="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3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Interest rate contracts (undesignated)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40" w:type="dxa"/>
            <w:vAlign w:val="bottom"/>
            <w:gridSpan w:val="3"/>
            <w:shd w:val="clear" w:color="auto" w:fill="CCEEFF"/>
          </w:tcPr>
          <w:p>
            <w:pPr>
              <w:ind w:left="300"/>
              <w:spacing w:after="0" w:line="175" w:lineRule="exact"/>
              <w:rPr>
                <w:sz w:val="20"/>
                <w:szCs w:val="20"/>
                <w:color w:val="auto"/>
              </w:rPr>
            </w:pPr>
            <w:r>
              <w:rPr>
                <w:rFonts w:ascii="Times New Roman" w:cs="Times New Roman" w:eastAsia="Times New Roman" w:hAnsi="Times New Roman"/>
                <w:sz w:val="16"/>
                <w:szCs w:val="16"/>
                <w:color w:val="auto"/>
              </w:rPr>
              <w:t>Foreign currency forward contract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lef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(undesignated)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9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3"/>
              </w:rPr>
              <w:t>— </w:t>
            </w:r>
          </w:p>
        </w:tc>
        <w:tc>
          <w:tcPr>
            <w:tcW w:w="32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6"/>
        </w:trPr>
        <w:tc>
          <w:tcPr>
            <w:tcW w:w="40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1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gridSpan w:val="2"/>
          </w:tcPr>
          <w:p>
            <w:pPr>
              <w:jc w:val="center"/>
              <w:ind w:left="306"/>
              <w:spacing w:after="0"/>
              <w:rPr>
                <w:sz w:val="20"/>
                <w:szCs w:val="20"/>
                <w:color w:val="auto"/>
              </w:rPr>
            </w:pPr>
            <w:r>
              <w:rPr>
                <w:rFonts w:ascii="Times New Roman" w:cs="Times New Roman" w:eastAsia="Times New Roman" w:hAnsi="Times New Roman"/>
                <w:sz w:val="16"/>
                <w:szCs w:val="16"/>
                <w:color w:val="auto"/>
                <w:w w:val="83"/>
              </w:rPr>
              <w:t>— </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F-40</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80"/>
          </w:cols>
          <w:pgMar w:left="320" w:top="420" w:right="10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jc w:val="center"/>
              <w:ind w:left="8"/>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6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gridSpan w:val="7"/>
          </w:tcPr>
          <w:p>
            <w:pPr>
              <w:jc w:val="center"/>
              <w:ind w:left="156"/>
              <w:spacing w:after="0" w:line="124" w:lineRule="exact"/>
              <w:rPr>
                <w:sz w:val="20"/>
                <w:szCs w:val="20"/>
                <w:color w:val="auto"/>
              </w:rPr>
            </w:pPr>
            <w:r>
              <w:rPr>
                <w:rFonts w:ascii="Times New Roman" w:cs="Times New Roman" w:eastAsia="Times New Roman" w:hAnsi="Times New Roman"/>
                <w:sz w:val="13"/>
                <w:szCs w:val="13"/>
                <w:b w:val="1"/>
                <w:bCs w:val="1"/>
                <w:color w:val="auto"/>
                <w:w w:val="97"/>
              </w:rPr>
              <w:t>Basis of fair value measurement</w:t>
            </w:r>
          </w:p>
        </w:tc>
        <w:tc>
          <w:tcPr>
            <w:tcW w:w="6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jc w:val="center"/>
              <w:ind w:right="31"/>
              <w:spacing w:after="0" w:line="102" w:lineRule="exact"/>
              <w:rPr>
                <w:sz w:val="20"/>
                <w:szCs w:val="20"/>
                <w:color w:val="auto"/>
              </w:rPr>
            </w:pPr>
            <w:r>
              <w:rPr>
                <w:rFonts w:ascii="Times New Roman" w:cs="Times New Roman" w:eastAsia="Times New Roman" w:hAnsi="Times New Roman"/>
                <w:sz w:val="11"/>
                <w:szCs w:val="11"/>
                <w:b w:val="1"/>
                <w:bCs w:val="1"/>
                <w:color w:val="auto"/>
              </w:rPr>
              <w:t>Quoted prices</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320" w:type="dxa"/>
            <w:vAlign w:val="bottom"/>
          </w:tcPr>
          <w:p>
            <w:pPr>
              <w:spacing w:after="0"/>
              <w:rPr>
                <w:sz w:val="8"/>
                <w:szCs w:val="8"/>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Significant</w:t>
            </w: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60" w:type="dxa"/>
            <w:vAlign w:val="bottom"/>
            <w:gridSpan w:val="2"/>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auto"/>
                <w:w w:val="96"/>
              </w:rPr>
              <w:t>in active markets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11"/>
              <w:spacing w:after="0" w:line="132" w:lineRule="exact"/>
              <w:rPr>
                <w:sz w:val="20"/>
                <w:szCs w:val="20"/>
                <w:color w:val="auto"/>
              </w:rPr>
            </w:pPr>
            <w:r>
              <w:rPr>
                <w:rFonts w:ascii="Times New Roman" w:cs="Times New Roman" w:eastAsia="Times New Roman" w:hAnsi="Times New Roman"/>
                <w:sz w:val="13"/>
                <w:szCs w:val="13"/>
                <w:b w:val="1"/>
                <w:bCs w:val="1"/>
                <w:color w:val="auto"/>
                <w:w w:val="97"/>
              </w:rPr>
              <w:t>for identical</w:t>
            </w:r>
          </w:p>
        </w:tc>
        <w:tc>
          <w:tcPr>
            <w:tcW w:w="660" w:type="dxa"/>
            <w:vAlign w:val="bottom"/>
          </w:tcPr>
          <w:p>
            <w:pPr>
              <w:spacing w:after="0"/>
              <w:rPr>
                <w:sz w:val="11"/>
                <w:szCs w:val="11"/>
                <w:color w:val="auto"/>
              </w:rPr>
            </w:pPr>
          </w:p>
        </w:tc>
        <w:tc>
          <w:tcPr>
            <w:tcW w:w="1000" w:type="dxa"/>
            <w:vAlign w:val="bottom"/>
            <w:gridSpan w:val="3"/>
          </w:tcPr>
          <w:p>
            <w:pPr>
              <w:jc w:val="center"/>
              <w:ind w:right="380"/>
              <w:spacing w:after="0" w:line="132" w:lineRule="exact"/>
              <w:rPr>
                <w:sz w:val="20"/>
                <w:szCs w:val="20"/>
                <w:color w:val="auto"/>
              </w:rPr>
            </w:pPr>
            <w:r>
              <w:rPr>
                <w:rFonts w:ascii="Times New Roman" w:cs="Times New Roman" w:eastAsia="Times New Roman" w:hAnsi="Times New Roman"/>
                <w:sz w:val="13"/>
                <w:szCs w:val="13"/>
                <w:b w:val="1"/>
                <w:bCs w:val="1"/>
                <w:color w:val="auto"/>
                <w:w w:val="96"/>
              </w:rPr>
              <w:t>observable</w:t>
            </w:r>
          </w:p>
        </w:tc>
        <w:tc>
          <w:tcPr>
            <w:tcW w:w="1060" w:type="dxa"/>
            <w:vAlign w:val="bottom"/>
            <w:gridSpan w:val="3"/>
          </w:tcPr>
          <w:p>
            <w:pPr>
              <w:jc w:val="center"/>
              <w:ind w:left="248"/>
              <w:spacing w:after="0" w:line="132" w:lineRule="exact"/>
              <w:rPr>
                <w:sz w:val="20"/>
                <w:szCs w:val="20"/>
                <w:color w:val="auto"/>
              </w:rPr>
            </w:pPr>
            <w:r>
              <w:rPr>
                <w:rFonts w:ascii="Times New Roman" w:cs="Times New Roman" w:eastAsia="Times New Roman" w:hAnsi="Times New Roman"/>
                <w:sz w:val="13"/>
                <w:szCs w:val="13"/>
                <w:b w:val="1"/>
                <w:bCs w:val="1"/>
                <w:color w:val="auto"/>
                <w:w w:val="99"/>
              </w:rPr>
              <w:t>unobservable</w:t>
            </w:r>
          </w:p>
        </w:tc>
        <w:tc>
          <w:tcPr>
            <w:tcW w:w="660" w:type="dxa"/>
            <w:vAlign w:val="bottom"/>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1"/>
              <w:spacing w:after="0" w:line="132" w:lineRule="exact"/>
              <w:rPr>
                <w:sz w:val="20"/>
                <w:szCs w:val="20"/>
                <w:color w:val="auto"/>
              </w:rPr>
            </w:pPr>
            <w:r>
              <w:rPr>
                <w:rFonts w:ascii="Times New Roman" w:cs="Times New Roman" w:eastAsia="Times New Roman" w:hAnsi="Times New Roman"/>
                <w:sz w:val="13"/>
                <w:szCs w:val="13"/>
                <w:b w:val="1"/>
                <w:bCs w:val="1"/>
                <w:color w:val="auto"/>
              </w:rPr>
              <w:t>assets</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500"/>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27"/>
              <w:spacing w:after="0" w:line="132"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66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8"/>
              </w:rPr>
              <w:t>(Level 1)</w:t>
            </w:r>
          </w:p>
        </w:tc>
        <w:tc>
          <w:tcPr>
            <w:tcW w:w="660" w:type="dxa"/>
            <w:vAlign w:val="bottom"/>
          </w:tcPr>
          <w:p>
            <w:pPr>
              <w:spacing w:after="0"/>
              <w:rPr>
                <w:sz w:val="13"/>
                <w:szCs w:val="13"/>
                <w:color w:val="auto"/>
              </w:rPr>
            </w:pPr>
          </w:p>
        </w:tc>
        <w:tc>
          <w:tcPr>
            <w:tcW w:w="100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4"/>
              </w:rPr>
              <w:t>value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280" w:type="dxa"/>
            <w:vAlign w:val="bottom"/>
            <w:tcBorders>
              <w:top w:val="single" w:sz="8" w:color="CCEEFF"/>
              <w:bottom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Financial liabilities</w:t>
            </w:r>
          </w:p>
        </w:tc>
        <w:tc>
          <w:tcPr>
            <w:tcW w:w="27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86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CCEEFF"/>
            </w:tcBorders>
            <w:shd w:val="clear" w:color="auto" w:fill="CCEEFF"/>
          </w:tcPr>
          <w:p>
            <w:pPr>
              <w:spacing w:after="0"/>
              <w:rPr>
                <w:sz w:val="13"/>
                <w:szCs w:val="13"/>
                <w:color w:val="auto"/>
              </w:rPr>
            </w:pPr>
          </w:p>
        </w:tc>
        <w:tc>
          <w:tcPr>
            <w:tcW w:w="480" w:type="dxa"/>
            <w:vAlign w:val="bottom"/>
            <w:tcBorders>
              <w:top w:val="single" w:sz="8" w:color="auto"/>
              <w:bottom w:val="single" w:sz="8" w:color="CCEEFF"/>
            </w:tcBorders>
            <w:shd w:val="clear" w:color="auto" w:fill="CCEEFF"/>
          </w:tcPr>
          <w:p>
            <w:pPr>
              <w:spacing w:after="0"/>
              <w:rPr>
                <w:sz w:val="13"/>
                <w:szCs w:val="13"/>
                <w:color w:val="auto"/>
              </w:rPr>
            </w:pPr>
          </w:p>
        </w:tc>
        <w:tc>
          <w:tcPr>
            <w:tcW w:w="40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640" w:type="dxa"/>
            <w:vAlign w:val="bottom"/>
            <w:tcBorders>
              <w:top w:val="single" w:sz="8" w:color="auto"/>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contracts (hedge)</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Interest rate contracts (undesignated)</w:t>
            </w:r>
          </w:p>
        </w:tc>
        <w:tc>
          <w:tcPr>
            <w:tcW w:w="10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7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20"/>
        <w:spacing w:after="0" w:line="260" w:lineRule="auto"/>
        <w:rPr>
          <w:sz w:val="20"/>
          <w:szCs w:val="20"/>
          <w:color w:val="auto"/>
        </w:rPr>
      </w:pPr>
      <w:r>
        <w:rPr>
          <w:rFonts w:ascii="Times New Roman" w:cs="Times New Roman" w:eastAsia="Times New Roman" w:hAnsi="Times New Roman"/>
          <w:sz w:val="16"/>
          <w:szCs w:val="16"/>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255" w:lineRule="exact"/>
        <w:rPr>
          <w:sz w:val="20"/>
          <w:szCs w:val="20"/>
          <w:color w:val="auto"/>
        </w:rPr>
      </w:pPr>
    </w:p>
    <w:p>
      <w:pPr>
        <w:ind w:left="740" w:right="3940"/>
        <w:spacing w:after="0" w:line="376" w:lineRule="auto"/>
        <w:rPr>
          <w:sz w:val="20"/>
          <w:szCs w:val="20"/>
          <w:color w:val="auto"/>
        </w:rPr>
      </w:pPr>
      <w:r>
        <w:rPr>
          <w:rFonts w:ascii="Times New Roman" w:cs="Times New Roman" w:eastAsia="Times New Roman" w:hAnsi="Times New Roman"/>
          <w:sz w:val="16"/>
          <w:szCs w:val="16"/>
          <w:b w:val="1"/>
          <w:bCs w:val="1"/>
          <w:color w:val="auto"/>
        </w:rPr>
        <w:t>NOTE 14 — DERIVATIVES AND HEDGING ACTIVITIES RISK MANAGEMENT Risk Management Objective of Using Derivatives</w:t>
      </w:r>
    </w:p>
    <w:p>
      <w:pPr>
        <w:ind w:left="740"/>
        <w:spacing w:after="0" w:line="254" w:lineRule="auto"/>
        <w:rPr>
          <w:sz w:val="20"/>
          <w:szCs w:val="20"/>
          <w:color w:val="auto"/>
        </w:rPr>
      </w:pPr>
      <w:r>
        <w:rPr>
          <w:rFonts w:ascii="Times New Roman" w:cs="Times New Roman" w:eastAsia="Times New Roman" w:hAnsi="Times New Roman"/>
          <w:sz w:val="16"/>
          <w:szCs w:val="16"/>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Cash Flow Hedges of Interest Rate Risk</w:t>
      </w:r>
    </w:p>
    <w:p>
      <w:pPr>
        <w:spacing w:after="0" w:line="105" w:lineRule="exact"/>
        <w:rPr>
          <w:sz w:val="20"/>
          <w:szCs w:val="20"/>
          <w:color w:val="auto"/>
        </w:rPr>
      </w:pPr>
    </w:p>
    <w:p>
      <w:pPr>
        <w:ind w:left="740" w:right="60"/>
        <w:spacing w:after="0" w:line="255" w:lineRule="auto"/>
        <w:rPr>
          <w:sz w:val="20"/>
          <w:szCs w:val="20"/>
          <w:color w:val="auto"/>
        </w:rPr>
      </w:pPr>
      <w:r>
        <w:rPr>
          <w:rFonts w:ascii="Times New Roman" w:cs="Times New Roman" w:eastAsia="Times New Roman" w:hAnsi="Times New Roman"/>
          <w:sz w:val="16"/>
          <w:szCs w:val="16"/>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fiscal years 2024, 2023 and 2022, such derivatives were used to hedge the variable cash flows associated with existing variable-rate debt.</w:t>
      </w:r>
    </w:p>
    <w:p>
      <w:pPr>
        <w:spacing w:after="0" w:line="164" w:lineRule="exact"/>
        <w:rPr>
          <w:sz w:val="20"/>
          <w:szCs w:val="20"/>
          <w:color w:val="auto"/>
        </w:rPr>
      </w:pPr>
    </w:p>
    <w:p>
      <w:pPr>
        <w:jc w:val="both"/>
        <w:ind w:left="740" w:right="140"/>
        <w:spacing w:after="0" w:line="265" w:lineRule="auto"/>
        <w:rPr>
          <w:sz w:val="20"/>
          <w:szCs w:val="20"/>
          <w:color w:val="auto"/>
        </w:rPr>
      </w:pPr>
      <w:r>
        <w:rPr>
          <w:rFonts w:ascii="Times New Roman" w:cs="Times New Roman" w:eastAsia="Times New Roman" w:hAnsi="Times New Roman"/>
          <w:sz w:val="16"/>
          <w:szCs w:val="16"/>
          <w:color w:val="auto"/>
        </w:rPr>
        <w:t>Amounts reported in accumulated other comprehensive income (loss) related to derivatives will be reclassified to interest expense as interest payments are made on the Company’s variable-rate debt. The Company estimates that $77 will be reclassified as a decrease to interest expense in one year after December 31, 2024.</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F-41</w:t>
      </w:r>
    </w:p>
    <w:p>
      <w:pPr>
        <w:sectPr>
          <w:pgSz w:w="11900" w:h="16838" w:orient="portrait"/>
          <w:cols w:equalWidth="0" w:num="1">
            <w:col w:w="10500"/>
          </w:cols>
          <w:pgMar w:left="320" w:top="420" w:right="107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Foreign Currency Derivative</w:t>
      </w:r>
    </w:p>
    <w:p>
      <w:pPr>
        <w:spacing w:after="0" w:line="105"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color w:val="auto"/>
        </w:rPr>
        <w:t>The Company’s objectives in using foreign currency derivatives are to lock in a fixed foreign currency exchange rate for the cash payment related to the acquisition of Sinclair Dental and the cash proceeds of long term borrowings denominated in foreign currency and, therefore, limit its exposure to foreign currency exchange rate risks. To accomplish these objectives, the Company primarily uses foreign exchange forward contracts to carry out its exchange rate risk management strategy.</w:t>
      </w:r>
    </w:p>
    <w:p>
      <w:pPr>
        <w:spacing w:after="0" w:line="161" w:lineRule="exact"/>
        <w:rPr>
          <w:sz w:val="20"/>
          <w:szCs w:val="20"/>
          <w:color w:val="auto"/>
        </w:rPr>
      </w:pPr>
    </w:p>
    <w:p>
      <w:pPr>
        <w:ind w:left="740" w:right="20"/>
        <w:spacing w:after="0" w:line="279" w:lineRule="auto"/>
        <w:rPr>
          <w:sz w:val="20"/>
          <w:szCs w:val="20"/>
          <w:color w:val="auto"/>
        </w:rPr>
      </w:pPr>
      <w:r>
        <w:rPr>
          <w:rFonts w:ascii="Times New Roman" w:cs="Times New Roman" w:eastAsia="Times New Roman" w:hAnsi="Times New Roman"/>
          <w:sz w:val="15"/>
          <w:szCs w:val="15"/>
          <w:color w:val="auto"/>
        </w:rPr>
        <w:t>The Company acquired Sinclair Dental in February 2024. See “Note 2 — Acquisitions and Equity Investment” for details. In order to lock in the foreign currency exchange rate for the cash payment for the acquisition of Sinclair Dental, the Company entered into a foreign exchange forward contract in December 2023, which entitled the Company to receive a fixed amount of Canadian dollars from a counterparty in exchange for a fixed amount of US dollars upon settlement in January 2024. The forward contract was not designated as hedge and was adjusted to current market value at the end of each reporting period before maturity with gains and losses recorded in other (expense) income, net. The contract matured and was settled in January 2024.</w:t>
      </w:r>
    </w:p>
    <w:p>
      <w:pPr>
        <w:spacing w:after="0" w:line="147" w:lineRule="exact"/>
        <w:rPr>
          <w:sz w:val="20"/>
          <w:szCs w:val="20"/>
          <w:color w:val="auto"/>
        </w:rPr>
      </w:pPr>
    </w:p>
    <w:p>
      <w:pPr>
        <w:ind w:left="740" w:right="100"/>
        <w:spacing w:after="0" w:line="279" w:lineRule="auto"/>
        <w:rPr>
          <w:sz w:val="20"/>
          <w:szCs w:val="20"/>
          <w:color w:val="auto"/>
        </w:rPr>
      </w:pPr>
      <w:r>
        <w:rPr>
          <w:rFonts w:ascii="Times New Roman" w:cs="Times New Roman" w:eastAsia="Times New Roman" w:hAnsi="Times New Roman"/>
          <w:sz w:val="15"/>
          <w:szCs w:val="15"/>
          <w:color w:val="auto"/>
        </w:rPr>
        <w:t>The Company raised additional borrowings from the Euro Incremental Term Loans in July 2024. See “Note 7 — Credit Agreements and Borrowings” for details. In order to lock in the foreign currency exchange rate for the cash receipt from the Euro Incremental Term Loans, the Company entered into a foreign exchange forward contract in June 2024, which entitled the Company to receive a fixed amount of US dollars in exchange for a fixed amount of euros upon settlement in July 2024. The forward contract was not designated as hedge and was adjusted to current market value at the end of each reporting period before maturity with gains and losses recorded in other (expense) income, net. The contract matured and was settled in July 2024.</w:t>
      </w:r>
    </w:p>
    <w:p>
      <w:pPr>
        <w:spacing w:after="0" w:line="14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notional amounts of outstanding interest rate derivatives and foreign currency derivative are summarized as follows:</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680" w:type="dxa"/>
            <w:vAlign w:val="bottom"/>
          </w:tcPr>
          <w:p>
            <w:pPr>
              <w:spacing w:after="0"/>
              <w:rPr>
                <w:sz w:val="13"/>
                <w:szCs w:val="13"/>
                <w:color w:val="auto"/>
              </w:rPr>
            </w:pP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auto"/>
              </w:rPr>
              <w:t>Currency</w:t>
            </w:r>
          </w:p>
        </w:tc>
        <w:tc>
          <w:tcPr>
            <w:tcW w:w="860" w:type="dxa"/>
            <w:vAlign w:val="bottom"/>
          </w:tcPr>
          <w:p>
            <w:pPr>
              <w:spacing w:after="0"/>
              <w:rPr>
                <w:sz w:val="13"/>
                <w:szCs w:val="13"/>
                <w:color w:val="auto"/>
              </w:rPr>
            </w:pPr>
          </w:p>
        </w:tc>
        <w:tc>
          <w:tcPr>
            <w:tcW w:w="2240" w:type="dxa"/>
            <w:vAlign w:val="bottom"/>
            <w:gridSpan w:val="2"/>
          </w:tcPr>
          <w:p>
            <w:pPr>
              <w:jc w:val="right"/>
              <w:ind w:right="120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880" w:type="dxa"/>
            <w:vAlign w:val="bottom"/>
          </w:tcPr>
          <w:p>
            <w:pPr>
              <w:spacing w:after="0"/>
              <w:rPr>
                <w:sz w:val="13"/>
                <w:szCs w:val="13"/>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0" w:type="dxa"/>
            <w:vAlign w:val="bottom"/>
          </w:tcPr>
          <w:p>
            <w:pPr>
              <w:spacing w:after="0"/>
              <w:rPr>
                <w:sz w:val="1"/>
                <w:szCs w:val="1"/>
                <w:color w:val="auto"/>
              </w:rPr>
            </w:pPr>
          </w:p>
        </w:tc>
      </w:tr>
      <w:tr>
        <w:trPr>
          <w:trHeight w:val="124"/>
        </w:trPr>
        <w:tc>
          <w:tcPr>
            <w:tcW w:w="268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3"/>
                <w:szCs w:val="13"/>
                <w:color w:val="auto"/>
                <w:w w:val="95"/>
              </w:rPr>
              <w:t>Notional amount</w:t>
            </w:r>
          </w:p>
        </w:tc>
        <w:tc>
          <w:tcPr>
            <w:tcW w:w="1900" w:type="dxa"/>
            <w:vAlign w:val="bottom"/>
            <w:tcBorders>
              <w:top w:val="single" w:sz="8" w:color="auto"/>
            </w:tcBorders>
          </w:tcPr>
          <w:p>
            <w:pPr>
              <w:jc w:val="right"/>
              <w:ind w:right="366"/>
              <w:spacing w:after="0" w:line="124" w:lineRule="exact"/>
              <w:rPr>
                <w:sz w:val="20"/>
                <w:szCs w:val="20"/>
                <w:color w:val="auto"/>
              </w:rPr>
            </w:pPr>
            <w:r>
              <w:rPr>
                <w:rFonts w:ascii="Times New Roman" w:cs="Times New Roman" w:eastAsia="Times New Roman" w:hAnsi="Times New Roman"/>
                <w:sz w:val="13"/>
                <w:szCs w:val="13"/>
                <w:color w:val="auto"/>
              </w:rPr>
              <w:t>Maturity date</w:t>
            </w:r>
          </w:p>
        </w:tc>
        <w:tc>
          <w:tcPr>
            <w:tcW w:w="340" w:type="dxa"/>
            <w:vAlign w:val="bottom"/>
          </w:tcPr>
          <w:p>
            <w:pPr>
              <w:spacing w:after="0"/>
              <w:rPr>
                <w:sz w:val="10"/>
                <w:szCs w:val="10"/>
                <w:color w:val="auto"/>
              </w:rPr>
            </w:pPr>
          </w:p>
        </w:tc>
        <w:tc>
          <w:tcPr>
            <w:tcW w:w="88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3"/>
                <w:szCs w:val="13"/>
                <w:color w:val="auto"/>
                <w:w w:val="97"/>
              </w:rPr>
              <w:t>Notional amount</w:t>
            </w:r>
          </w:p>
        </w:tc>
        <w:tc>
          <w:tcPr>
            <w:tcW w:w="1900" w:type="dxa"/>
            <w:vAlign w:val="bottom"/>
            <w:tcBorders>
              <w:top w:val="single" w:sz="8" w:color="auto"/>
            </w:tcBorders>
          </w:tcPr>
          <w:p>
            <w:pPr>
              <w:ind w:left="760"/>
              <w:spacing w:after="0" w:line="124" w:lineRule="exact"/>
              <w:rPr>
                <w:sz w:val="20"/>
                <w:szCs w:val="20"/>
                <w:color w:val="auto"/>
              </w:rPr>
            </w:pPr>
            <w:r>
              <w:rPr>
                <w:rFonts w:ascii="Times New Roman" w:cs="Times New Roman" w:eastAsia="Times New Roman" w:hAnsi="Times New Roman"/>
                <w:sz w:val="13"/>
                <w:szCs w:val="13"/>
                <w:color w:val="auto"/>
              </w:rPr>
              <w:t>Maturity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Designated cash flow hedges</w:t>
            </w:r>
          </w:p>
        </w:tc>
        <w:tc>
          <w:tcPr>
            <w:tcW w:w="1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USD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2,950</w:t>
            </w:r>
          </w:p>
        </w:tc>
        <w:tc>
          <w:tcPr>
            <w:tcW w:w="22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Nov. 2025 to Dec. 2026</w:t>
            </w:r>
          </w:p>
        </w:tc>
        <w:tc>
          <w:tcPr>
            <w:tcW w:w="8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auto"/>
                <w:w w:val="99"/>
              </w:rPr>
              <w:t>3,450</w:t>
            </w:r>
          </w:p>
        </w:tc>
        <w:tc>
          <w:tcPr>
            <w:tcW w:w="1940" w:type="dxa"/>
            <w:vAlign w:val="bottom"/>
            <w:gridSpan w:val="2"/>
          </w:tcPr>
          <w:p>
            <w:pPr>
              <w:jc w:val="center"/>
              <w:ind w:left="266"/>
              <w:spacing w:after="0"/>
              <w:rPr>
                <w:sz w:val="20"/>
                <w:szCs w:val="20"/>
                <w:color w:val="auto"/>
              </w:rPr>
            </w:pPr>
            <w:r>
              <w:rPr>
                <w:rFonts w:ascii="Times New Roman" w:cs="Times New Roman" w:eastAsia="Times New Roman" w:hAnsi="Times New Roman"/>
                <w:sz w:val="16"/>
                <w:szCs w:val="16"/>
                <w:color w:val="auto"/>
                <w:w w:val="98"/>
              </w:rPr>
              <w:t>Nov. 2025 to Dec. 2026</w:t>
            </w: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Dec. 2025 to Dec. 2026</w:t>
            </w:r>
          </w:p>
        </w:tc>
        <w:tc>
          <w:tcPr>
            <w:tcW w:w="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3,741</w:t>
            </w:r>
          </w:p>
        </w:tc>
        <w:tc>
          <w:tcPr>
            <w:tcW w:w="1940" w:type="dxa"/>
            <w:vAlign w:val="bottom"/>
            <w:gridSpan w:val="2"/>
            <w:shd w:val="clear" w:color="auto" w:fill="CCEEFF"/>
          </w:tcPr>
          <w:p>
            <w:pPr>
              <w:jc w:val="center"/>
              <w:ind w:left="266"/>
              <w:spacing w:after="0"/>
              <w:rPr>
                <w:sz w:val="20"/>
                <w:szCs w:val="20"/>
                <w:color w:val="auto"/>
              </w:rPr>
            </w:pPr>
            <w:r>
              <w:rPr>
                <w:rFonts w:ascii="Times New Roman" w:cs="Times New Roman" w:eastAsia="Times New Roman" w:hAnsi="Times New Roman"/>
                <w:sz w:val="16"/>
                <w:szCs w:val="16"/>
                <w:color w:val="auto"/>
                <w:w w:val="98"/>
              </w:rPr>
              <w:t>Nov. 2025 to Dec. 2026</w:t>
            </w:r>
          </w:p>
        </w:tc>
        <w:tc>
          <w:tcPr>
            <w:tcW w:w="0" w:type="dxa"/>
            <w:vAlign w:val="bottom"/>
          </w:tcPr>
          <w:p>
            <w:pPr>
              <w:spacing w:after="0"/>
              <w:rPr>
                <w:sz w:val="1"/>
                <w:szCs w:val="1"/>
                <w:color w:val="auto"/>
              </w:rPr>
            </w:pPr>
          </w:p>
        </w:tc>
      </w:tr>
      <w:tr>
        <w:trPr>
          <w:trHeight w:val="192"/>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Undesignated derivative instruments</w:t>
            </w: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USD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9"/>
              </w:rPr>
              <w:t>2,965</w:t>
            </w:r>
          </w:p>
        </w:tc>
        <w:tc>
          <w:tcPr>
            <w:tcW w:w="1940" w:type="dxa"/>
            <w:vAlign w:val="bottom"/>
            <w:gridSpan w:val="2"/>
            <w:shd w:val="clear" w:color="auto" w:fill="CCEEFF"/>
          </w:tcPr>
          <w:p>
            <w:pPr>
              <w:jc w:val="center"/>
              <w:ind w:left="246"/>
              <w:spacing w:after="0"/>
              <w:rPr>
                <w:sz w:val="20"/>
                <w:szCs w:val="20"/>
                <w:color w:val="auto"/>
              </w:rPr>
            </w:pPr>
            <w:r>
              <w:rPr>
                <w:rFonts w:ascii="Times New Roman" w:cs="Times New Roman" w:eastAsia="Times New Roman" w:hAnsi="Times New Roman"/>
                <w:sz w:val="16"/>
                <w:szCs w:val="16"/>
                <w:color w:val="auto"/>
                <w:w w:val="97"/>
              </w:rPr>
              <w:t>Nov. 2025</w:t>
            </w:r>
          </w:p>
        </w:tc>
        <w:tc>
          <w:tcPr>
            <w:tcW w:w="0" w:type="dxa"/>
            <w:vAlign w:val="bottom"/>
          </w:tcPr>
          <w:p>
            <w:pPr>
              <w:spacing w:after="0"/>
              <w:rPr>
                <w:sz w:val="1"/>
                <w:szCs w:val="1"/>
                <w:color w:val="auto"/>
              </w:rPr>
            </w:pPr>
          </w:p>
        </w:tc>
      </w:tr>
      <w:tr>
        <w:trPr>
          <w:trHeight w:val="208"/>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11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CAD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center"/>
              <w:ind w:left="3"/>
              <w:spacing w:after="0"/>
              <w:rPr>
                <w:sz w:val="20"/>
                <w:szCs w:val="20"/>
                <w:color w:val="auto"/>
              </w:rPr>
            </w:pPr>
            <w:r>
              <w:rPr>
                <w:rFonts w:ascii="Times New Roman" w:cs="Times New Roman" w:eastAsia="Times New Roman" w:hAnsi="Times New Roman"/>
                <w:sz w:val="16"/>
                <w:szCs w:val="16"/>
                <w:color w:val="auto"/>
                <w:w w:val="99"/>
              </w:rPr>
              <w:t>215</w:t>
            </w:r>
          </w:p>
        </w:tc>
        <w:tc>
          <w:tcPr>
            <w:tcW w:w="1940" w:type="dxa"/>
            <w:vAlign w:val="bottom"/>
            <w:gridSpan w:val="2"/>
          </w:tcPr>
          <w:p>
            <w:pPr>
              <w:jc w:val="center"/>
              <w:ind w:left="246"/>
              <w:spacing w:after="0"/>
              <w:rPr>
                <w:sz w:val="20"/>
                <w:szCs w:val="20"/>
                <w:color w:val="auto"/>
              </w:rPr>
            </w:pPr>
            <w:r>
              <w:rPr>
                <w:rFonts w:ascii="Times New Roman" w:cs="Times New Roman" w:eastAsia="Times New Roman" w:hAnsi="Times New Roman"/>
                <w:sz w:val="16"/>
                <w:szCs w:val="16"/>
                <w:color w:val="auto"/>
              </w:rPr>
              <w:t>Jan. 2024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740" w:right="80"/>
        <w:spacing w:after="0" w:line="257" w:lineRule="auto"/>
        <w:rPr>
          <w:sz w:val="20"/>
          <w:szCs w:val="20"/>
          <w:color w:val="auto"/>
        </w:rPr>
      </w:pPr>
      <w:r>
        <w:rPr>
          <w:rFonts w:ascii="Times New Roman" w:cs="Times New Roman" w:eastAsia="Times New Roman" w:hAnsi="Times New Roman"/>
          <w:sz w:val="16"/>
          <w:szCs w:val="16"/>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F-42</w:t>
      </w:r>
    </w:p>
    <w:p>
      <w:pPr>
        <w:sectPr>
          <w:pgSz w:w="11900" w:h="16838" w:orient="portrait"/>
          <w:cols w:equalWidth="0" w:num="1">
            <w:col w:w="10500"/>
          </w:cols>
          <w:pgMar w:left="320" w:top="420" w:right="10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140"/>
        <w:spacing w:after="0" w:line="265" w:lineRule="auto"/>
        <w:rPr>
          <w:sz w:val="20"/>
          <w:szCs w:val="20"/>
          <w:color w:val="auto"/>
        </w:rPr>
      </w:pPr>
      <w:r>
        <w:rPr>
          <w:rFonts w:ascii="Times New Roman" w:cs="Times New Roman" w:eastAsia="Times New Roman" w:hAnsi="Times New Roman"/>
          <w:sz w:val="16"/>
          <w:szCs w:val="16"/>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 These contracts have been terminated in July 2024.</w:t>
      </w:r>
    </w:p>
    <w:p>
      <w:pPr>
        <w:spacing w:after="0" w:line="157" w:lineRule="exact"/>
        <w:rPr>
          <w:sz w:val="20"/>
          <w:szCs w:val="20"/>
          <w:color w:val="auto"/>
        </w:rPr>
      </w:pPr>
    </w:p>
    <w:p>
      <w:pPr>
        <w:ind w:left="740" w:right="60"/>
        <w:spacing w:after="0" w:line="265" w:lineRule="auto"/>
        <w:rPr>
          <w:sz w:val="20"/>
          <w:szCs w:val="20"/>
          <w:color w:val="auto"/>
        </w:rPr>
      </w:pPr>
      <w:r>
        <w:rPr>
          <w:rFonts w:ascii="Times New Roman" w:cs="Times New Roman" w:eastAsia="Times New Roman" w:hAnsi="Times New Roman"/>
          <w:sz w:val="16"/>
          <w:szCs w:val="16"/>
          <w:color w:val="auto"/>
        </w:rPr>
        <w:t>Upon the financing activities in July 2024, certain interest caps associated with the CMBS Loan were terminated. Some of the interest swaps were modified to effectively hedge the refinanced debts. As a result, all the modified interest rate swaps were designated as cash flow hedges and effective as of December 31, 2024. See “Note 7 — Credit Agreements And Borrowings” for details of financing activities in July 2024.</w:t>
      </w:r>
    </w:p>
    <w:p>
      <w:pPr>
        <w:spacing w:after="0" w:line="157"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Gains and Losses on Hedging Instruments and Undesignated Derivative Instruments</w:t>
      </w:r>
    </w:p>
    <w:p>
      <w:pPr>
        <w:spacing w:after="0" w:line="105" w:lineRule="exact"/>
        <w:rPr>
          <w:sz w:val="20"/>
          <w:szCs w:val="20"/>
          <w:color w:val="auto"/>
        </w:rPr>
      </w:pPr>
    </w:p>
    <w:p>
      <w:pPr>
        <w:ind w:left="740" w:right="360"/>
        <w:spacing w:after="0" w:line="281" w:lineRule="auto"/>
        <w:rPr>
          <w:sz w:val="20"/>
          <w:szCs w:val="20"/>
          <w:color w:val="auto"/>
        </w:rPr>
      </w:pPr>
      <w:r>
        <w:rPr>
          <w:rFonts w:ascii="Times New Roman" w:cs="Times New Roman" w:eastAsia="Times New Roman" w:hAnsi="Times New Roman"/>
          <w:sz w:val="16"/>
          <w:szCs w:val="16"/>
          <w:color w:val="auto"/>
        </w:rPr>
        <w:t>The table below presents the effect of cash flow hedge accounting on accumulated other comprehensive income (loss) (“AOCI”) for each reporting period:</w:t>
      </w:r>
    </w:p>
    <w:p>
      <w:pPr>
        <w:spacing w:after="0" w:line="161" w:lineRule="exact"/>
        <w:rPr>
          <w:sz w:val="20"/>
          <w:szCs w:val="20"/>
          <w:color w:val="auto"/>
        </w:rPr>
      </w:pPr>
    </w:p>
    <w:p>
      <w:pPr>
        <w:jc w:val="center"/>
        <w:ind w:left="6980"/>
        <w:spacing w:after="0"/>
        <w:rPr>
          <w:sz w:val="20"/>
          <w:szCs w:val="20"/>
          <w:color w:val="auto"/>
        </w:rPr>
      </w:pPr>
      <w:r>
        <w:rPr>
          <w:rFonts w:ascii="Times New Roman" w:cs="Times New Roman" w:eastAsia="Times New Roman" w:hAnsi="Times New Roman"/>
          <w:sz w:val="13"/>
          <w:szCs w:val="13"/>
          <w:color w:val="auto"/>
        </w:rPr>
        <w:t>The effect of cash flow hedge accounting on</w:t>
      </w:r>
    </w:p>
    <w:p>
      <w:pPr>
        <w:jc w:val="center"/>
        <w:ind w:left="6980"/>
        <w:spacing w:after="0" w:line="221" w:lineRule="auto"/>
        <w:rPr>
          <w:sz w:val="20"/>
          <w:szCs w:val="20"/>
          <w:color w:val="auto"/>
        </w:rPr>
      </w:pPr>
      <w:r>
        <w:rPr>
          <w:rFonts w:ascii="Times New Roman" w:cs="Times New Roman" w:eastAsia="Times New Roman" w:hAnsi="Times New Roman"/>
          <w:sz w:val="13"/>
          <w:szCs w:val="13"/>
          <w:color w:val="auto"/>
        </w:rPr>
        <w:t>AOCI for the Year ended</w:t>
      </w:r>
    </w:p>
    <w:tbl>
      <w:tblPr>
        <w:tblLayout w:type="fixed"/>
        <w:tblInd w:w="74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210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34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02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85"/>
              <w:spacing w:after="0" w:line="124" w:lineRule="exact"/>
              <w:rPr>
                <w:sz w:val="20"/>
                <w:szCs w:val="20"/>
                <w:color w:val="auto"/>
              </w:rPr>
            </w:pPr>
            <w:r>
              <w:rPr>
                <w:rFonts w:ascii="Times New Roman" w:cs="Times New Roman" w:eastAsia="Times New Roman" w:hAnsi="Times New Roman"/>
                <w:sz w:val="13"/>
                <w:szCs w:val="13"/>
                <w:color w:val="auto"/>
                <w:w w:val="99"/>
              </w:rPr>
              <w:t>2024</w:t>
            </w:r>
          </w:p>
        </w:tc>
        <w:tc>
          <w:tcPr>
            <w:tcW w:w="22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122"/>
              <w:spacing w:after="0" w:line="124" w:lineRule="exact"/>
              <w:rPr>
                <w:sz w:val="20"/>
                <w:szCs w:val="20"/>
                <w:color w:val="auto"/>
              </w:rPr>
            </w:pPr>
            <w:r>
              <w:rPr>
                <w:rFonts w:ascii="Times New Roman" w:cs="Times New Roman" w:eastAsia="Times New Roman" w:hAnsi="Times New Roman"/>
                <w:sz w:val="13"/>
                <w:szCs w:val="13"/>
                <w:color w:val="auto"/>
              </w:rPr>
              <w:t>2023</w:t>
            </w:r>
          </w:p>
        </w:tc>
        <w:tc>
          <w:tcPr>
            <w:tcW w:w="2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82"/>
              <w:spacing w:after="0" w:line="124" w:lineRule="exact"/>
              <w:rPr>
                <w:sz w:val="20"/>
                <w:szCs w:val="20"/>
                <w:color w:val="auto"/>
              </w:rPr>
            </w:pPr>
            <w:r>
              <w:rPr>
                <w:rFonts w:ascii="Times New Roman" w:cs="Times New Roman" w:eastAsia="Times New Roman" w:hAnsi="Times New Roman"/>
                <w:sz w:val="13"/>
                <w:szCs w:val="13"/>
                <w:color w:val="auto"/>
              </w:rPr>
              <w:t>2022</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(loss) recognized in</w:t>
            </w:r>
          </w:p>
        </w:tc>
        <w:tc>
          <w:tcPr>
            <w:tcW w:w="22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10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Included in effectiveness testing</w:t>
            </w:r>
          </w:p>
        </w:tc>
        <w:tc>
          <w:tcPr>
            <w:tcW w:w="220" w:type="dxa"/>
            <w:vAlign w:val="bottom"/>
            <w:shd w:val="clear" w:color="auto" w:fill="CCEEFF"/>
          </w:tcPr>
          <w:p>
            <w:pPr>
              <w:spacing w:after="0"/>
              <w:rPr>
                <w:sz w:val="6"/>
                <w:szCs w:val="6"/>
                <w:color w:val="auto"/>
              </w:rPr>
            </w:pPr>
          </w:p>
        </w:tc>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1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AOCI</w:t>
            </w:r>
          </w:p>
        </w:tc>
        <w:tc>
          <w:tcPr>
            <w:tcW w:w="220" w:type="dxa"/>
            <w:vAlign w:val="bottom"/>
            <w:shd w:val="clear" w:color="auto" w:fill="CCEEFF"/>
          </w:tcPr>
          <w:p>
            <w:pPr>
              <w:spacing w:after="0"/>
              <w:rPr>
                <w:sz w:val="9"/>
                <w:szCs w:val="9"/>
                <w:color w:val="auto"/>
              </w:rPr>
            </w:pPr>
          </w:p>
        </w:tc>
        <w:tc>
          <w:tcPr>
            <w:tcW w:w="23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vMerge w:val="continue"/>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1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shd w:val="clear" w:color="auto" w:fill="CCEEFF"/>
              </w:rPr>
              <w:t>Excluded from effectiveness testing</w:t>
            </w:r>
          </w:p>
        </w:tc>
        <w:tc>
          <w:tcPr>
            <w:tcW w:w="220" w:type="dxa"/>
            <w:vAlign w:val="bottom"/>
            <w:shd w:val="clear" w:color="auto" w:fill="CCEEFF"/>
          </w:tcPr>
          <w:p>
            <w:pPr>
              <w:spacing w:after="0"/>
              <w:rPr>
                <w:sz w:val="8"/>
                <w:szCs w:val="8"/>
                <w:color w:val="auto"/>
              </w:rPr>
            </w:pPr>
          </w:p>
        </w:tc>
        <w:tc>
          <w:tcPr>
            <w:tcW w:w="2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3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343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Gain (loss) reclassified from</w:t>
            </w:r>
          </w:p>
        </w:tc>
        <w:tc>
          <w:tcPr>
            <w:tcW w:w="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rPr>
              <w:t>100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08"/>
        </w:trPr>
        <w:tc>
          <w:tcPr>
            <w:tcW w:w="2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Included in effectiveness testing</w:t>
            </w:r>
          </w:p>
        </w:tc>
        <w:tc>
          <w:tcPr>
            <w:tcW w:w="220" w:type="dxa"/>
            <w:vAlign w:val="bottom"/>
          </w:tcPr>
          <w:p>
            <w:pPr>
              <w:spacing w:after="0"/>
              <w:rPr>
                <w:sz w:val="9"/>
                <w:szCs w:val="9"/>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9"/>
                <w:szCs w:val="9"/>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AOCI into earnings</w:t>
            </w:r>
          </w:p>
        </w:tc>
        <w:tc>
          <w:tcPr>
            <w:tcW w:w="2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Excluded from effectiveness testing</w:t>
            </w:r>
          </w:p>
        </w:tc>
        <w:tc>
          <w:tcPr>
            <w:tcW w:w="22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0"/>
                <w:szCs w:val="10"/>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change in AOCI</w:t>
            </w:r>
          </w:p>
        </w:tc>
        <w:tc>
          <w:tcPr>
            <w:tcW w:w="22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gain (loss) reclassed from AOCI into earnings is recorded to interest expense, net in consolidated statements of comprehensive income.</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table below presents gain (loss) of the undesignated derivatives for years ended December 31, 2024, December 31, 2023, and December 31, 2022:</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52"/>
        </w:trPr>
        <w:tc>
          <w:tcPr>
            <w:tcW w:w="55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2024</w:t>
            </w:r>
          </w:p>
        </w:tc>
        <w:tc>
          <w:tcPr>
            <w:tcW w:w="5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84"/>
              </w:rPr>
              <w:t>2023</w:t>
            </w: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2"/>
              </w:rPr>
              <w:t>2022</w:t>
            </w:r>
          </w:p>
        </w:tc>
        <w:tc>
          <w:tcPr>
            <w:tcW w:w="60" w:type="dxa"/>
            <w:vAlign w:val="bottom"/>
            <w:tcBorders>
              <w:bottom w:val="single" w:sz="8" w:color="CCEEFF"/>
            </w:tcBorders>
          </w:tcPr>
          <w:p>
            <w:pPr>
              <w:spacing w:after="0"/>
              <w:rPr>
                <w:sz w:val="13"/>
                <w:szCs w:val="13"/>
                <w:color w:val="auto"/>
              </w:rPr>
            </w:pPr>
          </w:p>
        </w:tc>
      </w:tr>
      <w:tr>
        <w:trPr>
          <w:trHeight w:val="184"/>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w:t>
            </w:r>
          </w:p>
        </w:tc>
        <w:tc>
          <w:tcPr>
            <w:tcW w:w="5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85"/>
              </w:rPr>
              <w:t>$ 12</w:t>
            </w:r>
          </w:p>
        </w:tc>
        <w:tc>
          <w:tcPr>
            <w:tcW w:w="60" w:type="dxa"/>
            <w:vAlign w:val="bottom"/>
            <w:shd w:val="clear" w:color="auto" w:fill="CCEEFF"/>
          </w:tcPr>
          <w:p>
            <w:pPr>
              <w:spacing w:after="0"/>
              <w:rPr>
                <w:sz w:val="15"/>
                <w:szCs w:val="15"/>
                <w:color w:val="auto"/>
              </w:rPr>
            </w:pPr>
          </w:p>
        </w:tc>
      </w:tr>
      <w:tr>
        <w:trPr>
          <w:trHeight w:val="192"/>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w:t>
            </w: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(3)</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6"/>
                <w:szCs w:val="16"/>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p>
        </w:tc>
      </w:tr>
      <w:tr>
        <w:trPr>
          <w:trHeight w:val="24"/>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7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7"/>
              </w:rPr>
              <w:t>$ (3)</w:t>
            </w:r>
          </w:p>
        </w:tc>
        <w:tc>
          <w:tcPr>
            <w:tcW w:w="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$ 12</w:t>
            </w: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gains and losses are recorded to other (expense) income, net in consolidated statements of comprehensive income.</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F-43</w:t>
      </w:r>
    </w:p>
    <w:p>
      <w:pPr>
        <w:sectPr>
          <w:pgSz w:w="11900" w:h="16838" w:orient="portrait"/>
          <w:cols w:equalWidth="0" w:num="1">
            <w:col w:w="10500"/>
          </w:cols>
          <w:pgMar w:left="320" w:top="420" w:right="107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Derivative Assets and Liabilities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recorded both the designated interest rate derivatives and the undesignated derivatives at fair value in the consolidated balance sheets.</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respective assets and liabilities are generally classified as short-term or long-term based on the maturity dates of the derivatives.</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table below summarizes the classification and fair value of the derivatives for each reporting period:</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900" w:type="dxa"/>
            <w:vAlign w:val="bottom"/>
          </w:tcPr>
          <w:p>
            <w:pPr>
              <w:spacing w:after="0"/>
              <w:rPr>
                <w:sz w:val="20"/>
                <w:szCs w:val="20"/>
                <w:color w:val="auto"/>
              </w:rPr>
            </w:pPr>
            <w:r>
              <w:rPr>
                <w:rFonts w:ascii="Times New Roman" w:cs="Times New Roman" w:eastAsia="Times New Roman" w:hAnsi="Times New Roman"/>
                <w:sz w:val="13"/>
                <w:szCs w:val="13"/>
                <w:color w:val="auto"/>
              </w:rPr>
              <w:t>Designated cash flow hedges</w:t>
            </w:r>
          </w:p>
        </w:tc>
        <w:tc>
          <w:tcPr>
            <w:tcW w:w="40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Location</w:t>
            </w:r>
          </w:p>
        </w:tc>
        <w:tc>
          <w:tcPr>
            <w:tcW w:w="2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84"/>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408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2900" w:type="dxa"/>
            <w:vAlign w:val="bottom"/>
          </w:tcPr>
          <w:p>
            <w:pPr>
              <w:spacing w:after="0"/>
              <w:rPr>
                <w:sz w:val="16"/>
                <w:szCs w:val="16"/>
                <w:color w:val="auto"/>
              </w:rPr>
            </w:pPr>
          </w:p>
        </w:tc>
        <w:tc>
          <w:tcPr>
            <w:tcW w:w="40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w:t>
            </w:r>
          </w:p>
        </w:tc>
      </w:tr>
      <w:tr>
        <w:trPr>
          <w:trHeight w:val="192"/>
        </w:trPr>
        <w:tc>
          <w:tcPr>
            <w:tcW w:w="2900" w:type="dxa"/>
            <w:vAlign w:val="bottom"/>
            <w:shd w:val="clear" w:color="auto" w:fill="CCEEFF"/>
          </w:tcPr>
          <w:p>
            <w:pPr>
              <w:spacing w:after="0"/>
              <w:rPr>
                <w:sz w:val="16"/>
                <w:szCs w:val="16"/>
                <w:color w:val="auto"/>
              </w:rPr>
            </w:pPr>
          </w:p>
        </w:tc>
        <w:tc>
          <w:tcPr>
            <w:tcW w:w="4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— </w:t>
            </w:r>
          </w:p>
        </w:tc>
        <w:tc>
          <w:tcPr>
            <w:tcW w:w="4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r>
      <w:tr>
        <w:trPr>
          <w:trHeight w:val="192"/>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40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w:t>
            </w:r>
          </w:p>
        </w:tc>
      </w:tr>
      <w:tr>
        <w:trPr>
          <w:trHeight w:val="192"/>
        </w:trPr>
        <w:tc>
          <w:tcPr>
            <w:tcW w:w="2900" w:type="dxa"/>
            <w:vAlign w:val="bottom"/>
            <w:shd w:val="clear" w:color="auto" w:fill="CCEEFF"/>
          </w:tcPr>
          <w:p>
            <w:pPr>
              <w:spacing w:after="0"/>
              <w:rPr>
                <w:sz w:val="16"/>
                <w:szCs w:val="16"/>
                <w:color w:val="auto"/>
              </w:rPr>
            </w:pPr>
          </w:p>
        </w:tc>
        <w:tc>
          <w:tcPr>
            <w:tcW w:w="4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w:t>
            </w:r>
          </w:p>
        </w:tc>
      </w:tr>
      <w:tr>
        <w:trPr>
          <w:trHeight w:val="196"/>
        </w:trPr>
        <w:tc>
          <w:tcPr>
            <w:tcW w:w="2900" w:type="dxa"/>
            <w:vAlign w:val="bottom"/>
          </w:tcPr>
          <w:p>
            <w:pPr>
              <w:spacing w:after="0"/>
              <w:rPr>
                <w:sz w:val="20"/>
                <w:szCs w:val="20"/>
                <w:color w:val="auto"/>
              </w:rPr>
            </w:pPr>
            <w:r>
              <w:rPr>
                <w:rFonts w:ascii="Times New Roman" w:cs="Times New Roman" w:eastAsia="Times New Roman" w:hAnsi="Times New Roman"/>
                <w:sz w:val="16"/>
                <w:szCs w:val="16"/>
                <w:color w:val="auto"/>
              </w:rPr>
              <w:t>Total Designated cash flow hedges</w:t>
            </w:r>
          </w:p>
        </w:tc>
        <w:tc>
          <w:tcPr>
            <w:tcW w:w="40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7"/>
                <w:szCs w:val="17"/>
                <w:color w:val="auto"/>
              </w:rPr>
            </w:pPr>
          </w:p>
        </w:tc>
      </w:tr>
    </w:tbl>
    <w:p>
      <w:pPr>
        <w:spacing w:after="0" w:line="187" w:lineRule="exact"/>
        <w:rPr>
          <w:sz w:val="20"/>
          <w:szCs w:val="20"/>
          <w:color w:val="auto"/>
        </w:rPr>
      </w:pPr>
    </w:p>
    <w:p>
      <w:pPr>
        <w:jc w:val="both"/>
        <w:ind w:left="740"/>
        <w:spacing w:after="0" w:line="281" w:lineRule="auto"/>
        <w:rPr>
          <w:sz w:val="20"/>
          <w:szCs w:val="20"/>
          <w:color w:val="auto"/>
        </w:rPr>
      </w:pPr>
      <w:r>
        <w:rPr>
          <w:rFonts w:ascii="Times New Roman" w:cs="Times New Roman" w:eastAsia="Times New Roman" w:hAnsi="Times New Roman"/>
          <w:sz w:val="16"/>
          <w:szCs w:val="16"/>
          <w:color w:val="auto"/>
        </w:rPr>
        <w:t>The Company did not have any undesignated derivatives as of December 31, 2024. As of December 31, 2023, fair value of undesignated derivatives was immaterial and recorded to other current assets, other long-term assets and other long-term liabilities.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15 — STOCK-BASED COMPENSATION</w:t>
      </w:r>
    </w:p>
    <w:p>
      <w:pPr>
        <w:spacing w:after="0" w:line="105" w:lineRule="exact"/>
        <w:rPr>
          <w:sz w:val="20"/>
          <w:szCs w:val="20"/>
          <w:color w:val="auto"/>
        </w:rPr>
      </w:pPr>
    </w:p>
    <w:p>
      <w:pPr>
        <w:ind w:left="740" w:right="20"/>
        <w:spacing w:after="0" w:line="251" w:lineRule="auto"/>
        <w:rPr>
          <w:sz w:val="20"/>
          <w:szCs w:val="20"/>
          <w:color w:val="auto"/>
        </w:rPr>
      </w:pPr>
      <w:r>
        <w:rPr>
          <w:rFonts w:ascii="Times New Roman" w:cs="Times New Roman" w:eastAsia="Times New Roman" w:hAnsi="Times New Roman"/>
          <w:sz w:val="16"/>
          <w:szCs w:val="16"/>
          <w:color w:val="auto"/>
        </w:rPr>
        <w:t>Upon the closing of the Acquisition, the Company issued one class of ownership units, Class A units, and two classes of incentive units, Class B units and Class B catch-up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the 20% of vested Class B and 50% of vested Class B CUPI mezzanine units would be redeemable, and, therefore, no changes in redemption value were recorded prospectively. See Note 16 — Partners’ Capital and Mezzanine Equity for additional discussion of the Company’s treatment of equity-based compensation within mezzanine equity.</w:t>
      </w:r>
    </w:p>
    <w:p>
      <w:pPr>
        <w:spacing w:after="0" w:line="177" w:lineRule="exact"/>
        <w:rPr>
          <w:sz w:val="20"/>
          <w:szCs w:val="20"/>
          <w:color w:val="auto"/>
        </w:rPr>
      </w:pPr>
    </w:p>
    <w:p>
      <w:pPr>
        <w:ind w:left="740"/>
        <w:spacing w:after="0" w:line="265" w:lineRule="auto"/>
        <w:rPr>
          <w:sz w:val="20"/>
          <w:szCs w:val="20"/>
          <w:color w:val="auto"/>
        </w:rPr>
      </w:pPr>
      <w:r>
        <w:rPr>
          <w:rFonts w:ascii="Times New Roman" w:cs="Times New Roman" w:eastAsia="Times New Roman" w:hAnsi="Times New Roman"/>
          <w:sz w:val="16"/>
          <w:szCs w:val="16"/>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w:t>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F-44</w:t>
      </w:r>
    </w:p>
    <w:p>
      <w:pPr>
        <w:sectPr>
          <w:pgSz w:w="11900" w:h="16838" w:orient="portrait"/>
          <w:cols w:equalWidth="0" w:num="1">
            <w:col w:w="10500"/>
          </w:cols>
          <w:pgMar w:left="320" w:top="421" w:right="107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60"/>
        <w:spacing w:after="0" w:line="255" w:lineRule="auto"/>
        <w:rPr>
          <w:sz w:val="20"/>
          <w:szCs w:val="20"/>
          <w:color w:val="auto"/>
        </w:rPr>
      </w:pPr>
      <w:r>
        <w:rPr>
          <w:rFonts w:ascii="Times New Roman" w:cs="Times New Roman" w:eastAsia="Times New Roman" w:hAnsi="Times New Roman"/>
          <w:sz w:val="16"/>
          <w:szCs w:val="16"/>
          <w:color w:val="auto"/>
        </w:rPr>
        <w:t>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2024, the Company has authorized and issued 46 units of CUPIs with a grant date fair value of $0.57 per unit. CUPIs vest over a two-year service period from the grant date. All CUPIs have fully vested as of December 31, 2024.</w:t>
      </w:r>
    </w:p>
    <w:p>
      <w:pPr>
        <w:spacing w:after="0" w:line="164" w:lineRule="exact"/>
        <w:rPr>
          <w:sz w:val="20"/>
          <w:szCs w:val="20"/>
          <w:color w:val="auto"/>
        </w:rPr>
      </w:pPr>
    </w:p>
    <w:p>
      <w:pPr>
        <w:ind w:left="740" w:right="120"/>
        <w:spacing w:after="0" w:line="265" w:lineRule="auto"/>
        <w:rPr>
          <w:sz w:val="20"/>
          <w:szCs w:val="20"/>
          <w:color w:val="auto"/>
        </w:rPr>
      </w:pPr>
      <w:r>
        <w:rPr>
          <w:rFonts w:ascii="Times New Roman" w:cs="Times New Roman" w:eastAsia="Times New Roman" w:hAnsi="Times New Roman"/>
          <w:sz w:val="16"/>
          <w:szCs w:val="16"/>
          <w:color w:val="auto"/>
        </w:rPr>
        <w:t>As of December 31, 2024, the Company has authorized and issued 803 Class B Units with a weighted average grant date fair value of $0.35 per unit to certain employees of the Company. The Class B Units are subject to a five-year vesting period, with 20% of units vesting on each of the five anniversaries of the grant date. The Class B Units have no expiration date.</w:t>
      </w:r>
    </w:p>
    <w:p>
      <w:pPr>
        <w:spacing w:after="0" w:line="157" w:lineRule="exact"/>
        <w:rPr>
          <w:sz w:val="20"/>
          <w:szCs w:val="20"/>
          <w:color w:val="auto"/>
        </w:rPr>
      </w:pPr>
    </w:p>
    <w:p>
      <w:pPr>
        <w:ind w:left="740" w:right="40"/>
        <w:spacing w:after="0" w:line="281" w:lineRule="auto"/>
        <w:rPr>
          <w:sz w:val="20"/>
          <w:szCs w:val="20"/>
          <w:color w:val="auto"/>
        </w:rPr>
      </w:pPr>
      <w:r>
        <w:rPr>
          <w:rFonts w:ascii="Times New Roman" w:cs="Times New Roman" w:eastAsia="Times New Roman" w:hAnsi="Times New Roman"/>
          <w:sz w:val="16"/>
          <w:szCs w:val="16"/>
          <w:color w:val="auto"/>
        </w:rPr>
        <w:t>In accordance with ASC 718 Compensation — Stock Compensation, all Incentive Units officially granted represent ownership interests of the Company and are classified as equity.</w:t>
      </w:r>
    </w:p>
    <w:p>
      <w:pPr>
        <w:spacing w:after="0" w:line="144" w:lineRule="exact"/>
        <w:rPr>
          <w:sz w:val="20"/>
          <w:szCs w:val="20"/>
          <w:color w:val="auto"/>
        </w:rPr>
      </w:pPr>
    </w:p>
    <w:p>
      <w:pPr>
        <w:ind w:left="740" w:right="40"/>
        <w:spacing w:after="0" w:line="260" w:lineRule="auto"/>
        <w:rPr>
          <w:sz w:val="20"/>
          <w:szCs w:val="20"/>
          <w:color w:val="auto"/>
        </w:rPr>
      </w:pPr>
      <w:r>
        <w:rPr>
          <w:rFonts w:ascii="Times New Roman" w:cs="Times New Roman" w:eastAsia="Times New Roman" w:hAnsi="Times New Roman"/>
          <w:sz w:val="16"/>
          <w:szCs w:val="16"/>
          <w:u w:val="single" w:color="auto"/>
          <w:color w:val="auto"/>
        </w:rPr>
        <w:t>Fair Value of Equity-Based Awards</w:t>
      </w:r>
      <w:r>
        <w:rPr>
          <w:rFonts w:ascii="Times New Roman" w:cs="Times New Roman" w:eastAsia="Times New Roman" w:hAnsi="Times New Roman"/>
          <w:sz w:val="16"/>
          <w:szCs w:val="16"/>
          <w:color w:val="auto"/>
        </w:rPr>
        <w:t>: The weighted average per unit fair value of the equity-based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77" w:lineRule="exact"/>
        <w:rPr>
          <w:sz w:val="20"/>
          <w:szCs w:val="20"/>
          <w:color w:val="auto"/>
        </w:rPr>
      </w:pPr>
    </w:p>
    <w:p>
      <w:pPr>
        <w:ind w:left="1600" w:hanging="383"/>
        <w:spacing w:after="0"/>
        <w:tabs>
          <w:tab w:leader="none" w:pos="16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precedent transactions involving equity units;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operating and financial performance;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 and projections;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performance of comparable publicly traded companies;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global capital market conditions.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assumptions were made in the Monte Carlo simulation.</w:t>
      </w:r>
    </w:p>
    <w:p>
      <w:pPr>
        <w:spacing w:after="0" w:line="199" w:lineRule="exact"/>
        <w:rPr>
          <w:sz w:val="20"/>
          <w:szCs w:val="20"/>
          <w:color w:val="auto"/>
        </w:rPr>
      </w:pPr>
    </w:p>
    <w:p>
      <w:pPr>
        <w:ind w:left="740" w:right="80"/>
        <w:spacing w:after="0" w:line="265" w:lineRule="auto"/>
        <w:rPr>
          <w:sz w:val="20"/>
          <w:szCs w:val="20"/>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57" w:lineRule="exact"/>
        <w:rPr>
          <w:sz w:val="20"/>
          <w:szCs w:val="20"/>
          <w:color w:val="auto"/>
        </w:rPr>
      </w:pPr>
    </w:p>
    <w:p>
      <w:pPr>
        <w:ind w:left="740" w:right="460"/>
        <w:spacing w:after="0" w:line="281" w:lineRule="auto"/>
        <w:rPr>
          <w:sz w:val="20"/>
          <w:szCs w:val="20"/>
          <w:color w:val="auto"/>
        </w:rPr>
      </w:pPr>
      <w:r>
        <w:rPr>
          <w:rFonts w:ascii="Times New Roman" w:cs="Times New Roman" w:eastAsia="Times New Roman" w:hAnsi="Times New Roman"/>
          <w:sz w:val="16"/>
          <w:szCs w:val="16"/>
          <w:u w:val="single" w:color="auto"/>
          <w:color w:val="auto"/>
        </w:rPr>
        <w:t>Volatility:</w:t>
      </w:r>
      <w:r>
        <w:rPr>
          <w:rFonts w:ascii="Times New Roman" w:cs="Times New Roman" w:eastAsia="Times New Roman" w:hAnsi="Times New Roman"/>
          <w:sz w:val="16"/>
          <w:szCs w:val="16"/>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44" w:lineRule="exact"/>
        <w:rPr>
          <w:sz w:val="20"/>
          <w:szCs w:val="20"/>
          <w:color w:val="auto"/>
        </w:rPr>
      </w:pPr>
    </w:p>
    <w:p>
      <w:pPr>
        <w:ind w:left="740" w:right="140"/>
        <w:spacing w:after="0" w:line="281" w:lineRule="auto"/>
        <w:rPr>
          <w:sz w:val="20"/>
          <w:szCs w:val="20"/>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The risk-free interest rate is estimated based on U.S. Treasury zero-coupon notes with terms consistent with the expected term of the awards.</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u w:val="single" w:color="auto"/>
          <w:color w:val="auto"/>
        </w:rPr>
        <w:t>Dividend Yield:</w:t>
      </w:r>
      <w:r>
        <w:rPr>
          <w:rFonts w:ascii="Times New Roman" w:cs="Times New Roman" w:eastAsia="Times New Roman" w:hAnsi="Times New Roman"/>
          <w:sz w:val="15"/>
          <w:szCs w:val="15"/>
          <w:color w:val="auto"/>
        </w:rPr>
        <w:t xml:space="preserve"> The Company has never declared or paid any cash dividends and does not presently plan to pay cash dividends in the foreseeable future.</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Consequently, the Company used an expected dividend yield of zero.</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F-45</w:t>
      </w:r>
    </w:p>
    <w:p>
      <w:pPr>
        <w:sectPr>
          <w:pgSz w:w="11900" w:h="16838" w:orient="portrait"/>
          <w:cols w:equalWidth="0" w:num="1">
            <w:col w:w="10500"/>
          </w:cols>
          <w:pgMar w:left="320" w:top="420" w:right="10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The following table provides the weighted-average inputs for expected term, volatility, risk-free interest rate, and dividend yield that were utilized by the</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Company in its Monte Carlo simulation for awards granted between fiscal years 2022 and 2024:</w:t>
      </w:r>
    </w:p>
    <w:p>
      <w:pPr>
        <w:spacing w:after="0" w:line="223" w:lineRule="exact"/>
        <w:rPr>
          <w:sz w:val="20"/>
          <w:szCs w:val="20"/>
          <w:color w:val="auto"/>
        </w:rPr>
      </w:pPr>
    </w:p>
    <w:tbl>
      <w:tblPr>
        <w:tblLayout w:type="fixed"/>
        <w:tblInd w:w="2300" w:type="dxa"/>
        <w:tblCellMar>
          <w:top w:w="0" w:type="dxa"/>
          <w:left w:w="0" w:type="dxa"/>
          <w:bottom w:w="0" w:type="dxa"/>
          <w:right w:w="0" w:type="dxa"/>
        </w:tblCellMar>
      </w:tblPr>
      <w:tr>
        <w:trPr>
          <w:trHeight w:val="19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32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6"/>
                <w:szCs w:val="16"/>
                <w:color w:val="auto"/>
                <w:w w:val="83"/>
              </w:rPr>
              <w:t>— </w:t>
            </w:r>
          </w:p>
        </w:tc>
        <w:tc>
          <w:tcPr>
            <w:tcW w:w="840" w:type="dxa"/>
            <w:vAlign w:val="bottom"/>
            <w:shd w:val="clear" w:color="auto" w:fill="CCEEFF"/>
          </w:tcPr>
          <w:p>
            <w:pPr>
              <w:spacing w:after="0"/>
              <w:rPr>
                <w:sz w:val="16"/>
                <w:szCs w:val="16"/>
                <w:color w:val="auto"/>
              </w:rPr>
            </w:pPr>
          </w:p>
        </w:tc>
      </w:tr>
      <w:tr>
        <w:trPr>
          <w:trHeight w:val="19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2320" w:type="dxa"/>
            <w:vAlign w:val="bottom"/>
          </w:tcPr>
          <w:p>
            <w:pPr>
              <w:ind w:left="2100"/>
              <w:spacing w:after="0"/>
              <w:rPr>
                <w:sz w:val="20"/>
                <w:szCs w:val="20"/>
                <w:color w:val="auto"/>
              </w:rPr>
            </w:pPr>
            <w:r>
              <w:rPr>
                <w:rFonts w:ascii="Times New Roman" w:cs="Times New Roman" w:eastAsia="Times New Roman" w:hAnsi="Times New Roman"/>
                <w:sz w:val="16"/>
                <w:szCs w:val="16"/>
                <w:color w:val="auto"/>
                <w:w w:val="99"/>
              </w:rPr>
              <w:t>3.6</w:t>
            </w: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- 6 Years</w:t>
            </w:r>
          </w:p>
        </w:tc>
      </w:tr>
      <w:tr>
        <w:trPr>
          <w:trHeight w:val="192"/>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320" w:type="dxa"/>
            <w:vAlign w:val="bottom"/>
            <w:shd w:val="clear" w:color="auto" w:fill="CCEEFF"/>
          </w:tcPr>
          <w:p>
            <w:pPr>
              <w:ind w:left="2100"/>
              <w:spacing w:after="0"/>
              <w:rPr>
                <w:sz w:val="20"/>
                <w:szCs w:val="20"/>
                <w:color w:val="auto"/>
              </w:rPr>
            </w:pPr>
            <w:r>
              <w:rPr>
                <w:rFonts w:ascii="Times New Roman" w:cs="Times New Roman" w:eastAsia="Times New Roman" w:hAnsi="Times New Roman"/>
                <w:sz w:val="16"/>
                <w:szCs w:val="16"/>
                <w:color w:val="auto"/>
                <w:w w:val="99"/>
              </w:rPr>
              <w:t>1.2</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- 4.6%</w:t>
            </w: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160" w:type="dxa"/>
            <w:vAlign w:val="bottom"/>
            <w:gridSpan w:val="2"/>
          </w:tcPr>
          <w:p>
            <w:pPr>
              <w:ind w:left="2100"/>
              <w:spacing w:after="0"/>
              <w:rPr>
                <w:sz w:val="20"/>
                <w:szCs w:val="20"/>
                <w:color w:val="auto"/>
              </w:rPr>
            </w:pPr>
            <w:r>
              <w:rPr>
                <w:rFonts w:ascii="Times New Roman" w:cs="Times New Roman" w:eastAsia="Times New Roman" w:hAnsi="Times New Roman"/>
                <w:sz w:val="16"/>
                <w:szCs w:val="16"/>
                <w:color w:val="auto"/>
              </w:rPr>
              <w:t>40 - 48%</w:t>
            </w:r>
          </w:p>
        </w:tc>
      </w:tr>
    </w:tbl>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 recorded $217 and $272 of member unit-based compensation expense related to Liquidity MPU Payouts for the years ended</w:t>
      </w:r>
    </w:p>
    <w:p>
      <w:pPr>
        <w:spacing w:after="0" w:line="24" w:lineRule="exact"/>
        <w:rPr>
          <w:sz w:val="20"/>
          <w:szCs w:val="20"/>
          <w:color w:val="auto"/>
        </w:rPr>
      </w:pPr>
    </w:p>
    <w:p>
      <w:pPr>
        <w:ind w:left="740" w:right="80"/>
        <w:spacing w:after="0" w:line="252" w:lineRule="auto"/>
        <w:rPr>
          <w:sz w:val="20"/>
          <w:szCs w:val="20"/>
          <w:color w:val="auto"/>
        </w:rPr>
      </w:pPr>
      <w:r>
        <w:rPr>
          <w:rFonts w:ascii="Times New Roman" w:cs="Times New Roman" w:eastAsia="Times New Roman" w:hAnsi="Times New Roman"/>
          <w:sz w:val="16"/>
          <w:szCs w:val="16"/>
          <w:color w:val="auto"/>
        </w:rPr>
        <w:t>December 31, 2023 and December 31, 2022, respectively, as a component of selling, general and administrative expenses. The Company did not record any expense related to Liquidity MPU Payouts or Class B CUPIs for the year ended December 31, 2024. On October 21, 2022, a portion of the promissory note was paid off with the Liquidity MPU Payout and consequently, a total of $85 was added to the Class A unit as capital contribution. On October 19, 2023, a portion of the promissory note was paid off with the Liquidity MPU Payout and consequently, a total of $84 was added to the Class A units as capital contribution.</w:t>
      </w:r>
    </w:p>
    <w:p>
      <w:pPr>
        <w:spacing w:after="0" w:line="167" w:lineRule="exact"/>
        <w:rPr>
          <w:sz w:val="20"/>
          <w:szCs w:val="20"/>
          <w:color w:val="auto"/>
        </w:rPr>
      </w:pPr>
    </w:p>
    <w:p>
      <w:pPr>
        <w:ind w:left="740" w:right="40"/>
        <w:spacing w:after="0" w:line="254" w:lineRule="auto"/>
        <w:rPr>
          <w:sz w:val="20"/>
          <w:szCs w:val="20"/>
          <w:color w:val="auto"/>
        </w:rPr>
      </w:pPr>
      <w:r>
        <w:rPr>
          <w:rFonts w:ascii="Times New Roman" w:cs="Times New Roman" w:eastAsia="Times New Roman" w:hAnsi="Times New Roman"/>
          <w:sz w:val="16"/>
          <w:szCs w:val="16"/>
          <w:color w:val="auto"/>
        </w:rPr>
        <w:t>The Company recorded $53, $65, and $58 of compensation expense related to Class B and Class B CUPIs units for the years ended December 31, 2024, December 31, 2023, and December 31, 2022, respectively, as a component of selling, general and administrative expenses. As of December 31, 2024, the Company had $110 of unrecognized unit-based compensation expense related to unvested Class B, which is expected to be recognized on a straight-line basis or a graded basis over a weighted average period of 2.8 years. As of December 31, 2024, the Company had another $12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 of December 31, 2024, the Company has no material obligations to repurchase any Class B Units or CUPIs on a specified date.</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the Incentive Units activity during the year ended December 31, 2024:</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3"/>
                <w:szCs w:val="13"/>
                <w:color w:val="auto"/>
              </w:rPr>
              <w:t>Class B</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w w:val="99"/>
              </w:rPr>
              <w:t>Units</w:t>
            </w:r>
          </w:p>
        </w:tc>
        <w:tc>
          <w:tcPr>
            <w:tcW w:w="360" w:type="dxa"/>
            <w:vAlign w:val="bottom"/>
          </w:tcPr>
          <w:p>
            <w:pPr>
              <w:spacing w:after="0"/>
              <w:rPr>
                <w:sz w:val="9"/>
                <w:szCs w:val="9"/>
                <w:color w:val="auto"/>
              </w:rPr>
            </w:pPr>
          </w:p>
        </w:tc>
        <w:tc>
          <w:tcPr>
            <w:tcW w:w="84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color w:val="auto"/>
              </w:rPr>
              <w:t>Wtd. Avg. Grant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6"/>
              </w:rPr>
              <w:t>Date Fair Value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2023</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Granted</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Vested</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9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Forfeited/repurchased</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(109)</w:t>
            </w: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429</w:t>
            </w:r>
          </w:p>
        </w:tc>
        <w:tc>
          <w:tcPr>
            <w:tcW w:w="72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unvested outstanding Incentive Units are expected to vest between 2025 and 2029.</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Liability-classified units</w:t>
      </w:r>
    </w:p>
    <w:p>
      <w:pPr>
        <w:spacing w:after="0" w:line="105" w:lineRule="exact"/>
        <w:rPr>
          <w:sz w:val="20"/>
          <w:szCs w:val="20"/>
          <w:color w:val="auto"/>
        </w:rPr>
      </w:pPr>
    </w:p>
    <w:p>
      <w:pPr>
        <w:jc w:val="both"/>
        <w:ind w:left="740" w:right="60"/>
        <w:spacing w:after="0" w:line="281" w:lineRule="auto"/>
        <w:rPr>
          <w:sz w:val="20"/>
          <w:szCs w:val="20"/>
          <w:color w:val="auto"/>
        </w:rPr>
      </w:pPr>
      <w:r>
        <w:rPr>
          <w:rFonts w:ascii="Times New Roman" w:cs="Times New Roman" w:eastAsia="Times New Roman" w:hAnsi="Times New Roman"/>
          <w:sz w:val="16"/>
          <w:szCs w:val="16"/>
          <w:color w:val="auto"/>
        </w:rPr>
        <w:t>On February 13, 2024, the Company authorized additional Class B Units to be granted to certain employees on April 1, 2025 upon fulfillment of certain performance conditions. With each grant, the number of Class B units to</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F-46</w:t>
      </w:r>
    </w:p>
    <w:p>
      <w:pPr>
        <w:sectPr>
          <w:pgSz w:w="11900" w:h="16838" w:orient="portrait"/>
          <w:cols w:equalWidth="0" w:num="1">
            <w:col w:w="10500"/>
          </w:cols>
          <w:pgMar w:left="320" w:top="420" w:right="10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80"/>
        <w:spacing w:after="0" w:line="253" w:lineRule="auto"/>
        <w:rPr>
          <w:sz w:val="20"/>
          <w:szCs w:val="20"/>
          <w:color w:val="auto"/>
        </w:rPr>
      </w:pPr>
      <w:r>
        <w:rPr>
          <w:rFonts w:ascii="Times New Roman" w:cs="Times New Roman" w:eastAsia="Times New Roman" w:hAnsi="Times New Roman"/>
          <w:sz w:val="16"/>
          <w:szCs w:val="16"/>
          <w:color w:val="auto"/>
        </w:rPr>
        <w:t>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sheets. The unit fair value of these awards is determined using the same technique and assumptions as the Equity-Based Awards, and the Company reevaluates the fair value of these liability-classified units periodically until they are reclassified as mezzanine equity when granted, with the fair value change recorded ratably in the current-period compensation expense. As of December 31, 2024, the number of units probable to be issued is 58, with total fair value of $33. The Company had recognized compensation expense of $8 and $8 for the years ended December 31, 2024 and December 31, 2023, respectively. As of December 31, 2024, the Company had $25 of unrecognized compensation expense, which is expected to be recognized on a graded basis over a weighted average period of 5.3 years.</w:t>
      </w:r>
    </w:p>
    <w:p>
      <w:pPr>
        <w:spacing w:after="0" w:line="2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16 — PARTNERS’ CAPITAL AND MEZZANINE EQUITY</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Partners’ Capital</w:t>
      </w:r>
    </w:p>
    <w:p>
      <w:pPr>
        <w:spacing w:after="0" w:line="107"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Class A — Mezzanine Equity</w:t>
      </w:r>
    </w:p>
    <w:p>
      <w:pPr>
        <w:spacing w:after="0" w:line="107"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Class A units held by members of management (the “Class A Mezzanine Units”) include a put right that gives the holders certain rights that may allow them to cause the Company to repurchase 50% of the Class A units. For the periods that management determined it was probable that the Class A Mezzanine Units would become redeemable, the Company had elected to carry the shares at the maximum redemption value, or fair value, in mezzanine equity on the consolidated balance sheets. For all the reporting periods through the third quarter of 2024, all Class A Mezzanine Units were recognized at their maximum redemption value. During the fourth quarter of 2024, management determined it was no longer probable that the Class A Mezzanine Units would become redeemable, and, therefore, no changes in redemption value were recorded prospectively. During the years ended December 31, 2024, December 31, 2023, and December 31, 2022, the Company recognized $58,</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F-47</w:t>
      </w:r>
    </w:p>
    <w:p>
      <w:pPr>
        <w:sectPr>
          <w:pgSz w:w="11900" w:h="16838" w:orient="portrait"/>
          <w:cols w:equalWidth="0" w:num="1">
            <w:col w:w="10500"/>
          </w:cols>
          <w:pgMar w:left="320" w:top="420" w:right="107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$40, and $10, respectively, in accretion of the Class A Mezzanine Units to redemption value within mezzanine equity on the consolidated balance sheets.</w:t>
      </w:r>
    </w:p>
    <w:p>
      <w:pPr>
        <w:spacing w:after="0" w:line="3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Stock-Based Compensation — Mezzanine Equity</w:t>
      </w:r>
    </w:p>
    <w:p>
      <w:pPr>
        <w:spacing w:after="0" w:line="107" w:lineRule="exact"/>
        <w:rPr>
          <w:sz w:val="20"/>
          <w:szCs w:val="20"/>
          <w:color w:val="auto"/>
        </w:rPr>
      </w:pPr>
    </w:p>
    <w:p>
      <w:pPr>
        <w:ind w:left="740" w:right="20"/>
        <w:spacing w:after="0" w:line="254" w:lineRule="auto"/>
        <w:rPr>
          <w:sz w:val="20"/>
          <w:szCs w:val="20"/>
          <w:color w:val="auto"/>
        </w:rPr>
      </w:pPr>
      <w:r>
        <w:rPr>
          <w:rFonts w:ascii="Times New Roman" w:cs="Times New Roman" w:eastAsia="Times New Roman" w:hAnsi="Times New Roman"/>
          <w:sz w:val="16"/>
          <w:szCs w:val="16"/>
          <w:color w:val="auto"/>
        </w:rPr>
        <w:t>As discussed in “Note 15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fourth quarter of 2024, management determined it was no longer probable that the Put Units would become redeemable, and therefore no changes in redemption value were recorded prospectively. During the years ended December 31, 2024, December 31, 2023, and December 31, 2022, the Company recognized an adjustment to the pro-rata portion of the Put Units which have vested in the amounts of $57, $37, and $18, respectively. The maturities related to the redemption feature are in accordance with the vesting terms discussed in “Note 15 — Stock-Based Compensation,” taking into account the five-year vesting period.</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the change in the balance of accumulated other comprehensive income (loss) by component and in total:</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440"/>
              <w:spacing w:after="0" w:line="104" w:lineRule="exact"/>
              <w:rPr>
                <w:sz w:val="20"/>
                <w:szCs w:val="20"/>
                <w:color w:val="auto"/>
              </w:rPr>
            </w:pPr>
            <w:r>
              <w:rPr>
                <w:rFonts w:ascii="Times New Roman" w:cs="Times New Roman" w:eastAsia="Times New Roman" w:hAnsi="Times New Roman"/>
                <w:sz w:val="12"/>
                <w:szCs w:val="12"/>
                <w:color w:val="auto"/>
              </w:rPr>
              <w:t>Unrealized gain</w:t>
            </w:r>
          </w:p>
        </w:tc>
        <w:tc>
          <w:tcPr>
            <w:tcW w:w="420" w:type="dxa"/>
            <w:vAlign w:val="bottom"/>
          </w:tcPr>
          <w:p>
            <w:pPr>
              <w:spacing w:after="0"/>
              <w:rPr>
                <w:sz w:val="9"/>
                <w:szCs w:val="9"/>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148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3"/>
                <w:szCs w:val="13"/>
                <w:color w:val="auto"/>
                <w:w w:val="95"/>
              </w:rPr>
              <w:t>Retirement plans, net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96"/>
              </w:rPr>
              <w:t>Accumulated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34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color w:val="auto"/>
              </w:rPr>
              <w:t>(loss) on derivative</w:t>
            </w:r>
          </w:p>
        </w:tc>
        <w:tc>
          <w:tcPr>
            <w:tcW w:w="4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8"/>
              </w:rPr>
              <w:t>instruments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1000"/>
              <w:spacing w:after="0"/>
              <w:rPr>
                <w:sz w:val="20"/>
                <w:szCs w:val="20"/>
                <w:color w:val="auto"/>
              </w:rPr>
            </w:pPr>
            <w:r>
              <w:rPr>
                <w:rFonts w:ascii="Times New Roman" w:cs="Times New Roman" w:eastAsia="Times New Roman" w:hAnsi="Times New Roman"/>
                <w:sz w:val="13"/>
                <w:szCs w:val="13"/>
                <w:color w:val="auto"/>
                <w:w w:val="96"/>
              </w:rPr>
              <w:t>adjustments</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3"/>
                <w:szCs w:val="13"/>
                <w:color w:val="auto"/>
              </w:rPr>
              <w:t>of tax</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2024</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0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77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(89)</w:t>
            </w:r>
          </w:p>
        </w:tc>
        <w:tc>
          <w:tcPr>
            <w:tcW w:w="7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(165)</w:t>
            </w: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tcBorders>
              <w:right w:val="single" w:sz="8" w:color="CCEEFF"/>
            </w:tcBorders>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79"/>
        </w:trPr>
        <w:tc>
          <w:tcPr>
            <w:tcW w:w="30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Net other comprehensive (loss)</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(88)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rPr>
              <w:t>(89)</w:t>
            </w:r>
          </w:p>
        </w:tc>
        <w:tc>
          <w:tcPr>
            <w:tcW w:w="76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124</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(114)</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tcPr>
          <w:p>
            <w:pPr>
              <w:jc w:val="center"/>
              <w:ind w:right="440"/>
              <w:spacing w:after="0" w:line="104" w:lineRule="exact"/>
              <w:rPr>
                <w:sz w:val="20"/>
                <w:szCs w:val="20"/>
                <w:color w:val="auto"/>
              </w:rPr>
            </w:pPr>
            <w:r>
              <w:rPr>
                <w:rFonts w:ascii="Times New Roman" w:cs="Times New Roman" w:eastAsia="Times New Roman" w:hAnsi="Times New Roman"/>
                <w:sz w:val="12"/>
                <w:szCs w:val="12"/>
                <w:color w:val="auto"/>
              </w:rPr>
              <w:t>Unrealized gain</w:t>
            </w:r>
          </w:p>
        </w:tc>
        <w:tc>
          <w:tcPr>
            <w:tcW w:w="420" w:type="dxa"/>
            <w:vAlign w:val="bottom"/>
          </w:tcPr>
          <w:p>
            <w:pPr>
              <w:spacing w:after="0"/>
              <w:rPr>
                <w:sz w:val="9"/>
                <w:szCs w:val="9"/>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Retirement plans, net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96"/>
              </w:rPr>
              <w:t>Accumulated other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34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color w:val="auto"/>
              </w:rPr>
              <w:t>(loss) on derivative</w:t>
            </w:r>
          </w:p>
        </w:tc>
        <w:tc>
          <w:tcPr>
            <w:tcW w:w="42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color w:val="auto"/>
                <w:w w:val="98"/>
              </w:rPr>
              <w:t>instruments</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2"/>
          </w:tcPr>
          <w:p>
            <w:pPr>
              <w:jc w:val="right"/>
              <w:ind w:right="1000"/>
              <w:spacing w:after="0"/>
              <w:rPr>
                <w:sz w:val="20"/>
                <w:szCs w:val="20"/>
                <w:color w:val="auto"/>
              </w:rPr>
            </w:pPr>
            <w:r>
              <w:rPr>
                <w:rFonts w:ascii="Times New Roman" w:cs="Times New Roman" w:eastAsia="Times New Roman" w:hAnsi="Times New Roman"/>
                <w:sz w:val="13"/>
                <w:szCs w:val="13"/>
                <w:color w:val="auto"/>
                <w:w w:val="96"/>
              </w:rPr>
              <w:t>adjustments</w:t>
            </w:r>
          </w:p>
        </w:tc>
        <w:tc>
          <w:tcPr>
            <w:tcW w:w="760" w:type="dxa"/>
            <w:vAlign w:val="bottom"/>
          </w:tcPr>
          <w:p>
            <w:pPr>
              <w:jc w:val="right"/>
              <w:ind w:right="28"/>
              <w:spacing w:after="0"/>
              <w:rPr>
                <w:sz w:val="20"/>
                <w:szCs w:val="20"/>
                <w:color w:val="auto"/>
              </w:rPr>
            </w:pPr>
            <w:r>
              <w:rPr>
                <w:rFonts w:ascii="Times New Roman" w:cs="Times New Roman" w:eastAsia="Times New Roman" w:hAnsi="Times New Roman"/>
                <w:sz w:val="13"/>
                <w:szCs w:val="13"/>
                <w:color w:val="auto"/>
              </w:rPr>
              <w:t>of tax</w:t>
            </w: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2023</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78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20" w:type="dxa"/>
            <w:vAlign w:val="bottom"/>
            <w:tcBorders>
              <w:top w:val="single" w:sz="8" w:color="CCEEFF"/>
              <w:lef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47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8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(162)</w:t>
            </w:r>
          </w:p>
        </w:tc>
        <w:tc>
          <w:tcPr>
            <w:tcW w:w="42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tcBorders>
              <w:right w:val="single" w:sz="8" w:color="CCEEFF"/>
            </w:tcBorders>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6"/>
                <w:szCs w:val="16"/>
                <w:color w:val="auto"/>
              </w:rPr>
              <w:t>— </w:t>
            </w:r>
          </w:p>
        </w:tc>
        <w:tc>
          <w:tcPr>
            <w:tcW w:w="7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9"/>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179"/>
        </w:trPr>
        <w:tc>
          <w:tcPr>
            <w:tcW w:w="30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Net other comprehensive (loss)</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w:t>
            </w: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(115)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212</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right w:val="single" w:sz="8" w:color="CCEEFF"/>
            </w:tcBorders>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(25)</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2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w w:val="92"/>
              </w:rPr>
              <w:t>F-48</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3"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2"/>
          </w:tcPr>
          <w:p>
            <w:pPr>
              <w:jc w:val="center"/>
              <w:ind w:right="860"/>
              <w:spacing w:after="0" w:line="104" w:lineRule="exact"/>
              <w:rPr>
                <w:sz w:val="20"/>
                <w:szCs w:val="20"/>
                <w:color w:val="auto"/>
              </w:rPr>
            </w:pPr>
            <w:r>
              <w:rPr>
                <w:rFonts w:ascii="Times New Roman" w:cs="Times New Roman" w:eastAsia="Times New Roman" w:hAnsi="Times New Roman"/>
                <w:sz w:val="12"/>
                <w:szCs w:val="12"/>
                <w:color w:val="auto"/>
              </w:rPr>
              <w:t>Unrealized gain</w:t>
            </w: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Currency translation</w:t>
            </w:r>
          </w:p>
        </w:tc>
        <w:tc>
          <w:tcPr>
            <w:tcW w:w="360" w:type="dxa"/>
            <w:vAlign w:val="bottom"/>
          </w:tcPr>
          <w:p>
            <w:pPr>
              <w:spacing w:after="0"/>
              <w:rPr>
                <w:sz w:val="9"/>
                <w:szCs w:val="9"/>
                <w:color w:val="auto"/>
              </w:rPr>
            </w:pPr>
          </w:p>
        </w:tc>
        <w:tc>
          <w:tcPr>
            <w:tcW w:w="146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3"/>
                <w:szCs w:val="13"/>
                <w:color w:val="auto"/>
                <w:w w:val="95"/>
              </w:rPr>
              <w:t>Retirement plans, net</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jc w:val="right"/>
              <w:ind w:right="46"/>
              <w:spacing w:after="0" w:line="104"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60" w:type="dxa"/>
            <w:vAlign w:val="bottom"/>
            <w:gridSpan w:val="3"/>
          </w:tcPr>
          <w:p>
            <w:pPr>
              <w:jc w:val="center"/>
              <w:ind w:right="780"/>
              <w:spacing w:after="0" w:line="132" w:lineRule="exact"/>
              <w:rPr>
                <w:sz w:val="20"/>
                <w:szCs w:val="20"/>
                <w:color w:val="auto"/>
              </w:rPr>
            </w:pPr>
            <w:r>
              <w:rPr>
                <w:rFonts w:ascii="Times New Roman" w:cs="Times New Roman" w:eastAsia="Times New Roman" w:hAnsi="Times New Roman"/>
                <w:sz w:val="13"/>
                <w:szCs w:val="13"/>
                <w:color w:val="auto"/>
                <w:w w:val="97"/>
              </w:rPr>
              <w:t>(loss) on derivative</w:t>
            </w:r>
          </w:p>
        </w:tc>
        <w:tc>
          <w:tcPr>
            <w:tcW w:w="148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color w:val="auto"/>
              </w:rPr>
              <w:t>comprehensive income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6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3"/>
                <w:szCs w:val="13"/>
                <w:color w:val="auto"/>
                <w:w w:val="95"/>
              </w:rPr>
              <w:t>instruments</w:t>
            </w:r>
          </w:p>
        </w:tc>
        <w:tc>
          <w:tcPr>
            <w:tcW w:w="7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adjustments</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color w:val="auto"/>
              </w:rPr>
              <w:t>of tax</w:t>
            </w: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3"/>
                <w:szCs w:val="13"/>
                <w:color w:val="auto"/>
              </w:rPr>
              <w:t>(loss)</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2022</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74"/>
              </w:rPr>
              <w:t>(30)</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1"/>
              </w:rPr>
              <w:t>— </w:t>
            </w:r>
          </w:p>
        </w:tc>
        <w:tc>
          <w:tcPr>
            <w:tcW w:w="3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before reclassifications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343</w:t>
            </w:r>
          </w:p>
        </w:tc>
        <w:tc>
          <w:tcPr>
            <w:tcW w:w="16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79"/>
        </w:trPr>
        <w:tc>
          <w:tcPr>
            <w:tcW w:w="266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Net other comprehensive income</w:t>
            </w:r>
          </w:p>
        </w:tc>
        <w:tc>
          <w:tcPr>
            <w:tcW w:w="4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8"/>
                <w:szCs w:val="18"/>
                <w:color w:val="auto"/>
              </w:rPr>
            </w:pPr>
          </w:p>
        </w:tc>
        <w:tc>
          <w:tcPr>
            <w:tcW w:w="13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(38)</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6"/>
                <w:szCs w:val="16"/>
                <w:color w:val="auto"/>
              </w:rPr>
              <w:t>327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(68)</w:t>
            </w:r>
          </w:p>
        </w:tc>
        <w:tc>
          <w:tcPr>
            <w:tcW w:w="1120" w:type="dxa"/>
            <w:vAlign w:val="bottom"/>
            <w:gridSpan w:val="2"/>
            <w:shd w:val="clear" w:color="auto" w:fill="CCEEFF"/>
          </w:tcPr>
          <w:p>
            <w:pPr>
              <w:jc w:val="right"/>
              <w:ind w:right="61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w:t>
            </w:r>
          </w:p>
        </w:tc>
        <w:tc>
          <w:tcPr>
            <w:tcW w:w="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17 — RELATED PARTY</w:t>
      </w:r>
    </w:p>
    <w:p>
      <w:pPr>
        <w:spacing w:after="0" w:line="105" w:lineRule="exact"/>
        <w:rPr>
          <w:sz w:val="20"/>
          <w:szCs w:val="20"/>
          <w:color w:val="auto"/>
        </w:rPr>
      </w:pPr>
    </w:p>
    <w:p>
      <w:pPr>
        <w:ind w:left="740" w:right="360"/>
        <w:spacing w:after="0" w:line="257" w:lineRule="auto"/>
        <w:rPr>
          <w:sz w:val="20"/>
          <w:szCs w:val="20"/>
          <w:color w:val="auto"/>
        </w:rPr>
      </w:pPr>
      <w:r>
        <w:rPr>
          <w:rFonts w:ascii="Times New Roman" w:cs="Times New Roman" w:eastAsia="Times New Roman" w:hAnsi="Times New Roman"/>
          <w:sz w:val="16"/>
          <w:szCs w:val="16"/>
          <w:color w:val="auto"/>
        </w:rPr>
        <w:t>As of December 31, 2024, certain affiliates of the Sponsors held a portion of the Company’s long-term debt including $3 and $450 reported in the current portion of long-term borrowings and other short-term borrowings and long-term borrowings, less current portion, respectively. As of December 31, 2023, certain related parties held a portion of the Company’s long-term debt including $6 and $643 reported in the current portion of long-term borrowings and other short-term borrowings and long-term borrowings, less current portion, respectively. The terms of these loans are identical to all other term loans issued and notes issued.</w:t>
      </w:r>
    </w:p>
    <w:p>
      <w:pPr>
        <w:spacing w:after="0" w:line="16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See “Note 7 — Credit Agreements and Borrowings” for additional information on the long-term debt.</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There have been no other significant transactions with related parties during the periods presented.</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18 — SEGMENT INFORMATION</w:t>
      </w:r>
    </w:p>
    <w:p>
      <w:pPr>
        <w:spacing w:after="0" w:line="105"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66" w:lineRule="exact"/>
        <w:rPr>
          <w:sz w:val="20"/>
          <w:szCs w:val="20"/>
          <w:color w:val="auto"/>
        </w:rPr>
      </w:pPr>
    </w:p>
    <w:p>
      <w:pPr>
        <w:ind w:left="740" w:right="140"/>
        <w:spacing w:after="0" w:line="256" w:lineRule="auto"/>
        <w:rPr>
          <w:sz w:val="20"/>
          <w:szCs w:val="20"/>
          <w:color w:val="auto"/>
        </w:rPr>
      </w:pPr>
      <w:r>
        <w:rPr>
          <w:rFonts w:ascii="Times New Roman" w:cs="Times New Roman" w:eastAsia="Times New Roman" w:hAnsi="Times New Roman"/>
          <w:sz w:val="16"/>
          <w:szCs w:val="16"/>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F-49</w:t>
      </w:r>
    </w:p>
    <w:p>
      <w:pPr>
        <w:sectPr>
          <w:pgSz w:w="11900" w:h="16838" w:orient="portrait"/>
          <w:cols w:equalWidth="0" w:num="1">
            <w:col w:w="10500"/>
          </w:cols>
          <w:pgMar w:left="320" w:top="420" w:right="107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right="40"/>
        <w:spacing w:after="0" w:line="253" w:lineRule="auto"/>
        <w:rPr>
          <w:sz w:val="20"/>
          <w:szCs w:val="20"/>
          <w:color w:val="auto"/>
        </w:rPr>
      </w:pPr>
      <w:r>
        <w:rPr>
          <w:rFonts w:ascii="Times New Roman" w:cs="Times New Roman" w:eastAsia="Times New Roman" w:hAnsi="Times New Roman"/>
          <w:sz w:val="16"/>
          <w:szCs w:val="16"/>
          <w:color w:val="auto"/>
        </w:rPr>
        <w:t>assess profitability and enable decision making regarding strategic initiatives, capital expenditure,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is the difference between each operating segment’s revenue and Segment Adjusted EBITDA. During 2024, the Company has been transitioning its operations to align around its two primary product lines, Medline Brand and Supply Chain Solutions. This change became effective in 2024. As a result, all segment information in these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tables present financial information by segment:</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color w:val="auto"/>
                <w:w w:val="95"/>
              </w:rPr>
              <w:t>December 31,</w:t>
            </w:r>
          </w:p>
        </w:tc>
        <w:tc>
          <w:tcPr>
            <w:tcW w:w="260" w:type="dxa"/>
            <w:vAlign w:val="bottom"/>
          </w:tcPr>
          <w:p>
            <w:pPr>
              <w:spacing w:after="0"/>
              <w:rPr>
                <w:sz w:val="12"/>
                <w:szCs w:val="12"/>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26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52"/>
        </w:trPr>
        <w:tc>
          <w:tcPr>
            <w:tcW w:w="19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4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3"/>
                <w:szCs w:val="13"/>
                <w:color w:val="auto"/>
              </w:rPr>
              <w:t>2024</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2023</w:t>
            </w:r>
          </w:p>
        </w:tc>
        <w:tc>
          <w:tcPr>
            <w:tcW w:w="3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56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Net sales to external customers: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1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6"/>
                <w:szCs w:val="16"/>
                <w:color w:val="auto"/>
              </w:rPr>
              <w:t>Front Line Care</w:t>
            </w:r>
          </w:p>
        </w:tc>
        <w:tc>
          <w:tcPr>
            <w:tcW w:w="3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3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5,845</w:t>
            </w:r>
          </w:p>
        </w:tc>
        <w:tc>
          <w:tcPr>
            <w:tcW w:w="42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04"/>
        </w:trPr>
        <w:tc>
          <w:tcPr>
            <w:tcW w:w="55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Surgical Solutions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4,931</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196"/>
        </w:trPr>
        <w:tc>
          <w:tcPr>
            <w:tcW w:w="556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Laboratory and Diagnostics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Medline Brand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12,515</w:t>
            </w:r>
          </w:p>
        </w:tc>
        <w:tc>
          <w:tcPr>
            <w:tcW w:w="3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11,613</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10,999</w:t>
            </w:r>
          </w:p>
        </w:tc>
        <w:tc>
          <w:tcPr>
            <w:tcW w:w="0" w:type="dxa"/>
            <w:vAlign w:val="bottom"/>
          </w:tcPr>
          <w:p>
            <w:pPr>
              <w:spacing w:after="0"/>
              <w:rPr>
                <w:sz w:val="1"/>
                <w:szCs w:val="1"/>
                <w:color w:val="auto"/>
              </w:rPr>
            </w:pPr>
          </w:p>
        </w:tc>
      </w:tr>
      <w:tr>
        <w:trPr>
          <w:trHeight w:val="196"/>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Supply Chain Solutions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net sales to external customers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3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23,231</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21,448</w:t>
            </w:r>
          </w:p>
        </w:tc>
        <w:tc>
          <w:tcPr>
            <w:tcW w:w="0" w:type="dxa"/>
            <w:vAlign w:val="bottom"/>
          </w:tcPr>
          <w:p>
            <w:pPr>
              <w:spacing w:after="0"/>
              <w:rPr>
                <w:sz w:val="1"/>
                <w:szCs w:val="1"/>
                <w:color w:val="auto"/>
              </w:rPr>
            </w:pPr>
          </w:p>
        </w:tc>
      </w:tr>
      <w:tr>
        <w:trPr>
          <w:trHeight w:val="20"/>
        </w:trPr>
        <w:tc>
          <w:tcPr>
            <w:tcW w:w="55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9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Medline Brand</w:t>
            </w:r>
          </w:p>
        </w:tc>
        <w:tc>
          <w:tcPr>
            <w:tcW w:w="36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3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2,704</w:t>
            </w:r>
          </w:p>
        </w:tc>
        <w:tc>
          <w:tcPr>
            <w:tcW w:w="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196"/>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Supply Chain Solutions</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3,195</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(555)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(864)</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(976)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192"/>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(977)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(951)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Inventory-related adjustments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(78)</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(150)</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w:t>
            </w:r>
          </w:p>
        </w:tc>
        <w:tc>
          <w:tcPr>
            <w:tcW w:w="0" w:type="dxa"/>
            <w:vAlign w:val="bottom"/>
          </w:tcPr>
          <w:p>
            <w:pPr>
              <w:spacing w:after="0"/>
              <w:rPr>
                <w:sz w:val="1"/>
                <w:szCs w:val="1"/>
                <w:color w:val="auto"/>
              </w:rPr>
            </w:pPr>
          </w:p>
        </w:tc>
      </w:tr>
      <w:tr>
        <w:trPr>
          <w:trHeight w:val="192"/>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Change of control expenses</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(277)</w:t>
            </w:r>
          </w:p>
        </w:tc>
        <w:tc>
          <w:tcPr>
            <w:tcW w:w="0" w:type="dxa"/>
            <w:vAlign w:val="bottom"/>
          </w:tcPr>
          <w:p>
            <w:pPr>
              <w:spacing w:after="0"/>
              <w:rPr>
                <w:sz w:val="1"/>
                <w:szCs w:val="1"/>
                <w:color w:val="auto"/>
              </w:rPr>
            </w:pPr>
          </w:p>
        </w:tc>
      </w:tr>
      <w:tr>
        <w:trPr>
          <w:trHeight w:val="192"/>
        </w:trPr>
        <w:tc>
          <w:tcPr>
            <w:tcW w:w="55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Litigation charges, net</w:t>
            </w: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(161)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92"/>
        </w:trPr>
        <w:tc>
          <w:tcPr>
            <w:tcW w:w="5560" w:type="dxa"/>
            <w:vAlign w:val="bottom"/>
            <w:gridSpan w:val="3"/>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Other</w:t>
            </w:r>
            <w:r>
              <w:rPr>
                <w:rFonts w:ascii="Times New Roman" w:cs="Times New Roman" w:eastAsia="Times New Roman" w:hAnsi="Times New Roman"/>
                <w:sz w:val="22"/>
                <w:szCs w:val="22"/>
                <w:color w:val="auto"/>
                <w:vertAlign w:val="superscript"/>
              </w:rPr>
              <w:t>(a)</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(133)</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6"/>
        </w:trPr>
        <w:tc>
          <w:tcPr>
            <w:tcW w:w="55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1120" w:hanging="382"/>
        <w:spacing w:after="0" w:line="277" w:lineRule="auto"/>
        <w:tabs>
          <w:tab w:leader="none" w:pos="1120" w:val="left"/>
        </w:tabs>
        <w:numPr>
          <w:ilvl w:val="0"/>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gain due to a change in valuation estimate related to an acquisition, loss on debt extinguishment and other refinancing costs and fees, credit loss expense related to customer bankruptcies, acquisition and integration related costs, loss on disposals of assets and exits, realized and unrealized foreign currency and investment losses and costs and other items.</w:t>
      </w:r>
    </w:p>
    <w:p>
      <w:pPr>
        <w:spacing w:after="0" w:line="8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F-50</w:t>
      </w:r>
    </w:p>
    <w:p>
      <w:pPr>
        <w:sectPr>
          <w:pgSz w:w="11900" w:h="16838" w:orient="portrait"/>
          <w:cols w:equalWidth="0" w:num="1">
            <w:col w:w="10500"/>
          </w:cols>
          <w:pgMar w:left="320" w:top="420" w:right="10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1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tables present information by sales office and geographic area:</w:t>
      </w:r>
    </w:p>
    <w:p>
      <w:pPr>
        <w:spacing w:after="0" w:line="202"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5"/>
              </w:rPr>
              <w:t>December 31,</w:t>
            </w:r>
          </w:p>
        </w:tc>
        <w:tc>
          <w:tcPr>
            <w:tcW w:w="1320" w:type="dxa"/>
            <w:vAlign w:val="bottom"/>
            <w:gridSpan w:val="3"/>
          </w:tcPr>
          <w:p>
            <w:pPr>
              <w:ind w:left="600"/>
              <w:spacing w:after="0"/>
              <w:rPr>
                <w:sz w:val="20"/>
                <w:szCs w:val="20"/>
                <w:color w:val="auto"/>
              </w:rPr>
            </w:pPr>
            <w:r>
              <w:rPr>
                <w:rFonts w:ascii="Times New Roman" w:cs="Times New Roman" w:eastAsia="Times New Roman" w:hAnsi="Times New Roman"/>
                <w:sz w:val="13"/>
                <w:szCs w:val="13"/>
                <w:color w:val="auto"/>
                <w:w w:val="95"/>
              </w:rPr>
              <w:t>December 31,</w:t>
            </w:r>
          </w:p>
        </w:tc>
        <w:tc>
          <w:tcPr>
            <w:tcW w:w="14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2160" w:type="dxa"/>
            <w:vAlign w:val="bottom"/>
            <w:tcBorders>
              <w:bottom w:val="single" w:sz="8" w:color="CCEEFF"/>
            </w:tcBorders>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color w:val="auto"/>
              </w:rPr>
              <w:t>2024</w:t>
            </w:r>
          </w:p>
        </w:tc>
        <w:tc>
          <w:tcPr>
            <w:tcW w:w="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2023</w:t>
            </w:r>
          </w:p>
        </w:tc>
        <w:tc>
          <w:tcPr>
            <w:tcW w:w="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2022</w:t>
            </w:r>
          </w:p>
        </w:tc>
        <w:tc>
          <w:tcPr>
            <w:tcW w:w="60" w:type="dxa"/>
            <w:vAlign w:val="bottom"/>
            <w:tcBorders>
              <w:bottom w:val="single" w:sz="8" w:color="CCEEFF"/>
            </w:tcBorders>
          </w:tcPr>
          <w:p>
            <w:pPr>
              <w:spacing w:after="0"/>
              <w:rPr>
                <w:sz w:val="13"/>
                <w:szCs w:val="13"/>
                <w:color w:val="auto"/>
              </w:rPr>
            </w:pPr>
          </w:p>
        </w:tc>
      </w:tr>
      <w:tr>
        <w:trPr>
          <w:trHeight w:val="152"/>
        </w:trPr>
        <w:tc>
          <w:tcPr>
            <w:tcW w:w="2160" w:type="dxa"/>
            <w:vAlign w:val="bottom"/>
            <w:tcBorders>
              <w:bottom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5"/>
                <w:szCs w:val="15"/>
                <w:b w:val="1"/>
                <w:bCs w:val="1"/>
                <w:color w:val="auto"/>
              </w:rPr>
              <w:t>Net sales to external customers:</w:t>
            </w:r>
          </w:p>
        </w:tc>
        <w:tc>
          <w:tcPr>
            <w:tcW w:w="26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r>
      <w:tr>
        <w:trPr>
          <w:trHeight w:val="192"/>
        </w:trPr>
        <w:tc>
          <w:tcPr>
            <w:tcW w:w="4760" w:type="dxa"/>
            <w:vAlign w:val="bottom"/>
            <w:gridSpan w:val="2"/>
          </w:tcPr>
          <w:p>
            <w:pPr>
              <w:ind w:left="320"/>
              <w:spacing w:after="0" w:line="191" w:lineRule="exact"/>
              <w:rPr>
                <w:sz w:val="20"/>
                <w:szCs w:val="20"/>
                <w:color w:val="auto"/>
              </w:rPr>
            </w:pPr>
            <w:r>
              <w:rPr>
                <w:rFonts w:ascii="Times New Roman" w:cs="Times New Roman" w:eastAsia="Times New Roman" w:hAnsi="Times New Roman"/>
                <w:sz w:val="15"/>
                <w:szCs w:val="15"/>
                <w:color w:val="auto"/>
              </w:rPr>
              <w:t>Acute care</w:t>
            </w:r>
            <w:r>
              <w:rPr>
                <w:rFonts w:ascii="Times New Roman" w:cs="Times New Roman" w:eastAsia="Times New Roman" w:hAnsi="Times New Roman"/>
                <w:sz w:val="22"/>
                <w:szCs w:val="22"/>
                <w:color w:val="auto"/>
                <w:vertAlign w:val="superscript"/>
              </w:rPr>
              <w:t>(a)</w:t>
            </w:r>
          </w:p>
        </w:tc>
        <w:tc>
          <w:tcPr>
            <w:tcW w:w="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17,491</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15,906</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14,455</w:t>
            </w:r>
          </w:p>
        </w:tc>
        <w:tc>
          <w:tcPr>
            <w:tcW w:w="60" w:type="dxa"/>
            <w:vAlign w:val="bottom"/>
          </w:tcPr>
          <w:p>
            <w:pPr>
              <w:spacing w:after="0"/>
              <w:rPr>
                <w:sz w:val="16"/>
                <w:szCs w:val="16"/>
                <w:color w:val="auto"/>
              </w:rPr>
            </w:pPr>
          </w:p>
        </w:tc>
      </w:tr>
      <w:tr>
        <w:trPr>
          <w:trHeight w:val="192"/>
        </w:trPr>
        <w:tc>
          <w:tcPr>
            <w:tcW w:w="4760" w:type="dxa"/>
            <w:vAlign w:val="bottom"/>
            <w:gridSpan w:val="2"/>
            <w:shd w:val="clear" w:color="auto" w:fill="CCEEFF"/>
          </w:tcPr>
          <w:p>
            <w:pPr>
              <w:ind w:left="320"/>
              <w:spacing w:after="0" w:line="191" w:lineRule="exact"/>
              <w:rPr>
                <w:sz w:val="20"/>
                <w:szCs w:val="20"/>
                <w:color w:val="auto"/>
              </w:rPr>
            </w:pPr>
            <w:r>
              <w:rPr>
                <w:rFonts w:ascii="Times New Roman" w:cs="Times New Roman" w:eastAsia="Times New Roman" w:hAnsi="Times New Roman"/>
                <w:sz w:val="15"/>
                <w:szCs w:val="15"/>
                <w:color w:val="auto"/>
              </w:rPr>
              <w:t>Non-Acute care</w:t>
            </w:r>
            <w:r>
              <w:rPr>
                <w:rFonts w:ascii="Times New Roman" w:cs="Times New Roman" w:eastAsia="Times New Roman" w:hAnsi="Times New Roman"/>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6,256</w:t>
            </w:r>
          </w:p>
        </w:tc>
        <w:tc>
          <w:tcPr>
            <w:tcW w:w="6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6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5,510</w:t>
            </w:r>
          </w:p>
        </w:tc>
        <w:tc>
          <w:tcPr>
            <w:tcW w:w="60" w:type="dxa"/>
            <w:vAlign w:val="bottom"/>
            <w:shd w:val="clear" w:color="auto" w:fill="CCEEFF"/>
          </w:tcPr>
          <w:p>
            <w:pPr>
              <w:spacing w:after="0"/>
              <w:rPr>
                <w:sz w:val="16"/>
                <w:szCs w:val="16"/>
                <w:color w:val="auto"/>
              </w:rPr>
            </w:pPr>
          </w:p>
        </w:tc>
      </w:tr>
      <w:tr>
        <w:trPr>
          <w:trHeight w:val="196"/>
        </w:trPr>
        <w:tc>
          <w:tcPr>
            <w:tcW w:w="4760" w:type="dxa"/>
            <w:vAlign w:val="bottom"/>
            <w:gridSpan w:val="2"/>
          </w:tcPr>
          <w:p>
            <w:pPr>
              <w:jc w:val="center"/>
              <w:ind w:right="25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23,747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19,965</w:t>
            </w:r>
          </w:p>
        </w:tc>
        <w:tc>
          <w:tcPr>
            <w:tcW w:w="60" w:type="dxa"/>
            <w:vAlign w:val="bottom"/>
          </w:tcPr>
          <w:p>
            <w:pPr>
              <w:spacing w:after="0"/>
              <w:rPr>
                <w:sz w:val="17"/>
                <w:szCs w:val="17"/>
                <w:color w:val="auto"/>
              </w:rPr>
            </w:pPr>
          </w:p>
        </w:tc>
      </w:tr>
      <w:tr>
        <w:trPr>
          <w:trHeight w:val="192"/>
        </w:trPr>
        <w:tc>
          <w:tcPr>
            <w:tcW w:w="476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6"/>
                <w:szCs w:val="16"/>
                <w:b w:val="1"/>
                <w:bCs w:val="1"/>
                <w:color w:val="auto"/>
                <w:w w:val="99"/>
              </w:rPr>
              <w:t>International</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6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6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w:t>
            </w:r>
          </w:p>
        </w:tc>
        <w:tc>
          <w:tcPr>
            <w:tcW w:w="60" w:type="dxa"/>
            <w:vAlign w:val="bottom"/>
            <w:shd w:val="clear" w:color="auto" w:fill="CCEEFF"/>
          </w:tcPr>
          <w:p>
            <w:pPr>
              <w:spacing w:after="0"/>
              <w:rPr>
                <w:sz w:val="16"/>
                <w:szCs w:val="16"/>
                <w:color w:val="auto"/>
              </w:rPr>
            </w:pPr>
          </w:p>
        </w:tc>
      </w:tr>
      <w:tr>
        <w:trPr>
          <w:trHeight w:val="196"/>
        </w:trPr>
        <w:tc>
          <w:tcPr>
            <w:tcW w:w="476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Consolidated net sales to external customers</w:t>
            </w:r>
          </w:p>
        </w:tc>
        <w:tc>
          <w:tcPr>
            <w:tcW w:w="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25,507</w:t>
            </w:r>
          </w:p>
        </w:tc>
        <w:tc>
          <w:tcPr>
            <w:tcW w:w="60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23,231</w:t>
            </w:r>
          </w:p>
        </w:tc>
        <w:tc>
          <w:tcPr>
            <w:tcW w:w="6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21,448</w:t>
            </w:r>
          </w:p>
        </w:tc>
        <w:tc>
          <w:tcPr>
            <w:tcW w:w="6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6" w:lineRule="exact"/>
        <w:rPr>
          <w:sz w:val="20"/>
          <w:szCs w:val="20"/>
          <w:color w:val="auto"/>
        </w:rPr>
      </w:pPr>
    </w:p>
    <w:p>
      <w:pPr>
        <w:ind w:left="1120" w:hanging="382"/>
        <w:spacing w:after="0"/>
        <w:tabs>
          <w:tab w:leader="none" w:pos="11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Acute care represents hospital health systems.</w:t>
      </w:r>
    </w:p>
    <w:p>
      <w:pPr>
        <w:ind w:left="1120" w:hanging="382"/>
        <w:spacing w:after="0"/>
        <w:tabs>
          <w:tab w:leader="none" w:pos="11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Non-acute care represents other sites of care including outpatient, post acute, physician’s office, surgery centers, and all other.</w:t>
      </w:r>
    </w:p>
    <w:p>
      <w:pPr>
        <w:spacing w:after="0" w:line="166"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5"/>
              </w:rPr>
              <w:t>December 31,</w:t>
            </w:r>
          </w:p>
        </w:tc>
        <w:tc>
          <w:tcPr>
            <w:tcW w:w="7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December 31,</w:t>
            </w:r>
          </w:p>
        </w:tc>
        <w:tc>
          <w:tcPr>
            <w:tcW w:w="0" w:type="dxa"/>
            <w:vAlign w:val="bottom"/>
          </w:tcPr>
          <w:p>
            <w:pPr>
              <w:spacing w:after="0"/>
              <w:rPr>
                <w:sz w:val="1"/>
                <w:szCs w:val="1"/>
                <w:color w:val="auto"/>
              </w:rPr>
            </w:pPr>
          </w:p>
        </w:tc>
      </w:tr>
      <w:tr>
        <w:trPr>
          <w:trHeight w:val="152"/>
        </w:trPr>
        <w:tc>
          <w:tcPr>
            <w:tcW w:w="26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color w:val="auto"/>
              </w:rPr>
              <w:t>2024</w:t>
            </w:r>
          </w:p>
        </w:tc>
        <w:tc>
          <w:tcPr>
            <w:tcW w:w="7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2023</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620" w:type="dxa"/>
            <w:vAlign w:val="bottom"/>
            <w:tcBorders>
              <w:bottom w:val="single" w:sz="8" w:color="CCEEFF"/>
            </w:tcBorders>
            <w:vMerge w:val="restart"/>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Long-lived assets by geographical area</w:t>
            </w:r>
          </w:p>
        </w:tc>
        <w:tc>
          <w:tcPr>
            <w:tcW w:w="140" w:type="dxa"/>
            <w:vAlign w:val="bottom"/>
            <w:tcBorders>
              <w:bottom w:val="single" w:sz="8" w:color="auto"/>
            </w:tcBorders>
            <w:shd w:val="clear" w:color="auto" w:fill="CCEEFF"/>
          </w:tcPr>
          <w:p>
            <w:pPr>
              <w:spacing w:after="0" w:line="80" w:lineRule="exact"/>
              <w:rPr>
                <w:sz w:val="20"/>
                <w:szCs w:val="20"/>
                <w:color w:val="auto"/>
              </w:rPr>
            </w:pPr>
            <w:r>
              <w:rPr>
                <w:rFonts w:ascii="Times New Roman" w:cs="Times New Roman" w:eastAsia="Times New Roman" w:hAnsi="Times New Roman"/>
                <w:sz w:val="8"/>
                <w:szCs w:val="8"/>
                <w:b w:val="1"/>
                <w:bCs w:val="1"/>
                <w:color w:val="auto"/>
              </w:rPr>
              <w:t>(a)</w:t>
            </w:r>
          </w:p>
        </w:tc>
        <w:tc>
          <w:tcPr>
            <w:tcW w:w="2400" w:type="dxa"/>
            <w:vAlign w:val="bottom"/>
            <w:tcBorders>
              <w:bottom w:val="single" w:sz="8" w:color="CCEEFF"/>
            </w:tcBorders>
            <w:vMerge w:val="restart"/>
            <w:shd w:val="clear" w:color="auto" w:fill="CCEEFF"/>
          </w:tcPr>
          <w:p>
            <w:pPr>
              <w:jc w:val="right"/>
              <w:ind w:right="2266"/>
              <w:spacing w:after="0" w:line="136" w:lineRule="exact"/>
              <w:rPr>
                <w:sz w:val="20"/>
                <w:szCs w:val="20"/>
                <w:color w:val="auto"/>
              </w:rPr>
            </w:pPr>
            <w:r>
              <w:rPr>
                <w:rFonts w:ascii="Times New Roman" w:cs="Times New Roman" w:eastAsia="Times New Roman" w:hAnsi="Times New Roman"/>
                <w:sz w:val="15"/>
                <w:szCs w:val="15"/>
                <w:b w:val="1"/>
                <w:bCs w:val="1"/>
                <w:u w:val="single" w:color="auto"/>
                <w:color w:val="auto"/>
                <w:w w:val="79"/>
              </w:rPr>
              <w:t>:</w:t>
            </w:r>
          </w:p>
        </w:tc>
        <w:tc>
          <w:tcPr>
            <w:tcW w:w="16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7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2620" w:type="dxa"/>
            <w:vAlign w:val="bottom"/>
            <w:tcBorders>
              <w:bottom w:val="single" w:sz="8" w:color="auto"/>
            </w:tcBorders>
            <w:vMerge w:val="continue"/>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2400" w:type="dxa"/>
            <w:vAlign w:val="bottom"/>
            <w:tcBorders>
              <w:bottom w:val="single" w:sz="8" w:color="CCEEFF"/>
            </w:tcBorders>
            <w:vMerge w:val="continue"/>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560" w:type="dxa"/>
            <w:vAlign w:val="bottom"/>
            <w:tcBorders>
              <w:bottom w:val="single" w:sz="8" w:color="CCEEFF"/>
            </w:tcBorders>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1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United States</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9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4,190</w:t>
            </w:r>
          </w:p>
        </w:tc>
        <w:tc>
          <w:tcPr>
            <w:tcW w:w="0" w:type="dxa"/>
            <w:vAlign w:val="bottom"/>
          </w:tcPr>
          <w:p>
            <w:pPr>
              <w:spacing w:after="0"/>
              <w:rPr>
                <w:sz w:val="1"/>
                <w:szCs w:val="1"/>
                <w:color w:val="auto"/>
              </w:rPr>
            </w:pPr>
          </w:p>
        </w:tc>
      </w:tr>
      <w:tr>
        <w:trPr>
          <w:trHeight w:val="192"/>
        </w:trPr>
        <w:tc>
          <w:tcPr>
            <w:tcW w:w="5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196"/>
        </w:trPr>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long-lived assets,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7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1120" w:hanging="382"/>
        <w:spacing w:after="0"/>
        <w:tabs>
          <w:tab w:leader="none" w:pos="112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property, plant, and equipment, net, and operating lease ROU assets.</w:t>
      </w:r>
    </w:p>
    <w:p>
      <w:pPr>
        <w:spacing w:after="0" w:line="27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19 — SUBSEQUENT EVENTS</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 has evaluated its consolidated financial statements for subsequent events through February 28, 2025, the date the consolidated financial statements were available to be issued.</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F-51</w:t>
      </w:r>
    </w:p>
    <w:p>
      <w:pPr>
        <w:sectPr>
          <w:pgSz w:w="11900" w:h="16838" w:orient="portrait"/>
          <w:cols w:equalWidth="0" w:num="1">
            <w:col w:w="10340"/>
          </w:cols>
          <w:pgMar w:left="320" w:top="420" w:right="12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4" w:lineRule="exact"/>
        <w:rPr>
          <w:sz w:val="20"/>
          <w:szCs w:val="20"/>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As of September 27,</w:t>
            </w: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As of December 31,</w:t>
            </w:r>
          </w:p>
        </w:tc>
      </w:tr>
      <w:tr>
        <w:trPr>
          <w:trHeight w:val="152"/>
        </w:trPr>
        <w:tc>
          <w:tcPr>
            <w:tcW w:w="20" w:type="dxa"/>
            <w:vAlign w:val="bottom"/>
          </w:tcPr>
          <w:p>
            <w:pPr>
              <w:spacing w:after="0"/>
              <w:rPr>
                <w:sz w:val="13"/>
                <w:szCs w:val="13"/>
                <w:color w:val="auto"/>
              </w:rPr>
            </w:pPr>
          </w:p>
        </w:tc>
        <w:tc>
          <w:tcPr>
            <w:tcW w:w="6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2025 (Unaudited)</w:t>
            </w:r>
          </w:p>
        </w:tc>
        <w:tc>
          <w:tcPr>
            <w:tcW w:w="240" w:type="dxa"/>
            <w:vAlign w:val="bottom"/>
          </w:tcPr>
          <w:p>
            <w:pPr>
              <w:spacing w:after="0"/>
              <w:rPr>
                <w:sz w:val="13"/>
                <w:szCs w:val="13"/>
                <w:color w:val="auto"/>
              </w:rPr>
            </w:pPr>
          </w:p>
        </w:tc>
        <w:tc>
          <w:tcPr>
            <w:tcW w:w="800" w:type="dxa"/>
            <w:vAlign w:val="bottom"/>
          </w:tcPr>
          <w:p>
            <w:pPr>
              <w:jc w:val="right"/>
              <w:ind w:right="328"/>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67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952</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2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Trade accounts receivable, net of allowance for credit losses of $152 and $108 as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September 27, 2025 and December 31, 2024, respectively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3,425</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w:t>
            </w: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Inventories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4,752</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current assets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9,558</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8,272</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4,690</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8,069</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Intangible assets, net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14,068</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14,559</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long-term assets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22,635</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23,111</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36,883</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MEZZANINE EQUITY AND PARTNERS’ CAPITAL</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Current portion of long-term borrowings and other short-term borrowings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77</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990</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1,514</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taxes payable</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2,612</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Long-term borrowings, less current portion</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16,501</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16,416</w:t>
            </w:r>
          </w:p>
        </w:tc>
        <w:tc>
          <w:tcPr>
            <w:tcW w:w="2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17,130</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17,014</w:t>
            </w:r>
          </w:p>
        </w:tc>
        <w:tc>
          <w:tcPr>
            <w:tcW w:w="20" w:type="dxa"/>
            <w:vAlign w:val="bottom"/>
            <w:shd w:val="clear" w:color="auto" w:fill="CCEEFF"/>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6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19,742</w:t>
            </w: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19,454</w:t>
            </w:r>
          </w:p>
        </w:tc>
        <w:tc>
          <w:tcPr>
            <w:tcW w:w="20" w:type="dxa"/>
            <w:vAlign w:val="bottom"/>
          </w:tcPr>
          <w:p>
            <w:pPr>
              <w:spacing w:after="0"/>
              <w:rPr>
                <w:sz w:val="16"/>
                <w:szCs w:val="16"/>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Mezzanine equity</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A Units, no par value; 128 units issued and outstanding as of September 27, 2025 and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December 31, 2024</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240</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20" w:type="dxa"/>
            <w:vAlign w:val="bottom"/>
            <w:shd w:val="clear" w:color="auto" w:fill="CCEEFF"/>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 no par value; 101 and 106 units outstanding as of September 27, 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and December 31, 2024, respectively</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20" w:type="dxa"/>
            <w:vAlign w:val="bottom"/>
          </w:tcPr>
          <w:p>
            <w:pPr>
              <w:spacing w:after="0"/>
              <w:rPr>
                <w:sz w:val="17"/>
                <w:szCs w:val="17"/>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mezzanine equity</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367</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Partners’ 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A Units, no par value; 16,723 units issued and outstanding as of September 27, 2025 and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December 31, 2024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16,524</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15,976</w:t>
            </w:r>
          </w:p>
        </w:tc>
        <w:tc>
          <w:tcPr>
            <w:tcW w:w="20" w:type="dxa"/>
            <w:vAlign w:val="bottom"/>
            <w:shd w:val="clear" w:color="auto" w:fill="CCEEFF"/>
          </w:tcPr>
          <w:p>
            <w:pPr>
              <w:spacing w:after="0"/>
              <w:rPr>
                <w:sz w:val="16"/>
                <w:szCs w:val="16"/>
                <w:color w:val="auto"/>
              </w:rPr>
            </w:pPr>
          </w:p>
        </w:tc>
      </w:tr>
      <w:tr>
        <w:trPr>
          <w:trHeight w:val="167"/>
        </w:trPr>
        <w:tc>
          <w:tcPr>
            <w:tcW w:w="20" w:type="dxa"/>
            <w:vAlign w:val="bottom"/>
          </w:tcPr>
          <w:p>
            <w:pPr>
              <w:spacing w:after="0"/>
              <w:rPr>
                <w:sz w:val="14"/>
                <w:szCs w:val="14"/>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 B Units, no par value; 734 and 721 units issued and outstanding as of September 27, 2025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and December 31, 2024, respectively</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147</w:t>
            </w: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6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 B CUPI Units, no par value; 23 units issued and outstanding as of September 27, 2025 and</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6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December 31, 2024</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shd w:val="clear" w:color="auto" w:fill="CCEEFF"/>
          </w:tcPr>
          <w:p>
            <w:pPr>
              <w:spacing w:after="0"/>
              <w:rPr>
                <w:sz w:val="16"/>
                <w:szCs w:val="16"/>
                <w:color w:val="auto"/>
              </w:rPr>
            </w:pPr>
          </w:p>
        </w:tc>
      </w:tr>
      <w:tr>
        <w:trPr>
          <w:trHeight w:val="184"/>
        </w:trPr>
        <w:tc>
          <w:tcPr>
            <w:tcW w:w="20" w:type="dxa"/>
            <w:vAlign w:val="bottom"/>
          </w:tcPr>
          <w:p>
            <w:pPr>
              <w:spacing w:after="0"/>
              <w:rPr>
                <w:sz w:val="15"/>
                <w:szCs w:val="15"/>
                <w:color w:val="auto"/>
              </w:rPr>
            </w:pPr>
          </w:p>
        </w:tc>
        <w:tc>
          <w:tcPr>
            <w:tcW w:w="67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7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Total partners’ capital</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16,774</w:t>
            </w: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16,158</w:t>
            </w:r>
          </w:p>
        </w:tc>
        <w:tc>
          <w:tcPr>
            <w:tcW w:w="20" w:type="dxa"/>
            <w:vAlign w:val="bottom"/>
            <w:shd w:val="clear" w:color="auto" w:fill="CCEEFF"/>
          </w:tcPr>
          <w:p>
            <w:pPr>
              <w:spacing w:after="0"/>
              <w:rPr>
                <w:sz w:val="15"/>
                <w:szCs w:val="15"/>
                <w:color w:val="auto"/>
              </w:rPr>
            </w:pPr>
          </w:p>
        </w:tc>
      </w:tr>
      <w:tr>
        <w:trPr>
          <w:trHeight w:val="181"/>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liabilities, mezzanine equity and partners’ capital</w:t>
            </w:r>
          </w:p>
        </w:tc>
        <w:tc>
          <w:tcPr>
            <w:tcW w:w="20" w:type="dxa"/>
            <w:vAlign w:val="bottom"/>
            <w:tcBorders>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36,883</w:t>
            </w:r>
          </w:p>
        </w:tc>
        <w:tc>
          <w:tcPr>
            <w:tcW w:w="2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35,978</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F-52</w:t>
      </w:r>
    </w:p>
    <w:p>
      <w:pPr>
        <w:sectPr>
          <w:pgSz w:w="11900" w:h="16838" w:orient="portrait"/>
          <w:cols w:equalWidth="0" w:num="1">
            <w:col w:w="10500"/>
          </w:cols>
          <w:pgMar w:left="320" w:top="420" w:right="107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 (Unaudited)</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color w:val="auto"/>
              </w:rPr>
              <w:t>Three months ended</w:t>
            </w:r>
          </w:p>
        </w:tc>
        <w:tc>
          <w:tcPr>
            <w:tcW w:w="520" w:type="dxa"/>
            <w:vAlign w:val="bottom"/>
            <w:tcBorders>
              <w:bottom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3"/>
                <w:szCs w:val="13"/>
                <w:color w:val="auto"/>
              </w:rPr>
              <w:t>Nine months ended</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24"/>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4"/>
          </w:tcPr>
          <w:p>
            <w:pPr>
              <w:spacing w:after="0" w:line="124" w:lineRule="exact"/>
              <w:rPr>
                <w:sz w:val="20"/>
                <w:szCs w:val="20"/>
                <w:color w:val="auto"/>
              </w:rPr>
            </w:pPr>
            <w:r>
              <w:rPr>
                <w:rFonts w:ascii="Times New Roman" w:cs="Times New Roman" w:eastAsia="Times New Roman" w:hAnsi="Times New Roman"/>
                <w:sz w:val="13"/>
                <w:szCs w:val="13"/>
                <w:color w:val="auto"/>
              </w:rPr>
              <w:t>September 27, 2025</w:t>
            </w:r>
          </w:p>
        </w:tc>
        <w:tc>
          <w:tcPr>
            <w:tcW w:w="102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w w:val="95"/>
              </w:rPr>
              <w:t>September 28, 2024</w:t>
            </w:r>
          </w:p>
        </w:tc>
        <w:tc>
          <w:tcPr>
            <w:tcW w:w="3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color w:val="auto"/>
              </w:rPr>
              <w:t>September 27, 2025</w:t>
            </w:r>
          </w:p>
        </w:tc>
        <w:tc>
          <w:tcPr>
            <w:tcW w:w="1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w w:val="97"/>
              </w:rPr>
              <w:t>September 28, 2024</w:t>
            </w:r>
          </w:p>
        </w:tc>
        <w:tc>
          <w:tcPr>
            <w:tcW w:w="80" w:type="dxa"/>
            <w:vAlign w:val="bottom"/>
          </w:tcPr>
          <w:p>
            <w:pPr>
              <w:spacing w:after="0"/>
              <w:rPr>
                <w:sz w:val="10"/>
                <w:szCs w:val="10"/>
                <w:color w:val="auto"/>
              </w:rPr>
            </w:pPr>
          </w:p>
        </w:tc>
      </w:tr>
      <w:tr>
        <w:trPr>
          <w:trHeight w:val="184"/>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360" w:type="dxa"/>
            <w:vAlign w:val="bottom"/>
            <w:tcBorders>
              <w:top w:val="single" w:sz="8" w:color="CCEEFF"/>
              <w:right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6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36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15,041</w:t>
            </w:r>
          </w:p>
        </w:tc>
        <w:tc>
          <w:tcPr>
            <w:tcW w:w="3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13,598</w:t>
            </w:r>
          </w:p>
        </w:tc>
      </w:tr>
      <w:tr>
        <w:trPr>
          <w:trHeight w:val="24"/>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c>
          <w:tcPr>
            <w:tcW w:w="360" w:type="dxa"/>
            <w:vAlign w:val="bottom"/>
            <w:tcBorders>
              <w:right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5,604</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5,125</w:t>
            </w: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52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Selling, general and administrative</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3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1,116</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988</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3,259</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2,944</w:t>
            </w:r>
          </w:p>
        </w:tc>
      </w:tr>
      <w:tr>
        <w:trPr>
          <w:trHeight w:val="192"/>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173</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528</w:t>
            </w:r>
          </w:p>
        </w:tc>
        <w:tc>
          <w:tcPr>
            <w:tcW w:w="3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508</w:t>
            </w: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360" w:type="dxa"/>
            <w:vAlign w:val="bottom"/>
            <w:tcBorders>
              <w:right w:val="single" w:sz="8" w:color="auto"/>
            </w:tcBorders>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r>
      <w:tr>
        <w:trPr>
          <w:trHeight w:val="199"/>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operating expense</w:t>
            </w:r>
          </w:p>
        </w:tc>
        <w:tc>
          <w:tcPr>
            <w:tcW w:w="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6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3,471</w:t>
            </w:r>
          </w:p>
        </w:tc>
        <w:tc>
          <w:tcPr>
            <w:tcW w:w="80" w:type="dxa"/>
            <w:vAlign w:val="bottom"/>
          </w:tcPr>
          <w:p>
            <w:pPr>
              <w:spacing w:after="0"/>
              <w:rPr>
                <w:sz w:val="17"/>
                <w:szCs w:val="17"/>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574</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574</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1,787</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1,654</w:t>
            </w:r>
          </w:p>
        </w:tc>
      </w:tr>
      <w:tr>
        <w:trPr>
          <w:trHeight w:val="196"/>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(213)</w:t>
            </w:r>
          </w:p>
        </w:tc>
        <w:tc>
          <w:tcPr>
            <w:tcW w:w="50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(213)</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(646)</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(655)</w:t>
            </w:r>
          </w:p>
        </w:tc>
      </w:tr>
      <w:tr>
        <w:trPr>
          <w:trHeight w:val="192"/>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expense, net</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(6)</w:t>
            </w:r>
          </w:p>
        </w:tc>
        <w:tc>
          <w:tcPr>
            <w:tcW w:w="50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(6)</w:t>
            </w:r>
          </w:p>
        </w:tc>
        <w:tc>
          <w:tcPr>
            <w:tcW w:w="38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Foreign exchange loss, net</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w:t>
            </w:r>
          </w:p>
        </w:tc>
        <w:tc>
          <w:tcPr>
            <w:tcW w:w="50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(22)</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r>
      <w:tr>
        <w:trPr>
          <w:trHeight w:val="199"/>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6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Pr>
          <w:p>
            <w:pPr>
              <w:spacing w:after="0"/>
              <w:rPr>
                <w:sz w:val="17"/>
                <w:szCs w:val="17"/>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w:t>
            </w: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338</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1,042</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941</w:t>
            </w: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36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65</w:t>
            </w:r>
          </w:p>
        </w:tc>
        <w:tc>
          <w:tcPr>
            <w:tcW w:w="3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r>
      <w:tr>
        <w:trPr>
          <w:trHeight w:val="24"/>
        </w:trPr>
        <w:tc>
          <w:tcPr>
            <w:tcW w:w="3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3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tcBorders>
              <w:right w:val="single" w:sz="8" w:color="auto"/>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324</w:t>
            </w:r>
          </w:p>
        </w:tc>
        <w:tc>
          <w:tcPr>
            <w:tcW w:w="6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977</w:t>
            </w:r>
          </w:p>
        </w:tc>
        <w:tc>
          <w:tcPr>
            <w:tcW w:w="3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911</w:t>
            </w: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5"/>
        </w:trPr>
        <w:tc>
          <w:tcPr>
            <w:tcW w:w="352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Net unrealized loss on derivative</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3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instruments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w:t>
            </w:r>
          </w:p>
        </w:tc>
        <w:tc>
          <w:tcPr>
            <w:tcW w:w="5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(112)</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6"/>
                <w:szCs w:val="16"/>
                <w:color w:val="auto"/>
              </w:rPr>
              <w:t>(70)</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r>
      <w:tr>
        <w:trPr>
          <w:trHeight w:val="196"/>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Currency translation adjustment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111</w:t>
            </w:r>
          </w:p>
        </w:tc>
        <w:tc>
          <w:tcPr>
            <w:tcW w:w="3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r>
      <w:tr>
        <w:trPr>
          <w:trHeight w:val="175"/>
        </w:trPr>
        <w:tc>
          <w:tcPr>
            <w:tcW w:w="3520" w:type="dxa"/>
            <w:vAlign w:val="bottom"/>
            <w:shd w:val="clear" w:color="auto" w:fill="CCEEFF"/>
          </w:tcPr>
          <w:p>
            <w:pPr>
              <w:ind w:left="320"/>
              <w:spacing w:after="0" w:line="175" w:lineRule="exact"/>
              <w:rPr>
                <w:sz w:val="20"/>
                <w:szCs w:val="20"/>
                <w:color w:val="auto"/>
              </w:rPr>
            </w:pPr>
            <w:r>
              <w:rPr>
                <w:rFonts w:ascii="Times New Roman" w:cs="Times New Roman" w:eastAsia="Times New Roman" w:hAnsi="Times New Roman"/>
                <w:sz w:val="16"/>
                <w:szCs w:val="16"/>
                <w:color w:val="auto"/>
              </w:rPr>
              <w:t>Total other comprehensive (loss)</w:t>
            </w:r>
          </w:p>
        </w:tc>
        <w:tc>
          <w:tcPr>
            <w:tcW w:w="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60" w:type="dxa"/>
            <w:vAlign w:val="bottom"/>
            <w:tcBorders>
              <w:right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8"/>
        </w:trPr>
        <w:tc>
          <w:tcPr>
            <w:tcW w:w="3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net of tax</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w:t>
            </w:r>
          </w:p>
        </w:tc>
        <w:tc>
          <w:tcPr>
            <w:tcW w:w="5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(96)</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41</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w:t>
            </w:r>
          </w:p>
        </w:tc>
      </w:tr>
      <w:tr>
        <w:trPr>
          <w:trHeight w:val="196"/>
        </w:trPr>
        <w:tc>
          <w:tcPr>
            <w:tcW w:w="352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6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6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80" w:type="dxa"/>
            <w:vAlign w:val="bottom"/>
          </w:tcPr>
          <w:p>
            <w:pPr>
              <w:spacing w:after="0"/>
              <w:rPr>
                <w:sz w:val="17"/>
                <w:szCs w:val="17"/>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F-53</w:t>
      </w:r>
    </w:p>
    <w:p>
      <w:pPr>
        <w:sectPr>
          <w:pgSz w:w="11900" w:h="16838" w:orient="portrait"/>
          <w:cols w:equalWidth="0" w:num="1">
            <w:col w:w="10500"/>
          </w:cols>
          <w:pgMar w:left="320" w:top="420" w:right="10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MEZZANINE EQUITY AND PARTNERS’ CAPITAL (Unaudited)</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11"/>
          </w:tcPr>
          <w:p>
            <w:pPr>
              <w:jc w:val="right"/>
              <w:ind w:right="300"/>
              <w:spacing w:after="0"/>
              <w:rPr>
                <w:sz w:val="20"/>
                <w:szCs w:val="20"/>
                <w:color w:val="auto"/>
              </w:rPr>
            </w:pPr>
            <w:r>
              <w:rPr>
                <w:rFonts w:ascii="Times New Roman" w:cs="Times New Roman" w:eastAsia="Times New Roman" w:hAnsi="Times New Roman"/>
                <w:sz w:val="11"/>
                <w:szCs w:val="11"/>
                <w:color w:val="auto"/>
              </w:rPr>
              <w:t>Nine months ended September 27, 2025</w:t>
            </w: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8"/>
          </w:tcPr>
          <w:p>
            <w:pPr>
              <w:jc w:val="right"/>
              <w:ind w:right="240"/>
              <w:spacing w:after="0" w:line="112" w:lineRule="exact"/>
              <w:rPr>
                <w:sz w:val="20"/>
                <w:szCs w:val="20"/>
                <w:color w:val="auto"/>
              </w:rPr>
            </w:pPr>
            <w:r>
              <w:rPr>
                <w:rFonts w:ascii="Times New Roman" w:cs="Times New Roman" w:eastAsia="Times New Roman" w:hAnsi="Times New Roman"/>
                <w:sz w:val="11"/>
                <w:szCs w:val="11"/>
                <w:color w:val="auto"/>
              </w:rPr>
              <w:t>Mezzanine Equity</w:t>
            </w: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6"/>
          </w:tcPr>
          <w:p>
            <w:pPr>
              <w:ind w:left="40"/>
              <w:spacing w:after="0" w:line="112" w:lineRule="exact"/>
              <w:rPr>
                <w:sz w:val="20"/>
                <w:szCs w:val="20"/>
                <w:color w:val="auto"/>
              </w:rPr>
            </w:pPr>
            <w:r>
              <w:rPr>
                <w:rFonts w:ascii="Times New Roman" w:cs="Times New Roman" w:eastAsia="Times New Roman" w:hAnsi="Times New Roman"/>
                <w:sz w:val="11"/>
                <w:szCs w:val="11"/>
                <w:color w:val="auto"/>
              </w:rPr>
              <w:t>Partners’ Capital</w:t>
            </w: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6"/>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Stock-based</w:t>
            </w:r>
          </w:p>
        </w:tc>
        <w:tc>
          <w:tcPr>
            <w:tcW w:w="60" w:type="dxa"/>
            <w:vAlign w:val="bottom"/>
          </w:tcPr>
          <w:p>
            <w:pPr>
              <w:spacing w:after="0"/>
              <w:rPr>
                <w:sz w:val="9"/>
                <w:szCs w:val="9"/>
                <w:color w:val="auto"/>
              </w:rPr>
            </w:pPr>
          </w:p>
        </w:tc>
        <w:tc>
          <w:tcPr>
            <w:tcW w:w="44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color w:val="auto"/>
                <w:w w:val="94"/>
              </w:rPr>
              <w:t>Total</w:t>
            </w:r>
          </w:p>
        </w:tc>
        <w:tc>
          <w:tcPr>
            <w:tcW w:w="10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3"/>
          </w:tcPr>
          <w:p>
            <w:pPr>
              <w:jc w:val="center"/>
              <w:ind w:right="120"/>
              <w:spacing w:after="0" w:line="112" w:lineRule="exact"/>
              <w:rPr>
                <w:sz w:val="20"/>
                <w:szCs w:val="20"/>
                <w:color w:val="auto"/>
              </w:rPr>
            </w:pPr>
            <w:r>
              <w:rPr>
                <w:rFonts w:ascii="Times New Roman" w:cs="Times New Roman" w:eastAsia="Times New Roman" w:hAnsi="Times New Roman"/>
                <w:sz w:val="11"/>
                <w:szCs w:val="11"/>
                <w:color w:val="auto"/>
              </w:rPr>
              <w:t>Accumulated</w:t>
            </w:r>
          </w:p>
        </w:tc>
        <w:tc>
          <w:tcPr>
            <w:tcW w:w="60" w:type="dxa"/>
            <w:vAlign w:val="bottom"/>
          </w:tcPr>
          <w:p>
            <w:pPr>
              <w:spacing w:after="0"/>
              <w:rPr>
                <w:sz w:val="9"/>
                <w:szCs w:val="9"/>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6"/>
            <w:vMerge w:val="continue"/>
          </w:tcPr>
          <w:p>
            <w:pPr>
              <w:spacing w:after="0"/>
              <w:rPr>
                <w:sz w:val="10"/>
                <w:szCs w:val="10"/>
                <w:color w:val="auto"/>
              </w:rPr>
            </w:pPr>
          </w:p>
        </w:tc>
        <w:tc>
          <w:tcPr>
            <w:tcW w:w="600" w:type="dxa"/>
            <w:vAlign w:val="bottom"/>
            <w:tcBorders>
              <w:right w:val="single" w:sz="8" w:color="auto"/>
            </w:tcBorders>
            <w:gridSpan w:val="3"/>
          </w:tcPr>
          <w:p>
            <w:pPr>
              <w:spacing w:after="0" w:line="116" w:lineRule="exact"/>
              <w:rPr>
                <w:sz w:val="20"/>
                <w:szCs w:val="20"/>
                <w:color w:val="auto"/>
              </w:rPr>
            </w:pPr>
            <w:r>
              <w:rPr>
                <w:rFonts w:ascii="Times New Roman" w:cs="Times New Roman" w:eastAsia="Times New Roman" w:hAnsi="Times New Roman"/>
                <w:sz w:val="11"/>
                <w:szCs w:val="11"/>
                <w:color w:val="auto"/>
              </w:rPr>
              <w:t>Mezzanine</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color w:val="auto"/>
                <w:w w:val="97"/>
              </w:rPr>
              <w:t>other</w:t>
            </w:r>
          </w:p>
        </w:tc>
        <w:tc>
          <w:tcPr>
            <w:tcW w:w="6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40" w:type="dxa"/>
            <w:vAlign w:val="bottom"/>
            <w:gridSpan w:val="3"/>
          </w:tcPr>
          <w:p>
            <w:pPr>
              <w:ind w:left="180"/>
              <w:spacing w:after="0" w:line="104" w:lineRule="exact"/>
              <w:rPr>
                <w:sz w:val="20"/>
                <w:szCs w:val="20"/>
                <w:color w:val="auto"/>
              </w:rPr>
            </w:pPr>
            <w:r>
              <w:rPr>
                <w:rFonts w:ascii="Times New Roman" w:cs="Times New Roman" w:eastAsia="Times New Roman" w:hAnsi="Times New Roman"/>
                <w:sz w:val="11"/>
                <w:szCs w:val="11"/>
                <w:color w:val="auto"/>
                <w:w w:val="98"/>
              </w:rPr>
              <w:t>Class A</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6"/>
          </w:tcPr>
          <w:p>
            <w:pPr>
              <w:ind w:left="60"/>
              <w:spacing w:after="0" w:line="104" w:lineRule="exact"/>
              <w:rPr>
                <w:sz w:val="20"/>
                <w:szCs w:val="20"/>
                <w:color w:val="auto"/>
              </w:rPr>
            </w:pPr>
            <w:r>
              <w:rPr>
                <w:rFonts w:ascii="Times New Roman" w:cs="Times New Roman" w:eastAsia="Times New Roman" w:hAnsi="Times New Roman"/>
                <w:sz w:val="11"/>
                <w:szCs w:val="11"/>
                <w:color w:val="auto"/>
              </w:rPr>
              <w:t>Compensation</w:t>
            </w:r>
          </w:p>
        </w:tc>
        <w:tc>
          <w:tcPr>
            <w:tcW w:w="60" w:type="dxa"/>
            <w:vAlign w:val="bottom"/>
          </w:tcPr>
          <w:p>
            <w:pPr>
              <w:spacing w:after="0"/>
              <w:rPr>
                <w:sz w:val="10"/>
                <w:szCs w:val="10"/>
                <w:color w:val="auto"/>
              </w:rPr>
            </w:pPr>
          </w:p>
        </w:tc>
        <w:tc>
          <w:tcPr>
            <w:tcW w:w="540" w:type="dxa"/>
            <w:vAlign w:val="bottom"/>
            <w:tcBorders>
              <w:right w:val="single" w:sz="8" w:color="auto"/>
            </w:tcBorders>
            <w:gridSpan w:val="2"/>
          </w:tcPr>
          <w:p>
            <w:pPr>
              <w:jc w:val="center"/>
              <w:ind w:right="160"/>
              <w:spacing w:after="0" w:line="104" w:lineRule="exact"/>
              <w:rPr>
                <w:sz w:val="20"/>
                <w:szCs w:val="20"/>
                <w:color w:val="auto"/>
              </w:rPr>
            </w:pPr>
            <w:r>
              <w:rPr>
                <w:rFonts w:ascii="Times New Roman" w:cs="Times New Roman" w:eastAsia="Times New Roman" w:hAnsi="Times New Roman"/>
                <w:sz w:val="11"/>
                <w:szCs w:val="11"/>
                <w:color w:val="auto"/>
              </w:rPr>
              <w:t>Equity</w:t>
            </w:r>
          </w:p>
        </w:tc>
        <w:tc>
          <w:tcPr>
            <w:tcW w:w="80" w:type="dxa"/>
            <w:vAlign w:val="bottom"/>
          </w:tcPr>
          <w:p>
            <w:pPr>
              <w:spacing w:after="0"/>
              <w:rPr>
                <w:sz w:val="10"/>
                <w:szCs w:val="10"/>
                <w:color w:val="auto"/>
              </w:rPr>
            </w:pPr>
          </w:p>
        </w:tc>
        <w:tc>
          <w:tcPr>
            <w:tcW w:w="1100" w:type="dxa"/>
            <w:vAlign w:val="bottom"/>
            <w:gridSpan w:val="5"/>
          </w:tcPr>
          <w:p>
            <w:pPr>
              <w:ind w:left="300"/>
              <w:spacing w:after="0" w:line="104" w:lineRule="exact"/>
              <w:rPr>
                <w:sz w:val="20"/>
                <w:szCs w:val="20"/>
                <w:color w:val="auto"/>
              </w:rPr>
            </w:pPr>
            <w:r>
              <w:rPr>
                <w:rFonts w:ascii="Times New Roman" w:cs="Times New Roman" w:eastAsia="Times New Roman" w:hAnsi="Times New Roman"/>
                <w:sz w:val="11"/>
                <w:szCs w:val="11"/>
                <w:color w:val="auto"/>
              </w:rPr>
              <w:t>Class A</w:t>
            </w:r>
          </w:p>
        </w:tc>
        <w:tc>
          <w:tcPr>
            <w:tcW w:w="580" w:type="dxa"/>
            <w:vAlign w:val="bottom"/>
            <w:gridSpan w:val="3"/>
          </w:tcPr>
          <w:p>
            <w:pPr>
              <w:ind w:left="220"/>
              <w:spacing w:after="0" w:line="104" w:lineRule="exact"/>
              <w:rPr>
                <w:sz w:val="20"/>
                <w:szCs w:val="20"/>
                <w:color w:val="auto"/>
              </w:rPr>
            </w:pPr>
            <w:r>
              <w:rPr>
                <w:rFonts w:ascii="Times New Roman" w:cs="Times New Roman" w:eastAsia="Times New Roman" w:hAnsi="Times New Roman"/>
                <w:sz w:val="11"/>
                <w:szCs w:val="11"/>
                <w:color w:val="auto"/>
              </w:rPr>
              <w:t>Class 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5"/>
          </w:tcPr>
          <w:p>
            <w:pPr>
              <w:ind w:left="60"/>
              <w:spacing w:after="0" w:line="104" w:lineRule="exact"/>
              <w:rPr>
                <w:sz w:val="20"/>
                <w:szCs w:val="20"/>
                <w:color w:val="auto"/>
              </w:rPr>
            </w:pPr>
            <w:r>
              <w:rPr>
                <w:rFonts w:ascii="Times New Roman" w:cs="Times New Roman" w:eastAsia="Times New Roman" w:hAnsi="Times New Roman"/>
                <w:sz w:val="11"/>
                <w:szCs w:val="11"/>
                <w:color w:val="auto"/>
              </w:rPr>
              <w:t>Class B CUPI</w:t>
            </w:r>
          </w:p>
        </w:tc>
        <w:tc>
          <w:tcPr>
            <w:tcW w:w="120" w:type="dxa"/>
            <w:vAlign w:val="bottom"/>
          </w:tcPr>
          <w:p>
            <w:pPr>
              <w:spacing w:after="0"/>
              <w:rPr>
                <w:sz w:val="10"/>
                <w:szCs w:val="10"/>
                <w:color w:val="auto"/>
              </w:rPr>
            </w:pPr>
          </w:p>
        </w:tc>
        <w:tc>
          <w:tcPr>
            <w:tcW w:w="800" w:type="dxa"/>
            <w:vAlign w:val="bottom"/>
            <w:gridSpan w:val="3"/>
          </w:tcPr>
          <w:p>
            <w:pPr>
              <w:spacing w:after="0" w:line="104" w:lineRule="exact"/>
              <w:rPr>
                <w:sz w:val="20"/>
                <w:szCs w:val="20"/>
                <w:color w:val="auto"/>
              </w:rPr>
            </w:pPr>
            <w:r>
              <w:rPr>
                <w:rFonts w:ascii="Times New Roman" w:cs="Times New Roman" w:eastAsia="Times New Roman" w:hAnsi="Times New Roman"/>
                <w:sz w:val="11"/>
                <w:szCs w:val="11"/>
                <w:color w:val="auto"/>
              </w:rPr>
              <w:t>comprehensive</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1"/>
                <w:szCs w:val="11"/>
                <w:color w:val="auto"/>
                <w:w w:val="97"/>
              </w:rPr>
              <w:t>partners’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60" w:type="dxa"/>
            <w:vAlign w:val="bottom"/>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gridSpan w:val="2"/>
          </w:tcPr>
          <w:p>
            <w:pPr>
              <w:ind w:left="20"/>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17"/>
              <w:spacing w:after="0" w:line="124" w:lineRule="exact"/>
              <w:rPr>
                <w:sz w:val="20"/>
                <w:szCs w:val="20"/>
                <w:color w:val="auto"/>
              </w:rPr>
            </w:pPr>
            <w:r>
              <w:rPr>
                <w:rFonts w:ascii="Times New Roman" w:cs="Times New Roman" w:eastAsia="Times New Roman" w:hAnsi="Times New Roman"/>
                <w:sz w:val="11"/>
                <w:szCs w:val="11"/>
                <w:color w:val="auto"/>
                <w:w w:val="99"/>
              </w:rPr>
              <w:t>Amount</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top w:val="single" w:sz="8" w:color="auto"/>
            </w:tcBorders>
            <w:gridSpan w:val="2"/>
          </w:tcPr>
          <w:p>
            <w:pPr>
              <w:ind w:left="60"/>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ind w:left="40"/>
              <w:spacing w:after="0" w:line="124" w:lineRule="exact"/>
              <w:rPr>
                <w:sz w:val="20"/>
                <w:szCs w:val="20"/>
                <w:color w:val="auto"/>
              </w:rPr>
            </w:pPr>
            <w:r>
              <w:rPr>
                <w:rFonts w:ascii="Times New Roman" w:cs="Times New Roman" w:eastAsia="Times New Roman" w:hAnsi="Times New Roman"/>
                <w:sz w:val="11"/>
                <w:szCs w:val="11"/>
                <w:color w:val="auto"/>
              </w:rPr>
              <w:t>Amount</w:t>
            </w:r>
          </w:p>
        </w:tc>
        <w:tc>
          <w:tcPr>
            <w:tcW w:w="160" w:type="dxa"/>
            <w:vAlign w:val="bottom"/>
          </w:tcPr>
          <w:p>
            <w:pPr>
              <w:spacing w:after="0"/>
              <w:rPr>
                <w:sz w:val="10"/>
                <w:szCs w:val="10"/>
                <w:color w:val="auto"/>
              </w:rPr>
            </w:pPr>
          </w:p>
        </w:tc>
        <w:tc>
          <w:tcPr>
            <w:tcW w:w="42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rPr>
              <w:t>Units</w:t>
            </w:r>
          </w:p>
        </w:tc>
        <w:tc>
          <w:tcPr>
            <w:tcW w:w="38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9"/>
              </w:rPr>
              <w:t>Amount</w:t>
            </w:r>
          </w:p>
        </w:tc>
        <w:tc>
          <w:tcPr>
            <w:tcW w:w="160" w:type="dxa"/>
            <w:vAlign w:val="bottom"/>
          </w:tcPr>
          <w:p>
            <w:pPr>
              <w:spacing w:after="0"/>
              <w:rPr>
                <w:sz w:val="10"/>
                <w:szCs w:val="10"/>
                <w:color w:val="auto"/>
              </w:rPr>
            </w:pPr>
          </w:p>
        </w:tc>
        <w:tc>
          <w:tcPr>
            <w:tcW w:w="320" w:type="dxa"/>
            <w:vAlign w:val="bottom"/>
            <w:tcBorders>
              <w:top w:val="single" w:sz="8" w:color="auto"/>
            </w:tcBorders>
            <w:gridSpan w:val="2"/>
          </w:tcPr>
          <w:p>
            <w:pPr>
              <w:jc w:val="right"/>
              <w:ind w:right="80"/>
              <w:spacing w:after="0" w:line="124" w:lineRule="exact"/>
              <w:rPr>
                <w:sz w:val="20"/>
                <w:szCs w:val="20"/>
                <w:color w:val="auto"/>
              </w:rPr>
            </w:pPr>
            <w:r>
              <w:rPr>
                <w:rFonts w:ascii="Times New Roman" w:cs="Times New Roman" w:eastAsia="Times New Roman" w:hAnsi="Times New Roman"/>
                <w:sz w:val="11"/>
                <w:szCs w:val="11"/>
                <w:color w:val="auto"/>
                <w:w w:val="92"/>
              </w:rPr>
              <w:t>Units</w:t>
            </w:r>
          </w:p>
        </w:tc>
        <w:tc>
          <w:tcPr>
            <w:tcW w:w="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gridSpan w:val="2"/>
          </w:tcPr>
          <w:p>
            <w:pPr>
              <w:spacing w:after="0" w:line="124"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color w:val="auto"/>
              </w:rPr>
              <w:t>income</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1"/>
                <w:szCs w:val="11"/>
                <w:color w:val="auto"/>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January 1, 2025</w:t>
            </w:r>
          </w:p>
        </w:tc>
        <w:tc>
          <w:tcPr>
            <w:tcW w:w="24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81"/>
              </w:rPr>
              <w:t>128</w:t>
            </w: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81"/>
              </w:rPr>
              <w:t>237</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106</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366</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16,723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2"/>
              </w:rPr>
              <w:t>$ 15,976</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721</w:t>
            </w: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123</w:t>
            </w:r>
          </w:p>
        </w:tc>
        <w:tc>
          <w:tcPr>
            <w:tcW w:w="1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$ 16,158</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ind w:left="300"/>
              <w:spacing w:after="0" w:line="132" w:lineRule="exact"/>
              <w:rPr>
                <w:sz w:val="20"/>
                <w:szCs w:val="20"/>
                <w:color w:val="auto"/>
              </w:rPr>
            </w:pPr>
            <w:r>
              <w:rPr>
                <w:rFonts w:ascii="Times New Roman" w:cs="Times New Roman" w:eastAsia="Times New Roman" w:hAnsi="Times New Roman"/>
                <w:sz w:val="13"/>
                <w:szCs w:val="13"/>
                <w:color w:val="auto"/>
              </w:rPr>
              <w:t>318</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(4)</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Reclassification from liability-classified units</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51</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1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6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ind w:lef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ind w:left="24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6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tcPr>
          <w:p>
            <w:pPr>
              <w:spacing w:after="0"/>
              <w:rPr>
                <w:sz w:val="11"/>
                <w:szCs w:val="11"/>
                <w:color w:val="auto"/>
              </w:rPr>
            </w:pP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March 29, 2025</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128</w:t>
            </w: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239</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18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auto"/>
            </w:tcBorders>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368</w:t>
            </w:r>
          </w:p>
        </w:tc>
        <w:tc>
          <w:tcPr>
            <w:tcW w:w="520" w:type="dxa"/>
            <w:vAlign w:val="bottom"/>
            <w:gridSpan w:val="3"/>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60" w:type="dxa"/>
            <w:vAlign w:val="bottom"/>
            <w:gridSpan w:val="3"/>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$ 16,294</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764</w:t>
            </w:r>
          </w:p>
        </w:tc>
        <w:tc>
          <w:tcPr>
            <w:tcW w:w="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140</w:t>
            </w:r>
          </w:p>
        </w:tc>
        <w:tc>
          <w:tcPr>
            <w:tcW w:w="3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49</w:t>
            </w:r>
          </w:p>
        </w:tc>
        <w:tc>
          <w:tcPr>
            <w:tcW w:w="24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7</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$ 16,490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ind w:left="300"/>
              <w:spacing w:after="0" w:line="132" w:lineRule="exact"/>
              <w:rPr>
                <w:sz w:val="20"/>
                <w:szCs w:val="20"/>
                <w:color w:val="auto"/>
              </w:rPr>
            </w:pPr>
            <w:r>
              <w:rPr>
                <w:rFonts w:ascii="Times New Roman" w:cs="Times New Roman" w:eastAsia="Times New Roman" w:hAnsi="Times New Roman"/>
                <w:sz w:val="13"/>
                <w:szCs w:val="13"/>
                <w:color w:val="auto"/>
              </w:rPr>
              <w:t>314</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329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income</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55</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55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1"/>
                <w:szCs w:val="11"/>
                <w:color w:val="auto"/>
              </w:rPr>
            </w:pPr>
          </w:p>
        </w:tc>
        <w:tc>
          <w:tcPr>
            <w:tcW w:w="38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(284)</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8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(15)</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(299)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June 28, 2025</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128</w:t>
            </w: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239</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103</w:t>
            </w:r>
          </w:p>
        </w:tc>
        <w:tc>
          <w:tcPr>
            <w:tcW w:w="18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auto"/>
            </w:tcBorders>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367</w:t>
            </w:r>
          </w:p>
        </w:tc>
        <w:tc>
          <w:tcPr>
            <w:tcW w:w="520" w:type="dxa"/>
            <w:vAlign w:val="bottom"/>
            <w:gridSpan w:val="3"/>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60" w:type="dxa"/>
            <w:vAlign w:val="bottom"/>
            <w:gridSpan w:val="3"/>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$ 16,324</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756</w:t>
            </w:r>
          </w:p>
        </w:tc>
        <w:tc>
          <w:tcPr>
            <w:tcW w:w="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148</w:t>
            </w:r>
          </w:p>
        </w:tc>
        <w:tc>
          <w:tcPr>
            <w:tcW w:w="3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50</w:t>
            </w:r>
          </w:p>
        </w:tc>
        <w:tc>
          <w:tcPr>
            <w:tcW w:w="24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62</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$ 16,584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ind w:left="300"/>
              <w:spacing w:after="0" w:line="132" w:lineRule="exact"/>
              <w:rPr>
                <w:sz w:val="20"/>
                <w:szCs w:val="20"/>
                <w:color w:val="auto"/>
              </w:rPr>
            </w:pPr>
            <w:r>
              <w:rPr>
                <w:rFonts w:ascii="Times New Roman" w:cs="Times New Roman" w:eastAsia="Times New Roman" w:hAnsi="Times New Roman"/>
                <w:sz w:val="13"/>
                <w:szCs w:val="13"/>
                <w:color w:val="auto"/>
              </w:rPr>
              <w:t>301</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80" w:type="dxa"/>
            <w:vAlign w:val="bottom"/>
            <w:gridSpan w:val="2"/>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16</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318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Pr>
          <w:p>
            <w:pPr>
              <w:spacing w:after="0"/>
              <w:rPr>
                <w:sz w:val="11"/>
                <w:szCs w:val="11"/>
                <w:color w:val="auto"/>
              </w:rPr>
            </w:pPr>
          </w:p>
        </w:tc>
        <w:tc>
          <w:tcPr>
            <w:tcW w:w="34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ind w:left="1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1"/>
                <w:szCs w:val="11"/>
                <w:color w:val="auto"/>
              </w:rPr>
            </w:pPr>
          </w:p>
        </w:tc>
        <w:tc>
          <w:tcPr>
            <w:tcW w:w="38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(15)</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3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00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4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44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60" w:type="dxa"/>
            <w:vAlign w:val="bottom"/>
            <w:gridSpan w:val="3"/>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(101)</w:t>
            </w:r>
          </w:p>
        </w:tc>
        <w:tc>
          <w:tcPr>
            <w:tcW w:w="4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38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(16)</w:t>
            </w:r>
          </w:p>
        </w:tc>
        <w:tc>
          <w:tcPr>
            <w:tcW w:w="32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30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September 27, 2025</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128</w:t>
            </w:r>
          </w:p>
        </w:tc>
        <w:tc>
          <w:tcPr>
            <w:tcW w:w="18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240</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101</w:t>
            </w:r>
          </w:p>
        </w:tc>
        <w:tc>
          <w:tcPr>
            <w:tcW w:w="18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auto"/>
            </w:tcBorders>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367</w:t>
            </w:r>
          </w:p>
        </w:tc>
        <w:tc>
          <w:tcPr>
            <w:tcW w:w="520" w:type="dxa"/>
            <w:vAlign w:val="bottom"/>
            <w:gridSpan w:val="3"/>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60" w:type="dxa"/>
            <w:vAlign w:val="bottom"/>
            <w:gridSpan w:val="3"/>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16,524</w:t>
            </w:r>
          </w:p>
        </w:tc>
        <w:tc>
          <w:tcPr>
            <w:tcW w:w="4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734</w:t>
            </w:r>
          </w:p>
        </w:tc>
        <w:tc>
          <w:tcPr>
            <w:tcW w:w="1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60"/>
              <w:spacing w:after="0" w:line="132" w:lineRule="exact"/>
              <w:rPr>
                <w:sz w:val="20"/>
                <w:szCs w:val="20"/>
                <w:color w:val="auto"/>
              </w:rPr>
            </w:pPr>
            <w:r>
              <w:rPr>
                <w:rFonts w:ascii="Times New Roman" w:cs="Times New Roman" w:eastAsia="Times New Roman" w:hAnsi="Times New Roman"/>
                <w:sz w:val="13"/>
                <w:szCs w:val="13"/>
                <w:color w:val="auto"/>
              </w:rPr>
              <w:t>147</w:t>
            </w:r>
          </w:p>
        </w:tc>
        <w:tc>
          <w:tcPr>
            <w:tcW w:w="32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51</w:t>
            </w:r>
          </w:p>
        </w:tc>
        <w:tc>
          <w:tcPr>
            <w:tcW w:w="240" w:type="dxa"/>
            <w:vAlign w:val="bottom"/>
            <w:gridSpan w:val="2"/>
            <w:shd w:val="clear" w:color="auto" w:fill="CCEEFF"/>
          </w:tcPr>
          <w:p>
            <w:pPr>
              <w:ind w:left="12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52</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16,774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F-54</w:t>
      </w:r>
    </w:p>
    <w:p>
      <w:pPr>
        <w:sectPr>
          <w:pgSz w:w="11900" w:h="16838" w:orient="portrait"/>
          <w:cols w:equalWidth="0" w:num="1">
            <w:col w:w="10500"/>
          </w:cols>
          <w:pgMar w:left="320" w:top="420" w:right="107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MEZZANINE EQUITY AND PARTNERS’ CAPITAL (Unaudited)</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10"/>
          </w:tcPr>
          <w:p>
            <w:pPr>
              <w:ind w:left="20"/>
              <w:spacing w:after="0"/>
              <w:rPr>
                <w:sz w:val="20"/>
                <w:szCs w:val="20"/>
                <w:color w:val="auto"/>
              </w:rPr>
            </w:pPr>
            <w:r>
              <w:rPr>
                <w:rFonts w:ascii="Times New Roman" w:cs="Times New Roman" w:eastAsia="Times New Roman" w:hAnsi="Times New Roman"/>
                <w:sz w:val="11"/>
                <w:szCs w:val="11"/>
                <w:color w:val="auto"/>
              </w:rPr>
              <w:t>Nine months ended September 28, 2024</w:t>
            </w: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7"/>
          </w:tcPr>
          <w:p>
            <w:pPr>
              <w:ind w:left="180"/>
              <w:spacing w:after="0" w:line="112" w:lineRule="exact"/>
              <w:rPr>
                <w:sz w:val="20"/>
                <w:szCs w:val="20"/>
                <w:color w:val="auto"/>
              </w:rPr>
            </w:pPr>
            <w:r>
              <w:rPr>
                <w:rFonts w:ascii="Times New Roman" w:cs="Times New Roman" w:eastAsia="Times New Roman" w:hAnsi="Times New Roman"/>
                <w:sz w:val="11"/>
                <w:szCs w:val="11"/>
                <w:color w:val="auto"/>
              </w:rPr>
              <w:t>Mezzanine Equity</w:t>
            </w: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5"/>
          </w:tcPr>
          <w:p>
            <w:pPr>
              <w:jc w:val="right"/>
              <w:spacing w:after="0" w:line="112" w:lineRule="exact"/>
              <w:rPr>
                <w:sz w:val="20"/>
                <w:szCs w:val="20"/>
                <w:color w:val="auto"/>
              </w:rPr>
            </w:pPr>
            <w:r>
              <w:rPr>
                <w:rFonts w:ascii="Times New Roman" w:cs="Times New Roman" w:eastAsia="Times New Roman" w:hAnsi="Times New Roman"/>
                <w:sz w:val="11"/>
                <w:szCs w:val="11"/>
                <w:color w:val="auto"/>
              </w:rPr>
              <w:t>Partners’ Capital</w:t>
            </w: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jc w:val="center"/>
              <w:spacing w:after="0" w:line="100" w:lineRule="exact"/>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120"/>
              <w:spacing w:after="0" w:line="100" w:lineRule="exact"/>
              <w:rPr>
                <w:sz w:val="20"/>
                <w:szCs w:val="20"/>
                <w:color w:val="auto"/>
              </w:rPr>
            </w:pPr>
            <w:r>
              <w:rPr>
                <w:rFonts w:ascii="Times New Roman" w:cs="Times New Roman" w:eastAsia="Times New Roman" w:hAnsi="Times New Roman"/>
                <w:sz w:val="11"/>
                <w:szCs w:val="11"/>
                <w:color w:val="auto"/>
              </w:rPr>
              <w:t>Accumulated</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5"/>
          </w:tcPr>
          <w:p>
            <w:pPr>
              <w:jc w:val="right"/>
              <w:ind w:right="200"/>
              <w:spacing w:after="0" w:line="120" w:lineRule="exact"/>
              <w:rPr>
                <w:sz w:val="20"/>
                <w:szCs w:val="20"/>
                <w:color w:val="auto"/>
              </w:rPr>
            </w:pPr>
            <w:r>
              <w:rPr>
                <w:rFonts w:ascii="Times New Roman" w:cs="Times New Roman" w:eastAsia="Times New Roman" w:hAnsi="Times New Roman"/>
                <w:sz w:val="11"/>
                <w:szCs w:val="11"/>
                <w:color w:val="auto"/>
              </w:rPr>
              <w:t>Stock-based</w:t>
            </w:r>
          </w:p>
        </w:tc>
        <w:tc>
          <w:tcPr>
            <w:tcW w:w="40" w:type="dxa"/>
            <w:vAlign w:val="bottom"/>
          </w:tcPr>
          <w:p>
            <w:pPr>
              <w:spacing w:after="0"/>
              <w:rPr>
                <w:sz w:val="10"/>
                <w:szCs w:val="10"/>
                <w:color w:val="auto"/>
              </w:rPr>
            </w:pPr>
          </w:p>
        </w:tc>
        <w:tc>
          <w:tcPr>
            <w:tcW w:w="600" w:type="dxa"/>
            <w:vAlign w:val="bottom"/>
            <w:tcBorders>
              <w:right w:val="single" w:sz="8" w:color="auto"/>
            </w:tcBorders>
            <w:gridSpan w:val="3"/>
          </w:tcPr>
          <w:p>
            <w:pPr>
              <w:jc w:val="center"/>
              <w:ind w:right="120"/>
              <w:spacing w:after="0" w:line="120" w:lineRule="exact"/>
              <w:rPr>
                <w:sz w:val="20"/>
                <w:szCs w:val="20"/>
                <w:color w:val="auto"/>
              </w:rPr>
            </w:pPr>
            <w:r>
              <w:rPr>
                <w:rFonts w:ascii="Times New Roman" w:cs="Times New Roman" w:eastAsia="Times New Roman" w:hAnsi="Times New Roman"/>
                <w:sz w:val="11"/>
                <w:szCs w:val="11"/>
                <w:color w:val="auto"/>
                <w:w w:val="99"/>
              </w:rPr>
              <w:t>Mezzanine</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1"/>
                <w:szCs w:val="11"/>
                <w:color w:val="auto"/>
                <w:w w:val="97"/>
              </w:rPr>
              <w:t>other</w:t>
            </w:r>
          </w:p>
        </w:tc>
        <w:tc>
          <w:tcPr>
            <w:tcW w:w="60" w:type="dxa"/>
            <w:vAlign w:val="bottom"/>
          </w:tcPr>
          <w:p>
            <w:pPr>
              <w:spacing w:after="0"/>
              <w:rPr>
                <w:sz w:val="10"/>
                <w:szCs w:val="10"/>
                <w:color w:val="auto"/>
              </w:rPr>
            </w:pPr>
          </w:p>
        </w:tc>
        <w:tc>
          <w:tcPr>
            <w:tcW w:w="500" w:type="dxa"/>
            <w:vAlign w:val="bottom"/>
            <w:gridSpan w:val="2"/>
          </w:tcPr>
          <w:p>
            <w:pPr>
              <w:jc w:val="center"/>
              <w:ind w:right="80"/>
              <w:spacing w:after="0" w:line="120" w:lineRule="exact"/>
              <w:rPr>
                <w:sz w:val="20"/>
                <w:szCs w:val="20"/>
                <w:color w:val="auto"/>
              </w:rPr>
            </w:pPr>
            <w:r>
              <w:rPr>
                <w:rFonts w:ascii="Times New Roman" w:cs="Times New Roman" w:eastAsia="Times New Roman" w:hAnsi="Times New Roman"/>
                <w:sz w:val="11"/>
                <w:szCs w:val="11"/>
                <w:color w:val="auto"/>
                <w:w w:val="94"/>
              </w:rPr>
              <w:t>Total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540" w:type="dxa"/>
            <w:vAlign w:val="bottom"/>
            <w:gridSpan w:val="3"/>
          </w:tcPr>
          <w:p>
            <w:pPr>
              <w:ind w:left="200"/>
              <w:spacing w:after="0"/>
              <w:rPr>
                <w:sz w:val="20"/>
                <w:szCs w:val="20"/>
                <w:color w:val="auto"/>
              </w:rPr>
            </w:pPr>
            <w:r>
              <w:rPr>
                <w:rFonts w:ascii="Times New Roman" w:cs="Times New Roman" w:eastAsia="Times New Roman" w:hAnsi="Times New Roman"/>
                <w:sz w:val="11"/>
                <w:szCs w:val="11"/>
                <w:color w:val="auto"/>
                <w:w w:val="92"/>
              </w:rPr>
              <w:t>Class A</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tcPr>
          <w:p>
            <w:pPr>
              <w:jc w:val="right"/>
              <w:ind w:right="160"/>
              <w:spacing w:after="0"/>
              <w:rPr>
                <w:sz w:val="20"/>
                <w:szCs w:val="20"/>
                <w:color w:val="auto"/>
              </w:rPr>
            </w:pPr>
            <w:r>
              <w:rPr>
                <w:rFonts w:ascii="Times New Roman" w:cs="Times New Roman" w:eastAsia="Times New Roman" w:hAnsi="Times New Roman"/>
                <w:sz w:val="11"/>
                <w:szCs w:val="11"/>
                <w:color w:val="auto"/>
              </w:rPr>
              <w:t>Compensation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Equity</w:t>
            </w:r>
          </w:p>
        </w:tc>
        <w:tc>
          <w:tcPr>
            <w:tcW w:w="60" w:type="dxa"/>
            <w:vAlign w:val="bottom"/>
          </w:tcPr>
          <w:p>
            <w:pPr>
              <w:spacing w:after="0"/>
              <w:rPr>
                <w:sz w:val="11"/>
                <w:szCs w:val="11"/>
                <w:color w:val="auto"/>
              </w:rPr>
            </w:pPr>
          </w:p>
        </w:tc>
        <w:tc>
          <w:tcPr>
            <w:tcW w:w="112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Class A</w:t>
            </w:r>
          </w:p>
        </w:tc>
        <w:tc>
          <w:tcPr>
            <w:tcW w:w="580" w:type="dxa"/>
            <w:vAlign w:val="bottom"/>
            <w:gridSpan w:val="4"/>
          </w:tcPr>
          <w:p>
            <w:pPr>
              <w:ind w:left="220"/>
              <w:spacing w:after="0"/>
              <w:rPr>
                <w:sz w:val="20"/>
                <w:szCs w:val="20"/>
                <w:color w:val="auto"/>
              </w:rPr>
            </w:pPr>
            <w:r>
              <w:rPr>
                <w:rFonts w:ascii="Times New Roman" w:cs="Times New Roman" w:eastAsia="Times New Roman" w:hAnsi="Times New Roman"/>
                <w:sz w:val="11"/>
                <w:szCs w:val="11"/>
                <w:color w:val="auto"/>
              </w:rPr>
              <w:t>Class B</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5"/>
          </w:tcPr>
          <w:p>
            <w:pPr>
              <w:ind w:left="60"/>
              <w:spacing w:after="0"/>
              <w:rPr>
                <w:sz w:val="20"/>
                <w:szCs w:val="20"/>
                <w:color w:val="auto"/>
              </w:rPr>
            </w:pPr>
            <w:r>
              <w:rPr>
                <w:rFonts w:ascii="Times New Roman" w:cs="Times New Roman" w:eastAsia="Times New Roman" w:hAnsi="Times New Roman"/>
                <w:sz w:val="11"/>
                <w:szCs w:val="11"/>
                <w:color w:val="auto"/>
              </w:rPr>
              <w:t>Class B CUPI</w:t>
            </w:r>
          </w:p>
        </w:tc>
        <w:tc>
          <w:tcPr>
            <w:tcW w:w="60" w:type="dxa"/>
            <w:vAlign w:val="bottom"/>
          </w:tcPr>
          <w:p>
            <w:pPr>
              <w:spacing w:after="0"/>
              <w:rPr>
                <w:sz w:val="11"/>
                <w:szCs w:val="1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comprehensive</w:t>
            </w:r>
          </w:p>
        </w:tc>
        <w:tc>
          <w:tcPr>
            <w:tcW w:w="60" w:type="dxa"/>
            <w:vAlign w:val="bottom"/>
          </w:tcPr>
          <w:p>
            <w:pPr>
              <w:spacing w:after="0"/>
              <w:rPr>
                <w:sz w:val="11"/>
                <w:szCs w:val="1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partners’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60" w:type="dxa"/>
            <w:vAlign w:val="bottom"/>
            <w:tcBorders>
              <w:top w:val="single" w:sz="8" w:color="auto"/>
            </w:tcBorders>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1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20" w:type="dxa"/>
            <w:vAlign w:val="bottom"/>
          </w:tcPr>
          <w:p>
            <w:pPr>
              <w:spacing w:after="0"/>
              <w:rPr>
                <w:sz w:val="9"/>
                <w:szCs w:val="9"/>
                <w:color w:val="auto"/>
              </w:rPr>
            </w:pPr>
          </w:p>
        </w:tc>
        <w:tc>
          <w:tcPr>
            <w:tcW w:w="420" w:type="dxa"/>
            <w:vAlign w:val="bottom"/>
            <w:tcBorders>
              <w:top w:val="single" w:sz="8" w:color="auto"/>
            </w:tcBorders>
            <w:gridSpan w:val="2"/>
          </w:tcPr>
          <w:p>
            <w:pPr>
              <w:jc w:val="right"/>
              <w:ind w:right="18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38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center"/>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top w:val="single" w:sz="8" w:color="auto"/>
            </w:tcBorders>
            <w:gridSpan w:val="2"/>
          </w:tcPr>
          <w:p>
            <w:pPr>
              <w:ind w:left="80"/>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420" w:type="dxa"/>
            <w:vAlign w:val="bottom"/>
            <w:tcBorders>
              <w:top w:val="single" w:sz="8" w:color="auto"/>
            </w:tcBorders>
          </w:tcPr>
          <w:p>
            <w:pPr>
              <w:ind w:left="40"/>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80" w:type="dxa"/>
            <w:vAlign w:val="bottom"/>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rPr>
              <w:t>Units</w:t>
            </w: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gridSpan w:val="2"/>
          </w:tcPr>
          <w:p>
            <w:pPr>
              <w:spacing w:after="0" w:line="112" w:lineRule="exact"/>
              <w:rPr>
                <w:sz w:val="20"/>
                <w:szCs w:val="20"/>
                <w:color w:val="auto"/>
              </w:rPr>
            </w:pPr>
            <w:r>
              <w:rPr>
                <w:rFonts w:ascii="Times New Roman" w:cs="Times New Roman" w:eastAsia="Times New Roman" w:hAnsi="Times New Roman"/>
                <w:sz w:val="11"/>
                <w:szCs w:val="11"/>
                <w:color w:val="auto"/>
                <w:w w:val="94"/>
              </w:rPr>
              <w:t>Amount</w:t>
            </w:r>
          </w:p>
        </w:tc>
        <w:tc>
          <w:tcPr>
            <w:tcW w:w="180" w:type="dxa"/>
            <w:vAlign w:val="bottom"/>
          </w:tcPr>
          <w:p>
            <w:pPr>
              <w:spacing w:after="0"/>
              <w:rPr>
                <w:sz w:val="9"/>
                <w:szCs w:val="9"/>
                <w:color w:val="auto"/>
              </w:rPr>
            </w:pPr>
          </w:p>
        </w:tc>
        <w:tc>
          <w:tcPr>
            <w:tcW w:w="360" w:type="dxa"/>
            <w:vAlign w:val="bottom"/>
            <w:tcBorders>
              <w:top w:val="single" w:sz="8" w:color="auto"/>
            </w:tcBorders>
            <w:gridSpan w:val="2"/>
          </w:tcPr>
          <w:p>
            <w:pPr>
              <w:jc w:val="right"/>
              <w:ind w:right="120"/>
              <w:spacing w:after="0" w:line="112" w:lineRule="exact"/>
              <w:rPr>
                <w:sz w:val="20"/>
                <w:szCs w:val="20"/>
                <w:color w:val="auto"/>
              </w:rPr>
            </w:pPr>
            <w:r>
              <w:rPr>
                <w:rFonts w:ascii="Times New Roman" w:cs="Times New Roman" w:eastAsia="Times New Roman" w:hAnsi="Times New Roman"/>
                <w:sz w:val="11"/>
                <w:szCs w:val="11"/>
                <w:color w:val="auto"/>
                <w:w w:val="92"/>
              </w:rPr>
              <w:t>Units</w:t>
            </w:r>
          </w:p>
        </w:tc>
        <w:tc>
          <w:tcPr>
            <w:tcW w:w="380" w:type="dxa"/>
            <w:vAlign w:val="bottom"/>
            <w:tcBorders>
              <w:top w:val="single" w:sz="8" w:color="auto"/>
            </w:tcBorders>
            <w:gridSpan w:val="2"/>
          </w:tcPr>
          <w:p>
            <w:pPr>
              <w:jc w:val="right"/>
              <w:spacing w:after="0" w:line="112" w:lineRule="exact"/>
              <w:rPr>
                <w:sz w:val="20"/>
                <w:szCs w:val="20"/>
                <w:color w:val="auto"/>
              </w:rPr>
            </w:pPr>
            <w:r>
              <w:rPr>
                <w:rFonts w:ascii="Times New Roman" w:cs="Times New Roman" w:eastAsia="Times New Roman" w:hAnsi="Times New Roman"/>
                <w:sz w:val="11"/>
                <w:szCs w:val="11"/>
                <w:color w:val="auto"/>
                <w:w w:val="99"/>
              </w:rPr>
              <w:t>Amount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220"/>
              <w:spacing w:after="0" w:line="112" w:lineRule="exact"/>
              <w:rPr>
                <w:sz w:val="20"/>
                <w:szCs w:val="20"/>
                <w:color w:val="auto"/>
              </w:rPr>
            </w:pPr>
            <w:r>
              <w:rPr>
                <w:rFonts w:ascii="Times New Roman" w:cs="Times New Roman" w:eastAsia="Times New Roman" w:hAnsi="Times New Roman"/>
                <w:sz w:val="11"/>
                <w:szCs w:val="11"/>
                <w:color w:val="auto"/>
              </w:rPr>
              <w:t>income</w:t>
            </w:r>
          </w:p>
        </w:tc>
        <w:tc>
          <w:tcPr>
            <w:tcW w:w="60" w:type="dxa"/>
            <w:vAlign w:val="bottom"/>
          </w:tcPr>
          <w:p>
            <w:pPr>
              <w:spacing w:after="0"/>
              <w:rPr>
                <w:sz w:val="9"/>
                <w:szCs w:val="9"/>
                <w:color w:val="auto"/>
              </w:rPr>
            </w:pPr>
          </w:p>
        </w:tc>
        <w:tc>
          <w:tcPr>
            <w:tcW w:w="500" w:type="dxa"/>
            <w:vAlign w:val="bottom"/>
            <w:gridSpan w:val="2"/>
          </w:tcPr>
          <w:p>
            <w:pPr>
              <w:jc w:val="center"/>
              <w:ind w:right="80"/>
              <w:spacing w:after="0" w:line="112" w:lineRule="exact"/>
              <w:rPr>
                <w:sz w:val="20"/>
                <w:szCs w:val="20"/>
                <w:color w:val="auto"/>
              </w:rPr>
            </w:pPr>
            <w:r>
              <w:rPr>
                <w:rFonts w:ascii="Times New Roman" w:cs="Times New Roman" w:eastAsia="Times New Roman" w:hAnsi="Times New Roman"/>
                <w:sz w:val="11"/>
                <w:szCs w:val="11"/>
                <w:color w:val="auto"/>
              </w:rPr>
              <w:t>capital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Balance, January 1, 2024</w:t>
            </w:r>
          </w:p>
        </w:tc>
        <w:tc>
          <w:tcPr>
            <w:tcW w:w="26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92"/>
              </w:rPr>
              <w:t>128</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3"/>
                <w:szCs w:val="13"/>
                <w:color w:val="auto"/>
                <w:w w:val="81"/>
              </w:rPr>
              <w:t>178</w:t>
            </w:r>
          </w:p>
        </w:tc>
        <w:tc>
          <w:tcPr>
            <w:tcW w:w="1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233</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40"/>
              <w:spacing w:after="0" w:line="124" w:lineRule="exact"/>
              <w:rPr>
                <w:sz w:val="20"/>
                <w:szCs w:val="20"/>
                <w:color w:val="auto"/>
              </w:rPr>
            </w:pPr>
            <w:r>
              <w:rPr>
                <w:rFonts w:ascii="Times New Roman" w:cs="Times New Roman" w:eastAsia="Times New Roman" w:hAnsi="Times New Roman"/>
                <w:sz w:val="13"/>
                <w:szCs w:val="13"/>
                <w:color w:val="auto"/>
                <w:w w:val="94"/>
              </w:rPr>
              <w:t>16,723</w:t>
            </w:r>
          </w:p>
        </w:tc>
        <w:tc>
          <w:tcPr>
            <w:tcW w:w="12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w w:val="87"/>
              </w:rPr>
              <w:t>$ 16,422</w:t>
            </w: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ind w:left="60"/>
              <w:spacing w:after="0" w:line="124" w:lineRule="exact"/>
              <w:rPr>
                <w:sz w:val="20"/>
                <w:szCs w:val="20"/>
                <w:color w:val="auto"/>
              </w:rPr>
            </w:pPr>
            <w:r>
              <w:rPr>
                <w:rFonts w:ascii="Times New Roman" w:cs="Times New Roman" w:eastAsia="Times New Roman" w:hAnsi="Times New Roman"/>
                <w:sz w:val="13"/>
                <w:szCs w:val="13"/>
                <w:color w:val="auto"/>
                <w:w w:val="81"/>
              </w:rPr>
              <w:t>754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92"/>
              </w:rPr>
              <w:t>108</w:t>
            </w: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4"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ind w:left="380"/>
              <w:spacing w:after="0" w:line="124" w:lineRule="exact"/>
              <w:rPr>
                <w:sz w:val="20"/>
                <w:szCs w:val="20"/>
                <w:color w:val="auto"/>
              </w:rPr>
            </w:pPr>
            <w:r>
              <w:rPr>
                <w:rFonts w:ascii="Times New Roman" w:cs="Times New Roman" w:eastAsia="Times New Roman" w:hAnsi="Times New Roman"/>
                <w:sz w:val="13"/>
                <w:szCs w:val="13"/>
                <w:color w:val="auto"/>
                <w:w w:val="81"/>
              </w:rPr>
              <w:t>188</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w w:val="87"/>
              </w:rPr>
              <w:t>$ 16,744</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4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293</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income</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Reclassification from liability-classified units</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4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11</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540" w:type="dxa"/>
            <w:vAlign w:val="bottom"/>
            <w:gridSpan w:val="3"/>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24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puttable common units to redemption</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9"/>
                <w:szCs w:val="9"/>
                <w:color w:val="auto"/>
              </w:rPr>
            </w:pP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(23)</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6"/>
        </w:trPr>
        <w:tc>
          <w:tcPr>
            <w:tcW w:w="29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Balance, March 30, 2024</w:t>
            </w:r>
          </w:p>
        </w:tc>
        <w:tc>
          <w:tcPr>
            <w:tcW w:w="26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128</w:t>
            </w:r>
          </w:p>
        </w:tc>
        <w:tc>
          <w:tcPr>
            <w:tcW w:w="120" w:type="dxa"/>
            <w:vAlign w:val="bottom"/>
          </w:tcPr>
          <w:p>
            <w:pPr>
              <w:spacing w:after="0"/>
              <w:rPr>
                <w:sz w:val="11"/>
                <w:szCs w:val="11"/>
                <w:color w:val="auto"/>
              </w:rPr>
            </w:pP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3"/>
                <w:szCs w:val="13"/>
                <w:color w:val="auto"/>
                <w:w w:val="81"/>
              </w:rPr>
              <w:t>208</w:t>
            </w:r>
          </w:p>
        </w:tc>
        <w:tc>
          <w:tcPr>
            <w:tcW w:w="120" w:type="dxa"/>
            <w:vAlign w:val="bottom"/>
          </w:tcPr>
          <w:p>
            <w:pPr>
              <w:spacing w:after="0"/>
              <w:rPr>
                <w:sz w:val="11"/>
                <w:szCs w:val="11"/>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89</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77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285</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94"/>
              </w:rPr>
              <w:t>16,723</w:t>
            </w: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87"/>
              </w:rPr>
              <w:t>$ 16,662</w:t>
            </w:r>
          </w:p>
        </w:tc>
        <w:tc>
          <w:tcPr>
            <w:tcW w:w="180" w:type="dxa"/>
            <w:vAlign w:val="bottom"/>
          </w:tcPr>
          <w:p>
            <w:pPr>
              <w:spacing w:after="0"/>
              <w:rPr>
                <w:sz w:val="11"/>
                <w:szCs w:val="11"/>
                <w:color w:val="auto"/>
              </w:rPr>
            </w:pPr>
          </w:p>
        </w:tc>
        <w:tc>
          <w:tcPr>
            <w:tcW w:w="24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81"/>
              </w:rPr>
              <w:t>796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2"/>
              </w:rPr>
              <w:t>122</w:t>
            </w:r>
          </w:p>
        </w:tc>
        <w:tc>
          <w:tcPr>
            <w:tcW w:w="180" w:type="dxa"/>
            <w:vAlign w:val="bottom"/>
          </w:tcPr>
          <w:p>
            <w:pPr>
              <w:spacing w:after="0"/>
              <w:rPr>
                <w:sz w:val="11"/>
                <w:szCs w:val="11"/>
                <w:color w:val="auto"/>
              </w:rPr>
            </w:pPr>
          </w:p>
        </w:tc>
        <w:tc>
          <w:tcPr>
            <w:tcW w:w="2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tcPr>
          <w:p>
            <w:pPr>
              <w:ind w:left="380"/>
              <w:spacing w:after="0" w:line="136" w:lineRule="exact"/>
              <w:rPr>
                <w:sz w:val="20"/>
                <w:szCs w:val="20"/>
                <w:color w:val="auto"/>
              </w:rPr>
            </w:pPr>
            <w:r>
              <w:rPr>
                <w:rFonts w:ascii="Times New Roman" w:cs="Times New Roman" w:eastAsia="Times New Roman" w:hAnsi="Times New Roman"/>
                <w:sz w:val="13"/>
                <w:szCs w:val="13"/>
                <w:color w:val="auto"/>
                <w:w w:val="81"/>
              </w:rPr>
              <w:t>201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87"/>
              </w:rPr>
              <w:t>$ 17,011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270</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18</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289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4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(50)</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Reclassification from liability-classified units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420" w:type="dxa"/>
            <w:vAlign w:val="bottom"/>
            <w:gridSpan w:val="2"/>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4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Adjustment of puttable common units to redemption</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9"/>
                <w:szCs w:val="9"/>
                <w:color w:val="auto"/>
              </w:rPr>
            </w:pP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(51)</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(57)</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(109)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June 29, 2024</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128</w:t>
            </w:r>
          </w:p>
        </w:tc>
        <w:tc>
          <w:tcPr>
            <w:tcW w:w="280" w:type="dxa"/>
            <w:vAlign w:val="bottom"/>
            <w:gridSpan w:val="2"/>
            <w:shd w:val="clear" w:color="auto" w:fill="CCEEFF"/>
          </w:tcPr>
          <w:p>
            <w:pPr>
              <w:jc w:val="right"/>
              <w:ind w:right="46"/>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224</w:t>
            </w:r>
          </w:p>
        </w:tc>
        <w:tc>
          <w:tcPr>
            <w:tcW w:w="3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89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86</w:t>
            </w:r>
          </w:p>
        </w:tc>
        <w:tc>
          <w:tcPr>
            <w:tcW w:w="1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310</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0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16,853</w:t>
            </w: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780</w:t>
            </w: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91</w:t>
            </w: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26</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151</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17,121</w:t>
            </w:r>
          </w:p>
        </w:tc>
        <w:tc>
          <w:tcPr>
            <w:tcW w:w="0" w:type="dxa"/>
            <w:vAlign w:val="bottom"/>
          </w:tcPr>
          <w:p>
            <w:pPr>
              <w:spacing w:after="0"/>
              <w:rPr>
                <w:sz w:val="1"/>
                <w:szCs w:val="1"/>
                <w:color w:val="auto"/>
              </w:rPr>
            </w:pPr>
          </w:p>
        </w:tc>
      </w:tr>
      <w:tr>
        <w:trPr>
          <w:trHeight w:val="136"/>
        </w:trPr>
        <w:tc>
          <w:tcPr>
            <w:tcW w:w="29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31</w:t>
            </w: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top w:val="single" w:sz="8" w:color="auto"/>
            </w:tcBorders>
          </w:tcPr>
          <w:p>
            <w:pPr>
              <w:ind w:left="200"/>
              <w:spacing w:after="0" w:line="136"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420" w:type="dxa"/>
            <w:vAlign w:val="bottom"/>
            <w:tcBorders>
              <w:top w:val="single" w:sz="8" w:color="auto"/>
            </w:tcBorders>
          </w:tcPr>
          <w:p>
            <w:pPr>
              <w:ind w:left="240"/>
              <w:spacing w:after="0" w:line="136" w:lineRule="exact"/>
              <w:rPr>
                <w:sz w:val="20"/>
                <w:szCs w:val="20"/>
                <w:color w:val="auto"/>
              </w:rPr>
            </w:pPr>
            <w:r>
              <w:rPr>
                <w:rFonts w:ascii="Times New Roman" w:cs="Times New Roman" w:eastAsia="Times New Roman" w:hAnsi="Times New Roman"/>
                <w:sz w:val="13"/>
                <w:szCs w:val="13"/>
                <w:color w:val="auto"/>
                <w:w w:val="81"/>
              </w:rPr>
              <w:t>223</w:t>
            </w:r>
          </w:p>
        </w:tc>
        <w:tc>
          <w:tcPr>
            <w:tcW w:w="180" w:type="dxa"/>
            <w:vAlign w:val="bottom"/>
          </w:tcPr>
          <w:p>
            <w:pPr>
              <w:spacing w:after="0"/>
              <w:rPr>
                <w:sz w:val="11"/>
                <w:szCs w:val="11"/>
                <w:color w:val="auto"/>
              </w:rPr>
            </w:pPr>
          </w:p>
        </w:tc>
        <w:tc>
          <w:tcPr>
            <w:tcW w:w="24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spacing w:after="0"/>
              <w:rPr>
                <w:sz w:val="11"/>
                <w:szCs w:val="11"/>
                <w:color w:val="auto"/>
              </w:rPr>
            </w:pPr>
          </w:p>
        </w:tc>
        <w:tc>
          <w:tcPr>
            <w:tcW w:w="24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ind w:left="380"/>
              <w:spacing w:after="0" w:line="136"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Other comprehensive loss</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(96)</w:t>
            </w:r>
          </w:p>
        </w:tc>
        <w:tc>
          <w:tcPr>
            <w:tcW w:w="560" w:type="dxa"/>
            <w:vAlign w:val="bottom"/>
            <w:gridSpan w:val="3"/>
            <w:shd w:val="clear" w:color="auto" w:fill="CCEEFF"/>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Units repurchased</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540" w:type="dxa"/>
            <w:vAlign w:val="bottom"/>
            <w:gridSpan w:val="3"/>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1"/>
                <w:szCs w:val="11"/>
                <w:color w:val="auto"/>
              </w:rPr>
            </w:pPr>
          </w:p>
        </w:tc>
        <w:tc>
          <w:tcPr>
            <w:tcW w:w="34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Compensation expense</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3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12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right w:val="single" w:sz="8" w:color="auto"/>
            </w:tcBorders>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ind w:left="2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360" w:type="dxa"/>
            <w:vAlign w:val="bottom"/>
            <w:gridSpan w:val="2"/>
            <w:shd w:val="clear" w:color="auto" w:fill="CCEEFF"/>
          </w:tcPr>
          <w:p>
            <w:pPr>
              <w:jc w:val="right"/>
              <w:ind w:right="60"/>
              <w:spacing w:after="0" w:line="132" w:lineRule="exact"/>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36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tcPr>
          <w:p>
            <w:pPr>
              <w:spacing w:after="0" w:line="112" w:lineRule="exact"/>
              <w:rPr>
                <w:sz w:val="20"/>
                <w:szCs w:val="20"/>
                <w:color w:val="auto"/>
              </w:rPr>
            </w:pPr>
            <w:r>
              <w:rPr>
                <w:rFonts w:ascii="Times New Roman" w:cs="Times New Roman" w:eastAsia="Times New Roman" w:hAnsi="Times New Roman"/>
                <w:sz w:val="12"/>
                <w:szCs w:val="12"/>
                <w:color w:val="auto"/>
              </w:rPr>
              <w:t>Adjustment of puttable common units to redemption</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9"/>
                <w:szCs w:val="9"/>
                <w:color w:val="auto"/>
              </w:rPr>
            </w:pPr>
          </w:p>
        </w:tc>
        <w:tc>
          <w:tcPr>
            <w:tcW w:w="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(16)</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9"/>
                <w:szCs w:val="9"/>
                <w:color w:val="auto"/>
              </w:rPr>
            </w:pP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6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2"/>
                <w:szCs w:val="12"/>
                <w:color w:val="auto"/>
              </w:rPr>
              <w:t>Adjustment of stock-based compensation to redemption</w:t>
            </w:r>
          </w:p>
        </w:tc>
        <w:tc>
          <w:tcPr>
            <w:tcW w:w="2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81"/>
              </w:rPr>
              <w:t>— </w:t>
            </w:r>
          </w:p>
        </w:tc>
        <w:tc>
          <w:tcPr>
            <w:tcW w:w="3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value</w:t>
            </w:r>
          </w:p>
        </w:tc>
        <w:tc>
          <w:tcPr>
            <w:tcW w:w="2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vMerge w:val="continue"/>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56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96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Distribution to partners</w:t>
            </w:r>
          </w:p>
        </w:tc>
        <w:tc>
          <w:tcPr>
            <w:tcW w:w="26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— </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— </w:t>
            </w:r>
          </w:p>
        </w:tc>
        <w:tc>
          <w:tcPr>
            <w:tcW w:w="120" w:type="dxa"/>
            <w:vAlign w:val="bottom"/>
          </w:tcPr>
          <w:p>
            <w:pPr>
              <w:spacing w:after="0"/>
              <w:rPr>
                <w:sz w:val="11"/>
                <w:szCs w:val="11"/>
                <w:color w:val="auto"/>
              </w:rPr>
            </w:pPr>
          </w:p>
        </w:tc>
        <w:tc>
          <w:tcPr>
            <w:tcW w:w="2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gridSpan w:val="2"/>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jc w:val="right"/>
              <w:ind w:right="80"/>
              <w:spacing w:after="0" w:line="13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520" w:type="dxa"/>
            <w:vAlign w:val="bottom"/>
            <w:gridSpan w:val="2"/>
          </w:tcPr>
          <w:p>
            <w:pPr>
              <w:ind w:left="20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(33)</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(7)</w:t>
            </w:r>
          </w:p>
        </w:tc>
        <w:tc>
          <w:tcPr>
            <w:tcW w:w="360" w:type="dxa"/>
            <w:vAlign w:val="bottom"/>
            <w:gridSpan w:val="2"/>
          </w:tcPr>
          <w:p>
            <w:pPr>
              <w:ind w:left="6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1"/>
                <w:szCs w:val="11"/>
                <w:color w:val="auto"/>
              </w:rPr>
            </w:pPr>
          </w:p>
        </w:tc>
        <w:tc>
          <w:tcPr>
            <w:tcW w:w="360" w:type="dxa"/>
            <w:vAlign w:val="bottom"/>
            <w:gridSpan w:val="2"/>
          </w:tcPr>
          <w:p>
            <w:pPr>
              <w:jc w:val="right"/>
              <w:ind w:right="14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380"/>
              <w:spacing w:after="0" w:line="132" w:lineRule="exact"/>
              <w:rPr>
                <w:sz w:val="20"/>
                <w:szCs w:val="20"/>
                <w:color w:val="auto"/>
              </w:rPr>
            </w:pPr>
            <w:r>
              <w:rPr>
                <w:rFonts w:ascii="Times New Roman" w:cs="Times New Roman" w:eastAsia="Times New Roman" w:hAnsi="Times New Roman"/>
                <w:sz w:val="13"/>
                <w:szCs w:val="13"/>
                <w:color w:val="auto"/>
              </w:rPr>
              <w:t>— </w:t>
            </w:r>
          </w:p>
        </w:tc>
        <w:tc>
          <w:tcPr>
            <w:tcW w:w="56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296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Balance, September 28, 2024</w:t>
            </w:r>
          </w:p>
        </w:tc>
        <w:tc>
          <w:tcPr>
            <w:tcW w:w="26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92"/>
              </w:rPr>
              <w:t>128</w:t>
            </w:r>
          </w:p>
        </w:tc>
        <w:tc>
          <w:tcPr>
            <w:tcW w:w="280" w:type="dxa"/>
            <w:vAlign w:val="bottom"/>
            <w:gridSpan w:val="2"/>
            <w:shd w:val="clear" w:color="auto" w:fill="CCEEFF"/>
          </w:tcPr>
          <w:p>
            <w:pPr>
              <w:jc w:val="right"/>
              <w:ind w:right="46"/>
              <w:spacing w:after="0" w:line="132"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color w:val="auto"/>
                <w:w w:val="81"/>
              </w:rPr>
              <w:t>242</w:t>
            </w:r>
          </w:p>
        </w:tc>
        <w:tc>
          <w:tcPr>
            <w:tcW w:w="38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127</w:t>
            </w:r>
          </w:p>
        </w:tc>
        <w:tc>
          <w:tcPr>
            <w:tcW w:w="100" w:type="dxa"/>
            <w:vAlign w:val="bottom"/>
            <w:gridSpan w:val="2"/>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3"/>
                <w:szCs w:val="13"/>
                <w:color w:val="auto"/>
              </w:rPr>
              <w:t>369</w:t>
            </w:r>
          </w:p>
        </w:tc>
        <w:tc>
          <w:tcPr>
            <w:tcW w:w="1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40"/>
              <w:spacing w:after="0" w:line="132" w:lineRule="exact"/>
              <w:rPr>
                <w:sz w:val="20"/>
                <w:szCs w:val="20"/>
                <w:color w:val="auto"/>
              </w:rPr>
            </w:pPr>
            <w:r>
              <w:rPr>
                <w:rFonts w:ascii="Times New Roman" w:cs="Times New Roman" w:eastAsia="Times New Roman" w:hAnsi="Times New Roman"/>
                <w:sz w:val="13"/>
                <w:szCs w:val="13"/>
                <w:color w:val="auto"/>
              </w:rPr>
              <w:t>16,723</w:t>
            </w:r>
          </w:p>
        </w:tc>
        <w:tc>
          <w:tcPr>
            <w:tcW w:w="60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u w:val="single" w:color="auto"/>
                <w:color w:val="auto"/>
                <w:w w:val="87"/>
              </w:rPr>
              <w:t>$</w:t>
            </w:r>
            <w:r>
              <w:rPr>
                <w:rFonts w:ascii="Times New Roman" w:cs="Times New Roman" w:eastAsia="Times New Roman" w:hAnsi="Times New Roman"/>
                <w:sz w:val="13"/>
                <w:szCs w:val="13"/>
                <w:color w:val="auto"/>
                <w:w w:val="87"/>
              </w:rPr>
              <w:t xml:space="preserve"> 17,012</w:t>
            </w:r>
          </w:p>
        </w:tc>
        <w:tc>
          <w:tcPr>
            <w:tcW w:w="240" w:type="dxa"/>
            <w:vAlign w:val="bottom"/>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w w:val="81"/>
              </w:rPr>
              <w:t>765</w:t>
            </w:r>
          </w:p>
        </w:tc>
        <w:tc>
          <w:tcPr>
            <w:tcW w:w="1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180"/>
              <w:spacing w:after="0" w:line="132" w:lineRule="exact"/>
              <w:rPr>
                <w:sz w:val="20"/>
                <w:szCs w:val="20"/>
                <w:color w:val="auto"/>
              </w:rPr>
            </w:pPr>
            <w:r>
              <w:rPr>
                <w:rFonts w:ascii="Times New Roman" w:cs="Times New Roman" w:eastAsia="Times New Roman" w:hAnsi="Times New Roman"/>
                <w:sz w:val="13"/>
                <w:szCs w:val="13"/>
                <w:color w:val="auto"/>
                <w:w w:val="92"/>
              </w:rPr>
              <w:t>142</w:t>
            </w:r>
          </w:p>
        </w:tc>
        <w:tc>
          <w:tcPr>
            <w:tcW w:w="36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00"/>
              <w:spacing w:after="0" w:line="132" w:lineRule="exact"/>
              <w:rPr>
                <w:sz w:val="20"/>
                <w:szCs w:val="20"/>
                <w:color w:val="auto"/>
              </w:rPr>
            </w:pPr>
            <w:r>
              <w:rPr>
                <w:rFonts w:ascii="Times New Roman" w:cs="Times New Roman" w:eastAsia="Times New Roman" w:hAnsi="Times New Roman"/>
                <w:sz w:val="13"/>
                <w:szCs w:val="13"/>
                <w:color w:val="auto"/>
              </w:rPr>
              <w:t>50</w:t>
            </w:r>
          </w:p>
        </w:tc>
        <w:tc>
          <w:tcPr>
            <w:tcW w:w="180" w:type="dxa"/>
            <w:vAlign w:val="bottom"/>
            <w:gridSpan w:val="2"/>
            <w:shd w:val="clear" w:color="auto" w:fill="CCEEFF"/>
          </w:tcPr>
          <w:p>
            <w:pPr>
              <w:ind w:left="60"/>
              <w:spacing w:after="0" w:line="13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20"/>
              <w:spacing w:after="0" w:line="132" w:lineRule="exact"/>
              <w:rPr>
                <w:sz w:val="20"/>
                <w:szCs w:val="20"/>
                <w:color w:val="auto"/>
              </w:rPr>
            </w:pPr>
            <w:r>
              <w:rPr>
                <w:rFonts w:ascii="Times New Roman" w:cs="Times New Roman" w:eastAsia="Times New Roman" w:hAnsi="Times New Roman"/>
                <w:sz w:val="13"/>
                <w:szCs w:val="13"/>
                <w:color w:val="auto"/>
              </w:rPr>
              <w:t>55</w:t>
            </w:r>
          </w:p>
        </w:tc>
        <w:tc>
          <w:tcPr>
            <w:tcW w:w="560" w:type="dxa"/>
            <w:vAlign w:val="bottom"/>
            <w:gridSpan w:val="3"/>
            <w:shd w:val="clear" w:color="auto" w:fill="CCEEFF"/>
          </w:tcPr>
          <w:p>
            <w:pPr>
              <w:jc w:val="right"/>
              <w:ind w:right="80"/>
              <w:spacing w:after="0" w:line="132" w:lineRule="exact"/>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 xml:space="preserve"> 17,259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F-55</w:t>
      </w:r>
    </w:p>
    <w:p>
      <w:pPr>
        <w:sectPr>
          <w:pgSz w:w="11900" w:h="16838" w:orient="portrait"/>
          <w:cols w:equalWidth="0" w:num="1">
            <w:col w:w="10500"/>
          </w:cols>
          <w:pgMar w:left="320" w:top="421" w:right="10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3"/>
                <w:szCs w:val="13"/>
                <w:color w:val="auto"/>
              </w:rPr>
              <w:t>Nine months ended</w:t>
            </w:r>
          </w:p>
        </w:tc>
        <w:tc>
          <w:tcPr>
            <w:tcW w:w="6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98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color w:val="auto"/>
              </w:rPr>
              <w:t>September 27, 2025</w:t>
            </w:r>
          </w:p>
        </w:tc>
        <w:tc>
          <w:tcPr>
            <w:tcW w:w="1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w w:val="97"/>
              </w:rPr>
              <w:t>September 28, 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20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977</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750</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49</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Credit losses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45</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Unrealized foreign exchange loss, net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103</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Amortization of inventory step-up</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Non-cash lease expense</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54</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Trade accounts receivable</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(239)</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Inventories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(249)</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(124)</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140</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(17)</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liabilities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(12)</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9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(309)</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Acquisitions of businesses, net of cash acquired</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Cash paid for asset acquisitions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(33)</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9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7,569</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9,806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Repayment for long-term borrowings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(7,612)</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(9,848)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Repayments under lines of credit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(179)</w:t>
            </w:r>
          </w:p>
        </w:tc>
        <w:tc>
          <w:tcPr>
            <w:tcW w:w="36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Proceeds from lines of credit</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179</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Payment for debt issuance cost</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Payment towards Class B unit repurchases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(33)</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(422)</w:t>
            </w:r>
          </w:p>
        </w:tc>
        <w:tc>
          <w:tcPr>
            <w:tcW w:w="3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rPr>
              <w:t>(498)</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 and restricted cash</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and restricted cash</w:t>
            </w:r>
          </w:p>
        </w:tc>
        <w:tc>
          <w:tcPr>
            <w:tcW w:w="4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705</w:t>
            </w:r>
          </w:p>
        </w:tc>
        <w:tc>
          <w:tcPr>
            <w:tcW w:w="3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beginning of 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6"/>
                <w:szCs w:val="16"/>
                <w:color w:val="auto"/>
              </w:rPr>
              <w:t>250</w:t>
            </w:r>
          </w:p>
        </w:tc>
        <w:tc>
          <w:tcPr>
            <w:tcW w:w="36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rPr>
              <w:t>955</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F-56</w:t>
      </w:r>
    </w:p>
    <w:p>
      <w:pPr>
        <w:sectPr>
          <w:pgSz w:w="11900" w:h="16838" w:orient="portrait"/>
          <w:cols w:equalWidth="0" w:num="1">
            <w:col w:w="10500"/>
          </w:cols>
          <w:pgMar w:left="320" w:top="420" w:right="10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 (Continued)</w:t>
      </w:r>
    </w:p>
    <w:p>
      <w:pPr>
        <w:spacing w:after="0" w:line="222"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5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3"/>
                <w:szCs w:val="13"/>
                <w:color w:val="auto"/>
                <w:w w:val="96"/>
              </w:rPr>
              <w:t>Nine months ended</w:t>
            </w: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4"/>
        </w:trPr>
        <w:tc>
          <w:tcPr>
            <w:tcW w:w="5100" w:type="dxa"/>
            <w:vAlign w:val="bottom"/>
            <w:tcBorders>
              <w:bottom w:val="single" w:sz="8" w:color="CCEEFF"/>
            </w:tcBorders>
          </w:tcPr>
          <w:p>
            <w:pPr>
              <w:spacing w:after="0"/>
              <w:rPr>
                <w:sz w:val="10"/>
                <w:szCs w:val="10"/>
                <w:color w:val="auto"/>
              </w:rPr>
            </w:pPr>
          </w:p>
        </w:tc>
        <w:tc>
          <w:tcPr>
            <w:tcW w:w="156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gridSpan w:val="2"/>
          </w:tcPr>
          <w:p>
            <w:pPr>
              <w:spacing w:after="0" w:line="124" w:lineRule="exact"/>
              <w:rPr>
                <w:sz w:val="20"/>
                <w:szCs w:val="20"/>
                <w:color w:val="auto"/>
              </w:rPr>
            </w:pPr>
            <w:r>
              <w:rPr>
                <w:rFonts w:ascii="Times New Roman" w:cs="Times New Roman" w:eastAsia="Times New Roman" w:hAnsi="Times New Roman"/>
                <w:sz w:val="13"/>
                <w:szCs w:val="13"/>
                <w:color w:val="auto"/>
                <w:w w:val="95"/>
              </w:rPr>
              <w:t>September 27, 2025</w:t>
            </w:r>
          </w:p>
        </w:tc>
        <w:tc>
          <w:tcPr>
            <w:tcW w:w="102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3"/>
                <w:szCs w:val="13"/>
                <w:color w:val="auto"/>
                <w:w w:val="95"/>
              </w:rPr>
              <w:t>September 28, 2024</w:t>
            </w:r>
          </w:p>
        </w:tc>
        <w:tc>
          <w:tcPr>
            <w:tcW w:w="40" w:type="dxa"/>
            <w:vAlign w:val="bottom"/>
            <w:tcBorders>
              <w:bottom w:val="single" w:sz="8" w:color="CCEEFF"/>
            </w:tcBorders>
          </w:tcPr>
          <w:p>
            <w:pPr>
              <w:spacing w:after="0"/>
              <w:rPr>
                <w:sz w:val="10"/>
                <w:szCs w:val="10"/>
                <w:color w:val="auto"/>
              </w:rPr>
            </w:pPr>
          </w:p>
        </w:tc>
      </w:tr>
      <w:tr>
        <w:trPr>
          <w:trHeight w:val="172"/>
        </w:trPr>
        <w:tc>
          <w:tcPr>
            <w:tcW w:w="51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92"/>
        </w:trPr>
        <w:tc>
          <w:tcPr>
            <w:tcW w:w="5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payments for interest on borrowings</w:t>
            </w:r>
          </w:p>
        </w:tc>
        <w:tc>
          <w:tcPr>
            <w:tcW w:w="200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440" w:type="dxa"/>
            <w:vAlign w:val="bottom"/>
            <w:gridSpan w:val="2"/>
          </w:tcPr>
          <w:p>
            <w:pPr>
              <w:jc w:val="right"/>
              <w:ind w:right="276"/>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670</w:t>
            </w:r>
          </w:p>
        </w:tc>
      </w:tr>
      <w:tr>
        <w:trPr>
          <w:trHeight w:val="192"/>
        </w:trPr>
        <w:tc>
          <w:tcPr>
            <w:tcW w:w="5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received from interest rate hedging activities</w:t>
            </w:r>
          </w:p>
        </w:tc>
        <w:tc>
          <w:tcPr>
            <w:tcW w:w="15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r>
    </w:tbl>
    <w:p>
      <w:pPr>
        <w:spacing w:after="0" w:line="175"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The following table provides reconciliation of cash, cash equivalents and restricted cash shown above to the amounts reported within the condensed consolidated balance sheets as of September 27, 2025 and December 31, 2024:</w:t>
      </w:r>
    </w:p>
    <w:p>
      <w:pPr>
        <w:spacing w:after="0" w:line="164"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0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September 27, 2025</w:t>
            </w: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December 31, 2024</w:t>
            </w:r>
          </w:p>
        </w:tc>
      </w:tr>
      <w:tr>
        <w:trPr>
          <w:trHeight w:val="184"/>
        </w:trPr>
        <w:tc>
          <w:tcPr>
            <w:tcW w:w="20" w:type="dxa"/>
            <w:vAlign w:val="bottom"/>
          </w:tcPr>
          <w:p>
            <w:pPr>
              <w:spacing w:after="0"/>
              <w:rPr>
                <w:sz w:val="15"/>
                <w:szCs w:val="15"/>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40" w:type="dxa"/>
            <w:vAlign w:val="bottom"/>
            <w:tcBorders>
              <w:top w:val="single" w:sz="8" w:color="CCEEFF"/>
            </w:tcBorders>
            <w:shd w:val="clear" w:color="auto" w:fill="CCEEFF"/>
          </w:tcPr>
          <w:p>
            <w:pPr>
              <w:spacing w:after="0"/>
              <w:rPr>
                <w:sz w:val="15"/>
                <w:szCs w:val="15"/>
                <w:color w:val="auto"/>
              </w:rPr>
            </w:pPr>
          </w:p>
        </w:tc>
      </w:tr>
      <w:tr>
        <w:trPr>
          <w:trHeight w:val="196"/>
        </w:trPr>
        <w:tc>
          <w:tcPr>
            <w:tcW w:w="20" w:type="dxa"/>
            <w:vAlign w:val="bottom"/>
          </w:tcPr>
          <w:p>
            <w:pPr>
              <w:spacing w:after="0"/>
              <w:rPr>
                <w:sz w:val="17"/>
                <w:szCs w:val="17"/>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18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w:t>
            </w:r>
          </w:p>
        </w:tc>
        <w:tc>
          <w:tcPr>
            <w:tcW w:w="18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139"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F-57</w:t>
      </w:r>
    </w:p>
    <w:p>
      <w:pPr>
        <w:sectPr>
          <w:pgSz w:w="11900" w:h="16838" w:orient="portrait"/>
          <w:cols w:equalWidth="0" w:num="1">
            <w:col w:w="10500"/>
          </w:cols>
          <w:pgMar w:left="320" w:top="420" w:right="107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1 - NATURE OF BUSINESS AND SIGNIFICANT ACCOUNTING POLICIES</w:t>
      </w:r>
    </w:p>
    <w:p>
      <w:pPr>
        <w:spacing w:after="0" w:line="105" w:lineRule="exact"/>
        <w:rPr>
          <w:sz w:val="20"/>
          <w:szCs w:val="20"/>
          <w:color w:val="auto"/>
        </w:rPr>
      </w:pPr>
    </w:p>
    <w:p>
      <w:pPr>
        <w:ind w:left="740" w:right="60"/>
        <w:spacing w:after="0" w:line="257" w:lineRule="auto"/>
        <w:rPr>
          <w:sz w:val="20"/>
          <w:szCs w:val="20"/>
          <w:color w:val="auto"/>
        </w:rPr>
      </w:pPr>
      <w:r>
        <w:rPr>
          <w:rFonts w:ascii="Times New Roman" w:cs="Times New Roman" w:eastAsia="Times New Roman" w:hAnsi="Times New Roman"/>
          <w:sz w:val="16"/>
          <w:szCs w:val="16"/>
          <w:u w:val="single" w:color="auto"/>
          <w:color w:val="auto"/>
        </w:rPr>
        <w:t>Nature of Business</w:t>
      </w:r>
      <w:r>
        <w:rPr>
          <w:rFonts w:ascii="Times New Roman" w:cs="Times New Roman" w:eastAsia="Times New Roman" w:hAnsi="Times New Roman"/>
          <w:sz w:val="16"/>
          <w:szCs w:val="16"/>
          <w:color w:val="auto"/>
        </w:rPr>
        <w:t>: Medline Holdings, LP (“Medline Holdings”), the indirect parent of Medline Industries, LP (formally known as Medline Industries, Inc.) (“Medline”), and its subsidiaries (together, the “Company”) are a medical-surgical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64"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On June 5, 2021, the owners of Medline agreed to sell a majority ownership in the Company to a private equity consortium led by Blackstone Inc., The Carlyle Group Inc. and Hellman &amp; Friedman LLC, which was consummated on October 21, 2021 (the private equity consortium described herein is referred to as the “Sponsors” and the transaction described herein is referred to as the “Transaction” or the “Acquisition”).</w:t>
      </w:r>
    </w:p>
    <w:p>
      <w:pPr>
        <w:spacing w:after="0" w:line="157" w:lineRule="exact"/>
        <w:rPr>
          <w:sz w:val="20"/>
          <w:szCs w:val="20"/>
          <w:color w:val="auto"/>
        </w:rPr>
      </w:pPr>
    </w:p>
    <w:p>
      <w:pPr>
        <w:ind w:left="740" w:right="680"/>
        <w:spacing w:after="0" w:line="281" w:lineRule="auto"/>
        <w:rPr>
          <w:sz w:val="20"/>
          <w:szCs w:val="20"/>
          <w:color w:val="auto"/>
        </w:rPr>
      </w:pPr>
      <w:r>
        <w:rPr>
          <w:rFonts w:ascii="Times New Roman" w:cs="Times New Roman" w:eastAsia="Times New Roman" w:hAnsi="Times New Roman"/>
          <w:sz w:val="16"/>
          <w:szCs w:val="16"/>
          <w:u w:val="single" w:color="auto"/>
          <w:color w:val="auto"/>
        </w:rPr>
        <w:t>Principles of Consolidation</w:t>
      </w:r>
      <w:r>
        <w:rPr>
          <w:rFonts w:ascii="Times New Roman" w:cs="Times New Roman" w:eastAsia="Times New Roman" w:hAnsi="Times New Roman"/>
          <w:sz w:val="16"/>
          <w:szCs w:val="16"/>
          <w:color w:val="auto"/>
        </w:rPr>
        <w:t>: The condensed consolidated financial statements include the accounts of Medline Holdings and its wholly owned subsidiaries. All intercompany transactions and balances have been eliminated in consolidation.</w:t>
      </w:r>
    </w:p>
    <w:p>
      <w:pPr>
        <w:spacing w:after="0" w:line="144" w:lineRule="exact"/>
        <w:rPr>
          <w:sz w:val="20"/>
          <w:szCs w:val="20"/>
          <w:color w:val="auto"/>
        </w:rPr>
      </w:pPr>
    </w:p>
    <w:p>
      <w:pPr>
        <w:ind w:left="740" w:right="40"/>
        <w:spacing w:after="0" w:line="255" w:lineRule="auto"/>
        <w:rPr>
          <w:sz w:val="20"/>
          <w:szCs w:val="20"/>
          <w:color w:val="auto"/>
        </w:rPr>
      </w:pPr>
      <w:r>
        <w:rPr>
          <w:rFonts w:ascii="Times New Roman" w:cs="Times New Roman" w:eastAsia="Times New Roman" w:hAnsi="Times New Roman"/>
          <w:sz w:val="16"/>
          <w:szCs w:val="16"/>
          <w:u w:val="single" w:color="auto"/>
          <w:color w:val="auto"/>
        </w:rPr>
        <w:t>Basis of Presentation</w:t>
      </w:r>
      <w:r>
        <w:rPr>
          <w:rFonts w:ascii="Times New Roman" w:cs="Times New Roman" w:eastAsia="Times New Roman" w:hAnsi="Times New Roman"/>
          <w:sz w:val="16"/>
          <w:szCs w:val="16"/>
          <w:color w:val="auto"/>
        </w:rPr>
        <w:t>: The unaudited condensed consolidated financial statements and accompanying notes are prepared in accordance with United States (“U.S.”)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2024. The results of businesses acquired or disposed of are included in the consolidated financial statements from the date of the acquisition or up to the date of disposal, respectively. All adjustments, in the opinion of management, necessary to a fair statement of the results for the interim and annual periods presented have been made.</w:t>
      </w:r>
    </w:p>
    <w:p>
      <w:pPr>
        <w:spacing w:after="0" w:line="164"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15 — Segment Information” for additional details.</w:t>
      </w:r>
    </w:p>
    <w:p>
      <w:pPr>
        <w:spacing w:after="0" w:line="161"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The Company reclassified certain prior period amounts to make them comparable to the current period. The changes relate to presenting operating cash flows for leases gross rather than net with supplemental disclosures, presenting other operating expenses in the dedicated caption, and presenting mezzanine equity.</w:t>
      </w:r>
    </w:p>
    <w:p>
      <w:pPr>
        <w:spacing w:after="0" w:line="157" w:lineRule="exact"/>
        <w:rPr>
          <w:sz w:val="20"/>
          <w:szCs w:val="20"/>
          <w:color w:val="auto"/>
        </w:rPr>
      </w:pPr>
    </w:p>
    <w:p>
      <w:pPr>
        <w:ind w:left="740" w:right="300"/>
        <w:spacing w:after="0" w:line="265" w:lineRule="auto"/>
        <w:rPr>
          <w:sz w:val="20"/>
          <w:szCs w:val="20"/>
          <w:color w:val="auto"/>
        </w:rPr>
      </w:pPr>
      <w:r>
        <w:rPr>
          <w:rFonts w:ascii="Times New Roman" w:cs="Times New Roman" w:eastAsia="Times New Roman" w:hAnsi="Times New Roman"/>
          <w:sz w:val="16"/>
          <w:szCs w:val="16"/>
          <w:u w:val="single" w:color="auto"/>
          <w:color w:val="auto"/>
        </w:rPr>
        <w:t>Fiscal Periods</w:t>
      </w:r>
      <w:r>
        <w:rPr>
          <w:rFonts w:ascii="Times New Roman" w:cs="Times New Roman" w:eastAsia="Times New Roman" w:hAnsi="Times New Roman"/>
          <w:sz w:val="16"/>
          <w:szCs w:val="16"/>
          <w:color w:val="auto"/>
        </w:rPr>
        <w:t>: The Company’s fiscal year begins on January 1 and ends on December 31. The fiscal quarters are based on a four-four-five-week calendar with periods ending on the Saturday of the last week in the quarter, with the exception of December 31, which is always the fiscal year-end date.</w:t>
      </w:r>
    </w:p>
    <w:p>
      <w:pPr>
        <w:spacing w:after="0" w:line="157" w:lineRule="exact"/>
        <w:rPr>
          <w:sz w:val="20"/>
          <w:szCs w:val="20"/>
          <w:color w:val="auto"/>
        </w:rPr>
      </w:pPr>
    </w:p>
    <w:p>
      <w:pPr>
        <w:jc w:val="both"/>
        <w:ind w:left="740" w:right="220"/>
        <w:spacing w:after="0" w:line="260" w:lineRule="auto"/>
        <w:rPr>
          <w:sz w:val="20"/>
          <w:szCs w:val="20"/>
          <w:color w:val="auto"/>
        </w:rPr>
      </w:pPr>
      <w:r>
        <w:rPr>
          <w:rFonts w:ascii="Times New Roman" w:cs="Times New Roman" w:eastAsia="Times New Roman" w:hAnsi="Times New Roman"/>
          <w:sz w:val="16"/>
          <w:szCs w:val="16"/>
          <w:u w:val="single" w:color="auto"/>
          <w:color w:val="auto"/>
        </w:rPr>
        <w:t>Use of Estimates</w:t>
      </w:r>
      <w:r>
        <w:rPr>
          <w:rFonts w:ascii="Times New Roman" w:cs="Times New Roman" w:eastAsia="Times New Roman" w:hAnsi="Times New Roman"/>
          <w:sz w:val="16"/>
          <w:szCs w:val="16"/>
          <w:color w:val="auto"/>
        </w:rPr>
        <w:t>: 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Such estimates include, but are not limited to, allowance for credit losses, inventory valuation reserves, fair value of financial</w:t>
      </w:r>
    </w:p>
    <w:p>
      <w:pPr>
        <w:spacing w:after="0" w:line="10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F-58</w:t>
      </w:r>
    </w:p>
    <w:p>
      <w:pPr>
        <w:sectPr>
          <w:pgSz w:w="11900" w:h="16838" w:orient="portrait"/>
          <w:cols w:equalWidth="0" w:num="1">
            <w:col w:w="10500"/>
          </w:cols>
          <w:pgMar w:left="320" w:top="420" w:right="10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1 - NATURE OF BUSINESS AND SIGNIFICANT ACCOUNTING POLICIES (Continued)</w:t>
      </w:r>
    </w:p>
    <w:p>
      <w:pPr>
        <w:spacing w:after="0" w:line="117" w:lineRule="exact"/>
        <w:rPr>
          <w:sz w:val="20"/>
          <w:szCs w:val="20"/>
          <w:color w:val="auto"/>
        </w:rPr>
      </w:pPr>
    </w:p>
    <w:p>
      <w:pPr>
        <w:ind w:left="740" w:right="100"/>
        <w:spacing w:after="0" w:line="281" w:lineRule="auto"/>
        <w:rPr>
          <w:sz w:val="20"/>
          <w:szCs w:val="20"/>
          <w:color w:val="auto"/>
        </w:rPr>
      </w:pPr>
      <w:r>
        <w:rPr>
          <w:rFonts w:ascii="Times New Roman" w:cs="Times New Roman" w:eastAsia="Times New Roman" w:hAnsi="Times New Roman"/>
          <w:sz w:val="16"/>
          <w:szCs w:val="16"/>
          <w:color w:val="auto"/>
        </w:rPr>
        <w:t>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44" w:lineRule="exact"/>
        <w:rPr>
          <w:sz w:val="20"/>
          <w:szCs w:val="20"/>
          <w:color w:val="auto"/>
        </w:rPr>
      </w:pPr>
    </w:p>
    <w:p>
      <w:pPr>
        <w:ind w:left="740" w:right="100"/>
        <w:spacing w:after="0" w:line="260" w:lineRule="auto"/>
        <w:rPr>
          <w:sz w:val="20"/>
          <w:szCs w:val="20"/>
          <w:color w:val="auto"/>
        </w:rPr>
      </w:pPr>
      <w:r>
        <w:rPr>
          <w:rFonts w:ascii="Times New Roman" w:cs="Times New Roman" w:eastAsia="Times New Roman" w:hAnsi="Times New Roman"/>
          <w:sz w:val="16"/>
          <w:szCs w:val="16"/>
          <w:u w:val="single" w:color="auto"/>
          <w:color w:val="auto"/>
        </w:rPr>
        <w:t>Restricted Cash</w:t>
      </w:r>
      <w:r>
        <w:rPr>
          <w:rFonts w:ascii="Times New Roman" w:cs="Times New Roman" w:eastAsia="Times New Roman" w:hAnsi="Times New Roman"/>
          <w:sz w:val="16"/>
          <w:szCs w:val="16"/>
          <w:color w:val="auto"/>
        </w:rPr>
        <w:t>: Restricted cash represents cash balances restricted as to withdrawal or use and are included in other current assets on the condensed consolidated balance sheets. As of September 27, 2025, restricted cash was not material. As of December 31, 2024, restricted cash includes $47 held in an escrow account related to settlement for ethylene oxide sterilization (“EtO”) litigation. See “Note 9 — Commitments and Contingencies” for additional information on EtO related claims and litigation.</w:t>
      </w:r>
    </w:p>
    <w:p>
      <w:pPr>
        <w:spacing w:after="0" w:line="161"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15"/>
          <w:szCs w:val="15"/>
          <w:u w:val="single" w:color="auto"/>
          <w:color w:val="auto"/>
        </w:rPr>
        <w:t>Recently Issued Accounting Standards Not Yet Adopted:</w:t>
      </w:r>
      <w:r>
        <w:rPr>
          <w:rFonts w:ascii="Times New Roman" w:cs="Times New Roman" w:eastAsia="Times New Roman" w:hAnsi="Times New Roman"/>
          <w:sz w:val="15"/>
          <w:szCs w:val="15"/>
          <w:color w:val="auto"/>
        </w:rPr>
        <w:t xml:space="preserve"> In September 2025, the Financial Accounting Standards Board (“FASB”) issued Accounting Standards Update (“ASU”) 2025-07, Derivatives and Hedging (Topic 815) and Revenue from Contracts with Customers (Topic 606): Derivatives Scope Refinements and Scope Clarification for Share-Based Noncash Consideration from a Customer in a Revenue Contract. ASU 2025-07 refines the scope of derivative accounting by excluding certain non-exchange-traded contracts with underlyings that are based on operations or activities specific to one of the parties to the contract. The scope exception does not apply to variables based on a market rate, market price, market index, the price, or performance of a financial asset or liability, contracts (or features) involving an issuer’s own equity or options on debt instruments. In addition, the amendments clarify that share-based noncash consideration received from a customer should be accounted for under the noncash consideration guidance in Topic</w:t>
      </w:r>
    </w:p>
    <w:p>
      <w:pPr>
        <w:spacing w:after="0" w:line="4" w:lineRule="exact"/>
        <w:rPr>
          <w:sz w:val="20"/>
          <w:szCs w:val="20"/>
          <w:color w:val="auto"/>
        </w:rPr>
      </w:pPr>
    </w:p>
    <w:p>
      <w:pPr>
        <w:ind w:left="740" w:right="100" w:hanging="2"/>
        <w:spacing w:after="0" w:line="254" w:lineRule="auto"/>
        <w:tabs>
          <w:tab w:leader="none" w:pos="1059"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amendments are effective for annual periods beginning after December 15, 2026, and interim periods within those annual periods. Early adoption is permitted. Entities may adopt the guidance either prospectively or on a modified retrospective basis. The Company expects adoption of this ASU would not have a material impact on the consolidated financial statements.</w:t>
      </w:r>
    </w:p>
    <w:p>
      <w:pPr>
        <w:spacing w:after="0" w:line="166" w:lineRule="exact"/>
        <w:rPr>
          <w:sz w:val="20"/>
          <w:szCs w:val="20"/>
          <w:color w:val="auto"/>
        </w:rPr>
      </w:pPr>
    </w:p>
    <w:p>
      <w:pPr>
        <w:ind w:left="740" w:right="40"/>
        <w:spacing w:after="0" w:line="255" w:lineRule="auto"/>
        <w:rPr>
          <w:sz w:val="20"/>
          <w:szCs w:val="20"/>
          <w:color w:val="auto"/>
        </w:rPr>
      </w:pPr>
      <w:r>
        <w:rPr>
          <w:rFonts w:ascii="Times New Roman" w:cs="Times New Roman" w:eastAsia="Times New Roman" w:hAnsi="Times New Roman"/>
          <w:sz w:val="16"/>
          <w:szCs w:val="16"/>
          <w:color w:val="auto"/>
        </w:rPr>
        <w:t>In September 2025, the FASB issued ASU 2025-06, Intangibles—Goodwill and Other—Internal-Use Software (Subtopic 350-40): Targeted Improvements to the Accounting for Internal-Use Software. ASU 2025-06 updates the guidance for internal-use software by eliminating references to development stages and clarifying the criteria for capitalization. Under the new guidance, capitalization begins when (1) management authorizes and commits to funding the project and (2) it is probable that the project will be completed, and the software will be used as intended. The amendments are effective for annual periods beginning after December 15, 2027, and interim periods within those annual periods. Early adoption is permitted. Entities may adopt the guidance using a prospective, retrospective, or modified transition approach. The Company expects adoption of this ASU would not have a material impact on the consolidated financial statements.</w:t>
      </w:r>
    </w:p>
    <w:p>
      <w:pPr>
        <w:spacing w:after="0" w:line="164"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Instruments—Credit Losses (Topic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is currently evaluating the impact of adopting this new standard on its financial statements.</w:t>
      </w:r>
    </w:p>
    <w:p>
      <w:pPr>
        <w:spacing w:after="0" w:line="165" w:lineRule="exact"/>
        <w:rPr>
          <w:sz w:val="20"/>
          <w:szCs w:val="20"/>
          <w:color w:val="auto"/>
        </w:rPr>
      </w:pPr>
    </w:p>
    <w:p>
      <w:pPr>
        <w:ind w:left="740" w:right="140"/>
        <w:spacing w:after="0" w:line="257" w:lineRule="auto"/>
        <w:rPr>
          <w:sz w:val="20"/>
          <w:szCs w:val="20"/>
          <w:color w:val="auto"/>
        </w:rPr>
      </w:pPr>
      <w:r>
        <w:rPr>
          <w:rFonts w:ascii="Times New Roman" w:cs="Times New Roman" w:eastAsia="Times New Roman" w:hAnsi="Times New Roman"/>
          <w:sz w:val="16"/>
          <w:szCs w:val="16"/>
          <w:color w:val="auto"/>
        </w:rPr>
        <w:t>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the annual period of 2025. The Company is currently evaluating the impact of adopting this new standard on its financial statements.</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F-59</w:t>
      </w:r>
    </w:p>
    <w:p>
      <w:pPr>
        <w:sectPr>
          <w:pgSz w:w="11900" w:h="16838" w:orient="portrait"/>
          <w:cols w:equalWidth="0" w:num="1">
            <w:col w:w="10500"/>
          </w:cols>
          <w:pgMar w:left="320" w:top="420" w:right="107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1 - NATURE OF BUSINESS AND SIGNIFICANT ACCOUNTING POLICIES (Continued)</w:t>
      </w:r>
    </w:p>
    <w:p>
      <w:pPr>
        <w:spacing w:after="0" w:line="117" w:lineRule="exact"/>
        <w:rPr>
          <w:sz w:val="20"/>
          <w:szCs w:val="20"/>
          <w:color w:val="auto"/>
        </w:rPr>
      </w:pPr>
    </w:p>
    <w:p>
      <w:pPr>
        <w:ind w:left="740" w:right="140"/>
        <w:spacing w:after="0" w:line="272" w:lineRule="auto"/>
        <w:rPr>
          <w:sz w:val="20"/>
          <w:szCs w:val="20"/>
          <w:color w:val="auto"/>
        </w:rPr>
      </w:pPr>
      <w:r>
        <w:rPr>
          <w:rFonts w:ascii="Times New Roman" w:cs="Times New Roman" w:eastAsia="Times New Roman" w:hAnsi="Times New Roman"/>
          <w:sz w:val="15"/>
          <w:szCs w:val="15"/>
          <w:color w:val="auto"/>
        </w:rPr>
        <w:t>In November 2024, the FASB issued ASU 2024-03, Income Statement—Reporting Comprehensive Income—Expense Disaggregation Disclosures (Subtopic 220-40): Disaggregation of Income Statement Expenses. The standard, later clarified by ASU 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w:t>
      </w:r>
    </w:p>
    <w:p>
      <w:pPr>
        <w:spacing w:after="0" w:line="1" w:lineRule="exact"/>
        <w:rPr>
          <w:sz w:val="20"/>
          <w:szCs w:val="20"/>
          <w:color w:val="auto"/>
        </w:rPr>
      </w:pPr>
    </w:p>
    <w:p>
      <w:pPr>
        <w:ind w:left="740" w:right="20" w:hanging="2"/>
        <w:spacing w:after="0" w:line="273" w:lineRule="auto"/>
        <w:tabs>
          <w:tab w:leader="none" w:pos="913"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4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Microtek</w:t>
      </w:r>
    </w:p>
    <w:p>
      <w:pPr>
        <w:spacing w:after="0" w:line="107"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On August 1, 2024, the Company acquired all of the outstanding shares of the global surgical solutions business of Ecolab (the “Microtek” business) pursuant to a share purchase agreement for $905 cash consideration. The primary purpose of the business combination was to expand the Medline Brand business (defined in “Note 15—Segment Information”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64" w:lineRule="exact"/>
        <w:rPr>
          <w:sz w:val="20"/>
          <w:szCs w:val="20"/>
          <w:color w:val="auto"/>
        </w:rPr>
      </w:pPr>
    </w:p>
    <w:p>
      <w:pPr>
        <w:ind w:left="740" w:right="60"/>
        <w:spacing w:after="0" w:line="256"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Accounting Standards Codification 805 Business Combinations (“ASC 805”) and was accounted for using the acquisition method of accounting. Results of operations of this acquired business are included in the Company’s condensed consolidated financial statements beginning from the date of acquisition. The Microtek acquisition contributed $56 of net sales and an immaterial amount of net income for the three and nine months ended September 28, 2024. The Company has allocated the purchase price to the tangible and identifiable intangible assets acquired and liabilities assumed based on their fair market values at the acquisition date as required under ASC 805.</w:t>
      </w:r>
    </w:p>
    <w:p>
      <w:pPr>
        <w:spacing w:after="0" w:line="164" w:lineRule="exact"/>
        <w:rPr>
          <w:sz w:val="20"/>
          <w:szCs w:val="20"/>
          <w:color w:val="auto"/>
        </w:rPr>
      </w:pPr>
    </w:p>
    <w:p>
      <w:pPr>
        <w:ind w:left="740" w:right="20"/>
        <w:spacing w:after="0" w:line="256" w:lineRule="auto"/>
        <w:rPr>
          <w:sz w:val="20"/>
          <w:szCs w:val="20"/>
          <w:color w:val="auto"/>
        </w:rPr>
      </w:pPr>
      <w:r>
        <w:rPr>
          <w:rFonts w:ascii="Times New Roman" w:cs="Times New Roman" w:eastAsia="Times New Roman" w:hAnsi="Times New Roman"/>
          <w:sz w:val="16"/>
          <w:szCs w:val="16"/>
          <w:color w:val="auto"/>
        </w:rPr>
        <w:t>During the nine months ended September 27, 2025, the Company recorded measurement period adjustments as a result of additional facts and circumstances that existed as of the acquisition date. Total net adjustments of $4 were offset by an increase in goodwill acquired from $418 to $422. The adjustments primarily relate to updated valuations of trade accounts receivable, inventories, other long-term assets and other long-term liabilities as well as a reclassification of $11 from other long-term liabilities to accrued expenses and other current liabilities. In addition, an adjustment which decreased trade accounts receivable also reduced the purchase price by $6. These adjustments did not have a material impact on the condensed consolidated statements of comprehensive income.</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F-60</w:t>
      </w:r>
    </w:p>
    <w:p>
      <w:pPr>
        <w:sectPr>
          <w:pgSz w:w="11900" w:h="16838" w:orient="portrait"/>
          <w:cols w:equalWidth="0" w:num="1">
            <w:col w:w="10500"/>
          </w:cols>
          <w:pgMar w:left="320" w:top="420" w:right="10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(Continued)</w:t>
      </w:r>
    </w:p>
    <w:p>
      <w:pPr>
        <w:spacing w:after="0" w:line="105" w:lineRule="exact"/>
        <w:rPr>
          <w:sz w:val="20"/>
          <w:szCs w:val="20"/>
          <w:color w:val="auto"/>
        </w:rPr>
      </w:pPr>
    </w:p>
    <w:p>
      <w:pPr>
        <w:ind w:left="740" w:right="120"/>
        <w:spacing w:after="0" w:line="281"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August 1, 2024 as below:</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2"/>
              </w:rPr>
              <w:t>Amount</w:t>
            </w:r>
          </w:p>
        </w:tc>
      </w:tr>
      <w:tr>
        <w:trPr>
          <w:trHeight w:val="184"/>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shd w:val="clear" w:color="auto" w:fill="CCEEFF"/>
          </w:tcPr>
          <w:p>
            <w:pPr>
              <w:spacing w:after="0"/>
              <w:rPr>
                <w:sz w:val="16"/>
                <w:szCs w:val="16"/>
                <w:color w:val="auto"/>
              </w:rPr>
            </w:pPr>
          </w:p>
        </w:tc>
      </w:tr>
      <w:tr>
        <w:trPr>
          <w:trHeight w:val="19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60"/>
        <w:spacing w:after="0" w:line="265"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$427 of the goodwill is estimated to be tax deductible over the amortizable period. Goodwill is comprised of expected synergies related to the combined operations, trade name, and customer relationships acquired in the business combination.</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At the date of acquisition, the fair values for trade name and developed technology were determined using the relief from royalty method and the fair</w:t>
      </w:r>
    </w:p>
    <w:p>
      <w:pPr>
        <w:spacing w:after="0" w:line="2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value of customer relationships was determined using the distributor method. The Company considers the fair value of the intangible assets to be</w:t>
      </w:r>
    </w:p>
    <w:p>
      <w:pPr>
        <w:spacing w:after="0" w:line="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Level 3 measurements due to the significant estimates and assumptions used by management in establishing the fair value which includes discount rates,</w:t>
      </w:r>
    </w:p>
    <w:p>
      <w:pPr>
        <w:spacing w:after="0" w:line="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revenue growth and royalty rates. The identifiable intangible assets acquired subject to amortization have a weighted average useful life of 11 years.</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Below is a summary of the intangible assets acquired in the acquisition:</w:t>
      </w:r>
    </w:p>
    <w:p>
      <w:pPr>
        <w:spacing w:after="0" w:line="218"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5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4"/>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Indefinite</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186</w:t>
            </w:r>
          </w:p>
        </w:tc>
        <w:tc>
          <w:tcPr>
            <w:tcW w:w="32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years</w:t>
            </w:r>
          </w:p>
        </w:tc>
      </w:tr>
      <w:tr>
        <w:trPr>
          <w:trHeight w:val="192"/>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 years</w:t>
            </w:r>
          </w:p>
        </w:tc>
      </w:tr>
      <w:tr>
        <w:trPr>
          <w:trHeight w:val="196"/>
        </w:trPr>
        <w:tc>
          <w:tcPr>
            <w:tcW w:w="570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The 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fair value of the intangible assets acquired, incremental cost of sales related to the fair value adjustments on acquisition-date inventory, and the reclassification of acquisition-related costs incurred for the three and nine months ended September 28, 2024. The pro forma results below are not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F-61</w:t>
      </w:r>
    </w:p>
    <w:p>
      <w:pPr>
        <w:sectPr>
          <w:pgSz w:w="11900" w:h="16838" w:orient="portrait"/>
          <w:cols w:equalWidth="0" w:num="1">
            <w:col w:w="10480"/>
          </w:cols>
          <w:pgMar w:left="320" w:top="420" w:right="10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(Continued)</w:t>
      </w:r>
    </w:p>
    <w:p>
      <w:pPr>
        <w:spacing w:after="0" w:line="117" w:lineRule="exact"/>
        <w:rPr>
          <w:sz w:val="20"/>
          <w:szCs w:val="20"/>
          <w:color w:val="auto"/>
        </w:rPr>
      </w:pPr>
    </w:p>
    <w:p>
      <w:pPr>
        <w:ind w:left="740" w:right="20"/>
        <w:spacing w:after="0" w:line="316" w:lineRule="auto"/>
        <w:rPr>
          <w:sz w:val="20"/>
          <w:szCs w:val="20"/>
          <w:color w:val="auto"/>
        </w:rPr>
      </w:pPr>
      <w:r>
        <w:rPr>
          <w:rFonts w:ascii="Times New Roman" w:cs="Times New Roman" w:eastAsia="Times New Roman" w:hAnsi="Times New Roman"/>
          <w:sz w:val="15"/>
          <w:szCs w:val="15"/>
          <w:color w:val="auto"/>
        </w:rPr>
        <w:t>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39"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42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28, 2024</w:t>
            </w: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24"/>
        </w:trPr>
        <w:tc>
          <w:tcPr>
            <w:tcW w:w="4200" w:type="dxa"/>
            <w:vAlign w:val="bottom"/>
          </w:tcPr>
          <w:p>
            <w:pPr>
              <w:spacing w:after="0"/>
              <w:rPr>
                <w:sz w:val="10"/>
                <w:szCs w:val="10"/>
                <w:color w:val="auto"/>
              </w:rPr>
            </w:pPr>
          </w:p>
        </w:tc>
        <w:tc>
          <w:tcPr>
            <w:tcW w:w="212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b w:val="1"/>
                <w:bCs w:val="1"/>
                <w:color w:val="auto"/>
                <w:w w:val="95"/>
              </w:rPr>
              <w:t>Nine months ended</w:t>
            </w:r>
          </w:p>
        </w:tc>
        <w:tc>
          <w:tcPr>
            <w:tcW w:w="60" w:type="dxa"/>
            <w:vAlign w:val="bottom"/>
          </w:tcPr>
          <w:p>
            <w:pPr>
              <w:spacing w:after="0"/>
              <w:rPr>
                <w:sz w:val="10"/>
                <w:szCs w:val="10"/>
                <w:color w:val="auto"/>
              </w:rPr>
            </w:pPr>
          </w:p>
        </w:tc>
      </w:tr>
      <w:tr>
        <w:trPr>
          <w:trHeight w:val="184"/>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w:t>
            </w:r>
          </w:p>
        </w:tc>
        <w:tc>
          <w:tcPr>
            <w:tcW w:w="10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18,905</w:t>
            </w:r>
          </w:p>
        </w:tc>
        <w:tc>
          <w:tcPr>
            <w:tcW w:w="60" w:type="dxa"/>
            <w:vAlign w:val="bottom"/>
            <w:tcBorders>
              <w:top w:val="single" w:sz="8" w:color="CCEEFF"/>
            </w:tcBorders>
            <w:shd w:val="clear" w:color="auto" w:fill="CCEEFF"/>
          </w:tcPr>
          <w:p>
            <w:pPr>
              <w:spacing w:after="0"/>
              <w:rPr>
                <w:sz w:val="15"/>
                <w:szCs w:val="15"/>
                <w:color w:val="auto"/>
              </w:rPr>
            </w:pPr>
          </w:p>
        </w:tc>
      </w:tr>
      <w:tr>
        <w:trPr>
          <w:trHeight w:val="208"/>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spacing w:after="0"/>
              <w:rPr>
                <w:sz w:val="18"/>
                <w:szCs w:val="18"/>
                <w:color w:val="auto"/>
              </w:rPr>
            </w:pPr>
          </w:p>
        </w:tc>
        <w:tc>
          <w:tcPr>
            <w:tcW w:w="1700" w:type="dxa"/>
            <w:vAlign w:val="bottom"/>
            <w:gridSpan w:val="2"/>
          </w:tcPr>
          <w:p>
            <w:pPr>
              <w:jc w:val="right"/>
              <w:ind w:right="1000"/>
              <w:spacing w:after="0"/>
              <w:rPr>
                <w:sz w:val="20"/>
                <w:szCs w:val="20"/>
                <w:color w:val="auto"/>
              </w:rPr>
            </w:pPr>
            <w:r>
              <w:rPr>
                <w:rFonts w:ascii="Times New Roman" w:cs="Times New Roman" w:eastAsia="Times New Roman" w:hAnsi="Times New Roman"/>
                <w:sz w:val="16"/>
                <w:szCs w:val="16"/>
                <w:color w:val="auto"/>
              </w:rPr>
              <w:t>344</w:t>
            </w:r>
          </w:p>
        </w:tc>
        <w:tc>
          <w:tcPr>
            <w:tcW w:w="3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966</w:t>
            </w:r>
          </w:p>
        </w:tc>
      </w:tr>
    </w:tbl>
    <w:p>
      <w:pPr>
        <w:spacing w:after="0" w:line="158"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For the three and nine months ended September 28, 2024, the Company incurred $13 of incremental cost of sales from the fair value step-ups on acquired Microtek inventory that was sold in 2024. The Company also incurred $3 of additional amortization expense from the fair values of identifiable intangible assets acquired. The unaudited pro forma combined financial information includes adjustments to reflect incremental amortization expense based on the fair values of the identifiable intangible assets acquired and some immaterial nonrecurring transaction expenses directly attributable to the acquisition.</w:t>
      </w:r>
    </w:p>
    <w:p>
      <w:pPr>
        <w:spacing w:after="0" w:line="165" w:lineRule="exact"/>
        <w:rPr>
          <w:sz w:val="20"/>
          <w:szCs w:val="20"/>
          <w:color w:val="auto"/>
        </w:rPr>
      </w:pPr>
    </w:p>
    <w:p>
      <w:pPr>
        <w:ind w:left="740" w:right="640"/>
        <w:spacing w:after="0" w:line="281" w:lineRule="auto"/>
        <w:rPr>
          <w:sz w:val="20"/>
          <w:szCs w:val="20"/>
          <w:color w:val="auto"/>
        </w:rPr>
      </w:pPr>
      <w:r>
        <w:rPr>
          <w:rFonts w:ascii="Times New Roman" w:cs="Times New Roman" w:eastAsia="Times New Roman" w:hAnsi="Times New Roman"/>
          <w:sz w:val="16"/>
          <w:szCs w:val="16"/>
          <w:color w:val="auto"/>
        </w:rPr>
        <w:t>Acquisition-related costs for Microtek were included in selling, general and administrative expenses in the Company’s condensed consolidated statements of comprehensive income as incurred during the first nine months of 2024 and 2025 and were not material.</w:t>
      </w:r>
    </w:p>
    <w:p>
      <w:pPr>
        <w:spacing w:after="0" w:line="2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Sinclair Dental</w:t>
      </w:r>
    </w:p>
    <w:p>
      <w:pPr>
        <w:spacing w:after="0" w:line="107" w:lineRule="exact"/>
        <w:rPr>
          <w:sz w:val="20"/>
          <w:szCs w:val="20"/>
          <w:color w:val="auto"/>
        </w:rPr>
      </w:pPr>
    </w:p>
    <w:p>
      <w:pPr>
        <w:ind w:left="740" w:right="60"/>
        <w:spacing w:after="0" w:line="257" w:lineRule="auto"/>
        <w:rPr>
          <w:sz w:val="20"/>
          <w:szCs w:val="20"/>
          <w:color w:val="auto"/>
        </w:rPr>
      </w:pPr>
      <w:r>
        <w:rPr>
          <w:rFonts w:ascii="Times New Roman" w:cs="Times New Roman" w:eastAsia="Times New Roman" w:hAnsi="Times New Roman"/>
          <w:sz w:val="16"/>
          <w:szCs w:val="16"/>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15—Segment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F-62</w:t>
      </w:r>
    </w:p>
    <w:p>
      <w:pPr>
        <w:sectPr>
          <w:pgSz w:w="11900" w:h="16838" w:orient="portrait"/>
          <w:cols w:equalWidth="0" w:num="1">
            <w:col w:w="10500"/>
          </w:cols>
          <w:pgMar w:left="320" w:top="420" w:right="10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(Continued)</w:t>
      </w:r>
    </w:p>
    <w:p>
      <w:pPr>
        <w:spacing w:after="0" w:line="117" w:lineRule="exact"/>
        <w:rPr>
          <w:sz w:val="20"/>
          <w:szCs w:val="20"/>
          <w:color w:val="auto"/>
        </w:rPr>
      </w:pPr>
    </w:p>
    <w:p>
      <w:pPr>
        <w:ind w:left="740" w:right="100"/>
        <w:spacing w:after="0" w:line="257"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Company has allocated the final purchase price to the assets acquired and the liabilities assumed based on their fair values as of February 1, 2024 as below:</w:t>
      </w:r>
    </w:p>
    <w:p>
      <w:pPr>
        <w:spacing w:after="0" w:line="183"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w w:val="92"/>
              </w:rPr>
              <w:t>Amount</w:t>
            </w:r>
          </w:p>
        </w:tc>
      </w:tr>
      <w:tr>
        <w:trPr>
          <w:trHeight w:val="184"/>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6"/>
                <w:szCs w:val="16"/>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r>
      <w:tr>
        <w:trPr>
          <w:trHeight w:val="192"/>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r>
      <w:tr>
        <w:trPr>
          <w:trHeight w:val="19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2"/>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57" w:lineRule="exact"/>
        <w:rPr>
          <w:sz w:val="20"/>
          <w:szCs w:val="20"/>
          <w:color w:val="auto"/>
        </w:rPr>
      </w:pPr>
    </w:p>
    <w:p>
      <w:pPr>
        <w:ind w:left="740"/>
        <w:spacing w:after="0" w:line="257"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165"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590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420" w:type="dxa"/>
            <w:vAlign w:val="bottom"/>
          </w:tcPr>
          <w:p>
            <w:pPr>
              <w:spacing w:after="0"/>
              <w:rPr>
                <w:sz w:val="12"/>
                <w:szCs w:val="12"/>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Useful</w:t>
            </w: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life</w:t>
            </w:r>
          </w:p>
        </w:tc>
        <w:tc>
          <w:tcPr>
            <w:tcW w:w="0" w:type="dxa"/>
            <w:vAlign w:val="bottom"/>
          </w:tcPr>
          <w:p>
            <w:pPr>
              <w:spacing w:after="0"/>
              <w:rPr>
                <w:sz w:val="1"/>
                <w:szCs w:val="1"/>
                <w:color w:val="auto"/>
              </w:rPr>
            </w:pPr>
          </w:p>
        </w:tc>
      </w:tr>
      <w:tr>
        <w:trPr>
          <w:trHeight w:val="184"/>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1"/>
              </w:rPr>
              <w:t>7 years</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14 years</w:t>
            </w:r>
          </w:p>
        </w:tc>
        <w:tc>
          <w:tcPr>
            <w:tcW w:w="0" w:type="dxa"/>
            <w:vAlign w:val="bottom"/>
          </w:tcPr>
          <w:p>
            <w:pPr>
              <w:spacing w:after="0"/>
              <w:rPr>
                <w:sz w:val="1"/>
                <w:szCs w:val="1"/>
                <w:color w:val="auto"/>
              </w:rPr>
            </w:pPr>
          </w:p>
        </w:tc>
      </w:tr>
      <w:tr>
        <w:trPr>
          <w:trHeight w:val="19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Acquisition-related costs for Sinclair Dental were included in selling, general and administrative expenses in the Company’s condensed consolidated statements of comprehensive income as incurred during 2024 and were not material.</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F-63</w:t>
      </w:r>
    </w:p>
    <w:p>
      <w:pPr>
        <w:sectPr>
          <w:pgSz w:w="11900" w:h="16838" w:orient="portrait"/>
          <w:cols w:equalWidth="0" w:num="1">
            <w:col w:w="10480"/>
          </w:cols>
          <w:pgMar w:left="320" w:top="420" w:right="10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(Continued)</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color w:val="auto"/>
        </w:rPr>
        <w:t>United Medco</w:t>
      </w:r>
    </w:p>
    <w:p>
      <w:pPr>
        <w:spacing w:after="0" w:line="107" w:lineRule="exact"/>
        <w:rPr>
          <w:sz w:val="20"/>
          <w:szCs w:val="20"/>
          <w:color w:val="auto"/>
        </w:rPr>
      </w:pPr>
    </w:p>
    <w:p>
      <w:pPr>
        <w:ind w:left="740" w:right="100"/>
        <w:spacing w:after="0" w:line="257" w:lineRule="auto"/>
        <w:rPr>
          <w:sz w:val="20"/>
          <w:szCs w:val="20"/>
          <w:color w:val="auto"/>
        </w:rPr>
      </w:pPr>
      <w:r>
        <w:rPr>
          <w:rFonts w:ascii="Times New Roman" w:cs="Times New Roman" w:eastAsia="Times New Roman" w:hAnsi="Times New Roman"/>
          <w:sz w:val="16"/>
          <w:szCs w:val="16"/>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$33 cash consideration and a contingent liability at a fair value of $20 at closing. United Medco, LLC brought growth to the Company’s health plans business by augmenting the Company’s best-in-class distribution capabilities and expanding the Company’s supplemental benefits offerings. The Company gained access to United Medco, LLC’s valued customer base and further grew in the managed care space.</w:t>
      </w:r>
    </w:p>
    <w:p>
      <w:pPr>
        <w:spacing w:after="0" w:line="165" w:lineRule="exact"/>
        <w:rPr>
          <w:sz w:val="20"/>
          <w:szCs w:val="20"/>
          <w:color w:val="auto"/>
        </w:rPr>
      </w:pPr>
    </w:p>
    <w:p>
      <w:pPr>
        <w:jc w:val="both"/>
        <w:ind w:left="740" w:right="100"/>
        <w:spacing w:after="0" w:line="260" w:lineRule="auto"/>
        <w:rPr>
          <w:sz w:val="20"/>
          <w:szCs w:val="20"/>
          <w:color w:val="auto"/>
        </w:rPr>
      </w:pPr>
      <w:r>
        <w:rPr>
          <w:rFonts w:ascii="Times New Roman" w:cs="Times New Roman" w:eastAsia="Times New Roman" w:hAnsi="Times New Roman"/>
          <w:sz w:val="16"/>
          <w:szCs w:val="16"/>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w:t>
      </w:r>
    </w:p>
    <w:p>
      <w:pPr>
        <w:spacing w:after="0" w:line="161"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The maximum payout amount under the contingent liability is $35. The actual payout amount is based on the defined metrics for fiscal year 2024 and 2025 and will be paid over two years. The Company recorded the contingent liability of $20 on the acquisition date. $8 was considered current and recorded as other current liabilities, and the remaining $12 was considered non-current and recorded as other long-term liabilities in the Company’s condensed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condensed consolidated statements of comprehensive income.</w:t>
      </w:r>
    </w:p>
    <w:p>
      <w:pPr>
        <w:spacing w:after="0" w:line="164"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The Company has allocated the final purchase price to the assets acquired and the liabilities assumed based on their fair values as of January 4, 2024 as below:</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10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w w:val="92"/>
              </w:rPr>
              <w:t>Amount</w:t>
            </w:r>
          </w:p>
        </w:tc>
      </w:tr>
      <w:tr>
        <w:trPr>
          <w:trHeight w:val="184"/>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tcBorders>
            <w:shd w:val="clear" w:color="auto" w:fill="CCEEFF"/>
          </w:tcPr>
          <w:p>
            <w:pPr>
              <w:spacing w:after="0"/>
              <w:rPr>
                <w:sz w:val="15"/>
                <w:szCs w:val="15"/>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receivable</w:t>
            </w:r>
          </w:p>
        </w:tc>
        <w:tc>
          <w:tcPr>
            <w:tcW w:w="20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7"/>
                <w:szCs w:val="17"/>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192"/>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7"/>
                <w:szCs w:val="17"/>
                <w:color w:val="auto"/>
              </w:rPr>
            </w:pPr>
          </w:p>
        </w:tc>
      </w:tr>
      <w:tr>
        <w:trPr>
          <w:trHeight w:val="192"/>
        </w:trPr>
        <w:tc>
          <w:tcPr>
            <w:tcW w:w="6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Net assets acquired, at fair value</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6"/>
                <w:szCs w:val="16"/>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F-64</w:t>
      </w:r>
    </w:p>
    <w:p>
      <w:pPr>
        <w:sectPr>
          <w:pgSz w:w="11900" w:h="16838" w:orient="portrait"/>
          <w:cols w:equalWidth="0" w:num="1">
            <w:col w:w="10480"/>
          </w:cols>
          <w:pgMar w:left="320" w:top="420" w:right="10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2 - ACQUISITIONS (Continued)</w:t>
      </w:r>
    </w:p>
    <w:p>
      <w:pPr>
        <w:spacing w:after="0" w:line="117" w:lineRule="exact"/>
        <w:rPr>
          <w:sz w:val="20"/>
          <w:szCs w:val="20"/>
          <w:color w:val="auto"/>
        </w:rPr>
      </w:pPr>
    </w:p>
    <w:p>
      <w:pPr>
        <w:ind w:left="740" w:right="20"/>
        <w:spacing w:after="0" w:line="257" w:lineRule="auto"/>
        <w:rPr>
          <w:sz w:val="20"/>
          <w:szCs w:val="20"/>
          <w:color w:val="auto"/>
        </w:rPr>
      </w:pPr>
      <w:r>
        <w:rPr>
          <w:rFonts w:ascii="Times New Roman" w:cs="Times New Roman" w:eastAsia="Times New Roman" w:hAnsi="Times New Roman"/>
          <w:sz w:val="16"/>
          <w:szCs w:val="16"/>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183" w:lineRule="exact"/>
        <w:rPr>
          <w:sz w:val="20"/>
          <w:szCs w:val="20"/>
          <w:color w:val="auto"/>
        </w:rPr>
      </w:pPr>
    </w:p>
    <w:tbl>
      <w:tblPr>
        <w:tblLayout w:type="fixed"/>
        <w:tblInd w:w="1920" w:type="dxa"/>
        <w:tblCellMar>
          <w:top w:w="0" w:type="dxa"/>
          <w:left w:w="0" w:type="dxa"/>
          <w:bottom w:w="0" w:type="dxa"/>
          <w:right w:w="0" w:type="dxa"/>
        </w:tblCellMar>
      </w:tblPr>
      <w:tr>
        <w:trPr>
          <w:trHeight w:val="154"/>
        </w:trPr>
        <w:tc>
          <w:tcPr>
            <w:tcW w:w="590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Useful life</w:t>
            </w:r>
          </w:p>
        </w:tc>
      </w:tr>
      <w:tr>
        <w:trPr>
          <w:trHeight w:val="184"/>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1"/>
              </w:rPr>
              <w:t>2 years</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90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420" w:type="dxa"/>
            <w:vAlign w:val="bottom"/>
          </w:tcPr>
          <w:p>
            <w:pPr>
              <w:spacing w:after="0"/>
              <w:rPr>
                <w:sz w:val="17"/>
                <w:szCs w:val="17"/>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11 years</w:t>
            </w:r>
          </w:p>
        </w:tc>
      </w:tr>
      <w:tr>
        <w:trPr>
          <w:trHeight w:val="192"/>
        </w:trPr>
        <w:tc>
          <w:tcPr>
            <w:tcW w:w="5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300"/>
        <w:spacing w:after="0" w:line="281" w:lineRule="auto"/>
        <w:rPr>
          <w:sz w:val="20"/>
          <w:szCs w:val="20"/>
          <w:color w:val="auto"/>
        </w:rPr>
      </w:pPr>
      <w:r>
        <w:rPr>
          <w:rFonts w:ascii="Times New Roman" w:cs="Times New Roman" w:eastAsia="Times New Roman" w:hAnsi="Times New Roman"/>
          <w:sz w:val="16"/>
          <w:szCs w:val="16"/>
          <w:color w:val="auto"/>
        </w:rPr>
        <w:t>Acquisition-related costs for United Medco were included in selling, general and administrative expenses in the Company’s condensed consolidated statements of comprehensive income as incurred during 2024 and were not material.</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3 - INVENTORIES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Inventories consisted of the following as of:</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52"/>
        </w:trPr>
        <w:tc>
          <w:tcPr>
            <w:tcW w:w="3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September 27, 2025</w:t>
            </w:r>
          </w:p>
        </w:tc>
        <w:tc>
          <w:tcPr>
            <w:tcW w:w="480" w:type="dxa"/>
            <w:vAlign w:val="bottom"/>
          </w:tcPr>
          <w:p>
            <w:pPr>
              <w:spacing w:after="0"/>
              <w:rPr>
                <w:sz w:val="13"/>
                <w:szCs w:val="13"/>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w w:val="95"/>
              </w:rPr>
              <w:t>December 31, 2024</w:t>
            </w:r>
          </w:p>
        </w:tc>
      </w:tr>
      <w:tr>
        <w:trPr>
          <w:trHeight w:val="184"/>
        </w:trPr>
        <w:tc>
          <w:tcPr>
            <w:tcW w:w="3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 and work in process, net</w:t>
            </w:r>
          </w:p>
        </w:tc>
        <w:tc>
          <w:tcPr>
            <w:tcW w:w="9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4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344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3,780</w:t>
            </w:r>
          </w:p>
        </w:tc>
      </w:tr>
      <w:tr>
        <w:trPr>
          <w:trHeight w:val="24"/>
        </w:trPr>
        <w:tc>
          <w:tcPr>
            <w:tcW w:w="3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3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9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w:t>
            </w:r>
          </w:p>
        </w:tc>
        <w:tc>
          <w:tcPr>
            <w:tcW w:w="4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4,456</w:t>
            </w:r>
          </w:p>
        </w:tc>
      </w:tr>
      <w:tr>
        <w:trPr>
          <w:trHeight w:val="20"/>
        </w:trPr>
        <w:tc>
          <w:tcPr>
            <w:tcW w:w="3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740"/>
        <w:spacing w:after="0" w:line="265" w:lineRule="auto"/>
        <w:rPr>
          <w:sz w:val="20"/>
          <w:szCs w:val="20"/>
          <w:color w:val="auto"/>
        </w:rPr>
      </w:pPr>
      <w:r>
        <w:rPr>
          <w:rFonts w:ascii="Times New Roman" w:cs="Times New Roman" w:eastAsia="Times New Roman" w:hAnsi="Times New Roman"/>
          <w:sz w:val="16"/>
          <w:szCs w:val="16"/>
          <w:color w:val="auto"/>
        </w:rPr>
        <w:t>If last-in, first-out (“LIFO”) inventories had been valued on a current cost or first-in, first-out (“FIFO”) basis, they would have been greater by $314 and $276 as of September 27, 2025 and December 31, 2024, respectively. The inventory reserve for obsolescence was $53 and $35 as of September 27, 2025 and December 31, 2024, respectively.</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4 - GOODWILL AND INTANGIBLE ASSETS</w:t>
      </w:r>
    </w:p>
    <w:p>
      <w:pPr>
        <w:spacing w:after="0" w:line="105" w:lineRule="exact"/>
        <w:rPr>
          <w:sz w:val="20"/>
          <w:szCs w:val="20"/>
          <w:color w:val="auto"/>
        </w:rPr>
      </w:pPr>
    </w:p>
    <w:p>
      <w:pPr>
        <w:jc w:val="both"/>
        <w:ind w:left="740" w:right="260"/>
        <w:spacing w:after="0" w:line="265" w:lineRule="auto"/>
        <w:rPr>
          <w:sz w:val="20"/>
          <w:szCs w:val="20"/>
          <w:color w:val="auto"/>
        </w:rPr>
      </w:pPr>
      <w:r>
        <w:rPr>
          <w:rFonts w:ascii="Times New Roman" w:cs="Times New Roman" w:eastAsia="Times New Roman" w:hAnsi="Times New Roman"/>
          <w:sz w:val="16"/>
          <w:szCs w:val="16"/>
          <w:color w:val="auto"/>
        </w:rPr>
        <w:t>During 2024, the Company reorganized operations to align around its two primary reportable segments, Medline Brand and Supply Chain Solutions. Subsequent to the reorganization, each of the reportable segments also represents a single reporting unit. See “Note 15 — Segment Information” for additional details.</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During the nine months ended September 27, 2025, the Company did not identify any indicators of impairment within the reporting units.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Changes in the carrying amount of goodwill were as follows:</w:t>
      </w:r>
    </w:p>
    <w:p>
      <w:pPr>
        <w:spacing w:after="0" w:line="202" w:lineRule="exact"/>
        <w:rPr>
          <w:sz w:val="20"/>
          <w:szCs w:val="20"/>
          <w:color w:val="auto"/>
        </w:rPr>
      </w:pPr>
    </w:p>
    <w:tbl>
      <w:tblPr>
        <w:tblLayout w:type="fixed"/>
        <w:tblInd w:w="1520"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2840" w:type="dxa"/>
            <w:vAlign w:val="bottom"/>
            <w:gridSpan w:val="3"/>
            <w:vMerge w:val="restart"/>
          </w:tcPr>
          <w:p>
            <w:pPr>
              <w:ind w:left="2060"/>
              <w:spacing w:after="0"/>
              <w:rPr>
                <w:sz w:val="20"/>
                <w:szCs w:val="20"/>
                <w:color w:val="auto"/>
              </w:rPr>
            </w:pPr>
            <w:r>
              <w:rPr>
                <w:rFonts w:ascii="Times New Roman" w:cs="Times New Roman" w:eastAsia="Times New Roman" w:hAnsi="Times New Roman"/>
                <w:sz w:val="13"/>
                <w:szCs w:val="13"/>
                <w:color w:val="auto"/>
                <w:w w:val="96"/>
              </w:rPr>
              <w:t>Medline Brand</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Supply Chain</w:t>
            </w:r>
          </w:p>
        </w:tc>
        <w:tc>
          <w:tcPr>
            <w:tcW w:w="560" w:type="dxa"/>
            <w:vAlign w:val="bottom"/>
          </w:tcPr>
          <w:p>
            <w:pPr>
              <w:spacing w:after="0"/>
              <w:rPr>
                <w:sz w:val="12"/>
                <w:szCs w:val="12"/>
                <w:color w:val="auto"/>
              </w:rPr>
            </w:pP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52"/>
        </w:trPr>
        <w:tc>
          <w:tcPr>
            <w:tcW w:w="3040" w:type="dxa"/>
            <w:vAlign w:val="bottom"/>
          </w:tcPr>
          <w:p>
            <w:pPr>
              <w:spacing w:after="0"/>
              <w:rPr>
                <w:sz w:val="13"/>
                <w:szCs w:val="13"/>
                <w:color w:val="auto"/>
              </w:rPr>
            </w:pPr>
          </w:p>
        </w:tc>
        <w:tc>
          <w:tcPr>
            <w:tcW w:w="284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43"/>
              <w:spacing w:after="0"/>
              <w:rPr>
                <w:sz w:val="20"/>
                <w:szCs w:val="20"/>
                <w:color w:val="auto"/>
              </w:rPr>
            </w:pPr>
            <w:r>
              <w:rPr>
                <w:rFonts w:ascii="Times New Roman" w:cs="Times New Roman" w:eastAsia="Times New Roman" w:hAnsi="Times New Roman"/>
                <w:sz w:val="13"/>
                <w:szCs w:val="13"/>
                <w:color w:val="auto"/>
                <w:w w:val="97"/>
              </w:rPr>
              <w:t>Solutions</w:t>
            </w:r>
          </w:p>
        </w:tc>
        <w:tc>
          <w:tcPr>
            <w:tcW w:w="56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2024</w:t>
            </w:r>
          </w:p>
        </w:tc>
        <w:tc>
          <w:tcPr>
            <w:tcW w:w="20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5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$8,065</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Measurement period adjustments</w:t>
            </w: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Currency translation adjustments</w:t>
            </w:r>
          </w:p>
        </w:tc>
        <w:tc>
          <w:tcPr>
            <w:tcW w:w="2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September 27, 2025</w:t>
            </w:r>
          </w:p>
        </w:tc>
        <w:tc>
          <w:tcPr>
            <w:tcW w:w="20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5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56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5"/>
              </w:rPr>
              <w:t>$</w:t>
            </w:r>
            <w:r>
              <w:rPr>
                <w:rFonts w:ascii="Times New Roman" w:cs="Times New Roman" w:eastAsia="Times New Roman" w:hAnsi="Times New Roman"/>
                <w:sz w:val="16"/>
                <w:szCs w:val="16"/>
                <w:color w:val="auto"/>
                <w:w w:val="95"/>
              </w:rPr>
              <w:t>8,069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040" w:type="dxa"/>
            <w:vAlign w:val="bottom"/>
          </w:tcPr>
          <w:p>
            <w:pPr>
              <w:spacing w:after="0"/>
              <w:rPr>
                <w:sz w:val="24"/>
                <w:szCs w:val="24"/>
                <w:color w:val="auto"/>
              </w:rPr>
            </w:pPr>
          </w:p>
        </w:tc>
        <w:tc>
          <w:tcPr>
            <w:tcW w:w="232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F-65</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4 - GOODWILL AND INTANGIBLE ASSETS (Continued)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Identifiable intangible assets consist of the following as of:</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3"/>
                <w:szCs w:val="13"/>
                <w:color w:val="auto"/>
              </w:rPr>
              <w:t>September 27, 2025</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3"/>
                <w:szCs w:val="13"/>
                <w:color w:val="auto"/>
              </w:rPr>
              <w:t>December 31, 2024</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78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2"/>
                <w:szCs w:val="12"/>
                <w:color w:val="auto"/>
              </w:rPr>
              <w:t>Weighted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color w:val="auto"/>
                <w:w w:val="98"/>
              </w:rPr>
              <w:t>Gross</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5"/>
              </w:rPr>
              <w:t>Net</w:t>
            </w:r>
          </w:p>
        </w:tc>
        <w:tc>
          <w:tcPr>
            <w:tcW w:w="680" w:type="dxa"/>
            <w:vAlign w:val="bottom"/>
            <w:gridSpan w:val="2"/>
          </w:tcPr>
          <w:p>
            <w:pPr>
              <w:jc w:val="center"/>
              <w:ind w:right="80"/>
              <w:spacing w:after="0" w:line="104" w:lineRule="exact"/>
              <w:rPr>
                <w:sz w:val="20"/>
                <w:szCs w:val="20"/>
                <w:color w:val="auto"/>
              </w:rPr>
            </w:pPr>
            <w:r>
              <w:rPr>
                <w:rFonts w:ascii="Times New Roman" w:cs="Times New Roman" w:eastAsia="Times New Roman" w:hAnsi="Times New Roman"/>
                <w:sz w:val="12"/>
                <w:szCs w:val="12"/>
                <w:color w:val="auto"/>
              </w:rPr>
              <w:t>Weighted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color w:val="auto"/>
                <w:w w:val="98"/>
              </w:rPr>
              <w:t>Gross</w:t>
            </w: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color w:val="auto"/>
              </w:rPr>
              <w:t>Net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780" w:type="dxa"/>
            <w:vAlign w:val="bottom"/>
            <w:gridSpan w:val="2"/>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5"/>
              </w:rPr>
              <w:t>Average</w:t>
            </w: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68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3"/>
                <w:szCs w:val="13"/>
                <w:color w:val="auto"/>
                <w:w w:val="95"/>
              </w:rPr>
              <w:t>Average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Accumulated</w:t>
            </w: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780" w:type="dxa"/>
            <w:vAlign w:val="bottom"/>
            <w:gridSpan w:val="2"/>
          </w:tcPr>
          <w:p>
            <w:pPr>
              <w:jc w:val="center"/>
              <w:ind w:right="220"/>
              <w:spacing w:after="0" w:line="132" w:lineRule="exact"/>
              <w:rPr>
                <w:sz w:val="20"/>
                <w:szCs w:val="20"/>
                <w:color w:val="auto"/>
              </w:rPr>
            </w:pPr>
            <w:r>
              <w:rPr>
                <w:rFonts w:ascii="Times New Roman" w:cs="Times New Roman" w:eastAsia="Times New Roman" w:hAnsi="Times New Roman"/>
                <w:sz w:val="13"/>
                <w:szCs w:val="13"/>
                <w:color w:val="auto"/>
                <w:w w:val="98"/>
              </w:rPr>
              <w:t>Remaining</w:t>
            </w:r>
          </w:p>
        </w:tc>
        <w:tc>
          <w:tcPr>
            <w:tcW w:w="7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center"/>
              <w:ind w:right="20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680" w:type="dxa"/>
            <w:vAlign w:val="bottom"/>
            <w:gridSpan w:val="2"/>
          </w:tcPr>
          <w:p>
            <w:pPr>
              <w:jc w:val="center"/>
              <w:ind w:right="80"/>
              <w:spacing w:after="0" w:line="132" w:lineRule="exact"/>
              <w:rPr>
                <w:sz w:val="20"/>
                <w:szCs w:val="20"/>
                <w:color w:val="auto"/>
              </w:rPr>
            </w:pPr>
            <w:r>
              <w:rPr>
                <w:rFonts w:ascii="Times New Roman" w:cs="Times New Roman" w:eastAsia="Times New Roman" w:hAnsi="Times New Roman"/>
                <w:sz w:val="13"/>
                <w:szCs w:val="13"/>
                <w:color w:val="auto"/>
                <w:w w:val="98"/>
              </w:rPr>
              <w:t>Remaining</w:t>
            </w:r>
          </w:p>
        </w:tc>
        <w:tc>
          <w:tcPr>
            <w:tcW w:w="120" w:type="dxa"/>
            <w:vAlign w:val="bottom"/>
          </w:tcPr>
          <w:p>
            <w:pPr>
              <w:spacing w:after="0"/>
              <w:rPr>
                <w:sz w:val="11"/>
                <w:szCs w:val="11"/>
                <w:color w:val="auto"/>
              </w:rPr>
            </w:pPr>
          </w:p>
        </w:tc>
        <w:tc>
          <w:tcPr>
            <w:tcW w:w="720" w:type="dxa"/>
            <w:vAlign w:val="bottom"/>
            <w:gridSpan w:val="3"/>
          </w:tcPr>
          <w:p>
            <w:pPr>
              <w:jc w:val="center"/>
              <w:ind w:right="220"/>
              <w:spacing w:after="0" w:line="132" w:lineRule="exact"/>
              <w:rPr>
                <w:sz w:val="20"/>
                <w:szCs w:val="20"/>
                <w:color w:val="auto"/>
              </w:rPr>
            </w:pPr>
            <w:r>
              <w:rPr>
                <w:rFonts w:ascii="Times New Roman" w:cs="Times New Roman" w:eastAsia="Times New Roman" w:hAnsi="Times New Roman"/>
                <w:sz w:val="13"/>
                <w:szCs w:val="13"/>
                <w:color w:val="auto"/>
                <w:w w:val="99"/>
              </w:rPr>
              <w:t>Carrying</w:t>
            </w:r>
          </w:p>
        </w:tc>
        <w:tc>
          <w:tcPr>
            <w:tcW w:w="940" w:type="dxa"/>
            <w:vAlign w:val="bottom"/>
            <w:gridSpan w:val="3"/>
            <w:vMerge w:val="continue"/>
          </w:tcPr>
          <w:p>
            <w:pPr>
              <w:spacing w:after="0"/>
              <w:rPr>
                <w:sz w:val="11"/>
                <w:szCs w:val="11"/>
                <w:color w:val="auto"/>
              </w:rPr>
            </w:pPr>
          </w:p>
        </w:tc>
        <w:tc>
          <w:tcPr>
            <w:tcW w:w="560" w:type="dxa"/>
            <w:vAlign w:val="bottom"/>
            <w:gridSpan w:val="3"/>
          </w:tcPr>
          <w:p>
            <w:pPr>
              <w:jc w:val="center"/>
              <w:ind w:right="40"/>
              <w:spacing w:after="0" w:line="132" w:lineRule="exact"/>
              <w:rPr>
                <w:sz w:val="20"/>
                <w:szCs w:val="20"/>
                <w:color w:val="auto"/>
              </w:rPr>
            </w:pPr>
            <w:r>
              <w:rPr>
                <w:rFonts w:ascii="Times New Roman" w:cs="Times New Roman" w:eastAsia="Times New Roman" w:hAnsi="Times New Roman"/>
                <w:sz w:val="13"/>
                <w:szCs w:val="13"/>
                <w:color w:val="auto"/>
                <w:w w:val="95"/>
              </w:rPr>
              <w:t>Carrying</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Useful Life</w:t>
            </w: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8"/>
              </w:rPr>
              <w:t>Amount</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80" w:type="dxa"/>
            <w:vAlign w:val="bottom"/>
          </w:tcPr>
          <w:p>
            <w:pPr>
              <w:spacing w:after="0"/>
              <w:rPr>
                <w:sz w:val="13"/>
                <w:szCs w:val="13"/>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color w:val="auto"/>
                <w:w w:val="98"/>
              </w:rPr>
              <w:t>Amount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3"/>
              </w:rPr>
              <w:t>Useful Life</w:t>
            </w:r>
          </w:p>
        </w:tc>
        <w:tc>
          <w:tcPr>
            <w:tcW w:w="120" w:type="dxa"/>
            <w:vAlign w:val="bottom"/>
          </w:tcPr>
          <w:p>
            <w:pPr>
              <w:spacing w:after="0"/>
              <w:rPr>
                <w:sz w:val="13"/>
                <w:szCs w:val="13"/>
                <w:color w:val="auto"/>
              </w:rPr>
            </w:pPr>
          </w:p>
        </w:tc>
        <w:tc>
          <w:tcPr>
            <w:tcW w:w="72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color w:val="auto"/>
                <w:w w:val="98"/>
              </w:rPr>
              <w:t>Amount</w:t>
            </w:r>
          </w:p>
        </w:tc>
        <w:tc>
          <w:tcPr>
            <w:tcW w:w="9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Amortization</w:t>
            </w:r>
          </w:p>
        </w:tc>
        <w:tc>
          <w:tcPr>
            <w:tcW w:w="5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color w:val="auto"/>
                <w:w w:val="98"/>
              </w:rPr>
              <w:t>Amount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Finite-lived intangible assets:</w:t>
            </w:r>
          </w:p>
        </w:tc>
        <w:tc>
          <w:tcPr>
            <w:tcW w:w="5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9"/>
              </w:rPr>
              <w:t>10,691</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8,471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95"/>
              </w:rPr>
              <w:t>10,679</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names</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Developed technology</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1,750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2,142</w:t>
            </w:r>
          </w:p>
        </w:tc>
        <w:tc>
          <w:tcPr>
            <w:tcW w:w="18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6"/>
                <w:szCs w:val="16"/>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finite-lived intangible assets</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12,883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10,238</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12,845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10,729</w:t>
            </w:r>
          </w:p>
        </w:tc>
        <w:tc>
          <w:tcPr>
            <w:tcW w:w="0" w:type="dxa"/>
            <w:vAlign w:val="bottom"/>
          </w:tcPr>
          <w:p>
            <w:pPr>
              <w:spacing w:after="0"/>
              <w:rPr>
                <w:sz w:val="1"/>
                <w:szCs w:val="1"/>
                <w:color w:val="auto"/>
              </w:rPr>
            </w:pPr>
          </w:p>
        </w:tc>
      </w:tr>
      <w:tr>
        <w:trPr>
          <w:trHeight w:val="199"/>
        </w:trPr>
        <w:tc>
          <w:tcPr>
            <w:tcW w:w="3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Indefinite-lived trade names</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16,713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14,068</w:t>
            </w: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5"/>
              </w:rPr>
              <w:t>16,675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5"/>
              </w:rPr>
              <w:t>14,559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540"/>
        <w:spacing w:after="0" w:line="260" w:lineRule="auto"/>
        <w:rPr>
          <w:sz w:val="20"/>
          <w:szCs w:val="20"/>
          <w:color w:val="auto"/>
        </w:rPr>
      </w:pPr>
      <w:r>
        <w:rPr>
          <w:rFonts w:ascii="Times New Roman" w:cs="Times New Roman" w:eastAsia="Times New Roman" w:hAnsi="Times New Roman"/>
          <w:sz w:val="16"/>
          <w:szCs w:val="16"/>
          <w:color w:val="auto"/>
        </w:rPr>
        <w:t>The carrying amount of intangible assets, net as of September 27, 2025 includes the final fair values for customer relationships, trade names and developed technology assets. See “Note 2 — Acquisitions” for further details.</w:t>
      </w:r>
    </w:p>
    <w:p>
      <w:pPr>
        <w:spacing w:after="0" w:line="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During the nine months ended September 27, 2025, the Company did not identify any indicators of impairment of intangible assets.</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Estimated amortization expense for the remainder of fiscal year 2025 and over the next four years and thereafter is as follows:</w:t>
      </w:r>
    </w:p>
    <w:p>
      <w:pPr>
        <w:spacing w:after="0" w:line="220" w:lineRule="exact"/>
        <w:rPr>
          <w:sz w:val="20"/>
          <w:szCs w:val="20"/>
          <w:color w:val="auto"/>
        </w:rPr>
      </w:pPr>
    </w:p>
    <w:tbl>
      <w:tblPr>
        <w:tblLayout w:type="fixed"/>
        <w:tblInd w:w="2300" w:type="dxa"/>
        <w:tblCellMar>
          <w:top w:w="0" w:type="dxa"/>
          <w:left w:w="0" w:type="dxa"/>
          <w:bottom w:w="0" w:type="dxa"/>
          <w:right w:w="0" w:type="dxa"/>
        </w:tblCellMar>
      </w:tblPr>
      <w:tr>
        <w:trPr>
          <w:trHeight w:val="152"/>
        </w:trPr>
        <w:tc>
          <w:tcPr>
            <w:tcW w:w="19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Total</w:t>
            </w:r>
          </w:p>
        </w:tc>
      </w:tr>
      <w:tr>
        <w:trPr>
          <w:trHeight w:val="184"/>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4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704</w:t>
            </w:r>
          </w:p>
        </w:tc>
      </w:tr>
      <w:tr>
        <w:trPr>
          <w:trHeight w:val="19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4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704</w:t>
            </w: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704</w:t>
            </w:r>
          </w:p>
        </w:tc>
      </w:tr>
      <w:tr>
        <w:trPr>
          <w:trHeight w:val="19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4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702</w:t>
            </w: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4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7,248</w:t>
            </w:r>
          </w:p>
        </w:tc>
      </w:tr>
      <w:tr>
        <w:trPr>
          <w:trHeight w:val="24"/>
        </w:trPr>
        <w:tc>
          <w:tcPr>
            <w:tcW w:w="19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1920" w:type="dxa"/>
            <w:vAlign w:val="bottom"/>
            <w:shd w:val="clear" w:color="auto" w:fill="CCEEFF"/>
          </w:tcPr>
          <w:p>
            <w:pPr>
              <w:spacing w:after="0"/>
              <w:rPr>
                <w:sz w:val="16"/>
                <w:szCs w:val="16"/>
                <w:color w:val="auto"/>
              </w:rPr>
            </w:pPr>
          </w:p>
        </w:tc>
        <w:tc>
          <w:tcPr>
            <w:tcW w:w="4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10,238</w:t>
            </w:r>
          </w:p>
        </w:tc>
      </w:tr>
      <w:tr>
        <w:trPr>
          <w:trHeight w:val="20"/>
        </w:trPr>
        <w:tc>
          <w:tcPr>
            <w:tcW w:w="19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1920" w:type="dxa"/>
            <w:vAlign w:val="bottom"/>
          </w:tcPr>
          <w:p>
            <w:pPr>
              <w:spacing w:after="0"/>
              <w:rPr>
                <w:sz w:val="24"/>
                <w:szCs w:val="24"/>
                <w:color w:val="auto"/>
              </w:rPr>
            </w:pPr>
          </w:p>
        </w:tc>
        <w:tc>
          <w:tcPr>
            <w:tcW w:w="4200" w:type="dxa"/>
            <w:vAlign w:val="bottom"/>
            <w:gridSpan w:val="2"/>
          </w:tcPr>
          <w:p>
            <w:pPr>
              <w:jc w:val="right"/>
              <w:ind w:right="2560"/>
              <w:spacing w:after="0"/>
              <w:rPr>
                <w:sz w:val="20"/>
                <w:szCs w:val="20"/>
                <w:color w:val="auto"/>
              </w:rPr>
            </w:pPr>
            <w:r>
              <w:rPr>
                <w:rFonts w:ascii="Times New Roman" w:cs="Times New Roman" w:eastAsia="Times New Roman" w:hAnsi="Times New Roman"/>
                <w:sz w:val="16"/>
                <w:szCs w:val="16"/>
                <w:color w:val="auto"/>
              </w:rPr>
              <w:t>F-66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500"/>
          </w:cols>
          <w:pgMar w:left="320" w:top="420" w:right="107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3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5 - ACCRUED EXPENSES AND OTHER CURRENT LIABILITIES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elements of accrued expenses and other current liabilities are as follows as of:</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52"/>
        </w:trPr>
        <w:tc>
          <w:tcPr>
            <w:tcW w:w="44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7"/>
              </w:rPr>
              <w:t>September 27, 2025</w:t>
            </w:r>
          </w:p>
        </w:tc>
        <w:tc>
          <w:tcPr>
            <w:tcW w:w="90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4"/>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Payroll</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Customer rebates and distributor chargebacks</w:t>
            </w:r>
          </w:p>
        </w:tc>
        <w:tc>
          <w:tcPr>
            <w:tcW w:w="3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367</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365</w:t>
            </w:r>
          </w:p>
        </w:tc>
      </w:tr>
      <w:tr>
        <w:trPr>
          <w:trHeight w:val="19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 net</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258</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163</w:t>
            </w:r>
          </w:p>
        </w:tc>
      </w:tr>
      <w:tr>
        <w:trPr>
          <w:trHeight w:val="19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Indirect tax payable</w:t>
            </w:r>
          </w:p>
        </w:tc>
        <w:tc>
          <w:tcPr>
            <w:tcW w:w="3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w:t>
            </w:r>
          </w:p>
        </w:tc>
      </w:tr>
      <w:tr>
        <w:trPr>
          <w:trHeight w:val="19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72</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r>
      <w:tr>
        <w:trPr>
          <w:trHeight w:val="19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Litigation accrual (EtO)</w:t>
            </w:r>
          </w:p>
        </w:tc>
        <w:tc>
          <w:tcPr>
            <w:tcW w:w="36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174</w:t>
            </w:r>
          </w:p>
        </w:tc>
      </w:tr>
      <w:tr>
        <w:trPr>
          <w:trHeight w:val="19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r>
      <w:tr>
        <w:trPr>
          <w:trHeight w:val="177"/>
        </w:trPr>
        <w:tc>
          <w:tcPr>
            <w:tcW w:w="4420" w:type="dxa"/>
            <w:vAlign w:val="bottom"/>
          </w:tcPr>
          <w:p>
            <w:pPr>
              <w:ind w:left="320"/>
              <w:spacing w:after="0" w:line="177" w:lineRule="exact"/>
              <w:rPr>
                <w:sz w:val="20"/>
                <w:szCs w:val="20"/>
                <w:color w:val="auto"/>
              </w:rPr>
            </w:pPr>
            <w:r>
              <w:rPr>
                <w:rFonts w:ascii="Times New Roman" w:cs="Times New Roman" w:eastAsia="Times New Roman" w:hAnsi="Times New Roman"/>
                <w:sz w:val="16"/>
                <w:szCs w:val="16"/>
                <w:b w:val="1"/>
                <w:bCs w:val="1"/>
                <w:color w:val="auto"/>
              </w:rPr>
              <w:t>Total accrued expenses and other current</w:t>
            </w: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10"/>
        </w:trPr>
        <w:tc>
          <w:tcPr>
            <w:tcW w:w="442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1,514</w:t>
            </w: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1,489</w:t>
            </w:r>
          </w:p>
        </w:tc>
      </w:tr>
      <w:tr>
        <w:trPr>
          <w:trHeight w:val="20"/>
        </w:trPr>
        <w:tc>
          <w:tcPr>
            <w:tcW w:w="4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6 - CREDIT AGREEMENTS AND BORROWINGS</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Company’s current portion of long-term borrowings and other short-term borrowings consists of the following:</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52"/>
        </w:trPr>
        <w:tc>
          <w:tcPr>
            <w:tcW w:w="442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September 27, 2025</w:t>
            </w:r>
          </w:p>
        </w:tc>
        <w:tc>
          <w:tcPr>
            <w:tcW w:w="4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December 31, 2024</w:t>
            </w:r>
          </w:p>
        </w:tc>
      </w:tr>
      <w:tr>
        <w:trPr>
          <w:trHeight w:val="184"/>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Borders>
              <w:top w:val="single" w:sz="8" w:color="CCEEFF"/>
            </w:tcBorders>
            <w:shd w:val="clear" w:color="auto" w:fill="CCEEFF"/>
          </w:tcPr>
          <w:p>
            <w:pPr>
              <w:spacing w:after="0"/>
              <w:rPr>
                <w:sz w:val="15"/>
                <w:szCs w:val="15"/>
                <w:color w:val="auto"/>
              </w:rPr>
            </w:pPr>
          </w:p>
        </w:tc>
      </w:tr>
      <w:tr>
        <w:trPr>
          <w:trHeight w:val="192"/>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 short-term debt</w:t>
            </w:r>
          </w:p>
        </w:tc>
        <w:tc>
          <w:tcPr>
            <w:tcW w:w="30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4"/>
        </w:trPr>
        <w:tc>
          <w:tcPr>
            <w:tcW w:w="4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9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      77</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78</w:t>
            </w:r>
          </w:p>
        </w:tc>
      </w:tr>
      <w:tr>
        <w:trPr>
          <w:trHeight w:val="20"/>
        </w:trPr>
        <w:tc>
          <w:tcPr>
            <w:tcW w:w="4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740"/>
        <w:spacing w:after="0"/>
        <w:rPr>
          <w:sz w:val="20"/>
          <w:szCs w:val="20"/>
          <w:color w:val="auto"/>
        </w:rPr>
      </w:pPr>
      <w:r>
        <w:rPr>
          <w:rFonts w:ascii="Times New Roman" w:cs="Times New Roman" w:eastAsia="Times New Roman" w:hAnsi="Times New Roman"/>
          <w:sz w:val="16"/>
          <w:szCs w:val="16"/>
          <w:color w:val="auto"/>
        </w:rPr>
        <w:t>The long-term borrowings and the effective interest rates as of September 27, 2025 and December 31, 2024 are summarized as follows:</w:t>
      </w:r>
    </w:p>
    <w:p>
      <w:pPr>
        <w:spacing w:after="0" w:line="215"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4"/>
          </w:tcPr>
          <w:p>
            <w:pPr>
              <w:jc w:val="right"/>
              <w:ind w:right="760"/>
              <w:spacing w:after="0"/>
              <w:rPr>
                <w:sz w:val="20"/>
                <w:szCs w:val="20"/>
                <w:color w:val="auto"/>
              </w:rPr>
            </w:pPr>
            <w:r>
              <w:rPr>
                <w:rFonts w:ascii="Times New Roman" w:cs="Times New Roman" w:eastAsia="Times New Roman" w:hAnsi="Times New Roman"/>
                <w:sz w:val="13"/>
                <w:szCs w:val="13"/>
                <w:color w:val="auto"/>
              </w:rPr>
              <w:t>September 27, 2025</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4"/>
          </w:tcPr>
          <w:p>
            <w:pPr>
              <w:jc w:val="right"/>
              <w:ind w:right="600"/>
              <w:spacing w:after="0"/>
              <w:rPr>
                <w:sz w:val="20"/>
                <w:szCs w:val="20"/>
                <w:color w:val="auto"/>
              </w:rPr>
            </w:pPr>
            <w:r>
              <w:rPr>
                <w:rFonts w:ascii="Times New Roman" w:cs="Times New Roman" w:eastAsia="Times New Roman" w:hAnsi="Times New Roman"/>
                <w:sz w:val="13"/>
                <w:szCs w:val="13"/>
                <w:color w:val="auto"/>
              </w:rPr>
              <w:t>December 31, 2024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04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Maturity dates</w:t>
            </w:r>
          </w:p>
        </w:tc>
        <w:tc>
          <w:tcPr>
            <w:tcW w:w="4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Average</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04" w:lineRule="exact"/>
              <w:rPr>
                <w:sz w:val="20"/>
                <w:szCs w:val="20"/>
                <w:color w:val="auto"/>
              </w:rPr>
            </w:pPr>
            <w:r>
              <w:rPr>
                <w:rFonts w:ascii="Times New Roman" w:cs="Times New Roman" w:eastAsia="Times New Roman" w:hAnsi="Times New Roman"/>
                <w:sz w:val="12"/>
                <w:szCs w:val="12"/>
                <w:color w:val="auto"/>
              </w:rPr>
              <w:t>Average</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rPr>
              <w:t>Amount</w:t>
            </w:r>
          </w:p>
        </w:tc>
        <w:tc>
          <w:tcPr>
            <w:tcW w:w="1200" w:type="dxa"/>
            <w:vAlign w:val="bottom"/>
            <w:gridSpan w:val="2"/>
          </w:tcPr>
          <w:p>
            <w:pPr>
              <w:jc w:val="center"/>
              <w:ind w:right="340"/>
              <w:spacing w:after="0" w:line="132" w:lineRule="exact"/>
              <w:rPr>
                <w:sz w:val="20"/>
                <w:szCs w:val="20"/>
                <w:color w:val="auto"/>
              </w:rPr>
            </w:pPr>
            <w:r>
              <w:rPr>
                <w:rFonts w:ascii="Times New Roman" w:cs="Times New Roman" w:eastAsia="Times New Roman" w:hAnsi="Times New Roman"/>
                <w:sz w:val="13"/>
                <w:szCs w:val="13"/>
                <w:color w:val="auto"/>
                <w:w w:val="98"/>
              </w:rPr>
              <w:t>effective interest</w:t>
            </w:r>
          </w:p>
        </w:tc>
        <w:tc>
          <w:tcPr>
            <w:tcW w:w="220" w:type="dxa"/>
            <w:vAlign w:val="bottom"/>
          </w:tcPr>
          <w:p>
            <w:pPr>
              <w:spacing w:after="0"/>
              <w:rPr>
                <w:sz w:val="11"/>
                <w:szCs w:val="11"/>
                <w:color w:val="auto"/>
              </w:rPr>
            </w:pPr>
          </w:p>
        </w:tc>
        <w:tc>
          <w:tcPr>
            <w:tcW w:w="9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3"/>
                <w:szCs w:val="13"/>
                <w:color w:val="auto"/>
              </w:rPr>
              <w:t>Amount</w:t>
            </w:r>
          </w:p>
        </w:tc>
        <w:tc>
          <w:tcPr>
            <w:tcW w:w="1040" w:type="dxa"/>
            <w:vAlign w:val="bottom"/>
            <w:gridSpan w:val="2"/>
          </w:tcPr>
          <w:p>
            <w:pPr>
              <w:jc w:val="center"/>
              <w:ind w:right="160"/>
              <w:spacing w:after="0" w:line="132" w:lineRule="exact"/>
              <w:rPr>
                <w:sz w:val="20"/>
                <w:szCs w:val="20"/>
                <w:color w:val="auto"/>
              </w:rPr>
            </w:pPr>
            <w:r>
              <w:rPr>
                <w:rFonts w:ascii="Times New Roman" w:cs="Times New Roman" w:eastAsia="Times New Roman" w:hAnsi="Times New Roman"/>
                <w:sz w:val="13"/>
                <w:szCs w:val="13"/>
                <w:color w:val="auto"/>
                <w:w w:val="96"/>
              </w:rPr>
              <w:t>effective interest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by fiscal year</w:t>
            </w:r>
          </w:p>
        </w:tc>
        <w:tc>
          <w:tcPr>
            <w:tcW w:w="42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2"/>
              </w:rPr>
              <w:t>rate</w:t>
            </w:r>
          </w:p>
        </w:tc>
        <w:tc>
          <w:tcPr>
            <w:tcW w:w="2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rate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40" w:type="dxa"/>
            <w:vAlign w:val="bottom"/>
            <w:tcBorders>
              <w:top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Long-term borrowings</w:t>
            </w:r>
          </w:p>
        </w:tc>
        <w:tc>
          <w:tcPr>
            <w:tcW w:w="8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Unsecured debt</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2,500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2,500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9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Total unsecured debt</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Secured debt</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Fixed</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6,000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6,000</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5"/>
                <w:szCs w:val="15"/>
                <w:color w:val="auto"/>
              </w:rPr>
              <w:t>Variable (euro denominated)</w:t>
            </w:r>
            <w:r>
              <w:rPr>
                <w:rFonts w:ascii="Times New Roman" w:cs="Times New Roman" w:eastAsia="Times New Roman" w:hAnsi="Times New Roman"/>
                <w:sz w:val="22"/>
                <w:szCs w:val="22"/>
                <w:color w:val="auto"/>
                <w:vertAlign w:val="superscript"/>
              </w:rPr>
              <w:t>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729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645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Variable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2025 - 2030</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7,574</w:t>
            </w:r>
          </w:p>
        </w:tc>
        <w:tc>
          <w:tcPr>
            <w:tcW w:w="4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7.15%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7,612</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Total secured debt</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14,303</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5"/>
              </w:rPr>
              <w:t>14,257</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debt</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16,803</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16,757</w:t>
            </w: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amounts due within one year</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(76)</w:t>
            </w: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(76)</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Times New Roman" w:cs="Times New Roman" w:eastAsia="Times New Roman" w:hAnsi="Times New Roman"/>
                <w:sz w:val="15"/>
                <w:szCs w:val="15"/>
                <w:color w:val="auto"/>
              </w:rPr>
              <w:t>Total other</w:t>
            </w:r>
            <w:r>
              <w:rPr>
                <w:rFonts w:ascii="Times New Roman" w:cs="Times New Roman" w:eastAsia="Times New Roman" w:hAnsi="Times New Roman"/>
                <w:sz w:val="22"/>
                <w:szCs w:val="22"/>
                <w:color w:val="auto"/>
                <w:vertAlign w:val="superscript"/>
              </w:rPr>
              <w:t>2</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(226)</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(265)</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borrowings</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16,501</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w w:val="95"/>
              </w:rPr>
              <w:t>16,416</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740"/>
        <w:spacing w:after="0"/>
        <w:tabs>
          <w:tab w:leader="none" w:pos="1100" w:val="left"/>
        </w:tabs>
        <w:rPr>
          <w:sz w:val="20"/>
          <w:szCs w:val="20"/>
          <w:color w:val="auto"/>
        </w:rPr>
      </w:pPr>
      <w:r>
        <w:rPr>
          <w:rFonts w:ascii="Times New Roman" w:cs="Times New Roman" w:eastAsia="Times New Roman" w:hAnsi="Times New Roman"/>
          <w:sz w:val="16"/>
          <w:szCs w:val="16"/>
          <w:color w:val="auto"/>
        </w:rPr>
        <w:t>(1)</w:t>
        <w:tab/>
        <w:t>includes exchange rate adjustments.</w:t>
      </w:r>
    </w:p>
    <w:p>
      <w:pPr>
        <w:spacing w:after="0" w:line="24" w:lineRule="exact"/>
        <w:rPr>
          <w:sz w:val="20"/>
          <w:szCs w:val="20"/>
          <w:color w:val="auto"/>
        </w:rPr>
      </w:pPr>
    </w:p>
    <w:p>
      <w:pPr>
        <w:ind w:left="740"/>
        <w:spacing w:after="0"/>
        <w:tabs>
          <w:tab w:leader="none" w:pos="1100" w:val="left"/>
        </w:tabs>
        <w:rPr>
          <w:sz w:val="20"/>
          <w:szCs w:val="20"/>
          <w:color w:val="auto"/>
        </w:rPr>
      </w:pPr>
      <w:r>
        <w:rPr>
          <w:rFonts w:ascii="Times New Roman" w:cs="Times New Roman" w:eastAsia="Times New Roman" w:hAnsi="Times New Roman"/>
          <w:sz w:val="16"/>
          <w:szCs w:val="16"/>
          <w:color w:val="auto"/>
        </w:rPr>
        <w:t>(2)</w:t>
        <w:tab/>
        <w:t>includes deferred financing costs.</w:t>
      </w:r>
    </w:p>
    <w:p>
      <w:pPr>
        <w:spacing w:after="0" w:line="1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F-67</w:t>
      </w:r>
    </w:p>
    <w:p>
      <w:pPr>
        <w:sectPr>
          <w:pgSz w:w="11900" w:h="16838" w:orient="portrait"/>
          <w:cols w:equalWidth="0" w:num="1">
            <w:col w:w="10500"/>
          </w:cols>
          <w:pgMar w:left="320" w:top="420" w:right="107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6 - CREDIT AGREEMENTS AND BORROWINGS (Continued)</w:t>
      </w:r>
    </w:p>
    <w:p>
      <w:pPr>
        <w:spacing w:after="0" w:line="1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Long-Term Debt</w:t>
      </w:r>
    </w:p>
    <w:p>
      <w:pPr>
        <w:spacing w:after="0" w:line="105" w:lineRule="exact"/>
        <w:rPr>
          <w:sz w:val="20"/>
          <w:szCs w:val="20"/>
          <w:color w:val="auto"/>
        </w:rPr>
      </w:pPr>
    </w:p>
    <w:p>
      <w:pPr>
        <w:ind w:left="740" w:right="20"/>
        <w:spacing w:after="0" w:line="252" w:lineRule="auto"/>
        <w:rPr>
          <w:sz w:val="20"/>
          <w:szCs w:val="20"/>
          <w:color w:val="auto"/>
        </w:rPr>
      </w:pPr>
      <w:r>
        <w:rPr>
          <w:rFonts w:ascii="Times New Roman" w:cs="Times New Roman" w:eastAsia="Times New Roman" w:hAnsi="Times New Roman"/>
          <w:sz w:val="16"/>
          <w:szCs w:val="16"/>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the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The amortization payments equal to 0.25% of initial aggregate principal amount of the New Dollar Term Loans (as defined below) are due quarterly, commencing with the three months ending June 25, 2022 and the remaining principal is set to mature on October 21, 2028. The Company made payments of $38 and $46 towards principal of the New Dollar Term Loans, the Additional Dollar Term Loans (as defined below), the Refinanced Dollar Term Loans (as defined below) and the Initial Dollar Term Loans, as applicable, for the nine months ended September 27, 2025 and the year ended December 31, 2024, respectively. The Euro Term Loans do not have any mandatory amortization.</w:t>
      </w:r>
    </w:p>
    <w:p>
      <w:pPr>
        <w:spacing w:after="0" w:line="169" w:lineRule="exact"/>
        <w:rPr>
          <w:sz w:val="20"/>
          <w:szCs w:val="20"/>
          <w:color w:val="auto"/>
        </w:rPr>
      </w:pPr>
    </w:p>
    <w:p>
      <w:pPr>
        <w:ind w:left="740" w:right="420"/>
        <w:spacing w:after="0" w:line="281" w:lineRule="auto"/>
        <w:rPr>
          <w:sz w:val="20"/>
          <w:szCs w:val="20"/>
          <w:color w:val="auto"/>
        </w:rPr>
      </w:pPr>
      <w:r>
        <w:rPr>
          <w:rFonts w:ascii="Times New Roman" w:cs="Times New Roman" w:eastAsia="Times New Roman" w:hAnsi="Times New Roman"/>
          <w:sz w:val="16"/>
          <w:szCs w:val="16"/>
          <w:color w:val="auto"/>
        </w:rPr>
        <w:t>On October 21, 2021, the Company received net proceeds of $4,421 for a 3.875% fixed rate note issued with a maturity date of April 1, 2029. The principal amount of the senior secured notes issued was $4,500.</w:t>
      </w:r>
    </w:p>
    <w:p>
      <w:pPr>
        <w:spacing w:after="0" w:line="144"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On October 21, 2021, the Company received net proceeds of $2,442 for a 5.250% fixed rate note issued with a maturity date of October 1, 2029. The principal amount of the senior unsecured notes issued was $2,500.</w:t>
      </w:r>
    </w:p>
    <w:p>
      <w:pPr>
        <w:spacing w:after="0" w:line="144" w:lineRule="exact"/>
        <w:rPr>
          <w:sz w:val="20"/>
          <w:szCs w:val="20"/>
          <w:color w:val="auto"/>
        </w:rPr>
      </w:pPr>
    </w:p>
    <w:p>
      <w:pPr>
        <w:ind w:left="740" w:right="20"/>
        <w:spacing w:after="0" w:line="253" w:lineRule="auto"/>
        <w:rPr>
          <w:sz w:val="20"/>
          <w:szCs w:val="20"/>
          <w:color w:val="auto"/>
        </w:rPr>
      </w:pPr>
      <w:r>
        <w:rPr>
          <w:rFonts w:ascii="Times New Roman" w:cs="Times New Roman" w:eastAsia="Times New Roman" w:hAnsi="Times New Roman"/>
          <w:sz w:val="16"/>
          <w:szCs w:val="16"/>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w:t>
      </w:r>
    </w:p>
    <w:p>
      <w:pPr>
        <w:ind w:left="740"/>
        <w:spacing w:after="0" w:line="275" w:lineRule="auto"/>
        <w:rPr>
          <w:sz w:val="20"/>
          <w:szCs w:val="20"/>
          <w:color w:val="auto"/>
        </w:rPr>
      </w:pPr>
      <w:r>
        <w:rPr>
          <w:rFonts w:ascii="Times New Roman" w:cs="Times New Roman" w:eastAsia="Times New Roman" w:hAnsi="Times New Roman"/>
          <w:sz w:val="15"/>
          <w:szCs w:val="15"/>
          <w:color w:val="auto"/>
        </w:rPr>
        <w:t>0.36%, resulting in a margin spread of SOFR plus 2.75% per annum. The amortization payments equal to 0.25% of revised aggregate principal amount of $6,143 of the Refinanced Dollar Term Loans were still due quarterly on each calendar quarter end. The maturity date of the Refinanced Dollar Term Loans remains October 21, 2028. For the financing transaction on March 27, 2024, the Company recorded $29 of debt extinguishment costs, which were included in other expense, net on the condensed consolidated statements of comprehensive income during the nine months ended September 28, 2024.</w:t>
      </w:r>
    </w:p>
    <w:p>
      <w:pPr>
        <w:spacing w:after="0" w:line="151" w:lineRule="exact"/>
        <w:rPr>
          <w:sz w:val="20"/>
          <w:szCs w:val="20"/>
          <w:color w:val="auto"/>
        </w:rPr>
      </w:pPr>
    </w:p>
    <w:p>
      <w:pPr>
        <w:ind w:left="740" w:right="60"/>
        <w:spacing w:after="0" w:line="291" w:lineRule="auto"/>
        <w:rPr>
          <w:sz w:val="20"/>
          <w:szCs w:val="20"/>
          <w:color w:val="auto"/>
        </w:rPr>
      </w:pPr>
      <w:r>
        <w:rPr>
          <w:rFonts w:ascii="Times New Roman" w:cs="Times New Roman" w:eastAsia="Times New Roman" w:hAnsi="Times New Roman"/>
          <w:sz w:val="15"/>
          <w:szCs w:val="15"/>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w:t>
      </w:r>
    </w:p>
    <w:p>
      <w:pPr>
        <w:spacing w:after="0" w:line="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F-68</w:t>
      </w:r>
    </w:p>
    <w:p>
      <w:pPr>
        <w:sectPr>
          <w:pgSz w:w="11900" w:h="16838" w:orient="portrait"/>
          <w:cols w:equalWidth="0" w:num="1">
            <w:col w:w="10500"/>
          </w:cols>
          <w:pgMar w:left="320" w:top="420" w:right="107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6 - CREDIT AGREEMENTS AND BORROWINGS (Continued)</w:t>
      </w:r>
    </w:p>
    <w:p>
      <w:pPr>
        <w:spacing w:after="0" w:line="117"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the Credit Agreement and received net proceeds of $1,503 of additional dollar 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$495 proceeds received on June 24, 2024 to repay the CMBS Loan on July 9, 2024.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(the “New Euro Term Loan Facility” and the loans thereunder, the “New Euro Term Loans”). Similar to the Refinanced Dollar Term Loans under the same Credit Agreement, the Additional Dollar Term Loans require quarterly amortization payments equal to 0.25% of aggregate principal amount of the Additional Dollar Term Loans on each calendar quarter end, commencing on December 31, 2024 while the remaining principal is set to mature on October 21, 2028. Like the Refinanced Euro Term Loans, the Additional Euro Term Loans do not have any mandatory amortization and mature on October 21, 2028. For the financing transaction on July 8, 2024, the Company recorded $2 of debt extinguishment costs, which were included in other expense, net on the condensed consolidated statements of comprehensive income during the three and nine months ended September 28, 2024.</w:t>
      </w:r>
    </w:p>
    <w:p>
      <w:pPr>
        <w:spacing w:after="0" w:line="1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On November 19, 2024, the Company entered into the fourth amendment to the credit agreement that governs the Senior Secured Credit Facilities to</w:t>
      </w:r>
    </w:p>
    <w:p>
      <w:pPr>
        <w:spacing w:after="0" w:line="24" w:lineRule="exact"/>
        <w:rPr>
          <w:sz w:val="20"/>
          <w:szCs w:val="20"/>
          <w:color w:val="auto"/>
        </w:rPr>
      </w:pPr>
    </w:p>
    <w:p>
      <w:pPr>
        <w:ind w:left="740" w:right="100" w:hanging="2"/>
        <w:spacing w:after="0" w:line="252" w:lineRule="auto"/>
        <w:tabs>
          <w:tab w:leader="none" w:pos="931"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Amortization payments equal to 0.25% of revised aggregate principal amount of $7,631 of the New Dollar Term Loans are still due quarterly on each calendar quarter end.</w:t>
      </w:r>
    </w:p>
    <w:p>
      <w:pPr>
        <w:spacing w:after="0" w:line="167" w:lineRule="exact"/>
        <w:rPr>
          <w:sz w:val="20"/>
          <w:szCs w:val="20"/>
          <w:color w:val="auto"/>
        </w:rPr>
      </w:pPr>
    </w:p>
    <w:p>
      <w:pPr>
        <w:jc w:val="both"/>
        <w:ind w:left="740" w:right="100"/>
        <w:spacing w:after="0" w:line="265" w:lineRule="auto"/>
        <w:rPr>
          <w:sz w:val="20"/>
          <w:szCs w:val="20"/>
          <w:color w:val="auto"/>
        </w:rPr>
      </w:pPr>
      <w:r>
        <w:rPr>
          <w:rFonts w:ascii="Times New Roman" w:cs="Times New Roman" w:eastAsia="Times New Roman" w:hAnsi="Times New Roman"/>
          <w:sz w:val="16"/>
          <w:szCs w:val="16"/>
          <w:color w:val="auto"/>
        </w:rPr>
        <w:t>On March 28, 2025, the Company entered into the fifth amendment to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spacing w:after="0" w:line="157"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On July 31, 2025, the Company entered into the sixth amendment to the Credit Agreement to (i) reduce the applicable margin for an aggregate principal amount of New Dollar Term Loans equal to $4,074 (the “2028 Refinancing Term Loans”) by 0.25% overall, resulting in a margin spread of SOFR plus 2.00% per annum and (ii) reduce the applicable margin for an aggregate principal amount of the New Dollar Term Loans equal to $3,500 (the “2030 Refinancing Term Loans”, together with the 2028 Refinancing Dollar Term Loans, the “2025 Refinancing Dollar Term Loans” or the “2025 Refinancing Dollar Term Facility) by 0.25% overall, resulting in a margin spread of SOFR plus 2.00% per annum. Except as set forth in the preceding sentence, the 2028 Refinancing Term Loans have substantially the same terms as the New Dollar Term Loans outstanding under the Credit Agreement prior to the sixth amendment. The 2030 Refinancing Term Loans have the same terms as the 2028 Refinancing Term Loans, except that the 2030 Refinancing Term Loans will mature on October 23, 2030. Amortization payments equal to 0.25% of the revised aggregate $7,574 principal of the 2025 Refinancing Dollar Term Loans are still due on each calendar quarter end, commencing with September 30, 2025. The Company incurred debt modification expense of $6 and an immaterial loss on debt extinguishment, which were included in</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F-69</w:t>
      </w:r>
    </w:p>
    <w:p>
      <w:pPr>
        <w:sectPr>
          <w:pgSz w:w="11900" w:h="16838" w:orient="portrait"/>
          <w:cols w:equalWidth="0" w:num="1">
            <w:col w:w="10500"/>
          </w:cols>
          <w:pgMar w:left="320" w:top="420" w:right="107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6 - CREDIT AGREEMENTS AND BORROWINGS (Continued)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other expense, net, on the condensed consolidated statements of comprehensive income during the three and nine months ended September 27, 2025.</w:t>
      </w:r>
    </w:p>
    <w:p>
      <w:pPr>
        <w:spacing w:after="0" w:line="199" w:lineRule="exact"/>
        <w:rPr>
          <w:sz w:val="20"/>
          <w:szCs w:val="20"/>
          <w:color w:val="auto"/>
        </w:rPr>
      </w:pPr>
    </w:p>
    <w:p>
      <w:pPr>
        <w:ind w:left="740" w:right="40"/>
        <w:spacing w:after="0" w:line="256" w:lineRule="auto"/>
        <w:rPr>
          <w:sz w:val="20"/>
          <w:szCs w:val="20"/>
          <w:color w:val="auto"/>
        </w:rPr>
      </w:pPr>
      <w:r>
        <w:rPr>
          <w:rFonts w:ascii="Times New Roman" w:cs="Times New Roman" w:eastAsia="Times New Roman" w:hAnsi="Times New Roman"/>
          <w:sz w:val="16"/>
          <w:szCs w:val="16"/>
          <w:color w:val="auto"/>
        </w:rPr>
        <w:t>The fair value of the 2025 Refinancing Dollar Term Loans and New Euro Term Loans as of September 27, 2025 was $7,579 and $735, respectively. The fair value of the New Dollar Term Loans and New Euro Term Loans as of December 31, 2024 was $7,660 and $647, respectively. The fair value of the 3.875% fixed rate note, the 5.250% fixed rate note, and the 6.250% fixed rate note as of September 27, 2025 was $4,326, $2,478 and $1,541, respectively. The fair value of the 3.875% fixed rate note, the 5.250% fixed rate note, and the 6.250% fixed rate note as of December 31, 2024 was $4,166, $2,411 and $1,517, respectively. The estimated fair value of these loans was based on recent trades as reported by a third-party bond pricing service. Due to the infrequency of trades, these inputs are considered to be Level 2 inputs.</w:t>
      </w:r>
    </w:p>
    <w:p>
      <w:pPr>
        <w:spacing w:after="0" w:line="164" w:lineRule="exact"/>
        <w:rPr>
          <w:sz w:val="20"/>
          <w:szCs w:val="20"/>
          <w:color w:val="auto"/>
        </w:rPr>
      </w:pPr>
    </w:p>
    <w:p>
      <w:pPr>
        <w:ind w:left="740" w:right="240"/>
        <w:spacing w:after="0" w:line="281" w:lineRule="auto"/>
        <w:rPr>
          <w:sz w:val="20"/>
          <w:szCs w:val="20"/>
          <w:color w:val="auto"/>
        </w:rPr>
      </w:pPr>
      <w:r>
        <w:rPr>
          <w:rFonts w:ascii="Times New Roman" w:cs="Times New Roman" w:eastAsia="Times New Roman" w:hAnsi="Times New Roman"/>
          <w:sz w:val="16"/>
          <w:szCs w:val="16"/>
          <w:color w:val="auto"/>
        </w:rPr>
        <w:t>Compliance with the covenants does not significantly impact the Company’s operations. As of September 27, 2025, the Company was in compliance with all the covenants under the Credit Agreement.</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Future aggregate principal amounts for the remainder of fiscal year 2025 and over the next four years and thereafter are as follows:</w:t>
      </w:r>
    </w:p>
    <w:p>
      <w:pPr>
        <w:spacing w:after="0" w:line="218"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3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Annual Maturities</w:t>
            </w:r>
          </w:p>
        </w:tc>
      </w:tr>
      <w:tr>
        <w:trPr>
          <w:trHeight w:val="184"/>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24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2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r>
      <w:tr>
        <w:trPr>
          <w:trHeight w:val="19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2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76</w:t>
            </w:r>
          </w:p>
        </w:tc>
      </w:tr>
      <w:tr>
        <w:trPr>
          <w:trHeight w:val="19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2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4,735</w:t>
            </w:r>
          </w:p>
        </w:tc>
      </w:tr>
      <w:tr>
        <w:trPr>
          <w:trHeight w:val="192"/>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2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8,535</w:t>
            </w:r>
          </w:p>
        </w:tc>
      </w:tr>
      <w:tr>
        <w:trPr>
          <w:trHeight w:val="196"/>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24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40" w:type="dxa"/>
            <w:vAlign w:val="bottom"/>
          </w:tcPr>
          <w:p>
            <w:pPr>
              <w:spacing w:after="0"/>
              <w:rPr>
                <w:sz w:val="17"/>
                <w:szCs w:val="17"/>
                <w:color w:val="auto"/>
              </w:rPr>
            </w:pPr>
          </w:p>
        </w:tc>
      </w:tr>
      <w:tr>
        <w:trPr>
          <w:trHeight w:val="192"/>
        </w:trPr>
        <w:tc>
          <w:tcPr>
            <w:tcW w:w="3120" w:type="dxa"/>
            <w:vAlign w:val="bottom"/>
            <w:shd w:val="clear" w:color="auto" w:fill="CCEEFF"/>
          </w:tcPr>
          <w:p>
            <w:pPr>
              <w:spacing w:after="0"/>
              <w:rPr>
                <w:sz w:val="16"/>
                <w:szCs w:val="16"/>
                <w:color w:val="auto"/>
              </w:rPr>
            </w:pPr>
          </w:p>
        </w:tc>
        <w:tc>
          <w:tcPr>
            <w:tcW w:w="278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16,803</w:t>
            </w:r>
          </w:p>
        </w:tc>
      </w:tr>
      <w:tr>
        <w:trPr>
          <w:trHeight w:val="20"/>
        </w:trPr>
        <w:tc>
          <w:tcPr>
            <w:tcW w:w="3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Revolving Credit Facilities</w:t>
      </w:r>
    </w:p>
    <w:p>
      <w:pPr>
        <w:spacing w:after="0" w:line="105" w:lineRule="exact"/>
        <w:rPr>
          <w:sz w:val="20"/>
          <w:szCs w:val="20"/>
          <w:color w:val="auto"/>
        </w:rPr>
      </w:pPr>
    </w:p>
    <w:p>
      <w:pPr>
        <w:ind w:left="740" w:right="100"/>
        <w:spacing w:after="0" w:line="257" w:lineRule="auto"/>
        <w:rPr>
          <w:sz w:val="20"/>
          <w:szCs w:val="20"/>
          <w:color w:val="auto"/>
        </w:rPr>
      </w:pPr>
      <w:r>
        <w:rPr>
          <w:rFonts w:ascii="Times New Roman" w:cs="Times New Roman" w:eastAsia="Times New Roman" w:hAnsi="Times New Roman"/>
          <w:sz w:val="16"/>
          <w:szCs w:val="16"/>
          <w:color w:val="auto"/>
        </w:rPr>
        <w:t>As part of the Transaction, on October 21, 2021, certain lenders have provided the Company with commitments under a senior secured revolving credit facility (the “Revolving Credit Facility”, together with the 2025 Refinancing Dollar Term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65"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As of September 27, 2025 and December 31, 2024, the Revolving Credit Facility had several financial institutions as lenders for a maximum borrowing capacity of $1,000. As of September 27, 2025 and December 31, 2024, availability under the Revolving Credit Facility was $946 and $951, respectively, after taking into account outstanding letters of credit of $54 and $49, respectively. The Company borrowed and repaid $179 and $166 under the Revolving Credit Facility during the nine months ended September 27, 2025 and the year ended December 31, 2024, respectively, which resulted in no amounts outstanding as of September 27, 2025 or December 31, 2024.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F-70</w:t>
      </w:r>
    </w:p>
    <w:p>
      <w:pPr>
        <w:sectPr>
          <w:pgSz w:w="11900" w:h="16838" w:orient="portrait"/>
          <w:cols w:equalWidth="0" w:num="1">
            <w:col w:w="10500"/>
          </w:cols>
          <w:pgMar w:left="320" w:top="420" w:right="107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6 - CREDIT AGREEMENTS AND BORROWINGS (Continued)</w:t>
      </w:r>
    </w:p>
    <w:p>
      <w:pPr>
        <w:spacing w:after="0" w:line="117"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spacing w:after="0" w:line="144" w:lineRule="exact"/>
        <w:rPr>
          <w:sz w:val="20"/>
          <w:szCs w:val="20"/>
          <w:color w:val="auto"/>
        </w:rPr>
      </w:pPr>
    </w:p>
    <w:p>
      <w:pPr>
        <w:ind w:left="740" w:right="280"/>
        <w:spacing w:after="0" w:line="281" w:lineRule="auto"/>
        <w:rPr>
          <w:sz w:val="20"/>
          <w:szCs w:val="20"/>
          <w:color w:val="auto"/>
        </w:rPr>
      </w:pPr>
      <w:r>
        <w:rPr>
          <w:rFonts w:ascii="Times New Roman" w:cs="Times New Roman" w:eastAsia="Times New Roman" w:hAnsi="Times New Roman"/>
          <w:sz w:val="16"/>
          <w:szCs w:val="16"/>
          <w:color w:val="auto"/>
        </w:rPr>
        <w:t>The indentures contain certain affirmative and negative covenants, which require, among other provisions, delivery of these condensed consolidated financial statements to the relevant note holders. As of September 27, 2025, the Company was in compliance with all covenants.</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7 - INTEREST EXPENSE, NET</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Interest expense, net consists of the following for the three and nine months ended September 27, 2025 and September 28, 2024:</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color w:val="auto"/>
              </w:rPr>
              <w:t>Three months ended</w:t>
            </w:r>
          </w:p>
        </w:tc>
        <w:tc>
          <w:tcPr>
            <w:tcW w:w="600" w:type="dxa"/>
            <w:vAlign w:val="bottom"/>
            <w:tcBorders>
              <w:bottom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3"/>
                <w:szCs w:val="13"/>
                <w:color w:val="auto"/>
              </w:rPr>
              <w:t>Nine months ended</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3"/>
          </w:tcPr>
          <w:p>
            <w:pPr>
              <w:jc w:val="right"/>
              <w:ind w:right="440"/>
              <w:spacing w:after="0" w:line="124" w:lineRule="exact"/>
              <w:rPr>
                <w:sz w:val="20"/>
                <w:szCs w:val="20"/>
                <w:color w:val="auto"/>
              </w:rPr>
            </w:pPr>
            <w:r>
              <w:rPr>
                <w:rFonts w:ascii="Times New Roman" w:cs="Times New Roman" w:eastAsia="Times New Roman" w:hAnsi="Times New Roman"/>
                <w:sz w:val="13"/>
                <w:szCs w:val="13"/>
                <w:color w:val="auto"/>
                <w:w w:val="95"/>
              </w:rPr>
              <w:t>September 27, 2025</w:t>
            </w:r>
          </w:p>
        </w:tc>
        <w:tc>
          <w:tcPr>
            <w:tcW w:w="360" w:type="dxa"/>
            <w:vAlign w:val="bottom"/>
          </w:tcPr>
          <w:p>
            <w:pPr>
              <w:spacing w:after="0"/>
              <w:rPr>
                <w:sz w:val="10"/>
                <w:szCs w:val="10"/>
                <w:color w:val="auto"/>
              </w:rPr>
            </w:pPr>
          </w:p>
        </w:tc>
        <w:tc>
          <w:tcPr>
            <w:tcW w:w="1040" w:type="dxa"/>
            <w:vAlign w:val="bottom"/>
            <w:gridSpan w:val="2"/>
          </w:tcPr>
          <w:p>
            <w:pPr>
              <w:spacing w:after="0" w:line="124" w:lineRule="exact"/>
              <w:rPr>
                <w:sz w:val="20"/>
                <w:szCs w:val="20"/>
                <w:color w:val="auto"/>
              </w:rPr>
            </w:pPr>
            <w:r>
              <w:rPr>
                <w:rFonts w:ascii="Times New Roman" w:cs="Times New Roman" w:eastAsia="Times New Roman" w:hAnsi="Times New Roman"/>
                <w:sz w:val="13"/>
                <w:szCs w:val="13"/>
                <w:color w:val="auto"/>
                <w:w w:val="97"/>
              </w:rPr>
              <w:t>September 28, 2024</w:t>
            </w:r>
          </w:p>
        </w:tc>
        <w:tc>
          <w:tcPr>
            <w:tcW w:w="800" w:type="dxa"/>
            <w:vAlign w:val="bottom"/>
          </w:tcPr>
          <w:p>
            <w:pPr>
              <w:spacing w:after="0"/>
              <w:rPr>
                <w:sz w:val="10"/>
                <w:szCs w:val="10"/>
                <w:color w:val="auto"/>
              </w:rPr>
            </w:pPr>
          </w:p>
        </w:tc>
        <w:tc>
          <w:tcPr>
            <w:tcW w:w="182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color w:val="auto"/>
              </w:rPr>
              <w:t>September 27, 2025</w:t>
            </w:r>
          </w:p>
        </w:tc>
        <w:tc>
          <w:tcPr>
            <w:tcW w:w="104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3"/>
                <w:szCs w:val="13"/>
                <w:color w:val="auto"/>
                <w:w w:val="95"/>
              </w:rPr>
              <w:t>September 28, 2024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4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8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35</w:t>
            </w: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9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(213)</w:t>
            </w:r>
          </w:p>
        </w:tc>
        <w:tc>
          <w:tcPr>
            <w:tcW w:w="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6"/>
                <w:szCs w:val="16"/>
                <w:color w:val="auto"/>
              </w:rPr>
              <w:t>(213)</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6"/>
                <w:szCs w:val="16"/>
                <w:color w:val="auto"/>
              </w:rPr>
              <w:t>(646)</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8 - INCOME TAXES</w:t>
      </w:r>
    </w:p>
    <w:p>
      <w:pPr>
        <w:spacing w:after="0" w:line="105" w:lineRule="exact"/>
        <w:rPr>
          <w:sz w:val="20"/>
          <w:szCs w:val="20"/>
          <w:color w:val="auto"/>
        </w:rPr>
      </w:pPr>
    </w:p>
    <w:p>
      <w:pPr>
        <w:ind w:left="740" w:right="140"/>
        <w:spacing w:after="0" w:line="265" w:lineRule="auto"/>
        <w:rPr>
          <w:sz w:val="20"/>
          <w:szCs w:val="20"/>
          <w:color w:val="auto"/>
        </w:rPr>
      </w:pPr>
      <w:r>
        <w:rPr>
          <w:rFonts w:ascii="Times New Roman" w:cs="Times New Roman" w:eastAsia="Times New Roman" w:hAnsi="Times New Roman"/>
          <w:sz w:val="16"/>
          <w:szCs w:val="16"/>
          <w:color w:val="auto"/>
        </w:rPr>
        <w:t>The Company’s effective income tax rate was 6.30% and 3.17% for the nine months ended September 27, 2025 and September 28, 2024, respectively. 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157" w:lineRule="exact"/>
        <w:rPr>
          <w:sz w:val="20"/>
          <w:szCs w:val="20"/>
          <w:color w:val="auto"/>
        </w:rPr>
      </w:pPr>
    </w:p>
    <w:p>
      <w:pPr>
        <w:ind w:left="740" w:right="100"/>
        <w:spacing w:after="0" w:line="281" w:lineRule="auto"/>
        <w:rPr>
          <w:sz w:val="20"/>
          <w:szCs w:val="20"/>
          <w:color w:val="auto"/>
        </w:rPr>
      </w:pPr>
      <w:r>
        <w:rPr>
          <w:rFonts w:ascii="Times New Roman" w:cs="Times New Roman" w:eastAsia="Times New Roman" w:hAnsi="Times New Roman"/>
          <w:sz w:val="16"/>
          <w:szCs w:val="16"/>
          <w:color w:val="auto"/>
        </w:rPr>
        <w:t>For the nine months ended September 27, 2025, the difference between the Company’s effective income tax rate and the U.S. federal statutory rate was primarily driven by the operating partnership, tax incentives, foreign rate differences, and state income taxes.</w:t>
      </w:r>
    </w:p>
    <w:p>
      <w:pPr>
        <w:spacing w:after="0" w:line="144"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On July 4, 2025, H.R. 1, commonly referred to as the One Big Beautiful Bill Act (“OBBBA”) was enacted, which includes permanent extensions of most expiring Tax Cuts and Jobs Act provisions and limitations on certain deductions and modifications to international tax provisions. The Company is still evaluating the potential impacts of the OBBBA; however, the Company does not anticipate it will have a material impact on the Company’s consolidated financial statements.</w:t>
      </w:r>
    </w:p>
    <w:p>
      <w:pPr>
        <w:spacing w:after="0" w:line="1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9 - COMMITMENTS AND CONTINGENCIES</w:t>
      </w:r>
    </w:p>
    <w:p>
      <w:pPr>
        <w:spacing w:after="0" w:line="1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Legal Matters</w:t>
      </w:r>
    </w:p>
    <w:p>
      <w:pPr>
        <w:spacing w:after="0" w:line="105" w:lineRule="exact"/>
        <w:rPr>
          <w:sz w:val="20"/>
          <w:szCs w:val="20"/>
          <w:color w:val="auto"/>
        </w:rPr>
      </w:pPr>
    </w:p>
    <w:p>
      <w:pPr>
        <w:ind w:left="740" w:right="380"/>
        <w:spacing w:after="0" w:line="283" w:lineRule="auto"/>
        <w:rPr>
          <w:sz w:val="20"/>
          <w:szCs w:val="20"/>
          <w:color w:val="auto"/>
        </w:rPr>
      </w:pPr>
      <w:r>
        <w:rPr>
          <w:rFonts w:ascii="Times New Roman" w:cs="Times New Roman" w:eastAsia="Times New Roman" w:hAnsi="Times New Roman"/>
          <w:sz w:val="15"/>
          <w:szCs w:val="15"/>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w:t>
      </w:r>
    </w:p>
    <w:p>
      <w:pPr>
        <w:spacing w:after="0" w:line="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F-71</w:t>
      </w:r>
    </w:p>
    <w:p>
      <w:pPr>
        <w:sectPr>
          <w:pgSz w:w="11900" w:h="16838" w:orient="portrait"/>
          <w:cols w:equalWidth="0" w:num="1">
            <w:col w:w="10480"/>
          </w:cols>
          <w:pgMar w:left="320" w:top="420" w:right="10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9 - COMMITMENTS AND CONTINGENCIES (Continued)</w:t>
      </w:r>
    </w:p>
    <w:p>
      <w:pPr>
        <w:spacing w:after="0" w:line="117" w:lineRule="exact"/>
        <w:rPr>
          <w:sz w:val="20"/>
          <w:szCs w:val="20"/>
          <w:color w:val="auto"/>
        </w:rPr>
      </w:pPr>
    </w:p>
    <w:p>
      <w:pPr>
        <w:ind w:left="740" w:right="180"/>
        <w:spacing w:after="0" w:line="260" w:lineRule="auto"/>
        <w:rPr>
          <w:sz w:val="20"/>
          <w:szCs w:val="20"/>
          <w:color w:val="auto"/>
        </w:rPr>
      </w:pPr>
      <w:r>
        <w:rPr>
          <w:rFonts w:ascii="Times New Roman" w:cs="Times New Roman" w:eastAsia="Times New Roman" w:hAnsi="Times New Roman"/>
          <w:sz w:val="16"/>
          <w:szCs w:val="16"/>
          <w:color w:val="auto"/>
        </w:rPr>
        <w:t>In January 2019, the Company was named as a defendant in mass tort litigation in Cook County, Illinois involving claims by approximately 380 plaintiffs that allege personal injuries associated with the Company’s EtO activities in Lake County, Illinois. Through settlement discussions with mediators, the Company reached binding settlements with 7 plaintiffs, as well as a contingent settlement encompassing substantially all the remaining claimants. The group settlement was finalized in March 2025 (the “EtO settlements”).</w:t>
      </w:r>
    </w:p>
    <w:p>
      <w:pPr>
        <w:spacing w:after="0" w:line="161"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color w:val="auto"/>
        </w:rPr>
        <w:t>As of September 27, 2025, there was no outstanding liability related to the EtO settlements. As of December 31, 2024, the outstanding liability related to the EtO settlements was $174, which was reduced to $166 in the first quarter of 2025. The reduction in the liability was recorded in other operating expenses in the condensed consolidated statements of comprehensive income for the nine months ended September 27, 2025. In the second quarter of 2025, the Company made total cash payments of $166, of which $47 was released from escrow deposited in 2024.</w:t>
      </w:r>
    </w:p>
    <w:p>
      <w:pPr>
        <w:spacing w:after="0" w:line="161" w:lineRule="exact"/>
        <w:rPr>
          <w:sz w:val="20"/>
          <w:szCs w:val="20"/>
          <w:color w:val="auto"/>
        </w:rPr>
      </w:pPr>
    </w:p>
    <w:p>
      <w:pPr>
        <w:ind w:left="740" w:right="20"/>
        <w:spacing w:after="0" w:line="256" w:lineRule="auto"/>
        <w:rPr>
          <w:sz w:val="20"/>
          <w:szCs w:val="20"/>
          <w:color w:val="auto"/>
        </w:rPr>
      </w:pPr>
      <w:r>
        <w:rPr>
          <w:rFonts w:ascii="Times New Roman" w:cs="Times New Roman" w:eastAsia="Times New Roman" w:hAnsi="Times New Roman"/>
          <w:sz w:val="16"/>
          <w:szCs w:val="16"/>
          <w:color w:val="auto"/>
        </w:rPr>
        <w:t>As of September 27, 2025, there were no outstanding receivables with the primary insurance carriers for recovery of the EtO settlements. As of December 31, 2024, the Company carried receivables of $10 related to agreements with the primary insurance carriers for recovery of the EtO settlements. The Company is actively pursuing litigation with its excess insurance carriers related to their obligations to reimburse the Company for substantially all remaining settlement payments in connection with the lawsuits described above. The Company is confident in its position on this matter and will aggressively litigate to enforce its contractual rights. The Company has not recorded a receivable for expected recoveries of the remaining settlement payments from excess insurance carriers as of September 27, 2025.</w:t>
      </w:r>
    </w:p>
    <w:p>
      <w:pPr>
        <w:spacing w:after="0" w:line="164" w:lineRule="exact"/>
        <w:rPr>
          <w:sz w:val="20"/>
          <w:szCs w:val="20"/>
          <w:color w:val="auto"/>
        </w:rPr>
      </w:pPr>
    </w:p>
    <w:p>
      <w:pPr>
        <w:jc w:val="both"/>
        <w:ind w:left="740" w:right="220"/>
        <w:spacing w:after="0" w:line="265" w:lineRule="auto"/>
        <w:rPr>
          <w:sz w:val="20"/>
          <w:szCs w:val="20"/>
          <w:color w:val="auto"/>
        </w:rPr>
      </w:pPr>
      <w:r>
        <w:rPr>
          <w:rFonts w:ascii="Times New Roman" w:cs="Times New Roman" w:eastAsia="Times New Roman" w:hAnsi="Times New Roman"/>
          <w:sz w:val="16"/>
          <w:szCs w:val="16"/>
          <w:color w:val="auto"/>
        </w:rPr>
        <w:t>In March 2025, the Company reached a legal settlement related to an intellectual property dispute with a third party and recorded gains of $43 for the nine months ended September 27, 2025, in selling, general, and administrative expenses in the condensed consolidated statements of comprehensive income. No gains were recorded during the three months ended September 27, 2025.</w:t>
      </w:r>
    </w:p>
    <w:p>
      <w:pPr>
        <w:spacing w:after="0" w:line="157" w:lineRule="exact"/>
        <w:rPr>
          <w:sz w:val="20"/>
          <w:szCs w:val="20"/>
          <w:color w:val="auto"/>
        </w:rPr>
      </w:pPr>
    </w:p>
    <w:p>
      <w:pPr>
        <w:ind w:left="740" w:right="40"/>
        <w:spacing w:after="0" w:line="256" w:lineRule="auto"/>
        <w:rPr>
          <w:sz w:val="20"/>
          <w:szCs w:val="20"/>
          <w:color w:val="auto"/>
        </w:rPr>
      </w:pPr>
      <w:r>
        <w:rPr>
          <w:rFonts w:ascii="Times New Roman" w:cs="Times New Roman" w:eastAsia="Times New Roman" w:hAnsi="Times New Roman"/>
          <w:sz w:val="16"/>
          <w:szCs w:val="16"/>
          <w:color w:val="auto"/>
        </w:rPr>
        <w:t>Based on current knowledge and the advice of legal counsel, management believes that the reserve as of September 27, 2025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condensed consolidated financial statements.</w:t>
      </w:r>
    </w:p>
    <w:p>
      <w:pPr>
        <w:spacing w:after="0" w:line="2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i w:val="1"/>
          <w:iCs w:val="1"/>
          <w:color w:val="auto"/>
        </w:rPr>
        <w:t>Unconditional purchase obligations</w:t>
      </w:r>
    </w:p>
    <w:p>
      <w:pPr>
        <w:spacing w:after="0" w:line="10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Unconditional purchase obligations are defined as agreements to purchase goods or services that are enforceable and legally binding (non-cancelable,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for the three months ended September 27, 2025 and September 28, 2024 were $58 and $87, respectively, and were $151 and $207 for the nine months ended September 27, 2025 and September 28, 2024, respectively.</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F-72</w:t>
      </w:r>
    </w:p>
    <w:p>
      <w:pPr>
        <w:sectPr>
          <w:pgSz w:w="11900" w:h="16838" w:orient="portrait"/>
          <w:cols w:equalWidth="0" w:num="1">
            <w:col w:w="10500"/>
          </w:cols>
          <w:pgMar w:left="320" w:top="420" w:right="107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9 - COMMITMENTS AND CONTINGENCIES (Continued)</w:t>
      </w:r>
    </w:p>
    <w:p>
      <w:pPr>
        <w:spacing w:after="0" w:line="117" w:lineRule="exact"/>
        <w:rPr>
          <w:sz w:val="20"/>
          <w:szCs w:val="20"/>
          <w:color w:val="auto"/>
        </w:rPr>
      </w:pPr>
    </w:p>
    <w:p>
      <w:pPr>
        <w:ind w:left="740" w:right="60"/>
        <w:spacing w:after="0" w:line="281" w:lineRule="auto"/>
        <w:rPr>
          <w:sz w:val="20"/>
          <w:szCs w:val="20"/>
          <w:color w:val="auto"/>
        </w:rPr>
      </w:pPr>
      <w:r>
        <w:rPr>
          <w:rFonts w:ascii="Times New Roman" w:cs="Times New Roman" w:eastAsia="Times New Roman" w:hAnsi="Times New Roman"/>
          <w:sz w:val="16"/>
          <w:szCs w:val="16"/>
          <w:color w:val="auto"/>
        </w:rPr>
        <w:t>As of September 27, 2025, future payments related to commitments for the remainder of fiscal year 2025 and over the next four years and thereafter are as follows:</w:t>
      </w:r>
    </w:p>
    <w:p>
      <w:pPr>
        <w:spacing w:after="0" w:line="162" w:lineRule="exact"/>
        <w:rPr>
          <w:sz w:val="20"/>
          <w:szCs w:val="20"/>
          <w:color w:val="auto"/>
        </w:rPr>
      </w:pPr>
    </w:p>
    <w:tbl>
      <w:tblPr>
        <w:tblLayout w:type="fixed"/>
        <w:tblInd w:w="2300" w:type="dxa"/>
        <w:tblCellMar>
          <w:top w:w="0" w:type="dxa"/>
          <w:left w:w="0" w:type="dxa"/>
          <w:bottom w:w="0" w:type="dxa"/>
          <w:right w:w="0" w:type="dxa"/>
        </w:tblCellMar>
      </w:tblPr>
      <w:tr>
        <w:trPr>
          <w:trHeight w:val="154"/>
        </w:trPr>
        <w:tc>
          <w:tcPr>
            <w:tcW w:w="6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4"/>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8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188</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162</w:t>
            </w:r>
          </w:p>
        </w:tc>
      </w:tr>
      <w:tr>
        <w:trPr>
          <w:trHeight w:val="192"/>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8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w:t>
            </w:r>
          </w:p>
        </w:tc>
      </w:tr>
      <w:tr>
        <w:trPr>
          <w:trHeight w:val="192"/>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r>
      <w:tr>
        <w:trPr>
          <w:trHeight w:val="196"/>
        </w:trPr>
        <w:tc>
          <w:tcPr>
            <w:tcW w:w="610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40" w:type="dxa"/>
            <w:vAlign w:val="bottom"/>
          </w:tcPr>
          <w:p>
            <w:pPr>
              <w:spacing w:after="0"/>
              <w:rPr>
                <w:sz w:val="17"/>
                <w:szCs w:val="17"/>
                <w:color w:val="auto"/>
              </w:rPr>
            </w:pPr>
          </w:p>
        </w:tc>
      </w:tr>
      <w:tr>
        <w:trPr>
          <w:trHeight w:val="192"/>
        </w:trPr>
        <w:tc>
          <w:tcPr>
            <w:tcW w:w="6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3"/>
              </w:rPr>
              <w:t>   898</w:t>
            </w:r>
          </w:p>
        </w:tc>
      </w:tr>
      <w:tr>
        <w:trPr>
          <w:trHeight w:val="20"/>
        </w:trPr>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10 - FAIR VALUE MEASUREMENTS</w:t>
      </w:r>
    </w:p>
    <w:p>
      <w:pPr>
        <w:spacing w:after="0" w:line="105" w:lineRule="exact"/>
        <w:rPr>
          <w:sz w:val="20"/>
          <w:szCs w:val="20"/>
          <w:color w:val="auto"/>
        </w:rPr>
      </w:pPr>
    </w:p>
    <w:p>
      <w:pPr>
        <w:ind w:left="740" w:right="480"/>
        <w:spacing w:after="0" w:line="281" w:lineRule="auto"/>
        <w:rPr>
          <w:sz w:val="20"/>
          <w:szCs w:val="20"/>
          <w:color w:val="auto"/>
        </w:rPr>
      </w:pPr>
      <w:r>
        <w:rPr>
          <w:rFonts w:ascii="Times New Roman" w:cs="Times New Roman" w:eastAsia="Times New Roman" w:hAnsi="Times New Roman"/>
          <w:sz w:val="16"/>
          <w:szCs w:val="16"/>
          <w:color w:val="auto"/>
        </w:rPr>
        <w:t>The following descriptions of the valuation methods and assumptions used by the Company to estimate the fair values of investments apply to all investments held directly by the Company:</w:t>
      </w:r>
    </w:p>
    <w:p>
      <w:pPr>
        <w:spacing w:after="0" w:line="144" w:lineRule="exact"/>
        <w:rPr>
          <w:sz w:val="20"/>
          <w:szCs w:val="20"/>
          <w:color w:val="auto"/>
        </w:rPr>
      </w:pPr>
    </w:p>
    <w:p>
      <w:pPr>
        <w:ind w:left="740"/>
        <w:spacing w:after="0" w:line="260" w:lineRule="auto"/>
        <w:rPr>
          <w:sz w:val="20"/>
          <w:szCs w:val="20"/>
          <w:color w:val="auto"/>
        </w:rPr>
      </w:pPr>
      <w:r>
        <w:rPr>
          <w:rFonts w:ascii="Times New Roman" w:cs="Times New Roman" w:eastAsia="Times New Roman" w:hAnsi="Times New Roman"/>
          <w:sz w:val="16"/>
          <w:szCs w:val="16"/>
          <w:u w:val="single" w:color="auto"/>
          <w:color w:val="auto"/>
        </w:rPr>
        <w:t>Interest Rate Contracts</w:t>
      </w:r>
      <w:r>
        <w:rPr>
          <w:rFonts w:ascii="Times New Roman" w:cs="Times New Roman" w:eastAsia="Times New Roman" w:hAnsi="Times New Roman"/>
          <w:sz w:val="16"/>
          <w:szCs w:val="16"/>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61" w:lineRule="exact"/>
        <w:rPr>
          <w:sz w:val="20"/>
          <w:szCs w:val="20"/>
          <w:color w:val="auto"/>
        </w:rPr>
      </w:pPr>
    </w:p>
    <w:p>
      <w:pPr>
        <w:ind w:left="740" w:right="60"/>
        <w:spacing w:after="0" w:line="255" w:lineRule="auto"/>
        <w:rPr>
          <w:sz w:val="20"/>
          <w:szCs w:val="20"/>
          <w:color w:val="auto"/>
        </w:rPr>
      </w:pPr>
      <w:r>
        <w:rPr>
          <w:rFonts w:ascii="Times New Roman" w:cs="Times New Roman" w:eastAsia="Times New Roman" w:hAnsi="Times New Roman"/>
          <w:sz w:val="16"/>
          <w:szCs w:val="16"/>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September 27, 2025 and December 31, 2024 were classified as Level 2 of the fair value hierarchy.</w:t>
      </w:r>
    </w:p>
    <w:p>
      <w:pPr>
        <w:spacing w:after="0" w:line="16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See “Note 11 — Derivatives and Hedging Activities Risk Management” for additional information regarding interest rate contracts.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u w:val="single" w:color="auto"/>
          <w:color w:val="auto"/>
        </w:rPr>
        <w:t>Acquisition-Related Contingent Consideration:</w:t>
      </w:r>
    </w:p>
    <w:p>
      <w:pPr>
        <w:spacing w:after="0" w:line="103" w:lineRule="exact"/>
        <w:rPr>
          <w:sz w:val="20"/>
          <w:szCs w:val="20"/>
          <w:color w:val="auto"/>
        </w:rPr>
      </w:pPr>
    </w:p>
    <w:p>
      <w:pPr>
        <w:ind w:left="740" w:right="100"/>
        <w:spacing w:after="0" w:line="276" w:lineRule="auto"/>
        <w:rPr>
          <w:sz w:val="20"/>
          <w:szCs w:val="20"/>
          <w:color w:val="auto"/>
        </w:rPr>
      </w:pPr>
      <w:r>
        <w:rPr>
          <w:rFonts w:ascii="Times New Roman" w:cs="Times New Roman" w:eastAsia="Times New Roman" w:hAnsi="Times New Roman"/>
          <w:sz w:val="15"/>
          <w:szCs w:val="15"/>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for additional information regarding the acquisition.</w:t>
      </w:r>
    </w:p>
    <w:p>
      <w:pPr>
        <w:spacing w:after="0" w:line="9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F-73</w:t>
      </w:r>
    </w:p>
    <w:p>
      <w:pPr>
        <w:sectPr>
          <w:pgSz w:w="11900" w:h="16838" w:orient="portrait"/>
          <w:cols w:equalWidth="0" w:num="1">
            <w:col w:w="10500"/>
          </w:cols>
          <w:pgMar w:left="320" w:top="420" w:right="107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10 - FAIR VALUE MEASUREMENTS (Continued)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Assets and liabilities measured at fair value on a recurring basis are summarized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center"/>
              <w:ind w:right="147"/>
              <w:spacing w:after="0"/>
              <w:rPr>
                <w:sz w:val="20"/>
                <w:szCs w:val="20"/>
                <w:color w:val="auto"/>
              </w:rPr>
            </w:pPr>
            <w:r>
              <w:rPr>
                <w:rFonts w:ascii="Times New Roman" w:cs="Times New Roman" w:eastAsia="Times New Roman" w:hAnsi="Times New Roman"/>
                <w:sz w:val="13"/>
                <w:szCs w:val="13"/>
                <w:color w:val="auto"/>
                <w:w w:val="97"/>
              </w:rPr>
              <w:t>September 27, 2025</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5"/>
          </w:tcPr>
          <w:p>
            <w:pPr>
              <w:jc w:val="center"/>
              <w:ind w:left="426"/>
              <w:spacing w:after="0" w:line="124" w:lineRule="exact"/>
              <w:rPr>
                <w:sz w:val="20"/>
                <w:szCs w:val="20"/>
                <w:color w:val="auto"/>
              </w:rPr>
            </w:pPr>
            <w:r>
              <w:rPr>
                <w:rFonts w:ascii="Times New Roman" w:cs="Times New Roman" w:eastAsia="Times New Roman" w:hAnsi="Times New Roman"/>
                <w:sz w:val="13"/>
                <w:szCs w:val="13"/>
                <w:color w:val="auto"/>
                <w:w w:val="97"/>
              </w:rPr>
              <w:t>Basis of fair value measurement</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color w:val="auto"/>
              </w:rPr>
              <w:t>Quoted prices in</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680"/>
              <w:spacing w:after="0" w:line="104" w:lineRule="exact"/>
              <w:rPr>
                <w:sz w:val="20"/>
                <w:szCs w:val="20"/>
                <w:color w:val="auto"/>
              </w:rPr>
            </w:pPr>
            <w:r>
              <w:rPr>
                <w:rFonts w:ascii="Times New Roman" w:cs="Times New Roman" w:eastAsia="Times New Roman" w:hAnsi="Times New Roman"/>
                <w:sz w:val="12"/>
                <w:szCs w:val="12"/>
                <w:color w:val="auto"/>
              </w:rPr>
              <w:t>Other</w:t>
            </w:r>
          </w:p>
        </w:tc>
        <w:tc>
          <w:tcPr>
            <w:tcW w:w="142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3"/>
                <w:szCs w:val="13"/>
                <w:color w:val="auto"/>
                <w:w w:val="98"/>
              </w:rPr>
              <w:t>Significant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w w:val="95"/>
              </w:rPr>
              <w:t>active markets for</w:t>
            </w:r>
          </w:p>
        </w:tc>
        <w:tc>
          <w:tcPr>
            <w:tcW w:w="600" w:type="dxa"/>
            <w:vAlign w:val="bottom"/>
          </w:tcPr>
          <w:p>
            <w:pPr>
              <w:spacing w:after="0"/>
              <w:rPr>
                <w:sz w:val="11"/>
                <w:szCs w:val="11"/>
                <w:color w:val="auto"/>
              </w:rPr>
            </w:pPr>
          </w:p>
        </w:tc>
        <w:tc>
          <w:tcPr>
            <w:tcW w:w="1160" w:type="dxa"/>
            <w:vAlign w:val="bottom"/>
            <w:gridSpan w:val="3"/>
          </w:tcPr>
          <w:p>
            <w:pPr>
              <w:jc w:val="center"/>
              <w:ind w:right="580"/>
              <w:spacing w:after="0" w:line="132" w:lineRule="exact"/>
              <w:rPr>
                <w:sz w:val="20"/>
                <w:szCs w:val="20"/>
                <w:color w:val="auto"/>
              </w:rPr>
            </w:pPr>
            <w:r>
              <w:rPr>
                <w:rFonts w:ascii="Times New Roman" w:cs="Times New Roman" w:eastAsia="Times New Roman" w:hAnsi="Times New Roman"/>
                <w:sz w:val="13"/>
                <w:szCs w:val="13"/>
                <w:color w:val="auto"/>
                <w:w w:val="95"/>
              </w:rPr>
              <w:t>observable</w:t>
            </w:r>
          </w:p>
        </w:tc>
        <w:tc>
          <w:tcPr>
            <w:tcW w:w="1420" w:type="dxa"/>
            <w:vAlign w:val="bottom"/>
            <w:gridSpan w:val="3"/>
            <w:vMerge w:val="continue"/>
          </w:tcPr>
          <w:p>
            <w:pPr>
              <w:spacing w:after="0"/>
              <w:rPr>
                <w:sz w:val="11"/>
                <w:szCs w:val="11"/>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Carrying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spacing w:after="0" w:line="132" w:lineRule="exact"/>
              <w:rPr>
                <w:sz w:val="20"/>
                <w:szCs w:val="20"/>
                <w:color w:val="auto"/>
              </w:rPr>
            </w:pPr>
            <w:r>
              <w:rPr>
                <w:rFonts w:ascii="Times New Roman" w:cs="Times New Roman" w:eastAsia="Times New Roman" w:hAnsi="Times New Roman"/>
                <w:sz w:val="13"/>
                <w:szCs w:val="13"/>
                <w:color w:val="auto"/>
              </w:rPr>
              <w:t>identical assets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680"/>
              <w:spacing w:after="0" w:line="132" w:lineRule="exact"/>
              <w:rPr>
                <w:sz w:val="20"/>
                <w:szCs w:val="20"/>
                <w:color w:val="auto"/>
              </w:rPr>
            </w:pPr>
            <w:r>
              <w:rPr>
                <w:rFonts w:ascii="Times New Roman" w:cs="Times New Roman" w:eastAsia="Times New Roman" w:hAnsi="Times New Roman"/>
                <w:sz w:val="13"/>
                <w:szCs w:val="13"/>
                <w:color w:val="auto"/>
                <w:w w:val="94"/>
              </w:rPr>
              <w:t>inputs</w:t>
            </w:r>
          </w:p>
        </w:tc>
        <w:tc>
          <w:tcPr>
            <w:tcW w:w="1420" w:type="dxa"/>
            <w:vAlign w:val="bottom"/>
            <w:gridSpan w:val="3"/>
          </w:tcPr>
          <w:p>
            <w:pPr>
              <w:jc w:val="center"/>
              <w:ind w:right="620"/>
              <w:spacing w:after="0" w:line="132" w:lineRule="exact"/>
              <w:rPr>
                <w:sz w:val="20"/>
                <w:szCs w:val="20"/>
                <w:color w:val="auto"/>
              </w:rPr>
            </w:pPr>
            <w:r>
              <w:rPr>
                <w:rFonts w:ascii="Times New Roman" w:cs="Times New Roman" w:eastAsia="Times New Roman" w:hAnsi="Times New Roman"/>
                <w:sz w:val="13"/>
                <w:szCs w:val="13"/>
                <w:color w:val="auto"/>
                <w:w w:val="98"/>
              </w:rPr>
              <w:t>unobservable</w:t>
            </w: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3"/>
                <w:szCs w:val="13"/>
                <w:color w:val="auto"/>
              </w:rPr>
              <w:t>(Level 1)</w:t>
            </w:r>
          </w:p>
        </w:tc>
        <w:tc>
          <w:tcPr>
            <w:tcW w:w="600" w:type="dxa"/>
            <w:vAlign w:val="bottom"/>
          </w:tcPr>
          <w:p>
            <w:pPr>
              <w:spacing w:after="0"/>
              <w:rPr>
                <w:sz w:val="13"/>
                <w:szCs w:val="13"/>
                <w:color w:val="auto"/>
              </w:rPr>
            </w:pPr>
          </w:p>
        </w:tc>
        <w:tc>
          <w:tcPr>
            <w:tcW w:w="116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color w:val="auto"/>
                <w:w w:val="95"/>
              </w:rPr>
              <w:t>(Level 2)</w:t>
            </w:r>
          </w:p>
        </w:tc>
        <w:tc>
          <w:tcPr>
            <w:tcW w:w="142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color w:val="auto"/>
                <w:w w:val="96"/>
              </w:rPr>
              <w:t>inputs (Level 3)</w:t>
            </w:r>
          </w:p>
        </w:tc>
        <w:tc>
          <w:tcPr>
            <w:tcW w:w="8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2"/>
              </w:rPr>
              <w:t>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Financial assets</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contracts (hedge)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lef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56</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6"/>
        </w:trPr>
        <w:tc>
          <w:tcPr>
            <w:tcW w:w="43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w w:val="72"/>
              </w:rPr>
              <w:t>56</w:t>
            </w:r>
          </w:p>
        </w:tc>
        <w:tc>
          <w:tcPr>
            <w:tcW w:w="62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4"/>
              </w:rPr>
              <w:t>— </w:t>
            </w:r>
          </w:p>
        </w:tc>
        <w:tc>
          <w:tcPr>
            <w:tcW w:w="6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bottom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b w:val="1"/>
                <w:bCs w:val="1"/>
                <w:color w:val="auto"/>
                <w:w w:val="96"/>
              </w:rPr>
              <w:t>Financial liabilities</w:t>
            </w:r>
          </w:p>
        </w:tc>
        <w:tc>
          <w:tcPr>
            <w:tcW w:w="30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xml:space="preserve">— </w:t>
            </w: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left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 xml:space="preserve">— </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167"/>
              <w:spacing w:after="0"/>
              <w:rPr>
                <w:sz w:val="20"/>
                <w:szCs w:val="20"/>
                <w:color w:val="auto"/>
              </w:rPr>
            </w:pPr>
            <w:r>
              <w:rPr>
                <w:rFonts w:ascii="Times New Roman" w:cs="Times New Roman" w:eastAsia="Times New Roman" w:hAnsi="Times New Roman"/>
                <w:sz w:val="13"/>
                <w:szCs w:val="13"/>
                <w:color w:val="auto"/>
                <w:w w:val="97"/>
              </w:rPr>
              <w:t>December 31, 2024</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5"/>
          </w:tcPr>
          <w:p>
            <w:pPr>
              <w:jc w:val="center"/>
              <w:ind w:left="386"/>
              <w:spacing w:after="0" w:line="124" w:lineRule="exact"/>
              <w:rPr>
                <w:sz w:val="20"/>
                <w:szCs w:val="20"/>
                <w:color w:val="auto"/>
              </w:rPr>
            </w:pPr>
            <w:r>
              <w:rPr>
                <w:rFonts w:ascii="Times New Roman" w:cs="Times New Roman" w:eastAsia="Times New Roman" w:hAnsi="Times New Roman"/>
                <w:sz w:val="13"/>
                <w:szCs w:val="13"/>
                <w:color w:val="auto"/>
                <w:w w:val="97"/>
              </w:rPr>
              <w:t>Basis of fair value measurement</w:t>
            </w:r>
          </w:p>
        </w:tc>
        <w:tc>
          <w:tcPr>
            <w:tcW w:w="3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tcPr>
          <w:p>
            <w:pPr>
              <w:jc w:val="right"/>
              <w:spacing w:after="0" w:line="104" w:lineRule="exact"/>
              <w:rPr>
                <w:sz w:val="20"/>
                <w:szCs w:val="20"/>
                <w:color w:val="auto"/>
              </w:rPr>
            </w:pPr>
            <w:r>
              <w:rPr>
                <w:rFonts w:ascii="Times New Roman" w:cs="Times New Roman" w:eastAsia="Times New Roman" w:hAnsi="Times New Roman"/>
                <w:sz w:val="12"/>
                <w:szCs w:val="12"/>
                <w:color w:val="auto"/>
              </w:rPr>
              <w:t>Quoted prices in</w:t>
            </w: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center"/>
              <w:ind w:right="720"/>
              <w:spacing w:after="0" w:line="104" w:lineRule="exact"/>
              <w:rPr>
                <w:sz w:val="20"/>
                <w:szCs w:val="20"/>
                <w:color w:val="auto"/>
              </w:rPr>
            </w:pPr>
            <w:r>
              <w:rPr>
                <w:rFonts w:ascii="Times New Roman" w:cs="Times New Roman" w:eastAsia="Times New Roman" w:hAnsi="Times New Roman"/>
                <w:sz w:val="12"/>
                <w:szCs w:val="12"/>
                <w:color w:val="auto"/>
              </w:rPr>
              <w:t>Other</w:t>
            </w:r>
          </w:p>
        </w:tc>
        <w:tc>
          <w:tcPr>
            <w:tcW w:w="1420" w:type="dxa"/>
            <w:vAlign w:val="bottom"/>
            <w:gridSpan w:val="3"/>
            <w:vMerge w:val="restart"/>
          </w:tcPr>
          <w:p>
            <w:pPr>
              <w:jc w:val="center"/>
              <w:ind w:right="660"/>
              <w:spacing w:after="0"/>
              <w:rPr>
                <w:sz w:val="20"/>
                <w:szCs w:val="20"/>
                <w:color w:val="auto"/>
              </w:rPr>
            </w:pPr>
            <w:r>
              <w:rPr>
                <w:rFonts w:ascii="Times New Roman" w:cs="Times New Roman" w:eastAsia="Times New Roman" w:hAnsi="Times New Roman"/>
                <w:sz w:val="13"/>
                <w:szCs w:val="13"/>
                <w:color w:val="auto"/>
                <w:w w:val="98"/>
              </w:rPr>
              <w:t>Significant</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92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color w:val="auto"/>
                <w:w w:val="93"/>
              </w:rPr>
              <w:t>active markets for</w:t>
            </w:r>
          </w:p>
        </w:tc>
        <w:tc>
          <w:tcPr>
            <w:tcW w:w="600" w:type="dxa"/>
            <w:vAlign w:val="bottom"/>
          </w:tcPr>
          <w:p>
            <w:pPr>
              <w:spacing w:after="0"/>
              <w:rPr>
                <w:sz w:val="11"/>
                <w:szCs w:val="11"/>
                <w:color w:val="auto"/>
              </w:rPr>
            </w:pPr>
          </w:p>
        </w:tc>
        <w:tc>
          <w:tcPr>
            <w:tcW w:w="116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color w:val="auto"/>
              </w:rPr>
              <w:t>observable</w:t>
            </w:r>
          </w:p>
        </w:tc>
        <w:tc>
          <w:tcPr>
            <w:tcW w:w="1420" w:type="dxa"/>
            <w:vAlign w:val="bottom"/>
            <w:gridSpan w:val="3"/>
            <w:vMerge w:val="continue"/>
          </w:tcPr>
          <w:p>
            <w:pPr>
              <w:spacing w:after="0"/>
              <w:rPr>
                <w:sz w:val="11"/>
                <w:szCs w:val="11"/>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Carrying</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tcPr>
          <w:p>
            <w:pPr>
              <w:jc w:val="right"/>
              <w:ind w:right="3"/>
              <w:spacing w:after="0" w:line="132" w:lineRule="exact"/>
              <w:rPr>
                <w:sz w:val="20"/>
                <w:szCs w:val="20"/>
                <w:color w:val="auto"/>
              </w:rPr>
            </w:pPr>
            <w:r>
              <w:rPr>
                <w:rFonts w:ascii="Times New Roman" w:cs="Times New Roman" w:eastAsia="Times New Roman" w:hAnsi="Times New Roman"/>
                <w:sz w:val="13"/>
                <w:szCs w:val="13"/>
                <w:color w:val="auto"/>
                <w:w w:val="99"/>
              </w:rPr>
              <w:t>identical assets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720"/>
              <w:spacing w:after="0" w:line="132" w:lineRule="exact"/>
              <w:rPr>
                <w:sz w:val="20"/>
                <w:szCs w:val="20"/>
                <w:color w:val="auto"/>
              </w:rPr>
            </w:pPr>
            <w:r>
              <w:rPr>
                <w:rFonts w:ascii="Times New Roman" w:cs="Times New Roman" w:eastAsia="Times New Roman" w:hAnsi="Times New Roman"/>
                <w:sz w:val="13"/>
                <w:szCs w:val="13"/>
                <w:color w:val="auto"/>
                <w:w w:val="94"/>
              </w:rPr>
              <w:t>inputs</w:t>
            </w:r>
          </w:p>
        </w:tc>
        <w:tc>
          <w:tcPr>
            <w:tcW w:w="1420" w:type="dxa"/>
            <w:vAlign w:val="bottom"/>
            <w:gridSpan w:val="3"/>
          </w:tcPr>
          <w:p>
            <w:pPr>
              <w:jc w:val="center"/>
              <w:ind w:right="660"/>
              <w:spacing w:after="0" w:line="132" w:lineRule="exact"/>
              <w:rPr>
                <w:sz w:val="20"/>
                <w:szCs w:val="20"/>
                <w:color w:val="auto"/>
              </w:rPr>
            </w:pPr>
            <w:r>
              <w:rPr>
                <w:rFonts w:ascii="Times New Roman" w:cs="Times New Roman" w:eastAsia="Times New Roman" w:hAnsi="Times New Roman"/>
                <w:sz w:val="13"/>
                <w:szCs w:val="13"/>
                <w:color w:val="auto"/>
                <w:w w:val="98"/>
              </w:rPr>
              <w:t>unobservable</w:t>
            </w: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43"/>
              <w:spacing w:after="0"/>
              <w:rPr>
                <w:sz w:val="20"/>
                <w:szCs w:val="20"/>
                <w:color w:val="auto"/>
              </w:rPr>
            </w:pPr>
            <w:r>
              <w:rPr>
                <w:rFonts w:ascii="Times New Roman" w:cs="Times New Roman" w:eastAsia="Times New Roman" w:hAnsi="Times New Roman"/>
                <w:sz w:val="13"/>
                <w:szCs w:val="13"/>
                <w:color w:val="auto"/>
              </w:rPr>
              <w:t>(Level 1)</w:t>
            </w:r>
          </w:p>
        </w:tc>
        <w:tc>
          <w:tcPr>
            <w:tcW w:w="600" w:type="dxa"/>
            <w:vAlign w:val="bottom"/>
          </w:tcPr>
          <w:p>
            <w:pPr>
              <w:spacing w:after="0"/>
              <w:rPr>
                <w:sz w:val="13"/>
                <w:szCs w:val="13"/>
                <w:color w:val="auto"/>
              </w:rPr>
            </w:pPr>
          </w:p>
        </w:tc>
        <w:tc>
          <w:tcPr>
            <w:tcW w:w="116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color w:val="auto"/>
                <w:w w:val="95"/>
              </w:rPr>
              <w:t>(Level 2)</w:t>
            </w:r>
          </w:p>
        </w:tc>
        <w:tc>
          <w:tcPr>
            <w:tcW w:w="1420" w:type="dxa"/>
            <w:vAlign w:val="bottom"/>
            <w:gridSpan w:val="3"/>
          </w:tcPr>
          <w:p>
            <w:pPr>
              <w:jc w:val="center"/>
              <w:ind w:right="620"/>
              <w:spacing w:after="0"/>
              <w:rPr>
                <w:sz w:val="20"/>
                <w:szCs w:val="20"/>
                <w:color w:val="auto"/>
              </w:rPr>
            </w:pPr>
            <w:r>
              <w:rPr>
                <w:rFonts w:ascii="Times New Roman" w:cs="Times New Roman" w:eastAsia="Times New Roman" w:hAnsi="Times New Roman"/>
                <w:sz w:val="13"/>
                <w:szCs w:val="13"/>
                <w:color w:val="auto"/>
                <w:w w:val="96"/>
              </w:rPr>
              <w:t>inputs (Level 3)</w:t>
            </w:r>
          </w:p>
        </w:tc>
        <w:tc>
          <w:tcPr>
            <w:tcW w:w="80" w:type="dxa"/>
            <w:vAlign w:val="bottom"/>
          </w:tcPr>
          <w:p>
            <w:pPr>
              <w:spacing w:after="0"/>
              <w:rPr>
                <w:sz w:val="13"/>
                <w:szCs w:val="1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2"/>
              </w:rPr>
              <w:t>value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300" w:type="dxa"/>
            <w:vAlign w:val="bottom"/>
            <w:tcBorders>
              <w:top w:val="single" w:sz="8" w:color="CCEEFF"/>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Financial assets</w:t>
            </w: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40" w:type="dxa"/>
            <w:vAlign w:val="bottom"/>
            <w:shd w:val="clear" w:color="auto" w:fill="000000"/>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0" w:type="dxa"/>
            <w:vAlign w:val="bottom"/>
            <w:tcBorders>
              <w:left w:val="single" w:sz="8" w:color="CCEEFF"/>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20" w:type="dxa"/>
            <w:vAlign w:val="bottom"/>
            <w:tcBorders>
              <w:left w:val="single" w:sz="8" w:color="CCEEFF"/>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Derivative 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rate contracts (hedge)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Borders>
              <w:left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3"/>
              </w:rPr>
              <w:t>127</w:t>
            </w:r>
          </w:p>
        </w:tc>
        <w:tc>
          <w:tcPr>
            <w:tcW w:w="620" w:type="dxa"/>
            <w:vAlign w:val="bottom"/>
            <w:tcBorders>
              <w:left w:val="single" w:sz="8" w:color="CCEEFF"/>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196"/>
        </w:trPr>
        <w:tc>
          <w:tcPr>
            <w:tcW w:w="43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assets at fair value</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83"/>
              </w:rPr>
              <w:t>127</w:t>
            </w:r>
          </w:p>
        </w:tc>
        <w:tc>
          <w:tcPr>
            <w:tcW w:w="620" w:type="dxa"/>
            <w:vAlign w:val="bottom"/>
          </w:tcPr>
          <w:p>
            <w:pPr>
              <w:spacing w:after="0"/>
              <w:rPr>
                <w:sz w:val="17"/>
                <w:szCs w:val="17"/>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w w:val="83"/>
              </w:rPr>
              <w:t>— </w:t>
            </w:r>
          </w:p>
        </w:tc>
        <w:tc>
          <w:tcPr>
            <w:tcW w:w="6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1280" w:type="dxa"/>
            <w:vAlign w:val="bottom"/>
            <w:tcBorders>
              <w:bottom w:val="single" w:sz="8" w:color="auto"/>
            </w:tcBorders>
            <w:gridSpan w:val="2"/>
            <w:shd w:val="clear" w:color="auto" w:fill="CCEEFF"/>
          </w:tcPr>
          <w:p>
            <w:pPr>
              <w:spacing w:after="0" w:line="144" w:lineRule="exact"/>
              <w:rPr>
                <w:sz w:val="20"/>
                <w:szCs w:val="20"/>
                <w:color w:val="auto"/>
              </w:rPr>
            </w:pPr>
            <w:r>
              <w:rPr>
                <w:rFonts w:ascii="Times New Roman" w:cs="Times New Roman" w:eastAsia="Times New Roman" w:hAnsi="Times New Roman"/>
                <w:sz w:val="16"/>
                <w:szCs w:val="16"/>
                <w:b w:val="1"/>
                <w:bCs w:val="1"/>
                <w:color w:val="auto"/>
                <w:w w:val="96"/>
              </w:rPr>
              <w:t>Financial liabilities</w:t>
            </w:r>
          </w:p>
        </w:tc>
        <w:tc>
          <w:tcPr>
            <w:tcW w:w="30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left w:val="single" w:sz="8" w:color="CCEEFF"/>
              <w:bottom w:val="single" w:sz="8" w:color="CCEEFF"/>
              <w:right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left w:val="single" w:sz="8" w:color="CCEEFF"/>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Contingent consideration liability</w:t>
            </w:r>
          </w:p>
        </w:tc>
        <w:tc>
          <w:tcPr>
            <w:tcW w:w="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 </w:t>
            </w:r>
          </w:p>
        </w:tc>
        <w:tc>
          <w:tcPr>
            <w:tcW w:w="620" w:type="dxa"/>
            <w:vAlign w:val="bottom"/>
          </w:tcPr>
          <w:p>
            <w:pPr>
              <w:spacing w:after="0"/>
              <w:rPr>
                <w:sz w:val="16"/>
                <w:szCs w:val="16"/>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at fair value</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 </w:t>
            </w:r>
          </w:p>
        </w:tc>
        <w:tc>
          <w:tcPr>
            <w:tcW w:w="620" w:type="dxa"/>
            <w:vAlign w:val="bottom"/>
            <w:tcBorders>
              <w:left w:val="single" w:sz="8" w:color="CCEEFF"/>
              <w:right w:val="single" w:sz="8" w:color="CCEEFF"/>
            </w:tcBorders>
            <w:shd w:val="clear" w:color="auto" w:fill="CCEEFF"/>
          </w:tcPr>
          <w:p>
            <w:pPr>
              <w:spacing w:after="0"/>
              <w:rPr>
                <w:sz w:val="16"/>
                <w:szCs w:val="16"/>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20"/>
        <w:spacing w:after="0" w:line="260" w:lineRule="auto"/>
        <w:rPr>
          <w:sz w:val="20"/>
          <w:szCs w:val="20"/>
          <w:color w:val="auto"/>
        </w:rPr>
      </w:pPr>
      <w:r>
        <w:rPr>
          <w:rFonts w:ascii="Times New Roman" w:cs="Times New Roman" w:eastAsia="Times New Roman" w:hAnsi="Times New Roman"/>
          <w:sz w:val="16"/>
          <w:szCs w:val="16"/>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condensed consolidated balance sheets and are immaterial.</w:t>
      </w:r>
    </w:p>
    <w:p>
      <w:pPr>
        <w:spacing w:after="0" w:line="255" w:lineRule="exact"/>
        <w:rPr>
          <w:sz w:val="20"/>
          <w:szCs w:val="20"/>
          <w:color w:val="auto"/>
        </w:rPr>
      </w:pPr>
    </w:p>
    <w:p>
      <w:pPr>
        <w:ind w:left="740" w:right="4060"/>
        <w:spacing w:after="0" w:line="376" w:lineRule="auto"/>
        <w:rPr>
          <w:sz w:val="20"/>
          <w:szCs w:val="20"/>
          <w:color w:val="auto"/>
        </w:rPr>
      </w:pPr>
      <w:r>
        <w:rPr>
          <w:rFonts w:ascii="Times New Roman" w:cs="Times New Roman" w:eastAsia="Times New Roman" w:hAnsi="Times New Roman"/>
          <w:sz w:val="16"/>
          <w:szCs w:val="16"/>
          <w:b w:val="1"/>
          <w:bCs w:val="1"/>
          <w:color w:val="auto"/>
        </w:rPr>
        <w:t>NOTE 11 - DERIVATIVES AND HEDGING ACTIVITIES RISK MANAGEMENT Risk Management Objective of Using Derivatives</w:t>
      </w:r>
    </w:p>
    <w:p>
      <w:pPr>
        <w:ind w:left="740"/>
        <w:spacing w:after="0" w:line="257" w:lineRule="auto"/>
        <w:rPr>
          <w:sz w:val="20"/>
          <w:szCs w:val="20"/>
          <w:color w:val="auto"/>
        </w:rPr>
      </w:pPr>
      <w:r>
        <w:rPr>
          <w:rFonts w:ascii="Times New Roman" w:cs="Times New Roman" w:eastAsia="Times New Roman" w:hAnsi="Times New Roman"/>
          <w:sz w:val="16"/>
          <w:szCs w:val="16"/>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w:t>
      </w:r>
    </w:p>
    <w:p>
      <w:pPr>
        <w:spacing w:after="0" w:line="10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F-74</w:t>
      </w:r>
    </w:p>
    <w:p>
      <w:pPr>
        <w:sectPr>
          <w:pgSz w:w="11900" w:h="16838" w:orient="portrait"/>
          <w:cols w:equalWidth="0" w:num="1">
            <w:col w:w="10500"/>
          </w:cols>
          <w:pgMar w:left="320" w:top="420" w:right="107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11 - DERIVATIVES AND HEDGING ACTIVITIES RISK MANAGEMENT (Continued)</w:t>
      </w:r>
    </w:p>
    <w:p>
      <w:pPr>
        <w:spacing w:after="0" w:line="117" w:lineRule="exact"/>
        <w:rPr>
          <w:sz w:val="20"/>
          <w:szCs w:val="20"/>
          <w:color w:val="auto"/>
        </w:rPr>
      </w:pPr>
    </w:p>
    <w:p>
      <w:pPr>
        <w:jc w:val="both"/>
        <w:ind w:left="740" w:right="240"/>
        <w:spacing w:after="0" w:line="265" w:lineRule="auto"/>
        <w:rPr>
          <w:sz w:val="20"/>
          <w:szCs w:val="20"/>
          <w:color w:val="auto"/>
        </w:rPr>
      </w:pPr>
      <w:r>
        <w:rPr>
          <w:rFonts w:ascii="Times New Roman" w:cs="Times New Roman" w:eastAsia="Times New Roman" w:hAnsi="Times New Roman"/>
          <w:sz w:val="16"/>
          <w:szCs w:val="16"/>
          <w:color w:val="auto"/>
        </w:rPr>
        <w:t>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spacing w:after="0" w:line="2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Cash Flow Hedges of Interest Rate Risk</w:t>
      </w:r>
    </w:p>
    <w:p>
      <w:pPr>
        <w:spacing w:after="0" w:line="105" w:lineRule="exact"/>
        <w:rPr>
          <w:sz w:val="20"/>
          <w:szCs w:val="20"/>
          <w:color w:val="auto"/>
        </w:rPr>
      </w:pPr>
    </w:p>
    <w:p>
      <w:pPr>
        <w:ind w:left="740" w:right="80"/>
        <w:spacing w:after="0" w:line="255" w:lineRule="auto"/>
        <w:rPr>
          <w:sz w:val="20"/>
          <w:szCs w:val="20"/>
          <w:color w:val="auto"/>
        </w:rPr>
      </w:pPr>
      <w:r>
        <w:rPr>
          <w:rFonts w:ascii="Times New Roman" w:cs="Times New Roman" w:eastAsia="Times New Roman" w:hAnsi="Times New Roman"/>
          <w:sz w:val="16"/>
          <w:szCs w:val="16"/>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2025 and 2024, such derivatives were used to hedge the variable cash flows associated with existing variable-rate debt.</w:t>
      </w:r>
    </w:p>
    <w:p>
      <w:pPr>
        <w:spacing w:after="0" w:line="164" w:lineRule="exact"/>
        <w:rPr>
          <w:sz w:val="20"/>
          <w:szCs w:val="20"/>
          <w:color w:val="auto"/>
        </w:rPr>
      </w:pPr>
    </w:p>
    <w:p>
      <w:pPr>
        <w:ind w:left="740" w:right="200"/>
        <w:spacing w:after="0" w:line="265" w:lineRule="auto"/>
        <w:rPr>
          <w:sz w:val="20"/>
          <w:szCs w:val="20"/>
          <w:color w:val="auto"/>
        </w:rPr>
      </w:pPr>
      <w:r>
        <w:rPr>
          <w:rFonts w:ascii="Times New Roman" w:cs="Times New Roman" w:eastAsia="Times New Roman" w:hAnsi="Times New Roman"/>
          <w:sz w:val="16"/>
          <w:szCs w:val="16"/>
          <w:color w:val="auto"/>
        </w:rPr>
        <w:t>Amounts reported in accumulated other comprehensive income (loss) related to derivatives will be reclassified to interest expense, net, as interest payments are made on the Company’s variable-rate debt. The Company estimates that $46 will be reclassified as a decrease to interest expense in one year after September 27, 2025.</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notional amounts of outstanding interest rate derivatives are summarized as follows:</w:t>
      </w:r>
    </w:p>
    <w:p>
      <w:pPr>
        <w:spacing w:after="0" w:line="218"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460" w:type="dxa"/>
            <w:vAlign w:val="bottom"/>
            <w:vMerge w:val="restart"/>
          </w:tcPr>
          <w:p>
            <w:pPr>
              <w:jc w:val="right"/>
              <w:ind w:right="246"/>
              <w:spacing w:after="0"/>
              <w:rPr>
                <w:sz w:val="20"/>
                <w:szCs w:val="20"/>
                <w:color w:val="auto"/>
              </w:rPr>
            </w:pPr>
            <w:r>
              <w:rPr>
                <w:rFonts w:ascii="Times New Roman" w:cs="Times New Roman" w:eastAsia="Times New Roman" w:hAnsi="Times New Roman"/>
                <w:sz w:val="13"/>
                <w:szCs w:val="13"/>
                <w:color w:val="auto"/>
              </w:rPr>
              <w:t>Currency</w:t>
            </w:r>
          </w:p>
        </w:tc>
        <w:tc>
          <w:tcPr>
            <w:tcW w:w="3040" w:type="dxa"/>
            <w:vAlign w:val="bottom"/>
            <w:gridSpan w:val="3"/>
          </w:tcPr>
          <w:p>
            <w:pPr>
              <w:jc w:val="right"/>
              <w:ind w:right="1140"/>
              <w:spacing w:after="0"/>
              <w:rPr>
                <w:sz w:val="20"/>
                <w:szCs w:val="20"/>
                <w:color w:val="auto"/>
              </w:rPr>
            </w:pPr>
            <w:r>
              <w:rPr>
                <w:rFonts w:ascii="Times New Roman" w:cs="Times New Roman" w:eastAsia="Times New Roman" w:hAnsi="Times New Roman"/>
                <w:sz w:val="13"/>
                <w:szCs w:val="13"/>
                <w:b w:val="1"/>
                <w:bCs w:val="1"/>
                <w:color w:val="auto"/>
              </w:rPr>
              <w:t>September 27, 2025</w:t>
            </w:r>
          </w:p>
        </w:tc>
        <w:tc>
          <w:tcPr>
            <w:tcW w:w="2760" w:type="dxa"/>
            <w:vAlign w:val="bottom"/>
            <w:gridSpan w:val="3"/>
          </w:tcPr>
          <w:p>
            <w:pPr>
              <w:jc w:val="right"/>
              <w:ind w:right="8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24"/>
        </w:trPr>
        <w:tc>
          <w:tcPr>
            <w:tcW w:w="250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06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3"/>
                <w:szCs w:val="13"/>
                <w:color w:val="auto"/>
                <w:w w:val="95"/>
              </w:rPr>
              <w:t>Notional amount</w:t>
            </w:r>
          </w:p>
        </w:tc>
        <w:tc>
          <w:tcPr>
            <w:tcW w:w="1660" w:type="dxa"/>
            <w:vAlign w:val="bottom"/>
            <w:tcBorders>
              <w:top w:val="single" w:sz="8" w:color="auto"/>
            </w:tcBorders>
          </w:tcPr>
          <w:p>
            <w:pPr>
              <w:jc w:val="right"/>
              <w:ind w:right="346"/>
              <w:spacing w:after="0" w:line="124" w:lineRule="exact"/>
              <w:rPr>
                <w:sz w:val="20"/>
                <w:szCs w:val="20"/>
                <w:color w:val="auto"/>
              </w:rPr>
            </w:pPr>
            <w:r>
              <w:rPr>
                <w:rFonts w:ascii="Times New Roman" w:cs="Times New Roman" w:eastAsia="Times New Roman" w:hAnsi="Times New Roman"/>
                <w:sz w:val="13"/>
                <w:szCs w:val="13"/>
                <w:color w:val="auto"/>
              </w:rPr>
              <w:t>Maturity date</w:t>
            </w:r>
          </w:p>
        </w:tc>
        <w:tc>
          <w:tcPr>
            <w:tcW w:w="320" w:type="dxa"/>
            <w:vAlign w:val="bottom"/>
          </w:tcPr>
          <w:p>
            <w:pPr>
              <w:spacing w:after="0"/>
              <w:rPr>
                <w:sz w:val="10"/>
                <w:szCs w:val="10"/>
                <w:color w:val="auto"/>
              </w:rPr>
            </w:pPr>
          </w:p>
        </w:tc>
        <w:tc>
          <w:tcPr>
            <w:tcW w:w="106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3"/>
                <w:szCs w:val="13"/>
                <w:color w:val="auto"/>
                <w:w w:val="95"/>
              </w:rPr>
              <w:t>Notional amount</w:t>
            </w:r>
          </w:p>
        </w:tc>
        <w:tc>
          <w:tcPr>
            <w:tcW w:w="1660" w:type="dxa"/>
            <w:vAlign w:val="bottom"/>
            <w:tcBorders>
              <w:top w:val="single" w:sz="8" w:color="auto"/>
            </w:tcBorders>
          </w:tcPr>
          <w:p>
            <w:pPr>
              <w:jc w:val="right"/>
              <w:ind w:right="346"/>
              <w:spacing w:after="0" w:line="124" w:lineRule="exact"/>
              <w:rPr>
                <w:sz w:val="20"/>
                <w:szCs w:val="20"/>
                <w:color w:val="auto"/>
              </w:rPr>
            </w:pPr>
            <w:r>
              <w:rPr>
                <w:rFonts w:ascii="Times New Roman" w:cs="Times New Roman" w:eastAsia="Times New Roman" w:hAnsi="Times New Roman"/>
                <w:sz w:val="13"/>
                <w:szCs w:val="13"/>
                <w:color w:val="auto"/>
              </w:rPr>
              <w:t>Maturity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Designated cash flow hedges</w:t>
            </w:r>
          </w:p>
        </w:tc>
        <w:tc>
          <w:tcPr>
            <w:tcW w:w="1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0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460" w:type="dxa"/>
            <w:vAlign w:val="bottom"/>
          </w:tcPr>
          <w:p>
            <w:pPr>
              <w:jc w:val="right"/>
              <w:ind w:right="246"/>
              <w:spacing w:after="0"/>
              <w:rPr>
                <w:sz w:val="20"/>
                <w:szCs w:val="20"/>
                <w:color w:val="auto"/>
              </w:rPr>
            </w:pPr>
            <w:r>
              <w:rPr>
                <w:rFonts w:ascii="Times New Roman" w:cs="Times New Roman" w:eastAsia="Times New Roman" w:hAnsi="Times New Roman"/>
                <w:sz w:val="16"/>
                <w:szCs w:val="16"/>
                <w:color w:val="auto"/>
              </w:rPr>
              <w:t>USD</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2,950</w:t>
            </w: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Nov’2025 to Dec’2026</w:t>
            </w:r>
          </w:p>
        </w:tc>
        <w:tc>
          <w:tcPr>
            <w:tcW w:w="1060" w:type="dxa"/>
            <w:vAlign w:val="bottom"/>
          </w:tcPr>
          <w:p>
            <w:pPr>
              <w:jc w:val="right"/>
              <w:ind w:right="128"/>
              <w:spacing w:after="0"/>
              <w:rPr>
                <w:sz w:val="20"/>
                <w:szCs w:val="20"/>
                <w:color w:val="auto"/>
              </w:rPr>
            </w:pPr>
            <w:r>
              <w:rPr>
                <w:rFonts w:ascii="Times New Roman" w:cs="Times New Roman" w:eastAsia="Times New Roman" w:hAnsi="Times New Roman"/>
                <w:sz w:val="16"/>
                <w:szCs w:val="16"/>
                <w:color w:val="auto"/>
              </w:rPr>
              <w:t>2,950</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Nov’2025 to Dec’2026</w:t>
            </w:r>
          </w:p>
        </w:tc>
        <w:tc>
          <w:tcPr>
            <w:tcW w:w="0" w:type="dxa"/>
            <w:vAlign w:val="bottom"/>
          </w:tcPr>
          <w:p>
            <w:pPr>
              <w:spacing w:after="0"/>
              <w:rPr>
                <w:sz w:val="1"/>
                <w:szCs w:val="1"/>
                <w:color w:val="auto"/>
              </w:rPr>
            </w:pPr>
          </w:p>
        </w:tc>
      </w:tr>
      <w:tr>
        <w:trPr>
          <w:trHeight w:val="192"/>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4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6"/>
                <w:szCs w:val="16"/>
                <w:color w:val="auto"/>
              </w:rPr>
              <w:t>USD</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2,500</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Dec’2025 to Dec’2026</w:t>
            </w:r>
          </w:p>
        </w:tc>
        <w:tc>
          <w:tcPr>
            <w:tcW w:w="10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6"/>
                <w:szCs w:val="16"/>
                <w:color w:val="auto"/>
              </w:rPr>
              <w:t>2,500</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Dec’2025 to Dec’2026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right="80"/>
        <w:spacing w:after="0" w:line="291" w:lineRule="auto"/>
        <w:rPr>
          <w:sz w:val="20"/>
          <w:szCs w:val="20"/>
          <w:color w:val="auto"/>
        </w:rPr>
      </w:pPr>
      <w:r>
        <w:rPr>
          <w:rFonts w:ascii="Times New Roman" w:cs="Times New Roman" w:eastAsia="Times New Roman" w:hAnsi="Times New Roman"/>
          <w:sz w:val="15"/>
          <w:szCs w:val="15"/>
          <w:color w:val="auto"/>
        </w:rPr>
        <w:t>The Company entered into new interest rate swaps with notional value of $1,450 in 2023. These new interest risk contracts took effect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39" w:lineRule="exact"/>
        <w:rPr>
          <w:sz w:val="20"/>
          <w:szCs w:val="20"/>
          <w:color w:val="auto"/>
        </w:rPr>
      </w:pPr>
    </w:p>
    <w:p>
      <w:pPr>
        <w:ind w:left="740" w:right="320"/>
        <w:spacing w:after="0" w:line="281" w:lineRule="auto"/>
        <w:rPr>
          <w:sz w:val="20"/>
          <w:szCs w:val="20"/>
          <w:color w:val="auto"/>
        </w:rPr>
      </w:pPr>
      <w:r>
        <w:rPr>
          <w:rFonts w:ascii="Times New Roman" w:cs="Times New Roman" w:eastAsia="Times New Roman" w:hAnsi="Times New Roman"/>
          <w:sz w:val="16"/>
          <w:szCs w:val="16"/>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F-75</w:t>
      </w:r>
    </w:p>
    <w:p>
      <w:pPr>
        <w:sectPr>
          <w:pgSz w:w="11900" w:h="16838" w:orient="portrait"/>
          <w:cols w:equalWidth="0" w:num="1">
            <w:col w:w="10500"/>
          </w:cols>
          <w:pgMar w:left="320" w:top="420" w:right="107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11 - DERIVATIVES AND HEDGING ACTIVITIES RISK MANAGEMENT (Continued)</w:t>
      </w:r>
    </w:p>
    <w:p>
      <w:pPr>
        <w:spacing w:after="0" w:line="11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Gains and Losses on Hedging Instruments</w:t>
      </w:r>
    </w:p>
    <w:p>
      <w:pPr>
        <w:spacing w:after="0" w:line="105" w:lineRule="exact"/>
        <w:rPr>
          <w:sz w:val="20"/>
          <w:szCs w:val="20"/>
          <w:color w:val="auto"/>
        </w:rPr>
      </w:pPr>
    </w:p>
    <w:p>
      <w:pPr>
        <w:ind w:left="740" w:right="360"/>
        <w:spacing w:after="0" w:line="281" w:lineRule="auto"/>
        <w:rPr>
          <w:sz w:val="20"/>
          <w:szCs w:val="20"/>
          <w:color w:val="auto"/>
        </w:rPr>
      </w:pPr>
      <w:r>
        <w:rPr>
          <w:rFonts w:ascii="Times New Roman" w:cs="Times New Roman" w:eastAsia="Times New Roman" w:hAnsi="Times New Roman"/>
          <w:sz w:val="16"/>
          <w:szCs w:val="16"/>
          <w:color w:val="auto"/>
        </w:rPr>
        <w:t>The table below presents the effect of cash flow hedge accounting on accumulated other comprehensive income (loss) (“AOCI”) for each reporting period:</w:t>
      </w:r>
    </w:p>
    <w:p>
      <w:pPr>
        <w:spacing w:after="0" w:line="164"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3"/>
                <w:szCs w:val="13"/>
                <w:color w:val="auto"/>
              </w:rPr>
              <w:t>Three months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3"/>
                <w:szCs w:val="13"/>
                <w:color w:val="auto"/>
              </w:rPr>
              <w:t>Nine months ended</w:t>
            </w:r>
          </w:p>
        </w:tc>
      </w:tr>
      <w:tr>
        <w:trPr>
          <w:trHeight w:val="104"/>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Borders>
              <w:top w:val="single" w:sz="8" w:color="auto"/>
            </w:tcBorders>
            <w:gridSpan w:val="3"/>
          </w:tcPr>
          <w:p>
            <w:pPr>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Borders>
              <w:top w:val="single" w:sz="8" w:color="auto"/>
            </w:tcBorders>
            <w:gridSpan w:val="3"/>
          </w:tcPr>
          <w:p>
            <w:pPr>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80" w:type="dxa"/>
            <w:vAlign w:val="bottom"/>
          </w:tcPr>
          <w:p>
            <w:pPr>
              <w:spacing w:after="0"/>
              <w:rPr>
                <w:sz w:val="9"/>
                <w:szCs w:val="9"/>
                <w:color w:val="auto"/>
              </w:rPr>
            </w:pPr>
          </w:p>
        </w:tc>
      </w:tr>
      <w:tr>
        <w:trPr>
          <w:trHeight w:val="152"/>
        </w:trPr>
        <w:tc>
          <w:tcPr>
            <w:tcW w:w="20" w:type="dxa"/>
            <w:vAlign w:val="bottom"/>
          </w:tcPr>
          <w:p>
            <w:pPr>
              <w:spacing w:after="0"/>
              <w:rPr>
                <w:sz w:val="13"/>
                <w:szCs w:val="13"/>
                <w:color w:val="auto"/>
              </w:rPr>
            </w:pPr>
          </w:p>
        </w:tc>
        <w:tc>
          <w:tcPr>
            <w:tcW w:w="1520" w:type="dxa"/>
            <w:vAlign w:val="bottom"/>
            <w:tcBorders>
              <w:bottom w:val="single" w:sz="8" w:color="CCEEFF"/>
            </w:tcBorders>
          </w:tcPr>
          <w:p>
            <w:pPr>
              <w:spacing w:after="0"/>
              <w:rPr>
                <w:sz w:val="13"/>
                <w:szCs w:val="13"/>
                <w:color w:val="auto"/>
              </w:rPr>
            </w:pPr>
          </w:p>
        </w:tc>
        <w:tc>
          <w:tcPr>
            <w:tcW w:w="2600" w:type="dxa"/>
            <w:vAlign w:val="bottom"/>
            <w:tcBorders>
              <w:bottom w:val="single" w:sz="8" w:color="CCEEFF"/>
            </w:tcBorders>
          </w:tcPr>
          <w:p>
            <w:pPr>
              <w:spacing w:after="0"/>
              <w:rPr>
                <w:sz w:val="13"/>
                <w:szCs w:val="13"/>
                <w:color w:val="auto"/>
              </w:rPr>
            </w:pPr>
          </w:p>
        </w:tc>
        <w:tc>
          <w:tcPr>
            <w:tcW w:w="15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3"/>
                <w:szCs w:val="13"/>
                <w:color w:val="auto"/>
              </w:rPr>
              <w:t>2025</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2024</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2025</w:t>
            </w:r>
          </w:p>
        </w:tc>
        <w:tc>
          <w:tcPr>
            <w:tcW w:w="2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bottom w:val="single" w:sz="8" w:color="CCEEFF"/>
            </w:tcBorders>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5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Gain (loss) recognized</w:t>
            </w:r>
          </w:p>
        </w:tc>
        <w:tc>
          <w:tcPr>
            <w:tcW w:w="26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right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 AOCI</w:t>
            </w:r>
          </w:p>
        </w:tc>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Included in effectiveness testing</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r>
      <w:tr>
        <w:trPr>
          <w:trHeight w:val="192"/>
        </w:trPr>
        <w:tc>
          <w:tcPr>
            <w:tcW w:w="20" w:type="dxa"/>
            <w:vAlign w:val="bottom"/>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Excluded in effectiveness testing</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20" w:type="dxa"/>
            <w:vAlign w:val="bottom"/>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r>
      <w:tr>
        <w:trPr>
          <w:trHeight w:val="179"/>
        </w:trPr>
        <w:tc>
          <w:tcPr>
            <w:tcW w:w="154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Gain (loss) reclassified</w:t>
            </w:r>
          </w:p>
        </w:tc>
        <w:tc>
          <w:tcPr>
            <w:tcW w:w="2600" w:type="dxa"/>
            <w:vAlign w:val="bottom"/>
          </w:tcPr>
          <w:p>
            <w:pPr>
              <w:spacing w:after="0"/>
              <w:rPr>
                <w:sz w:val="15"/>
                <w:szCs w:val="15"/>
                <w:color w:val="auto"/>
              </w:rPr>
            </w:pPr>
          </w:p>
        </w:tc>
        <w:tc>
          <w:tcPr>
            <w:tcW w:w="15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Interest rate swaps</w:t>
            </w: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41</w:t>
            </w:r>
          </w:p>
        </w:tc>
        <w:tc>
          <w:tcPr>
            <w:tcW w:w="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line="179" w:lineRule="exact"/>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from AOCI into</w:t>
            </w:r>
          </w:p>
        </w:tc>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Included in effectiveness testing</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59</w:t>
            </w:r>
          </w:p>
        </w:tc>
      </w:tr>
      <w:tr>
        <w:trPr>
          <w:trHeight w:val="208"/>
        </w:trPr>
        <w:tc>
          <w:tcPr>
            <w:tcW w:w="20" w:type="dxa"/>
            <w:vAlign w:val="bottom"/>
          </w:tcPr>
          <w:p>
            <w:pPr>
              <w:spacing w:after="0"/>
              <w:rPr>
                <w:sz w:val="18"/>
                <w:szCs w:val="18"/>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w:t>
            </w:r>
          </w:p>
        </w:tc>
        <w:tc>
          <w:tcPr>
            <w:tcW w:w="2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Excluded in effectiveness testing</w:t>
            </w:r>
          </w:p>
        </w:tc>
        <w:tc>
          <w:tcPr>
            <w:tcW w:w="156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r>
      <w:tr>
        <w:trPr>
          <w:trHeight w:val="199"/>
        </w:trPr>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2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change in AOCI</w:t>
            </w:r>
          </w:p>
        </w:tc>
        <w:tc>
          <w:tcPr>
            <w:tcW w:w="26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(108)</w:t>
            </w: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gain (loss) reclassed from AOCI into earnings is recorded to interest expense, net in condensed consolidated statements of comprehensive income.</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Derivative Assets and Liabilities</w:t>
      </w:r>
    </w:p>
    <w:p>
      <w:pPr>
        <w:spacing w:after="0" w:line="105" w:lineRule="exact"/>
        <w:rPr>
          <w:sz w:val="20"/>
          <w:szCs w:val="20"/>
          <w:color w:val="auto"/>
        </w:rPr>
      </w:pPr>
    </w:p>
    <w:p>
      <w:pPr>
        <w:ind w:left="740" w:right="120"/>
        <w:spacing w:after="0" w:line="281" w:lineRule="auto"/>
        <w:rPr>
          <w:sz w:val="20"/>
          <w:szCs w:val="20"/>
          <w:color w:val="auto"/>
        </w:rPr>
      </w:pPr>
      <w:r>
        <w:rPr>
          <w:rFonts w:ascii="Times New Roman" w:cs="Times New Roman" w:eastAsia="Times New Roman" w:hAnsi="Times New Roman"/>
          <w:sz w:val="16"/>
          <w:szCs w:val="16"/>
          <w:color w:val="auto"/>
        </w:rPr>
        <w:t>The Company records both the designated interest rate derivatives and the undesignated derivatives at fair value in the condensed consolidated balance sheets. The respective assets and liabilities are generally classified as short-term or long-term based on the maturity dates of the derivatives.</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table below summarizes the classification and fair value of the derivatives for each reporting period:</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Designated cash flow hedges</w:t>
            </w:r>
          </w:p>
        </w:tc>
        <w:tc>
          <w:tcPr>
            <w:tcW w:w="312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Location</w:t>
            </w:r>
          </w:p>
        </w:tc>
        <w:tc>
          <w:tcPr>
            <w:tcW w:w="100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September 27, 2025</w:t>
            </w: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9"/>
              </w:rPr>
              <w:t>December 31, 2024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31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6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long-term assets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6</w:t>
            </w: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rate caps</w:t>
            </w:r>
          </w:p>
        </w:tc>
        <w:tc>
          <w:tcPr>
            <w:tcW w:w="31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19</w:t>
            </w: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1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Other long-term assets</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rPr>
              <w:t>5</w:t>
            </w:r>
          </w:p>
        </w:tc>
        <w:tc>
          <w:tcPr>
            <w:tcW w:w="4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9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Designated cash flow hedges</w:t>
            </w:r>
          </w:p>
        </w:tc>
        <w:tc>
          <w:tcPr>
            <w:tcW w:w="3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56</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STOCK-BASED COMPENSATION</w:t>
      </w:r>
    </w:p>
    <w:p>
      <w:pPr>
        <w:spacing w:after="0" w:line="105" w:lineRule="exact"/>
        <w:rPr>
          <w:sz w:val="20"/>
          <w:szCs w:val="20"/>
          <w:color w:val="auto"/>
        </w:rPr>
      </w:pPr>
    </w:p>
    <w:p>
      <w:pPr>
        <w:ind w:left="740" w:right="200"/>
        <w:spacing w:after="0" w:line="281" w:lineRule="auto"/>
        <w:rPr>
          <w:sz w:val="20"/>
          <w:szCs w:val="20"/>
          <w:color w:val="auto"/>
        </w:rPr>
      </w:pPr>
      <w:r>
        <w:rPr>
          <w:rFonts w:ascii="Times New Roman" w:cs="Times New Roman" w:eastAsia="Times New Roman" w:hAnsi="Times New Roman"/>
          <w:sz w:val="16"/>
          <w:szCs w:val="16"/>
          <w:color w:val="auto"/>
        </w:rPr>
        <w:t>Upon the closing of the Acquisition, the Company issued one class of ownership units, Class A units, and two classes of incentive units, Class B units and Class B catch-up profits interests (“CUPIs”; Class B, together with</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F-76</w:t>
      </w:r>
    </w:p>
    <w:p>
      <w:pPr>
        <w:sectPr>
          <w:pgSz w:w="11900" w:h="16838" w:orient="portrait"/>
          <w:cols w:equalWidth="0" w:num="1">
            <w:col w:w="10500"/>
          </w:cols>
          <w:pgMar w:left="320" w:top="420" w:right="107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17" w:lineRule="exact"/>
        <w:rPr>
          <w:sz w:val="20"/>
          <w:szCs w:val="20"/>
          <w:color w:val="auto"/>
        </w:rPr>
      </w:pPr>
    </w:p>
    <w:p>
      <w:pPr>
        <w:ind w:left="740" w:right="20"/>
        <w:spacing w:after="0" w:line="252" w:lineRule="auto"/>
        <w:rPr>
          <w:sz w:val="20"/>
          <w:szCs w:val="20"/>
          <w:color w:val="auto"/>
        </w:rPr>
      </w:pPr>
      <w:r>
        <w:rPr>
          <w:rFonts w:ascii="Times New Roman" w:cs="Times New Roman" w:eastAsia="Times New Roman" w:hAnsi="Times New Roman"/>
          <w:sz w:val="16"/>
          <w:szCs w:val="16"/>
          <w:color w:val="auto"/>
        </w:rPr>
        <w:t>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condensed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20% of vested Class B and 50% of vested Class B CUPI mezzanine units would be redeemable, and, therefore, no changes in redemption value were recorded prospectively. See “Note 13 — Partners’ Capital and Mezzanine Equity” for additional discussion of the Company’s treatment of equity-based compensation within mezzanine equity.</w:t>
      </w:r>
    </w:p>
    <w:p>
      <w:pPr>
        <w:spacing w:after="0" w:line="166"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September 27, 2025, the Company has authorized and issued 46 units of CUPIs with a grant date fair value of $0.57 per unit. CUPIs vest over a two-year service period from the grant date. All CUPIs have fully vested as of September 27, 2025.</w:t>
      </w:r>
    </w:p>
    <w:p>
      <w:pPr>
        <w:spacing w:after="0" w:line="170" w:lineRule="exact"/>
        <w:rPr>
          <w:sz w:val="20"/>
          <w:szCs w:val="20"/>
          <w:color w:val="auto"/>
        </w:rPr>
      </w:pPr>
    </w:p>
    <w:p>
      <w:pPr>
        <w:ind w:left="740" w:right="100"/>
        <w:spacing w:after="0" w:line="265" w:lineRule="auto"/>
        <w:rPr>
          <w:sz w:val="20"/>
          <w:szCs w:val="20"/>
          <w:color w:val="auto"/>
        </w:rPr>
      </w:pPr>
      <w:r>
        <w:rPr>
          <w:rFonts w:ascii="Times New Roman" w:cs="Times New Roman" w:eastAsia="Times New Roman" w:hAnsi="Times New Roman"/>
          <w:sz w:val="16"/>
          <w:szCs w:val="16"/>
          <w:color w:val="auto"/>
        </w:rPr>
        <w:t>As of September 27, 2025, the Company has authorized and issued 812 Class B Units with a weighted average grant date fair value of $0.37 per unit to certain employees of the Company. The Class B Units are subject to a five-year vesting period, with 20% of units vesting on each of the five anniversaries of the grant date. The Class B Units have no expiration date.</w:t>
      </w:r>
    </w:p>
    <w:p>
      <w:pPr>
        <w:spacing w:after="0" w:line="15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 of September 27, 2025, the Company has authorized and issued 16,851 Class A units.</w:t>
      </w:r>
    </w:p>
    <w:p>
      <w:pPr>
        <w:spacing w:after="0" w:line="199" w:lineRule="exact"/>
        <w:rPr>
          <w:sz w:val="20"/>
          <w:szCs w:val="20"/>
          <w:color w:val="auto"/>
        </w:rPr>
      </w:pPr>
    </w:p>
    <w:p>
      <w:pPr>
        <w:ind w:left="740" w:right="100"/>
        <w:spacing w:after="0" w:line="281" w:lineRule="auto"/>
        <w:rPr>
          <w:sz w:val="20"/>
          <w:szCs w:val="20"/>
          <w:color w:val="auto"/>
        </w:rPr>
      </w:pPr>
      <w:r>
        <w:rPr>
          <w:rFonts w:ascii="Times New Roman" w:cs="Times New Roman" w:eastAsia="Times New Roman" w:hAnsi="Times New Roman"/>
          <w:sz w:val="16"/>
          <w:szCs w:val="16"/>
          <w:color w:val="auto"/>
        </w:rPr>
        <w:t>In accordance with ASC 718 Compensation—Stock Compensation, all Incentive Units officially granted represent ownership interests of the Company and are classified as equity.</w:t>
      </w:r>
    </w:p>
    <w:p>
      <w:pPr>
        <w:spacing w:after="0" w:line="144" w:lineRule="exact"/>
        <w:rPr>
          <w:sz w:val="20"/>
          <w:szCs w:val="20"/>
          <w:color w:val="auto"/>
        </w:rPr>
      </w:pPr>
    </w:p>
    <w:p>
      <w:pPr>
        <w:ind w:left="740" w:right="40"/>
        <w:spacing w:after="0" w:line="281" w:lineRule="auto"/>
        <w:rPr>
          <w:sz w:val="20"/>
          <w:szCs w:val="20"/>
          <w:color w:val="auto"/>
        </w:rPr>
      </w:pPr>
      <w:r>
        <w:rPr>
          <w:rFonts w:ascii="Times New Roman" w:cs="Times New Roman" w:eastAsia="Times New Roman" w:hAnsi="Times New Roman"/>
          <w:sz w:val="16"/>
          <w:szCs w:val="16"/>
          <w:u w:val="single" w:color="auto"/>
          <w:color w:val="auto"/>
        </w:rPr>
        <w:t>Fair Value of Equity-Based Awards</w:t>
      </w:r>
      <w:r>
        <w:rPr>
          <w:rFonts w:ascii="Times New Roman" w:cs="Times New Roman" w:eastAsia="Times New Roman" w:hAnsi="Times New Roman"/>
          <w:sz w:val="16"/>
          <w:szCs w:val="16"/>
          <w:color w:val="auto"/>
        </w:rPr>
        <w:t>: The weighted average per unit fair value of the equity-based units is calculated using the Monte Carlo simulation in an option pricing framework, where the total equity value of the</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F-77</w:t>
      </w:r>
    </w:p>
    <w:p>
      <w:pPr>
        <w:sectPr>
          <w:pgSz w:w="11900" w:h="16838" w:orient="portrait"/>
          <w:cols w:equalWidth="0" w:num="1">
            <w:col w:w="10500"/>
          </w:cols>
          <w:pgMar w:left="320" w:top="420" w:right="10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17" w:lineRule="exact"/>
        <w:rPr>
          <w:sz w:val="20"/>
          <w:szCs w:val="20"/>
          <w:color w:val="auto"/>
        </w:rPr>
      </w:pPr>
    </w:p>
    <w:p>
      <w:pPr>
        <w:ind w:left="740" w:right="220"/>
        <w:spacing w:after="0" w:line="265" w:lineRule="auto"/>
        <w:rPr>
          <w:sz w:val="20"/>
          <w:szCs w:val="20"/>
          <w:color w:val="auto"/>
        </w:rPr>
      </w:pPr>
      <w:r>
        <w:rPr>
          <w:rFonts w:ascii="Times New Roman" w:cs="Times New Roman" w:eastAsia="Times New Roman" w:hAnsi="Times New Roman"/>
          <w:sz w:val="16"/>
          <w:szCs w:val="16"/>
          <w:color w:val="auto"/>
        </w:rPr>
        <w:t>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73" w:lineRule="exact"/>
        <w:rPr>
          <w:sz w:val="20"/>
          <w:szCs w:val="20"/>
          <w:color w:val="auto"/>
        </w:rPr>
      </w:pPr>
    </w:p>
    <w:p>
      <w:pPr>
        <w:ind w:left="1600" w:hanging="383"/>
        <w:spacing w:after="0"/>
        <w:tabs>
          <w:tab w:leader="none" w:pos="160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precedent transactions involving equity units;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operating and financial performance;</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 and projections;</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performance of comparable publicly traded companies; and</w:t>
      </w:r>
    </w:p>
    <w:p>
      <w:pPr>
        <w:spacing w:after="0" w:line="115" w:lineRule="exact"/>
        <w:rPr>
          <w:rFonts w:ascii="Times New Roman" w:cs="Times New Roman" w:eastAsia="Times New Roman" w:hAnsi="Times New Roman"/>
          <w:sz w:val="16"/>
          <w:szCs w:val="16"/>
          <w:color w:val="auto"/>
        </w:rPr>
      </w:pPr>
    </w:p>
    <w:p>
      <w:pPr>
        <w:ind w:left="1600" w:hanging="383"/>
        <w:spacing w:after="0"/>
        <w:tabs>
          <w:tab w:leader="none" w:pos="160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global capital market conditions.</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assumptions were made in the Monte Carlo simulation.</w:t>
      </w:r>
    </w:p>
    <w:p>
      <w:pPr>
        <w:spacing w:after="0" w:line="199" w:lineRule="exact"/>
        <w:rPr>
          <w:sz w:val="20"/>
          <w:szCs w:val="20"/>
          <w:color w:val="auto"/>
        </w:rPr>
      </w:pPr>
    </w:p>
    <w:p>
      <w:pPr>
        <w:ind w:left="740" w:right="80"/>
        <w:spacing w:after="0" w:line="265" w:lineRule="auto"/>
        <w:rPr>
          <w:sz w:val="20"/>
          <w:szCs w:val="20"/>
          <w:color w:val="auto"/>
        </w:rPr>
      </w:pPr>
      <w:r>
        <w:rPr>
          <w:rFonts w:ascii="Times New Roman" w:cs="Times New Roman" w:eastAsia="Times New Roman" w:hAnsi="Times New Roman"/>
          <w:sz w:val="16"/>
          <w:szCs w:val="16"/>
          <w:u w:val="single" w:color="auto"/>
          <w:color w:val="auto"/>
        </w:rPr>
        <w:t>Expected Term:</w:t>
      </w:r>
      <w:r>
        <w:rPr>
          <w:rFonts w:ascii="Times New Roman" w:cs="Times New Roman" w:eastAsia="Times New Roman" w:hAnsi="Times New Roman"/>
          <w:sz w:val="16"/>
          <w:szCs w:val="16"/>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57" w:lineRule="exact"/>
        <w:rPr>
          <w:sz w:val="20"/>
          <w:szCs w:val="20"/>
          <w:color w:val="auto"/>
        </w:rPr>
      </w:pPr>
    </w:p>
    <w:p>
      <w:pPr>
        <w:ind w:left="740" w:right="460"/>
        <w:spacing w:after="0" w:line="281" w:lineRule="auto"/>
        <w:rPr>
          <w:sz w:val="20"/>
          <w:szCs w:val="20"/>
          <w:color w:val="auto"/>
        </w:rPr>
      </w:pPr>
      <w:r>
        <w:rPr>
          <w:rFonts w:ascii="Times New Roman" w:cs="Times New Roman" w:eastAsia="Times New Roman" w:hAnsi="Times New Roman"/>
          <w:sz w:val="16"/>
          <w:szCs w:val="16"/>
          <w:u w:val="single" w:color="auto"/>
          <w:color w:val="auto"/>
        </w:rPr>
        <w:t>Volatility:</w:t>
      </w:r>
      <w:r>
        <w:rPr>
          <w:rFonts w:ascii="Times New Roman" w:cs="Times New Roman" w:eastAsia="Times New Roman" w:hAnsi="Times New Roman"/>
          <w:sz w:val="16"/>
          <w:szCs w:val="16"/>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44" w:lineRule="exact"/>
        <w:rPr>
          <w:sz w:val="20"/>
          <w:szCs w:val="20"/>
          <w:color w:val="auto"/>
        </w:rPr>
      </w:pPr>
    </w:p>
    <w:p>
      <w:pPr>
        <w:ind w:left="740" w:right="140"/>
        <w:spacing w:after="0" w:line="281" w:lineRule="auto"/>
        <w:rPr>
          <w:sz w:val="20"/>
          <w:szCs w:val="20"/>
          <w:color w:val="auto"/>
        </w:rPr>
      </w:pPr>
      <w:r>
        <w:rPr>
          <w:rFonts w:ascii="Times New Roman" w:cs="Times New Roman" w:eastAsia="Times New Roman" w:hAnsi="Times New Roman"/>
          <w:sz w:val="16"/>
          <w:szCs w:val="16"/>
          <w:u w:val="single" w:color="auto"/>
          <w:color w:val="auto"/>
        </w:rPr>
        <w:t>Risk-Free Interest Rate:</w:t>
      </w:r>
      <w:r>
        <w:rPr>
          <w:rFonts w:ascii="Times New Roman" w:cs="Times New Roman" w:eastAsia="Times New Roman" w:hAnsi="Times New Roman"/>
          <w:sz w:val="16"/>
          <w:szCs w:val="16"/>
          <w:color w:val="auto"/>
        </w:rPr>
        <w:t xml:space="preserve"> The risk-free interest rate is estimated based on U.S. Treasury zero-coupon notes with terms consistent with the expected term of the awards.</w:t>
      </w:r>
    </w:p>
    <w:p>
      <w:pPr>
        <w:spacing w:after="0" w:line="14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u w:val="single" w:color="auto"/>
          <w:color w:val="auto"/>
        </w:rPr>
        <w:t>Dividend Yield:</w:t>
      </w:r>
      <w:r>
        <w:rPr>
          <w:rFonts w:ascii="Times New Roman" w:cs="Times New Roman" w:eastAsia="Times New Roman" w:hAnsi="Times New Roman"/>
          <w:sz w:val="15"/>
          <w:szCs w:val="15"/>
          <w:color w:val="auto"/>
        </w:rPr>
        <w:t xml:space="preserve"> The Company has never declared or paid any cash dividends and does not presently plan to pay cash dividends in the foreseeable future.</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Consequently, the Company used an expected dividend yield of zero.</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The following table provides the weighted-average inputs for expected term, volatility, risk-free interest rate, and dividend yield that were utilized by the</w:t>
      </w:r>
    </w:p>
    <w:p>
      <w:pPr>
        <w:spacing w:after="0" w:line="3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Company in its Monte Carlo simulation for awards granted during 2021 through 2025:</w:t>
      </w:r>
    </w:p>
    <w:p>
      <w:pPr>
        <w:spacing w:after="0" w:line="223" w:lineRule="exact"/>
        <w:rPr>
          <w:sz w:val="20"/>
          <w:szCs w:val="20"/>
          <w:color w:val="auto"/>
        </w:rPr>
      </w:pPr>
    </w:p>
    <w:tbl>
      <w:tblPr>
        <w:tblLayout w:type="fixed"/>
        <w:tblInd w:w="2300" w:type="dxa"/>
        <w:tblCellMar>
          <w:top w:w="0" w:type="dxa"/>
          <w:left w:w="0" w:type="dxa"/>
          <w:bottom w:w="0" w:type="dxa"/>
          <w:right w:w="0" w:type="dxa"/>
        </w:tblCellMar>
      </w:tblPr>
      <w:tr>
        <w:trPr>
          <w:trHeight w:val="19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1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r>
      <w:tr>
        <w:trPr>
          <w:trHeight w:val="192"/>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w:t>
            </w:r>
          </w:p>
        </w:tc>
        <w:tc>
          <w:tcPr>
            <w:tcW w:w="31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3.6 - 6 Years</w:t>
            </w:r>
          </w:p>
        </w:tc>
      </w:tr>
      <w:tr>
        <w:trPr>
          <w:trHeight w:val="192"/>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1.2 - 4.6%</w:t>
            </w:r>
          </w:p>
        </w:tc>
      </w:tr>
      <w:tr>
        <w:trPr>
          <w:trHeight w:val="208"/>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35 - 48%</w:t>
            </w:r>
          </w:p>
        </w:tc>
      </w:tr>
    </w:tbl>
    <w:p>
      <w:pPr>
        <w:spacing w:after="0" w:line="158" w:lineRule="exact"/>
        <w:rPr>
          <w:sz w:val="20"/>
          <w:szCs w:val="20"/>
          <w:color w:val="auto"/>
        </w:rPr>
      </w:pPr>
    </w:p>
    <w:p>
      <w:pPr>
        <w:ind w:left="740" w:right="40"/>
        <w:spacing w:after="0" w:line="253" w:lineRule="auto"/>
        <w:rPr>
          <w:sz w:val="20"/>
          <w:szCs w:val="20"/>
          <w:color w:val="auto"/>
        </w:rPr>
      </w:pPr>
      <w:r>
        <w:rPr>
          <w:rFonts w:ascii="Times New Roman" w:cs="Times New Roman" w:eastAsia="Times New Roman" w:hAnsi="Times New Roman"/>
          <w:sz w:val="16"/>
          <w:szCs w:val="16"/>
          <w:color w:val="auto"/>
        </w:rPr>
        <w:t>Related to the Class B units, the Company recorded $14 and $14 of compensation expense for the three months ended September 27, 2025 and September 28, 2024, respectively, and $44 and $41 of compensation expense for the nine months ended September 27, 2025 and September 28, 2024, respectively, as a component of selling, general and administrative expenses. As of September 27, 2025, the Company had $97 of unrecognized unit-based compensation expense related to unvested Class B units, which is expected to be recognized on a straight-line basis or a graded basis over a weighted average period of 1.3 years. As of September 27, 2025, the Company had another $10 of unrecognized unit-based compensation expense related to several tranches of unvested Class B units with additional performance conditions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F-78</w:t>
      </w:r>
    </w:p>
    <w:p>
      <w:pPr>
        <w:sectPr>
          <w:pgSz w:w="11900" w:h="16838" w:orient="portrait"/>
          <w:cols w:equalWidth="0" w:num="1">
            <w:col w:w="10500"/>
          </w:cols>
          <w:pgMar w:left="320" w:top="421" w:right="10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As of September 27, 2025, the Company has no material obligations to repurchase any Class B Units or CUPIs on a specified date.</w:t>
      </w:r>
    </w:p>
    <w:p>
      <w:pPr>
        <w:spacing w:after="0" w:line="19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the Incentive Units activity during the nine months ended September 27, 2025:</w:t>
      </w:r>
    </w:p>
    <w:p>
      <w:pPr>
        <w:spacing w:after="0" w:line="220" w:lineRule="exact"/>
        <w:rPr>
          <w:sz w:val="20"/>
          <w:szCs w:val="20"/>
          <w:color w:val="auto"/>
        </w:rPr>
      </w:pPr>
    </w:p>
    <w:tbl>
      <w:tblPr>
        <w:tblLayout w:type="fixed"/>
        <w:tblInd w:w="1920" w:type="dxa"/>
        <w:tblCellMar>
          <w:top w:w="0" w:type="dxa"/>
          <w:left w:w="0" w:type="dxa"/>
          <w:bottom w:w="0" w:type="dxa"/>
          <w:right w:w="0" w:type="dxa"/>
        </w:tblCellMar>
      </w:tblPr>
      <w:tr>
        <w:trPr>
          <w:trHeight w:val="152"/>
        </w:trPr>
        <w:tc>
          <w:tcPr>
            <w:tcW w:w="5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color w:val="auto"/>
              </w:rPr>
              <w:t>Class B</w:t>
            </w: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540" w:type="dxa"/>
            <w:vAlign w:val="bottom"/>
          </w:tcPr>
          <w:p>
            <w:pPr>
              <w:spacing w:after="0"/>
              <w:rPr>
                <w:sz w:val="9"/>
                <w:szCs w:val="9"/>
                <w:color w:val="auto"/>
              </w:rPr>
            </w:pP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w w:val="92"/>
              </w:rPr>
              <w:t>Units</w:t>
            </w:r>
          </w:p>
        </w:tc>
        <w:tc>
          <w:tcPr>
            <w:tcW w:w="460" w:type="dxa"/>
            <w:vAlign w:val="bottom"/>
          </w:tcPr>
          <w:p>
            <w:pPr>
              <w:spacing w:after="0"/>
              <w:rPr>
                <w:sz w:val="9"/>
                <w:szCs w:val="9"/>
                <w:color w:val="auto"/>
              </w:rPr>
            </w:pPr>
          </w:p>
        </w:tc>
        <w:tc>
          <w:tcPr>
            <w:tcW w:w="840" w:type="dxa"/>
            <w:vAlign w:val="bottom"/>
            <w:gridSpan w:val="2"/>
          </w:tcPr>
          <w:p>
            <w:pPr>
              <w:spacing w:after="0" w:line="104" w:lineRule="exact"/>
              <w:rPr>
                <w:sz w:val="20"/>
                <w:szCs w:val="20"/>
                <w:color w:val="auto"/>
              </w:rPr>
            </w:pPr>
            <w:r>
              <w:rPr>
                <w:rFonts w:ascii="Times New Roman" w:cs="Times New Roman" w:eastAsia="Times New Roman" w:hAnsi="Times New Roman"/>
                <w:sz w:val="12"/>
                <w:szCs w:val="12"/>
                <w:color w:val="auto"/>
              </w:rPr>
              <w:t>Wtd. Avg. Grant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Date Fair Value</w:t>
            </w:r>
          </w:p>
        </w:tc>
        <w:tc>
          <w:tcPr>
            <w:tcW w:w="0" w:type="dxa"/>
            <w:vAlign w:val="bottom"/>
          </w:tcPr>
          <w:p>
            <w:pPr>
              <w:spacing w:after="0"/>
              <w:rPr>
                <w:sz w:val="1"/>
                <w:szCs w:val="1"/>
                <w:color w:val="auto"/>
              </w:rPr>
            </w:pPr>
          </w:p>
        </w:tc>
      </w:tr>
      <w:tr>
        <w:trPr>
          <w:trHeight w:val="184"/>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December 31, 2024</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2"/>
              </w:rPr>
              <w:t>0.37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Granted</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0.58</w:t>
            </w:r>
          </w:p>
        </w:tc>
        <w:tc>
          <w:tcPr>
            <w:tcW w:w="0" w:type="dxa"/>
            <w:vAlign w:val="bottom"/>
          </w:tcPr>
          <w:p>
            <w:pPr>
              <w:spacing w:after="0"/>
              <w:rPr>
                <w:sz w:val="1"/>
                <w:szCs w:val="1"/>
                <w:color w:val="auto"/>
              </w:rPr>
            </w:pPr>
          </w:p>
        </w:tc>
      </w:tr>
      <w:tr>
        <w:trPr>
          <w:trHeight w:val="192"/>
        </w:trPr>
        <w:tc>
          <w:tcPr>
            <w:tcW w:w="55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Vested</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192"/>
        </w:trPr>
        <w:tc>
          <w:tcPr>
            <w:tcW w:w="55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Forfeited</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as of September 27, 2025</w:t>
            </w: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447</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0.39</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right="120"/>
        <w:spacing w:after="0" w:line="281" w:lineRule="auto"/>
        <w:rPr>
          <w:sz w:val="20"/>
          <w:szCs w:val="20"/>
          <w:color w:val="auto"/>
        </w:rPr>
      </w:pPr>
      <w:r>
        <w:rPr>
          <w:rFonts w:ascii="Times New Roman" w:cs="Times New Roman" w:eastAsia="Times New Roman" w:hAnsi="Times New Roman"/>
          <w:sz w:val="16"/>
          <w:szCs w:val="16"/>
          <w:color w:val="auto"/>
        </w:rPr>
        <w:t>The total fair value of Incentive Units vested during the three and nine months ended September 27, 2025 were $3 and $16, respectively. The unvested outstanding Incentive Units are expected to vest between 2025 and 2030.</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Liability-classified units</w:t>
      </w:r>
    </w:p>
    <w:p>
      <w:pPr>
        <w:spacing w:after="0" w:line="105" w:lineRule="exact"/>
        <w:rPr>
          <w:sz w:val="20"/>
          <w:szCs w:val="20"/>
          <w:color w:val="auto"/>
        </w:rPr>
      </w:pPr>
    </w:p>
    <w:p>
      <w:pPr>
        <w:ind w:left="740"/>
        <w:spacing w:after="0" w:line="253" w:lineRule="auto"/>
        <w:rPr>
          <w:sz w:val="20"/>
          <w:szCs w:val="20"/>
          <w:color w:val="auto"/>
        </w:rPr>
      </w:pPr>
      <w:r>
        <w:rPr>
          <w:rFonts w:ascii="Times New Roman" w:cs="Times New Roman" w:eastAsia="Times New Roman" w:hAnsi="Times New Roman"/>
          <w:sz w:val="16"/>
          <w:szCs w:val="16"/>
          <w:color w:val="auto"/>
        </w:rPr>
        <w:t>During the first quarter of 2025, the Company authorized additional Class B Units to be granted to certain employees on or near April 1, 2026 upon fulfillment of certain performance conditions. With each grant, the number of Class B units to 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equity. The award is presented in other long-term liabilities on the condensed consolidated balance sheets. The unit fair value of these awards is determined using the same technique and assumptions as the Equity-Based Awards, and the Company reevaluates the fair value of these liability-classified units periodically until they are reclassified as equity when granted, with the fair value change recorded ratably in the current-period compensation expense. As of September 27, 2025, the number of units probable to be issued is 26, with total fair value of $15. The Company had recognized compensation expense of $1 and $3 for the three and nine months ended September 27, 2025. As of September 27, 2025, the Company had $12 of unrecognized compensation expense, which is expected to be recognized on a graded basis over a weighted average period of 1.9 years.</w:t>
      </w:r>
    </w:p>
    <w:p>
      <w:pPr>
        <w:spacing w:after="0" w:line="166"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During the first quarter of 2024, the Company authorized additional Class B Units to be granted to certain employees in 2025 upon fulfillment of certain performance conditions. These awards were classified as a liability in accordance with Topic 718 at inception. In March 2025, upon fulfillment of the performance conditions, 51 of Class B Units were legally granted. The fair value of the Class B Units in March 2025, the official grant date, was $0.58, and the respective compensation expense was trued up cumulatively based on the grant-date fair value. Through the official grant date, the Company recognized compensation expense of $2 for these awards for the nine months ended September 27, 2025. At the grant date, $10 of liability-classed awards were reclassified to equity. The expense will continue to be recorded on a graded basis through March 28, 2030.</w:t>
      </w:r>
    </w:p>
    <w:p>
      <w:pPr>
        <w:spacing w:after="0" w:line="164"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During the first quarter of 2023, the Company authorized additional Class B Units to be granted to certain employees in 2024 upon fulfillment of certain performance conditions. These awards were classified as a liability</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F-79</w:t>
      </w:r>
    </w:p>
    <w:p>
      <w:pPr>
        <w:sectPr>
          <w:pgSz w:w="11900" w:h="16838" w:orient="portrait"/>
          <w:cols w:equalWidth="0" w:num="1">
            <w:col w:w="10480"/>
          </w:cols>
          <w:pgMar w:left="320" w:top="420" w:right="109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12 - STOCK-BASED COMPENSATION (Continued)</w:t>
      </w:r>
    </w:p>
    <w:p>
      <w:pPr>
        <w:spacing w:after="0" w:line="117" w:lineRule="exact"/>
        <w:rPr>
          <w:sz w:val="20"/>
          <w:szCs w:val="20"/>
          <w:color w:val="auto"/>
        </w:rPr>
      </w:pPr>
    </w:p>
    <w:p>
      <w:pPr>
        <w:ind w:left="740" w:right="100"/>
        <w:spacing w:after="0" w:line="257" w:lineRule="auto"/>
        <w:rPr>
          <w:sz w:val="20"/>
          <w:szCs w:val="20"/>
          <w:color w:val="auto"/>
        </w:rPr>
      </w:pPr>
      <w:r>
        <w:rPr>
          <w:rFonts w:ascii="Times New Roman" w:cs="Times New Roman" w:eastAsia="Times New Roman" w:hAnsi="Times New Roman"/>
          <w:sz w:val="16"/>
          <w:szCs w:val="16"/>
          <w:color w:val="auto"/>
        </w:rPr>
        <w:t>in accordance with Topic 718 at inception. In March 2024, upon fulfillment of the performance conditions, 68 of Class B Units were legally granted. The fair value of the Class B Units in March 2024, the official grant date, was $0.47, and the respective compensation expense was trued up cumulatively based on the grant-date fair value. Through the official grant date, the Company recognized compensation expense of $2 for these awards for the nine months ended September 28, 2024. At the grant date, $11 of liability-classed awards were reclassified to equity. The expense will continue to be recorded on a graded basis through March 29, 2029.</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13 - PARTNERS’ CAPITAL AND MEZZANINE EQUITY</w:t>
      </w:r>
    </w:p>
    <w:p>
      <w:pPr>
        <w:spacing w:after="0" w:line="1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Partners’ Capital</w:t>
      </w:r>
    </w:p>
    <w:p>
      <w:pPr>
        <w:spacing w:after="0" w:line="107" w:lineRule="exact"/>
        <w:rPr>
          <w:sz w:val="20"/>
          <w:szCs w:val="20"/>
          <w:color w:val="auto"/>
        </w:rPr>
      </w:pPr>
    </w:p>
    <w:p>
      <w:pPr>
        <w:ind w:left="740"/>
        <w:spacing w:after="0" w:line="252" w:lineRule="auto"/>
        <w:rPr>
          <w:sz w:val="20"/>
          <w:szCs w:val="20"/>
          <w:color w:val="auto"/>
        </w:rPr>
      </w:pPr>
      <w:r>
        <w:rPr>
          <w:rFonts w:ascii="Times New Roman" w:cs="Times New Roman" w:eastAsia="Times New Roman" w:hAnsi="Times New Roman"/>
          <w:sz w:val="16"/>
          <w:szCs w:val="16"/>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Class A — Mezzanine Equity</w:t>
      </w:r>
    </w:p>
    <w:p>
      <w:pPr>
        <w:spacing w:after="0" w:line="107" w:lineRule="exact"/>
        <w:rPr>
          <w:sz w:val="20"/>
          <w:szCs w:val="20"/>
          <w:color w:val="auto"/>
        </w:rPr>
      </w:pPr>
    </w:p>
    <w:p>
      <w:pPr>
        <w:ind w:left="740"/>
        <w:spacing w:after="0" w:line="254" w:lineRule="auto"/>
        <w:rPr>
          <w:sz w:val="20"/>
          <w:szCs w:val="20"/>
          <w:color w:val="auto"/>
        </w:rPr>
      </w:pPr>
      <w:r>
        <w:rPr>
          <w:rFonts w:ascii="Times New Roman" w:cs="Times New Roman" w:eastAsia="Times New Roman" w:hAnsi="Times New Roman"/>
          <w:sz w:val="16"/>
          <w:szCs w:val="16"/>
          <w:color w:val="auto"/>
        </w:rPr>
        <w:t>Class A units held by members of management (the “Class A Mezzanine Units”) include a put right that gives the holders certain rights that may allow them to cause the Company to repurchase 50% of the Class units. For the periods that management determined it was probable that the Class A Mezzanine Units would become redeemable, the Company had elected to carry the shares at the maximum redemption value, or fair value, in mezzanine equity on the condensed consolidated balance sheets. For all the reporting periods through the third quarter of 2024, all Class A Mezzanine Units were recognized at their maximum redemption value. During the three and nine months ended September 28, 2024, the Company recognized $16 and $58, respectively, in accretion of the Class A Mezzanine Units to redemption value within mezzanine equity on the condensed consolidated balance sheets. During the fourth quarter of 2024, management determined it was no longer probable that the Class A Mezzanine Units would become redeemable, and, therefore, no changes in redemption value were recorded prospectively.</w:t>
      </w:r>
    </w:p>
    <w:p>
      <w:pPr>
        <w:spacing w:after="0" w:line="1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F-80</w:t>
      </w:r>
    </w:p>
    <w:p>
      <w:pPr>
        <w:sectPr>
          <w:pgSz w:w="11900" w:h="16838" w:orient="portrait"/>
          <w:cols w:equalWidth="0" w:num="1">
            <w:col w:w="10500"/>
          </w:cols>
          <w:pgMar w:left="320" w:top="420" w:right="107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13 - PARTNERS’ CAPITAL AND MEZZANINE EQUITY (Continued)</w:t>
      </w:r>
    </w:p>
    <w:p>
      <w:pPr>
        <w:spacing w:after="0" w:line="1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Stock-Based Compensation — Mezzanine Equity</w:t>
      </w:r>
    </w:p>
    <w:p>
      <w:pPr>
        <w:spacing w:after="0" w:line="107" w:lineRule="exact"/>
        <w:rPr>
          <w:sz w:val="20"/>
          <w:szCs w:val="20"/>
          <w:color w:val="auto"/>
        </w:rPr>
      </w:pPr>
    </w:p>
    <w:p>
      <w:pPr>
        <w:ind w:left="740"/>
        <w:spacing w:after="0" w:line="255" w:lineRule="auto"/>
        <w:rPr>
          <w:sz w:val="20"/>
          <w:szCs w:val="20"/>
          <w:color w:val="auto"/>
        </w:rPr>
      </w:pPr>
      <w:r>
        <w:rPr>
          <w:rFonts w:ascii="Times New Roman" w:cs="Times New Roman" w:eastAsia="Times New Roman" w:hAnsi="Times New Roman"/>
          <w:sz w:val="16"/>
          <w:szCs w:val="16"/>
          <w:color w:val="auto"/>
        </w:rPr>
        <w:t>As discussed in “Note 12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three and nine months ended September 28, 2024, the Company recognized $15 and $52, respectively, as an adjustment to the pro rata portion of the Put Units which have vested. During the fourth quarter of 2024, management determined it was no longer probable that the Put Units would become redeemable, and, therefore, no changes in redemption value were recorded prospectively. The maturities related to the redemption feature are in accordance with the vesting terms discussed in “Note 12 — Stock-Based Compensation”, taking into account the five-year vesting period.</w:t>
      </w:r>
    </w:p>
    <w:p>
      <w:pPr>
        <w:spacing w:after="0" w:line="2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u w:val="single" w:color="auto"/>
          <w:color w:val="auto"/>
        </w:rPr>
        <w:t>Accumulated other comprehensive income</w:t>
      </w:r>
    </w:p>
    <w:p>
      <w:pPr>
        <w:spacing w:after="0" w:line="10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 summarizes the change in the balance of accumulated other comprehensive income (loss) by component and in total:</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color w:val="auto"/>
              </w:rPr>
              <w:t>Nine months ended September 27, 2025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right"/>
              <w:ind w:right="300"/>
              <w:spacing w:after="0" w:line="104" w:lineRule="exact"/>
              <w:rPr>
                <w:sz w:val="20"/>
                <w:szCs w:val="20"/>
                <w:color w:val="auto"/>
              </w:rPr>
            </w:pPr>
            <w:r>
              <w:rPr>
                <w:rFonts w:ascii="Times New Roman" w:cs="Times New Roman" w:eastAsia="Times New Roman" w:hAnsi="Times New Roman"/>
                <w:sz w:val="12"/>
                <w:szCs w:val="12"/>
                <w:color w:val="auto"/>
              </w:rPr>
              <w:t>Unrealized gain</w:t>
            </w:r>
          </w:p>
        </w:tc>
        <w:tc>
          <w:tcPr>
            <w:tcW w:w="340" w:type="dxa"/>
            <w:vAlign w:val="bottom"/>
          </w:tcPr>
          <w:p>
            <w:pPr>
              <w:spacing w:after="0"/>
              <w:rPr>
                <w:sz w:val="9"/>
                <w:szCs w:val="9"/>
                <w:color w:val="auto"/>
              </w:rPr>
            </w:pPr>
          </w:p>
        </w:tc>
        <w:tc>
          <w:tcPr>
            <w:tcW w:w="900" w:type="dxa"/>
            <w:vAlign w:val="bottom"/>
            <w:gridSpan w:val="3"/>
          </w:tcPr>
          <w:p>
            <w:pPr>
              <w:jc w:val="right"/>
              <w:ind w:right="360"/>
              <w:spacing w:after="0" w:line="104" w:lineRule="exact"/>
              <w:rPr>
                <w:sz w:val="20"/>
                <w:szCs w:val="20"/>
                <w:color w:val="auto"/>
              </w:rPr>
            </w:pPr>
            <w:r>
              <w:rPr>
                <w:rFonts w:ascii="Times New Roman" w:cs="Times New Roman" w:eastAsia="Times New Roman" w:hAnsi="Times New Roman"/>
                <w:sz w:val="12"/>
                <w:szCs w:val="12"/>
                <w:color w:val="auto"/>
              </w:rPr>
              <w:t>Currency</w:t>
            </w:r>
          </w:p>
        </w:tc>
        <w:tc>
          <w:tcPr>
            <w:tcW w:w="240" w:type="dxa"/>
            <w:vAlign w:val="bottom"/>
          </w:tcPr>
          <w:p>
            <w:pPr>
              <w:spacing w:after="0"/>
              <w:rPr>
                <w:sz w:val="9"/>
                <w:szCs w:val="9"/>
                <w:color w:val="auto"/>
              </w:rPr>
            </w:pPr>
          </w:p>
        </w:tc>
        <w:tc>
          <w:tcPr>
            <w:tcW w:w="900" w:type="dxa"/>
            <w:vAlign w:val="bottom"/>
            <w:gridSpan w:val="3"/>
          </w:tcPr>
          <w:p>
            <w:pPr>
              <w:ind w:left="20"/>
              <w:spacing w:after="0" w:line="104" w:lineRule="exact"/>
              <w:rPr>
                <w:sz w:val="20"/>
                <w:szCs w:val="20"/>
                <w:color w:val="auto"/>
              </w:rPr>
            </w:pPr>
            <w:r>
              <w:rPr>
                <w:rFonts w:ascii="Times New Roman" w:cs="Times New Roman" w:eastAsia="Times New Roman" w:hAnsi="Times New Roman"/>
                <w:sz w:val="12"/>
                <w:szCs w:val="12"/>
                <w:color w:val="auto"/>
              </w:rPr>
              <w:t>Retirement</w:t>
            </w:r>
          </w:p>
        </w:tc>
        <w:tc>
          <w:tcPr>
            <w:tcW w:w="180" w:type="dxa"/>
            <w:vAlign w:val="bottom"/>
          </w:tcPr>
          <w:p>
            <w:pPr>
              <w:spacing w:after="0"/>
              <w:rPr>
                <w:sz w:val="9"/>
                <w:szCs w:val="9"/>
                <w:color w:val="auto"/>
              </w:rPr>
            </w:pPr>
          </w:p>
        </w:tc>
        <w:tc>
          <w:tcPr>
            <w:tcW w:w="98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3"/>
          </w:tcPr>
          <w:p>
            <w:pPr>
              <w:spacing w:after="0" w:line="132" w:lineRule="exact"/>
              <w:rPr>
                <w:sz w:val="20"/>
                <w:szCs w:val="20"/>
                <w:color w:val="auto"/>
              </w:rPr>
            </w:pPr>
            <w:r>
              <w:rPr>
                <w:rFonts w:ascii="Times New Roman" w:cs="Times New Roman" w:eastAsia="Times New Roman" w:hAnsi="Times New Roman"/>
                <w:sz w:val="13"/>
                <w:szCs w:val="13"/>
                <w:color w:val="auto"/>
              </w:rPr>
              <w:t>(loss) on derivative</w:t>
            </w:r>
          </w:p>
        </w:tc>
        <w:tc>
          <w:tcPr>
            <w:tcW w:w="340" w:type="dxa"/>
            <w:vAlign w:val="bottom"/>
          </w:tcPr>
          <w:p>
            <w:pPr>
              <w:spacing w:after="0"/>
              <w:rPr>
                <w:sz w:val="11"/>
                <w:szCs w:val="11"/>
                <w:color w:val="auto"/>
              </w:rPr>
            </w:pPr>
          </w:p>
        </w:tc>
        <w:tc>
          <w:tcPr>
            <w:tcW w:w="900" w:type="dxa"/>
            <w:vAlign w:val="bottom"/>
            <w:gridSpan w:val="3"/>
          </w:tcPr>
          <w:p>
            <w:pPr>
              <w:jc w:val="right"/>
              <w:ind w:right="320"/>
              <w:spacing w:after="0" w:line="132" w:lineRule="exact"/>
              <w:rPr>
                <w:sz w:val="20"/>
                <w:szCs w:val="20"/>
                <w:color w:val="auto"/>
              </w:rPr>
            </w:pPr>
            <w:r>
              <w:rPr>
                <w:rFonts w:ascii="Times New Roman" w:cs="Times New Roman" w:eastAsia="Times New Roman" w:hAnsi="Times New Roman"/>
                <w:sz w:val="13"/>
                <w:szCs w:val="13"/>
                <w:color w:val="auto"/>
              </w:rPr>
              <w:t>translation</w:t>
            </w:r>
          </w:p>
        </w:tc>
        <w:tc>
          <w:tcPr>
            <w:tcW w:w="240" w:type="dxa"/>
            <w:vAlign w:val="bottom"/>
          </w:tcPr>
          <w:p>
            <w:pPr>
              <w:spacing w:after="0"/>
              <w:rPr>
                <w:sz w:val="11"/>
                <w:szCs w:val="11"/>
                <w:color w:val="auto"/>
              </w:rPr>
            </w:pPr>
          </w:p>
        </w:tc>
        <w:tc>
          <w:tcPr>
            <w:tcW w:w="900" w:type="dxa"/>
            <w:vAlign w:val="bottom"/>
            <w:gridSpan w:val="3"/>
          </w:tcPr>
          <w:p>
            <w:pPr>
              <w:ind w:left="40"/>
              <w:spacing w:after="0" w:line="132" w:lineRule="exact"/>
              <w:rPr>
                <w:sz w:val="20"/>
                <w:szCs w:val="20"/>
                <w:color w:val="auto"/>
              </w:rPr>
            </w:pPr>
            <w:r>
              <w:rPr>
                <w:rFonts w:ascii="Times New Roman" w:cs="Times New Roman" w:eastAsia="Times New Roman" w:hAnsi="Times New Roman"/>
                <w:sz w:val="13"/>
                <w:szCs w:val="13"/>
                <w:color w:val="auto"/>
              </w:rPr>
              <w:t>plans, net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color w:val="auto"/>
                <w:w w:val="96"/>
              </w:rPr>
              <w:t>comprehensive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instruments</w:t>
            </w:r>
          </w:p>
        </w:tc>
        <w:tc>
          <w:tcPr>
            <w:tcW w:w="3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adjustments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of tax</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income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2025</w:t>
            </w: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74"/>
              </w:rPr>
              <w:t>1</w:t>
            </w: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29, 2025</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199"/>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6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28, 2025</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74</w:t>
            </w: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199"/>
        </w:trPr>
        <w:tc>
          <w:tcPr>
            <w:tcW w:w="4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6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27, 2025</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54</w:t>
            </w:r>
          </w:p>
        </w:tc>
        <w:tc>
          <w:tcPr>
            <w:tcW w:w="2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(3)</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w w:val="92"/>
              </w:rPr>
              <w:t>F-81</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13 - PARTNERS’ CAPITAL AND MEZZANINE EQUITY (Continued)</w:t>
      </w:r>
    </w:p>
    <w:p>
      <w:pPr>
        <w:spacing w:after="0" w:line="114"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3"/>
                <w:szCs w:val="13"/>
                <w:color w:val="auto"/>
              </w:rPr>
              <w:t>Nine months ended September 28, 2024</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04"/>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right"/>
              <w:ind w:right="300"/>
              <w:spacing w:after="0" w:line="104" w:lineRule="exact"/>
              <w:rPr>
                <w:sz w:val="20"/>
                <w:szCs w:val="20"/>
                <w:color w:val="auto"/>
              </w:rPr>
            </w:pPr>
            <w:r>
              <w:rPr>
                <w:rFonts w:ascii="Times New Roman" w:cs="Times New Roman" w:eastAsia="Times New Roman" w:hAnsi="Times New Roman"/>
                <w:sz w:val="12"/>
                <w:szCs w:val="12"/>
                <w:color w:val="auto"/>
              </w:rPr>
              <w:t>Unrealized gain</w:t>
            </w:r>
          </w:p>
        </w:tc>
        <w:tc>
          <w:tcPr>
            <w:tcW w:w="340" w:type="dxa"/>
            <w:vAlign w:val="bottom"/>
          </w:tcPr>
          <w:p>
            <w:pPr>
              <w:spacing w:after="0"/>
              <w:rPr>
                <w:sz w:val="9"/>
                <w:szCs w:val="9"/>
                <w:color w:val="auto"/>
              </w:rPr>
            </w:pPr>
          </w:p>
        </w:tc>
        <w:tc>
          <w:tcPr>
            <w:tcW w:w="900" w:type="dxa"/>
            <w:vAlign w:val="bottom"/>
            <w:gridSpan w:val="3"/>
          </w:tcPr>
          <w:p>
            <w:pPr>
              <w:jc w:val="right"/>
              <w:ind w:right="360"/>
              <w:spacing w:after="0" w:line="104" w:lineRule="exact"/>
              <w:rPr>
                <w:sz w:val="20"/>
                <w:szCs w:val="20"/>
                <w:color w:val="auto"/>
              </w:rPr>
            </w:pPr>
            <w:r>
              <w:rPr>
                <w:rFonts w:ascii="Times New Roman" w:cs="Times New Roman" w:eastAsia="Times New Roman" w:hAnsi="Times New Roman"/>
                <w:sz w:val="12"/>
                <w:szCs w:val="12"/>
                <w:color w:val="auto"/>
              </w:rPr>
              <w:t>Currency</w:t>
            </w:r>
          </w:p>
        </w:tc>
        <w:tc>
          <w:tcPr>
            <w:tcW w:w="260" w:type="dxa"/>
            <w:vAlign w:val="bottom"/>
          </w:tcPr>
          <w:p>
            <w:pPr>
              <w:spacing w:after="0"/>
              <w:rPr>
                <w:sz w:val="9"/>
                <w:szCs w:val="9"/>
                <w:color w:val="auto"/>
              </w:rPr>
            </w:pPr>
          </w:p>
        </w:tc>
        <w:tc>
          <w:tcPr>
            <w:tcW w:w="880" w:type="dxa"/>
            <w:vAlign w:val="bottom"/>
            <w:gridSpan w:val="3"/>
          </w:tcPr>
          <w:p>
            <w:pPr>
              <w:spacing w:after="0" w:line="104" w:lineRule="exact"/>
              <w:rPr>
                <w:sz w:val="20"/>
                <w:szCs w:val="20"/>
                <w:color w:val="auto"/>
              </w:rPr>
            </w:pPr>
            <w:r>
              <w:rPr>
                <w:rFonts w:ascii="Times New Roman" w:cs="Times New Roman" w:eastAsia="Times New Roman" w:hAnsi="Times New Roman"/>
                <w:sz w:val="12"/>
                <w:szCs w:val="12"/>
                <w:color w:val="auto"/>
              </w:rPr>
              <w:t>Retirement</w:t>
            </w:r>
          </w:p>
        </w:tc>
        <w:tc>
          <w:tcPr>
            <w:tcW w:w="200" w:type="dxa"/>
            <w:vAlign w:val="bottom"/>
          </w:tcPr>
          <w:p>
            <w:pPr>
              <w:spacing w:after="0"/>
              <w:rPr>
                <w:sz w:val="9"/>
                <w:szCs w:val="9"/>
                <w:color w:val="auto"/>
              </w:rPr>
            </w:pPr>
          </w:p>
        </w:tc>
        <w:tc>
          <w:tcPr>
            <w:tcW w:w="980" w:type="dxa"/>
            <w:vAlign w:val="bottom"/>
            <w:gridSpan w:val="2"/>
          </w:tcPr>
          <w:p>
            <w:pPr>
              <w:jc w:val="center"/>
              <w:spacing w:after="0" w:line="104" w:lineRule="exact"/>
              <w:rPr>
                <w:sz w:val="20"/>
                <w:szCs w:val="20"/>
                <w:color w:val="auto"/>
              </w:rPr>
            </w:pPr>
            <w:r>
              <w:rPr>
                <w:rFonts w:ascii="Times New Roman" w:cs="Times New Roman" w:eastAsia="Times New Roman" w:hAnsi="Times New Roman"/>
                <w:sz w:val="12"/>
                <w:szCs w:val="12"/>
                <w:color w:val="auto"/>
              </w:rPr>
              <w:t>Accumulated other</w:t>
            </w:r>
          </w:p>
        </w:tc>
        <w:tc>
          <w:tcPr>
            <w:tcW w:w="80" w:type="dxa"/>
            <w:vAlign w:val="bottom"/>
          </w:tcPr>
          <w:p>
            <w:pPr>
              <w:spacing w:after="0"/>
              <w:rPr>
                <w:sz w:val="9"/>
                <w:szCs w:val="9"/>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220" w:type="dxa"/>
            <w:vAlign w:val="bottom"/>
            <w:gridSpan w:val="3"/>
          </w:tcPr>
          <w:p>
            <w:pPr>
              <w:ind w:left="20"/>
              <w:spacing w:after="0" w:line="132" w:lineRule="exact"/>
              <w:rPr>
                <w:sz w:val="20"/>
                <w:szCs w:val="20"/>
                <w:color w:val="auto"/>
              </w:rPr>
            </w:pPr>
            <w:r>
              <w:rPr>
                <w:rFonts w:ascii="Times New Roman" w:cs="Times New Roman" w:eastAsia="Times New Roman" w:hAnsi="Times New Roman"/>
                <w:sz w:val="13"/>
                <w:szCs w:val="13"/>
                <w:color w:val="auto"/>
              </w:rPr>
              <w:t>(loss) on derivative</w:t>
            </w:r>
          </w:p>
        </w:tc>
        <w:tc>
          <w:tcPr>
            <w:tcW w:w="340" w:type="dxa"/>
            <w:vAlign w:val="bottom"/>
          </w:tcPr>
          <w:p>
            <w:pPr>
              <w:spacing w:after="0"/>
              <w:rPr>
                <w:sz w:val="11"/>
                <w:szCs w:val="11"/>
                <w:color w:val="auto"/>
              </w:rPr>
            </w:pPr>
          </w:p>
        </w:tc>
        <w:tc>
          <w:tcPr>
            <w:tcW w:w="900" w:type="dxa"/>
            <w:vAlign w:val="bottom"/>
            <w:gridSpan w:val="3"/>
          </w:tcPr>
          <w:p>
            <w:pPr>
              <w:jc w:val="right"/>
              <w:ind w:right="340"/>
              <w:spacing w:after="0" w:line="132" w:lineRule="exact"/>
              <w:rPr>
                <w:sz w:val="20"/>
                <w:szCs w:val="20"/>
                <w:color w:val="auto"/>
              </w:rPr>
            </w:pPr>
            <w:r>
              <w:rPr>
                <w:rFonts w:ascii="Times New Roman" w:cs="Times New Roman" w:eastAsia="Times New Roman" w:hAnsi="Times New Roman"/>
                <w:sz w:val="13"/>
                <w:szCs w:val="13"/>
                <w:color w:val="auto"/>
                <w:w w:val="98"/>
              </w:rPr>
              <w:t>translation</w:t>
            </w:r>
          </w:p>
        </w:tc>
        <w:tc>
          <w:tcPr>
            <w:tcW w:w="260" w:type="dxa"/>
            <w:vAlign w:val="bottom"/>
          </w:tcPr>
          <w:p>
            <w:pPr>
              <w:spacing w:after="0"/>
              <w:rPr>
                <w:sz w:val="11"/>
                <w:szCs w:val="11"/>
                <w:color w:val="auto"/>
              </w:rPr>
            </w:pPr>
          </w:p>
        </w:tc>
        <w:tc>
          <w:tcPr>
            <w:tcW w:w="880" w:type="dxa"/>
            <w:vAlign w:val="bottom"/>
            <w:gridSpan w:val="3"/>
          </w:tcPr>
          <w:p>
            <w:pPr>
              <w:ind w:left="40"/>
              <w:spacing w:after="0" w:line="132" w:lineRule="exact"/>
              <w:rPr>
                <w:sz w:val="20"/>
                <w:szCs w:val="20"/>
                <w:color w:val="auto"/>
              </w:rPr>
            </w:pPr>
            <w:r>
              <w:rPr>
                <w:rFonts w:ascii="Times New Roman" w:cs="Times New Roman" w:eastAsia="Times New Roman" w:hAnsi="Times New Roman"/>
                <w:sz w:val="13"/>
                <w:szCs w:val="13"/>
                <w:color w:val="auto"/>
              </w:rPr>
              <w:t>plans, net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180"/>
              <w:spacing w:after="0" w:line="132" w:lineRule="exact"/>
              <w:rPr>
                <w:sz w:val="20"/>
                <w:szCs w:val="20"/>
                <w:color w:val="auto"/>
              </w:rPr>
            </w:pPr>
            <w:r>
              <w:rPr>
                <w:rFonts w:ascii="Times New Roman" w:cs="Times New Roman" w:eastAsia="Times New Roman" w:hAnsi="Times New Roman"/>
                <w:sz w:val="13"/>
                <w:szCs w:val="13"/>
                <w:color w:val="auto"/>
                <w:w w:val="96"/>
              </w:rPr>
              <w:t>comprehensive</w:t>
            </w:r>
          </w:p>
        </w:tc>
      </w:tr>
      <w:tr>
        <w:trPr>
          <w:trHeight w:val="152"/>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instruments</w:t>
            </w:r>
          </w:p>
        </w:tc>
        <w:tc>
          <w:tcPr>
            <w:tcW w:w="34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w w:val="93"/>
              </w:rPr>
              <w:t>adjustments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of tax</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income</w:t>
            </w:r>
          </w:p>
        </w:tc>
      </w:tr>
      <w:tr>
        <w:trPr>
          <w:trHeight w:val="184"/>
        </w:trPr>
        <w:tc>
          <w:tcPr>
            <w:tcW w:w="20" w:type="dxa"/>
            <w:vAlign w:val="bottom"/>
          </w:tcPr>
          <w:p>
            <w:pPr>
              <w:spacing w:after="0"/>
              <w:rPr>
                <w:sz w:val="15"/>
                <w:szCs w:val="15"/>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January 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3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74"/>
              </w:rPr>
              <w:t>1</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80" w:type="dxa"/>
            <w:vAlign w:val="bottom"/>
            <w:tcBorders>
              <w:top w:val="single" w:sz="8" w:color="CCEEFF"/>
            </w:tcBorders>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w:t>
            </w: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r>
      <w:tr>
        <w:trPr>
          <w:trHeight w:val="199"/>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30,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237</w:t>
            </w: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201</w:t>
            </w:r>
          </w:p>
        </w:tc>
      </w:tr>
      <w:tr>
        <w:trPr>
          <w:trHeight w:val="192"/>
        </w:trPr>
        <w:tc>
          <w:tcPr>
            <w:tcW w:w="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r>
      <w:tr>
        <w:trPr>
          <w:trHeight w:val="199"/>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June 29,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216</w:t>
            </w: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151</w:t>
            </w:r>
          </w:p>
        </w:tc>
      </w:tr>
      <w:tr>
        <w:trPr>
          <w:trHeight w:val="192"/>
        </w:trPr>
        <w:tc>
          <w:tcPr>
            <w:tcW w:w="20" w:type="dxa"/>
            <w:vAlign w:val="bottom"/>
          </w:tcPr>
          <w:p>
            <w:pPr>
              <w:spacing w:after="0"/>
              <w:rPr>
                <w:sz w:val="16"/>
                <w:szCs w:val="16"/>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 before reclassifications</w:t>
            </w:r>
          </w:p>
        </w:tc>
        <w:tc>
          <w:tcPr>
            <w:tcW w:w="10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w:t>
            </w: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reclassified to earnings</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— </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w:t>
            </w:r>
          </w:p>
        </w:tc>
      </w:tr>
      <w:tr>
        <w:trPr>
          <w:trHeight w:val="199"/>
        </w:trPr>
        <w:tc>
          <w:tcPr>
            <w:tcW w:w="4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w w:val="91"/>
              </w:rPr>
              <w:t>— </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September 28, 2024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104</w:t>
            </w:r>
          </w:p>
        </w:tc>
        <w:tc>
          <w:tcPr>
            <w:tcW w:w="5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94"/>
              </w:rPr>
              <w:t>   (50)</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55</w:t>
            </w: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See “Note 11—Derivatives and Hedging Activities Risk Management” for additional information regarding hedging activity.</w:t>
      </w:r>
    </w:p>
    <w:p>
      <w:pPr>
        <w:spacing w:after="0" w:line="29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14 - RELATED PARTY</w:t>
      </w:r>
    </w:p>
    <w:p>
      <w:pPr>
        <w:spacing w:after="0" w:line="105" w:lineRule="exact"/>
        <w:rPr>
          <w:sz w:val="20"/>
          <w:szCs w:val="20"/>
          <w:color w:val="auto"/>
        </w:rPr>
      </w:pPr>
    </w:p>
    <w:p>
      <w:pPr>
        <w:ind w:left="740" w:right="360"/>
        <w:spacing w:after="0" w:line="257" w:lineRule="auto"/>
        <w:rPr>
          <w:sz w:val="20"/>
          <w:szCs w:val="20"/>
          <w:color w:val="auto"/>
        </w:rPr>
      </w:pPr>
      <w:r>
        <w:rPr>
          <w:rFonts w:ascii="Times New Roman" w:cs="Times New Roman" w:eastAsia="Times New Roman" w:hAnsi="Times New Roman"/>
          <w:sz w:val="16"/>
          <w:szCs w:val="16"/>
          <w:color w:val="auto"/>
        </w:rPr>
        <w:t>As of September 27, 2025, certain affiliates of the Sponsors held a portion of the Company’s long-term debt including $3 and $431 reported in the current portion of long-term borrowings and other short-term borrowings and long-term borrowings, less current portion, respectively. As of December 31, 2024, certain related parties held a portion of the Company’s long-term debt including $3 and $450 reported in the current portion of long-term borrowings and other short-term borrowings and long-term borrowings, less current portion, respectively. The terms of these loans are identical to all other term loans issued and notes issued.</w:t>
      </w:r>
    </w:p>
    <w:p>
      <w:pPr>
        <w:spacing w:after="0" w:line="165" w:lineRule="exact"/>
        <w:rPr>
          <w:sz w:val="20"/>
          <w:szCs w:val="20"/>
          <w:color w:val="auto"/>
        </w:rPr>
      </w:pPr>
    </w:p>
    <w:p>
      <w:pPr>
        <w:ind w:left="740" w:right="80"/>
        <w:spacing w:after="0" w:line="281" w:lineRule="auto"/>
        <w:rPr>
          <w:sz w:val="20"/>
          <w:szCs w:val="20"/>
          <w:color w:val="auto"/>
        </w:rPr>
      </w:pPr>
      <w:r>
        <w:rPr>
          <w:rFonts w:ascii="Times New Roman" w:cs="Times New Roman" w:eastAsia="Times New Roman" w:hAnsi="Times New Roman"/>
          <w:sz w:val="16"/>
          <w:szCs w:val="16"/>
          <w:color w:val="auto"/>
        </w:rPr>
        <w:t>See “Note 6 — Credit Agreements and Borrowings” for additional information on the long-term debt. There have been no other significant transactions with related parties during the periods presented.</w:t>
      </w:r>
    </w:p>
    <w:p>
      <w:pPr>
        <w:spacing w:after="0" w:line="2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15 - SEGMENT INFORMATION</w:t>
      </w:r>
    </w:p>
    <w:p>
      <w:pPr>
        <w:spacing w:after="0" w:line="105"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w:t>
      </w:r>
    </w:p>
    <w:p>
      <w:pPr>
        <w:spacing w:after="0" w:line="10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F-82</w:t>
      </w:r>
    </w:p>
    <w:p>
      <w:pPr>
        <w:sectPr>
          <w:pgSz w:w="11900" w:h="16838" w:orient="portrait"/>
          <w:cols w:equalWidth="0" w:num="1">
            <w:col w:w="10500"/>
          </w:cols>
          <w:pgMar w:left="320" w:top="420" w:right="107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15 - SEGMENT INFORMATION (Continued)</w:t>
      </w:r>
    </w:p>
    <w:p>
      <w:pPr>
        <w:spacing w:after="0" w:line="117" w:lineRule="exact"/>
        <w:rPr>
          <w:sz w:val="20"/>
          <w:szCs w:val="20"/>
          <w:color w:val="auto"/>
        </w:rPr>
      </w:pPr>
    </w:p>
    <w:p>
      <w:pPr>
        <w:ind w:left="740"/>
        <w:spacing w:after="0" w:line="256" w:lineRule="auto"/>
        <w:rPr>
          <w:sz w:val="20"/>
          <w:szCs w:val="20"/>
          <w:color w:val="auto"/>
        </w:rPr>
      </w:pPr>
      <w:r>
        <w:rPr>
          <w:rFonts w:ascii="Times New Roman" w:cs="Times New Roman" w:eastAsia="Times New Roman" w:hAnsi="Times New Roman"/>
          <w:sz w:val="16"/>
          <w:szCs w:val="16"/>
          <w:color w:val="auto"/>
        </w:rPr>
        <w:t>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64" w:lineRule="exact"/>
        <w:rPr>
          <w:sz w:val="20"/>
          <w:szCs w:val="20"/>
          <w:color w:val="auto"/>
        </w:rPr>
      </w:pPr>
    </w:p>
    <w:p>
      <w:pPr>
        <w:ind w:left="740" w:right="20"/>
        <w:spacing w:after="0" w:line="252" w:lineRule="auto"/>
        <w:rPr>
          <w:sz w:val="20"/>
          <w:szCs w:val="20"/>
          <w:color w:val="auto"/>
        </w:rPr>
      </w:pPr>
      <w:r>
        <w:rPr>
          <w:rFonts w:ascii="Times New Roman" w:cs="Times New Roman" w:eastAsia="Times New Roman" w:hAnsi="Times New Roman"/>
          <w:sz w:val="16"/>
          <w:szCs w:val="16"/>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During 2024, the Company transitioned its operations to align around its two primary product lines, Medline Brand and Supply Chain Solutions. This change became effective in 2024. As a result, all segment information in these condensed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10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F-83</w:t>
      </w:r>
    </w:p>
    <w:p>
      <w:pPr>
        <w:sectPr>
          <w:pgSz w:w="11900" w:h="16838" w:orient="portrait"/>
          <w:cols w:equalWidth="0" w:num="1">
            <w:col w:w="10500"/>
          </w:cols>
          <w:pgMar w:left="320" w:top="420" w:right="107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15 - SEGMENT INFORMATION (Continued)</w:t>
      </w:r>
    </w:p>
    <w:p>
      <w:pPr>
        <w:spacing w:after="0" w:line="11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tables present financial information by segment:</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1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6"/>
          </w:tcPr>
          <w:p>
            <w:pPr>
              <w:jc w:val="right"/>
              <w:ind w:right="740"/>
              <w:spacing w:after="0"/>
              <w:rPr>
                <w:sz w:val="20"/>
                <w:szCs w:val="20"/>
                <w:color w:val="auto"/>
              </w:rPr>
            </w:pPr>
            <w:r>
              <w:rPr>
                <w:rFonts w:ascii="Times New Roman" w:cs="Times New Roman" w:eastAsia="Times New Roman" w:hAnsi="Times New Roman"/>
                <w:sz w:val="13"/>
                <w:szCs w:val="13"/>
                <w:color w:val="auto"/>
              </w:rPr>
              <w:t>Three months ended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jc w:val="right"/>
              <w:ind w:right="580"/>
              <w:spacing w:after="0"/>
              <w:rPr>
                <w:sz w:val="20"/>
                <w:szCs w:val="20"/>
                <w:color w:val="auto"/>
              </w:rPr>
            </w:pPr>
            <w:r>
              <w:rPr>
                <w:rFonts w:ascii="Times New Roman" w:cs="Times New Roman" w:eastAsia="Times New Roman" w:hAnsi="Times New Roman"/>
                <w:sz w:val="13"/>
                <w:szCs w:val="13"/>
                <w:color w:val="auto"/>
              </w:rPr>
              <w:t>Nine months ended</w:t>
            </w:r>
          </w:p>
        </w:tc>
        <w:tc>
          <w:tcPr>
            <w:tcW w:w="0" w:type="dxa"/>
            <w:vAlign w:val="bottom"/>
          </w:tcPr>
          <w:p>
            <w:pPr>
              <w:spacing w:after="0"/>
              <w:rPr>
                <w:sz w:val="1"/>
                <w:szCs w:val="1"/>
                <w:color w:val="auto"/>
              </w:rPr>
            </w:pPr>
          </w:p>
        </w:tc>
      </w:tr>
      <w:tr>
        <w:trPr>
          <w:trHeight w:val="104"/>
        </w:trPr>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0" w:type="dxa"/>
            <w:vAlign w:val="bottom"/>
            <w:tcBorders>
              <w:top w:val="single" w:sz="8" w:color="auto"/>
            </w:tcBorders>
            <w:gridSpan w:val="3"/>
          </w:tcPr>
          <w:p>
            <w:pPr>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top w:val="single" w:sz="8" w:color="auto"/>
            </w:tcBorders>
            <w:gridSpan w:val="3"/>
          </w:tcPr>
          <w:p>
            <w:pPr>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9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2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2025</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2024</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color w:val="auto"/>
              </w:rPr>
              <w:t>2025</w:t>
            </w:r>
          </w:p>
        </w:tc>
        <w:tc>
          <w:tcPr>
            <w:tcW w:w="5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tcBorders>
              <w:bottom w:val="single" w:sz="8" w:color="auto"/>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Net sales to external customers:</w:t>
            </w:r>
          </w:p>
        </w:tc>
        <w:tc>
          <w:tcPr>
            <w:tcW w:w="22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Front Line Care</w:t>
            </w:r>
          </w:p>
        </w:tc>
        <w:tc>
          <w:tcPr>
            <w:tcW w:w="96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1,634</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1,522</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4,752</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4,505</w:t>
            </w:r>
          </w:p>
        </w:tc>
        <w:tc>
          <w:tcPr>
            <w:tcW w:w="0" w:type="dxa"/>
            <w:vAlign w:val="bottom"/>
          </w:tcPr>
          <w:p>
            <w:pPr>
              <w:spacing w:after="0"/>
              <w:rPr>
                <w:sz w:val="1"/>
                <w:szCs w:val="1"/>
                <w:color w:val="auto"/>
              </w:rPr>
            </w:pPr>
          </w:p>
        </w:tc>
      </w:tr>
      <w:tr>
        <w:trPr>
          <w:trHeight w:val="192"/>
        </w:trPr>
        <w:tc>
          <w:tcPr>
            <w:tcW w:w="44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Surgical Solutions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1,538</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1,374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4,494</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3,982</w:t>
            </w:r>
          </w:p>
        </w:tc>
        <w:tc>
          <w:tcPr>
            <w:tcW w:w="0" w:type="dxa"/>
            <w:vAlign w:val="bottom"/>
          </w:tcPr>
          <w:p>
            <w:pPr>
              <w:spacing w:after="0"/>
              <w:rPr>
                <w:sz w:val="1"/>
                <w:szCs w:val="1"/>
                <w:color w:val="auto"/>
              </w:rPr>
            </w:pPr>
          </w:p>
        </w:tc>
      </w:tr>
      <w:tr>
        <w:trPr>
          <w:trHeight w:val="192"/>
        </w:trPr>
        <w:tc>
          <w:tcPr>
            <w:tcW w:w="4440" w:type="dxa"/>
            <w:vAlign w:val="bottom"/>
            <w:gridSpan w:val="3"/>
          </w:tcPr>
          <w:p>
            <w:pPr>
              <w:ind w:left="640"/>
              <w:spacing w:after="0"/>
              <w:rPr>
                <w:sz w:val="20"/>
                <w:szCs w:val="20"/>
                <w:color w:val="auto"/>
              </w:rPr>
            </w:pPr>
            <w:r>
              <w:rPr>
                <w:rFonts w:ascii="Times New Roman" w:cs="Times New Roman" w:eastAsia="Times New Roman" w:hAnsi="Times New Roman"/>
                <w:sz w:val="16"/>
                <w:szCs w:val="16"/>
                <w:color w:val="auto"/>
              </w:rPr>
              <w:t>Laboratory and Diagnostics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751</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Medline Brand</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3,411</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3,123</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9,997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9,186</w:t>
            </w:r>
          </w:p>
        </w:tc>
        <w:tc>
          <w:tcPr>
            <w:tcW w:w="0" w:type="dxa"/>
            <w:vAlign w:val="bottom"/>
          </w:tcPr>
          <w:p>
            <w:pPr>
              <w:spacing w:after="0"/>
              <w:rPr>
                <w:sz w:val="1"/>
                <w:szCs w:val="1"/>
                <w:color w:val="auto"/>
              </w:rPr>
            </w:pPr>
          </w:p>
        </w:tc>
      </w:tr>
      <w:tr>
        <w:trPr>
          <w:trHeight w:val="192"/>
        </w:trPr>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Supply Chain Solutions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3,265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10,648</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9,537</w:t>
            </w: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net sales to external customers</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7,115</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6,388</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20,645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18,723</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Segment Adjusted EBITDA:</w:t>
            </w: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440" w:type="dxa"/>
            <w:vAlign w:val="bottom"/>
            <w:gridSpan w:val="3"/>
            <w:vMerge w:val="continue"/>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94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Medline Brand</w:t>
            </w:r>
          </w:p>
        </w:tc>
        <w:tc>
          <w:tcPr>
            <w:tcW w:w="2500" w:type="dxa"/>
            <w:vAlign w:val="bottom"/>
            <w:gridSpan w:val="2"/>
            <w:shd w:val="clear" w:color="auto" w:fill="CCEEFF"/>
          </w:tcPr>
          <w:p>
            <w:pPr>
              <w:spacing w:after="0"/>
              <w:rPr>
                <w:sz w:val="17"/>
                <w:szCs w:val="17"/>
                <w:color w:val="auto"/>
              </w:rPr>
            </w:pP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821</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850</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2,541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2,445</w:t>
            </w:r>
          </w:p>
        </w:tc>
        <w:tc>
          <w:tcPr>
            <w:tcW w:w="0" w:type="dxa"/>
            <w:vAlign w:val="bottom"/>
          </w:tcPr>
          <w:p>
            <w:pPr>
              <w:spacing w:after="0"/>
              <w:rPr>
                <w:sz w:val="1"/>
                <w:szCs w:val="1"/>
                <w:color w:val="auto"/>
              </w:rPr>
            </w:pPr>
          </w:p>
        </w:tc>
      </w:tr>
      <w:tr>
        <w:trPr>
          <w:trHeight w:val="192"/>
        </w:trPr>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Supply Chain Solutions</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157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479</w:t>
            </w: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1,007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3,129</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2,924</w:t>
            </w:r>
          </w:p>
        </w:tc>
        <w:tc>
          <w:tcPr>
            <w:tcW w:w="0" w:type="dxa"/>
            <w:vAlign w:val="bottom"/>
          </w:tcPr>
          <w:p>
            <w:pPr>
              <w:spacing w:after="0"/>
              <w:rPr>
                <w:sz w:val="1"/>
                <w:szCs w:val="1"/>
                <w:color w:val="auto"/>
              </w:rPr>
            </w:pPr>
          </w:p>
        </w:tc>
      </w:tr>
      <w:tr>
        <w:trPr>
          <w:trHeight w:val="196"/>
        </w:trPr>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Corporate &amp; Other</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(646)</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192"/>
        </w:trPr>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(750)</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(724)</w:t>
            </w:r>
          </w:p>
        </w:tc>
        <w:tc>
          <w:tcPr>
            <w:tcW w:w="0" w:type="dxa"/>
            <w:vAlign w:val="bottom"/>
          </w:tcPr>
          <w:p>
            <w:pPr>
              <w:spacing w:after="0"/>
              <w:rPr>
                <w:sz w:val="1"/>
                <w:szCs w:val="1"/>
                <w:color w:val="auto"/>
              </w:rPr>
            </w:pPr>
          </w:p>
        </w:tc>
      </w:tr>
      <w:tr>
        <w:trPr>
          <w:trHeight w:val="192"/>
        </w:trPr>
        <w:tc>
          <w:tcPr>
            <w:tcW w:w="4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Inventory-related adjustments</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92"/>
        </w:trPr>
        <w:tc>
          <w:tcPr>
            <w:tcW w:w="44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(52)</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92"/>
        </w:trPr>
        <w:tc>
          <w:tcPr>
            <w:tcW w:w="44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Litigation (charges) gains, net</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2"/>
        </w:trPr>
        <w:tc>
          <w:tcPr>
            <w:tcW w:w="4440" w:type="dxa"/>
            <w:vAlign w:val="bottom"/>
            <w:gridSpan w:val="3"/>
          </w:tcPr>
          <w:p>
            <w:pPr>
              <w:ind w:left="320"/>
              <w:spacing w:after="0" w:line="191" w:lineRule="exact"/>
              <w:rPr>
                <w:sz w:val="20"/>
                <w:szCs w:val="20"/>
                <w:color w:val="auto"/>
              </w:rPr>
            </w:pPr>
            <w:r>
              <w:rPr>
                <w:rFonts w:ascii="Times New Roman" w:cs="Times New Roman" w:eastAsia="Times New Roman" w:hAnsi="Times New Roman"/>
                <w:sz w:val="15"/>
                <w:szCs w:val="15"/>
                <w:color w:val="auto"/>
              </w:rPr>
              <w:t xml:space="preserve">Other non-core charges, net </w:t>
            </w:r>
            <w:r>
              <w:rPr>
                <w:rFonts w:ascii="Times New Roman" w:cs="Times New Roman" w:eastAsia="Times New Roman" w:hAnsi="Times New Roman"/>
                <w:sz w:val="22"/>
                <w:szCs w:val="22"/>
                <w:color w:val="auto"/>
                <w:vertAlign w:val="superscript"/>
              </w:rPr>
              <w:t>(a)</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(181)</w:t>
            </w:r>
          </w:p>
        </w:tc>
        <w:tc>
          <w:tcPr>
            <w:tcW w:w="16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4"/>
        </w:trPr>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4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345</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338</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941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120" w:right="80" w:hanging="382"/>
        <w:spacing w:after="0" w:line="220" w:lineRule="auto"/>
        <w:tabs>
          <w:tab w:leader="none" w:pos="1120" w:val="left"/>
        </w:tabs>
        <w:numPr>
          <w:ilvl w:val="0"/>
          <w:numId w:val="1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Represents loss on debt extinguishment and other refinancing costs and fees, credit loss expense related to customer bankruptcies, costs incurred in contemplation of a potential offering of company shares, acquisition and integration related costs, loss on disposals of assets and exits, realized and unrealized foreign currency and investment losses and costs and other items.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color w:val="auto"/>
        </w:rPr>
        <w:t>The following tables present information by sales office and geographic area:</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6"/>
          </w:tcPr>
          <w:p>
            <w:pPr>
              <w:jc w:val="right"/>
              <w:ind w:right="920"/>
              <w:spacing w:after="0"/>
              <w:rPr>
                <w:sz w:val="20"/>
                <w:szCs w:val="20"/>
                <w:color w:val="auto"/>
              </w:rPr>
            </w:pPr>
            <w:r>
              <w:rPr>
                <w:rFonts w:ascii="Times New Roman" w:cs="Times New Roman" w:eastAsia="Times New Roman" w:hAnsi="Times New Roman"/>
                <w:sz w:val="13"/>
                <w:szCs w:val="13"/>
                <w:color w:val="auto"/>
              </w:rPr>
              <w:t>Three months ended</w:t>
            </w:r>
          </w:p>
        </w:tc>
        <w:tc>
          <w:tcPr>
            <w:tcW w:w="180" w:type="dxa"/>
            <w:vAlign w:val="bottom"/>
          </w:tcPr>
          <w:p>
            <w:pPr>
              <w:spacing w:after="0"/>
              <w:rPr>
                <w:sz w:val="13"/>
                <w:szCs w:val="13"/>
                <w:color w:val="auto"/>
              </w:rPr>
            </w:pPr>
          </w:p>
        </w:tc>
        <w:tc>
          <w:tcPr>
            <w:tcW w:w="1820" w:type="dxa"/>
            <w:vAlign w:val="bottom"/>
            <w:gridSpan w:val="6"/>
          </w:tcPr>
          <w:p>
            <w:pPr>
              <w:jc w:val="right"/>
              <w:ind w:right="520"/>
              <w:spacing w:after="0"/>
              <w:rPr>
                <w:sz w:val="20"/>
                <w:szCs w:val="20"/>
                <w:color w:val="auto"/>
              </w:rPr>
            </w:pPr>
            <w:r>
              <w:rPr>
                <w:rFonts w:ascii="Times New Roman" w:cs="Times New Roman" w:eastAsia="Times New Roman" w:hAnsi="Times New Roman"/>
                <w:sz w:val="13"/>
                <w:szCs w:val="13"/>
                <w:color w:val="auto"/>
              </w:rPr>
              <w:t>Nine months ended</w:t>
            </w:r>
          </w:p>
        </w:tc>
        <w:tc>
          <w:tcPr>
            <w:tcW w:w="0" w:type="dxa"/>
            <w:vAlign w:val="bottom"/>
          </w:tcPr>
          <w:p>
            <w:pPr>
              <w:spacing w:after="0"/>
              <w:rPr>
                <w:sz w:val="1"/>
                <w:szCs w:val="1"/>
                <w:color w:val="auto"/>
              </w:rPr>
            </w:pPr>
          </w:p>
        </w:tc>
      </w:tr>
      <w:tr>
        <w:trPr>
          <w:trHeight w:val="104"/>
        </w:trPr>
        <w:tc>
          <w:tcPr>
            <w:tcW w:w="2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60" w:type="dxa"/>
            <w:vAlign w:val="bottom"/>
            <w:tcBorders>
              <w:top w:val="single" w:sz="8" w:color="auto"/>
            </w:tcBorders>
            <w:gridSpan w:val="3"/>
          </w:tcPr>
          <w:p>
            <w:pPr>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2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460" w:type="dxa"/>
            <w:vAlign w:val="bottom"/>
          </w:tcPr>
          <w:p>
            <w:pPr>
              <w:spacing w:after="0"/>
              <w:rPr>
                <w:sz w:val="9"/>
                <w:szCs w:val="9"/>
                <w:color w:val="auto"/>
              </w:rPr>
            </w:pPr>
          </w:p>
        </w:tc>
        <w:tc>
          <w:tcPr>
            <w:tcW w:w="980" w:type="dxa"/>
            <w:vAlign w:val="bottom"/>
            <w:tcBorders>
              <w:top w:val="single" w:sz="8" w:color="auto"/>
            </w:tcBorders>
            <w:gridSpan w:val="3"/>
          </w:tcPr>
          <w:p>
            <w:pPr>
              <w:ind w:left="20"/>
              <w:spacing w:after="0" w:line="104" w:lineRule="exact"/>
              <w:rPr>
                <w:sz w:val="20"/>
                <w:szCs w:val="20"/>
                <w:color w:val="auto"/>
              </w:rPr>
            </w:pPr>
            <w:r>
              <w:rPr>
                <w:rFonts w:ascii="Times New Roman" w:cs="Times New Roman" w:eastAsia="Times New Roman" w:hAnsi="Times New Roman"/>
                <w:sz w:val="12"/>
                <w:szCs w:val="12"/>
                <w:color w:val="auto"/>
              </w:rPr>
              <w:t>September 27,</w:t>
            </w:r>
          </w:p>
        </w:tc>
        <w:tc>
          <w:tcPr>
            <w:tcW w:w="2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gridSpan w:val="2"/>
          </w:tcPr>
          <w:p>
            <w:pPr>
              <w:spacing w:after="0" w:line="104" w:lineRule="exact"/>
              <w:rPr>
                <w:sz w:val="20"/>
                <w:szCs w:val="20"/>
                <w:color w:val="auto"/>
              </w:rPr>
            </w:pPr>
            <w:r>
              <w:rPr>
                <w:rFonts w:ascii="Times New Roman" w:cs="Times New Roman" w:eastAsia="Times New Roman" w:hAnsi="Times New Roman"/>
                <w:sz w:val="12"/>
                <w:szCs w:val="12"/>
                <w:color w:val="auto"/>
              </w:rPr>
              <w:t>September 28,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2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18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color w:val="auto"/>
              </w:rPr>
              <w:t>2025</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2024</w:t>
            </w:r>
          </w:p>
        </w:tc>
        <w:tc>
          <w:tcPr>
            <w:tcW w:w="4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3"/>
                <w:szCs w:val="13"/>
                <w:color w:val="auto"/>
              </w:rPr>
              <w:t>2025</w:t>
            </w:r>
          </w:p>
        </w:tc>
        <w:tc>
          <w:tcPr>
            <w:tcW w:w="2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3"/>
                <w:szCs w:val="13"/>
                <w:color w:val="auto"/>
              </w:rPr>
              <w:t>2024</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160" w:type="dxa"/>
            <w:vAlign w:val="bottom"/>
            <w:tcBorders>
              <w:bottom w:val="single" w:sz="8" w:color="auto"/>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auto"/>
              </w:rPr>
              <w:t>Net sales to external customers:</w:t>
            </w:r>
          </w:p>
        </w:tc>
        <w:tc>
          <w:tcPr>
            <w:tcW w:w="186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38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5"/>
                <w:szCs w:val="15"/>
                <w:color w:val="auto"/>
              </w:rPr>
              <w:t xml:space="preserve">Acute care </w:t>
            </w:r>
            <w:r>
              <w:rPr>
                <w:rFonts w:ascii="Times New Roman" w:cs="Times New Roman" w:eastAsia="Times New Roman" w:hAnsi="Times New Roman"/>
                <w:sz w:val="22"/>
                <w:szCs w:val="22"/>
                <w:color w:val="auto"/>
                <w:vertAlign w:val="superscript"/>
              </w:rPr>
              <w:t>(a)</w:t>
            </w:r>
          </w:p>
        </w:tc>
        <w:tc>
          <w:tcPr>
            <w:tcW w:w="150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4,880</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rPr>
              <w:t>4,375</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14,168</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12,891</w:t>
            </w:r>
          </w:p>
        </w:tc>
        <w:tc>
          <w:tcPr>
            <w:tcW w:w="0" w:type="dxa"/>
            <w:vAlign w:val="bottom"/>
          </w:tcPr>
          <w:p>
            <w:pPr>
              <w:spacing w:after="0"/>
              <w:rPr>
                <w:sz w:val="1"/>
                <w:szCs w:val="1"/>
                <w:color w:val="auto"/>
              </w:rPr>
            </w:pPr>
          </w:p>
        </w:tc>
      </w:tr>
      <w:tr>
        <w:trPr>
          <w:trHeight w:val="192"/>
        </w:trPr>
        <w:tc>
          <w:tcPr>
            <w:tcW w:w="220" w:type="dxa"/>
            <w:vAlign w:val="bottom"/>
            <w:shd w:val="clear" w:color="auto" w:fill="CCEEFF"/>
          </w:tcPr>
          <w:p>
            <w:pPr>
              <w:spacing w:after="0"/>
              <w:rPr>
                <w:sz w:val="16"/>
                <w:szCs w:val="16"/>
                <w:color w:val="auto"/>
              </w:rPr>
            </w:pPr>
          </w:p>
        </w:tc>
        <w:tc>
          <w:tcPr>
            <w:tcW w:w="3800" w:type="dxa"/>
            <w:vAlign w:val="bottom"/>
            <w:gridSpan w:val="2"/>
            <w:shd w:val="clear" w:color="auto" w:fill="CCEEFF"/>
          </w:tcPr>
          <w:p>
            <w:pPr>
              <w:ind w:left="100"/>
              <w:spacing w:after="0" w:line="191" w:lineRule="exact"/>
              <w:rPr>
                <w:sz w:val="20"/>
                <w:szCs w:val="20"/>
                <w:color w:val="auto"/>
              </w:rPr>
            </w:pPr>
            <w:r>
              <w:rPr>
                <w:rFonts w:ascii="Times New Roman" w:cs="Times New Roman" w:eastAsia="Times New Roman" w:hAnsi="Times New Roman"/>
                <w:sz w:val="15"/>
                <w:szCs w:val="15"/>
                <w:color w:val="auto"/>
              </w:rPr>
              <w:t xml:space="preserve">Non-Acute care </w:t>
            </w:r>
            <w:r>
              <w:rPr>
                <w:rFonts w:ascii="Times New Roman" w:cs="Times New Roman" w:eastAsia="Times New Roman" w:hAnsi="Times New Roman"/>
                <w:sz w:val="22"/>
                <w:szCs w:val="22"/>
                <w:color w:val="auto"/>
                <w:vertAlign w:val="superscript"/>
              </w:rPr>
              <w:t>(b)</w:t>
            </w: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1,756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1,581</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5,061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4,550</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80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United States</w:t>
            </w:r>
          </w:p>
        </w:tc>
        <w:tc>
          <w:tcPr>
            <w:tcW w:w="1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4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0" w:type="dxa"/>
            <w:vAlign w:val="bottom"/>
            <w:shd w:val="clear" w:color="auto" w:fill="CCEEFF"/>
          </w:tcPr>
          <w:p>
            <w:pPr>
              <w:spacing w:after="0"/>
              <w:rPr>
                <w:sz w:val="16"/>
                <w:szCs w:val="16"/>
                <w:color w:val="auto"/>
              </w:rPr>
            </w:pPr>
          </w:p>
        </w:tc>
        <w:tc>
          <w:tcPr>
            <w:tcW w:w="3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International</w:t>
            </w:r>
          </w:p>
        </w:tc>
        <w:tc>
          <w:tcPr>
            <w:tcW w:w="1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1,416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1,282</w:t>
            </w:r>
          </w:p>
        </w:tc>
        <w:tc>
          <w:tcPr>
            <w:tcW w:w="0" w:type="dxa"/>
            <w:vAlign w:val="bottom"/>
          </w:tcPr>
          <w:p>
            <w:pPr>
              <w:spacing w:after="0"/>
              <w:rPr>
                <w:sz w:val="1"/>
                <w:szCs w:val="1"/>
                <w:color w:val="auto"/>
              </w:rPr>
            </w:pPr>
          </w:p>
        </w:tc>
      </w:tr>
      <w:tr>
        <w:trPr>
          <w:trHeight w:val="196"/>
        </w:trPr>
        <w:tc>
          <w:tcPr>
            <w:tcW w:w="4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Consolidated net sales to external customers</w:t>
            </w:r>
          </w:p>
        </w:tc>
        <w:tc>
          <w:tcPr>
            <w:tcW w:w="13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6,388</w:t>
            </w:r>
          </w:p>
        </w:tc>
        <w:tc>
          <w:tcPr>
            <w:tcW w:w="46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20,645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(a)</w:t>
            </w:r>
          </w:p>
        </w:tc>
        <w:tc>
          <w:tcPr>
            <w:tcW w:w="3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Acute care represents hospital health systems.</w:t>
            </w: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20" w:type="dxa"/>
            <w:vAlign w:val="bottom"/>
            <w:vMerge w:val="continue"/>
          </w:tcPr>
          <w:p>
            <w:pPr>
              <w:spacing w:after="0"/>
              <w:rPr>
                <w:sz w:val="24"/>
                <w:szCs w:val="24"/>
                <w:color w:val="auto"/>
              </w:rPr>
            </w:pPr>
          </w:p>
        </w:tc>
        <w:tc>
          <w:tcPr>
            <w:tcW w:w="380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00" w:type="dxa"/>
            <w:vAlign w:val="bottom"/>
            <w:gridSpan w:val="2"/>
          </w:tcPr>
          <w:p>
            <w:pPr>
              <w:jc w:val="right"/>
              <w:ind w:right="411"/>
              <w:spacing w:after="0"/>
              <w:rPr>
                <w:sz w:val="20"/>
                <w:szCs w:val="20"/>
                <w:color w:val="auto"/>
              </w:rPr>
            </w:pPr>
            <w:r>
              <w:rPr>
                <w:rFonts w:ascii="Times New Roman" w:cs="Times New Roman" w:eastAsia="Times New Roman" w:hAnsi="Times New Roman"/>
                <w:sz w:val="16"/>
                <w:szCs w:val="16"/>
                <w:color w:val="auto"/>
              </w:rPr>
              <w:t>F-84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320" w:top="420" w:right="107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5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88200" cy="35560"/>
                    </a:xfrm>
                    <a:prstGeom prst="rect">
                      <a:avLst/>
                    </a:prstGeom>
                    <a:noFill/>
                  </pic:spPr>
                </pic:pic>
              </a:graphicData>
            </a:graphic>
          </wp:anchor>
        </w:drawing>
        <w:t>Table of Contents</w:t>
      </w:r>
    </w:p>
    <w:p>
      <w:pPr>
        <w:spacing w:after="0" w:line="285"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MEDLINE HOLDINGS, LP AND SUBSIDIARIES</w:t>
      </w:r>
    </w:p>
    <w:p>
      <w:pPr>
        <w:spacing w:after="0" w:line="24" w:lineRule="exact"/>
        <w:rPr>
          <w:sz w:val="20"/>
          <w:szCs w:val="20"/>
          <w:color w:val="auto"/>
        </w:rPr>
      </w:pPr>
    </w:p>
    <w:p>
      <w:pPr>
        <w:jc w:val="center"/>
        <w:ind w:right="-999"/>
        <w:spacing w:after="0"/>
        <w:rPr>
          <w:sz w:val="20"/>
          <w:szCs w:val="20"/>
          <w:color w:val="auto"/>
        </w:rPr>
      </w:pPr>
      <w:r>
        <w:rPr>
          <w:rFonts w:ascii="Times New Roman" w:cs="Times New Roman" w:eastAsia="Times New Roman" w:hAnsi="Times New Roman"/>
          <w:sz w:val="16"/>
          <w:szCs w:val="16"/>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80645</wp:posOffset>
            </wp:positionV>
            <wp:extent cx="6205220" cy="762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9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15 - SEGMENT INFORMATION (Continued)</w:t>
      </w:r>
    </w:p>
    <w:p>
      <w:pPr>
        <w:spacing w:after="0" w:line="50" w:lineRule="exact"/>
        <w:rPr>
          <w:sz w:val="20"/>
          <w:szCs w:val="20"/>
          <w:color w:val="auto"/>
        </w:rPr>
      </w:pPr>
    </w:p>
    <w:p>
      <w:pPr>
        <w:ind w:left="1120" w:hanging="382"/>
        <w:spacing w:after="0"/>
        <w:tabs>
          <w:tab w:leader="none" w:pos="1120" w:val="left"/>
        </w:tabs>
        <w:numPr>
          <w:ilvl w:val="0"/>
          <w:numId w:val="1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Non-Acute care represents other sites of care including outpatient, post acute, physician’s office, surgery centers, and all other.</w:t>
      </w:r>
    </w:p>
    <w:p>
      <w:pPr>
        <w:spacing w:after="0" w:line="178" w:lineRule="exact"/>
        <w:rPr>
          <w:sz w:val="20"/>
          <w:szCs w:val="20"/>
          <w:color w:val="auto"/>
        </w:rPr>
      </w:pPr>
    </w:p>
    <w:tbl>
      <w:tblPr>
        <w:tblLayout w:type="fixed"/>
        <w:tblInd w:w="192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8"/>
              </w:rPr>
              <w:t>September 27,</w:t>
            </w:r>
          </w:p>
        </w:tc>
        <w:tc>
          <w:tcPr>
            <w:tcW w:w="60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December 31,</w:t>
            </w:r>
          </w:p>
        </w:tc>
      </w:tr>
      <w:tr>
        <w:trPr>
          <w:trHeight w:val="152"/>
        </w:trPr>
        <w:tc>
          <w:tcPr>
            <w:tcW w:w="262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3"/>
                <w:szCs w:val="13"/>
                <w:color w:val="auto"/>
              </w:rPr>
              <w:t>2025</w:t>
            </w: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3"/>
                <w:szCs w:val="13"/>
                <w:color w:val="auto"/>
              </w:rPr>
              <w:t>2024</w:t>
            </w:r>
          </w:p>
        </w:tc>
        <w:tc>
          <w:tcPr>
            <w:tcW w:w="60" w:type="dxa"/>
            <w:vAlign w:val="bottom"/>
            <w:tcBorders>
              <w:bottom w:val="single" w:sz="8" w:color="CCEEFF"/>
            </w:tcBorders>
          </w:tcPr>
          <w:p>
            <w:pPr>
              <w:spacing w:after="0"/>
              <w:rPr>
                <w:sz w:val="13"/>
                <w:szCs w:val="13"/>
                <w:color w:val="auto"/>
              </w:rPr>
            </w:pPr>
          </w:p>
        </w:tc>
      </w:tr>
      <w:tr>
        <w:trPr>
          <w:trHeight w:val="152"/>
        </w:trPr>
        <w:tc>
          <w:tcPr>
            <w:tcW w:w="528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1"/>
                <w:szCs w:val="11"/>
                <w:b w:val="1"/>
                <w:bCs w:val="1"/>
                <w:color w:val="auto"/>
              </w:rPr>
              <w:t>Long-lived assets by geographical area</w:t>
            </w:r>
            <w:r>
              <w:rPr>
                <w:rFonts w:ascii="Times New Roman" w:cs="Times New Roman" w:eastAsia="Times New Roman" w:hAnsi="Times New Roman"/>
                <w:sz w:val="15"/>
                <w:szCs w:val="15"/>
                <w:b w:val="1"/>
                <w:bCs w:val="1"/>
                <w:color w:val="auto"/>
                <w:vertAlign w:val="superscript"/>
              </w:rPr>
              <w:t>(a)</w:t>
            </w: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92"/>
        </w:trPr>
        <w:tc>
          <w:tcPr>
            <w:tcW w:w="26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United States</w:t>
            </w:r>
          </w:p>
        </w:tc>
        <w:tc>
          <w:tcPr>
            <w:tcW w:w="2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4,393</w:t>
            </w:r>
          </w:p>
        </w:tc>
        <w:tc>
          <w:tcPr>
            <w:tcW w:w="760" w:type="dxa"/>
            <w:vAlign w:val="bottom"/>
            <w:tcBorders>
              <w:top w:val="single" w:sz="8" w:color="CCEEFF"/>
            </w:tcBorders>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4,329</w:t>
            </w:r>
          </w:p>
        </w:tc>
      </w:tr>
      <w:tr>
        <w:trPr>
          <w:trHeight w:val="192"/>
        </w:trPr>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650</w:t>
            </w:r>
          </w:p>
        </w:tc>
      </w:tr>
      <w:tr>
        <w:trPr>
          <w:trHeight w:val="196"/>
        </w:trPr>
        <w:tc>
          <w:tcPr>
            <w:tcW w:w="5280" w:type="dxa"/>
            <w:vAlign w:val="bottom"/>
            <w:gridSpan w:val="2"/>
          </w:tcPr>
          <w:p>
            <w:pPr>
              <w:ind w:left="640"/>
              <w:spacing w:after="0"/>
              <w:rPr>
                <w:sz w:val="20"/>
                <w:szCs w:val="20"/>
                <w:color w:val="auto"/>
              </w:rPr>
            </w:pPr>
            <w:r>
              <w:rPr>
                <w:rFonts w:ascii="Times New Roman" w:cs="Times New Roman" w:eastAsia="Times New Roman" w:hAnsi="Times New Roman"/>
                <w:sz w:val="16"/>
                <w:szCs w:val="16"/>
                <w:b w:val="1"/>
                <w:bCs w:val="1"/>
                <w:color w:val="auto"/>
              </w:rPr>
              <w:t>Consolidated long-lived assets,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5,135</w:t>
            </w:r>
          </w:p>
        </w:tc>
        <w:tc>
          <w:tcPr>
            <w:tcW w:w="2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4,979</w:t>
            </w:r>
          </w:p>
        </w:tc>
        <w:tc>
          <w:tcPr>
            <w:tcW w:w="60" w:type="dxa"/>
            <w:vAlign w:val="bottom"/>
          </w:tcPr>
          <w:p>
            <w:pPr>
              <w:spacing w:after="0"/>
              <w:rPr>
                <w:sz w:val="17"/>
                <w:szCs w:val="17"/>
                <w:color w:val="auto"/>
              </w:rPr>
            </w:pPr>
          </w:p>
        </w:tc>
      </w:tr>
      <w:tr>
        <w:trPr>
          <w:trHeight w:val="20"/>
        </w:trPr>
        <w:tc>
          <w:tcPr>
            <w:tcW w:w="2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3" w:lineRule="exact"/>
        <w:rPr>
          <w:sz w:val="20"/>
          <w:szCs w:val="20"/>
          <w:color w:val="auto"/>
        </w:rPr>
      </w:pPr>
    </w:p>
    <w:p>
      <w:pPr>
        <w:ind w:left="1120" w:hanging="382"/>
        <w:spacing w:after="0"/>
        <w:tabs>
          <w:tab w:leader="none" w:pos="1120" w:val="left"/>
        </w:tabs>
        <w:numPr>
          <w:ilvl w:val="0"/>
          <w:numId w:val="1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property, plant, and equipment, net, and operating lease right-of-use assets.</w:t>
      </w:r>
    </w:p>
    <w:p>
      <w:pPr>
        <w:spacing w:after="0" w:line="26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NOTE 16 - SUBSEQUENT EVENTS</w:t>
      </w:r>
    </w:p>
    <w:p>
      <w:pPr>
        <w:spacing w:after="0" w:line="105" w:lineRule="exact"/>
        <w:rPr>
          <w:sz w:val="20"/>
          <w:szCs w:val="20"/>
          <w:color w:val="auto"/>
        </w:rPr>
      </w:pPr>
    </w:p>
    <w:p>
      <w:pPr>
        <w:ind w:left="740"/>
        <w:spacing w:after="0" w:line="281" w:lineRule="auto"/>
        <w:rPr>
          <w:sz w:val="20"/>
          <w:szCs w:val="20"/>
          <w:color w:val="auto"/>
        </w:rPr>
      </w:pPr>
      <w:r>
        <w:rPr>
          <w:rFonts w:ascii="Times New Roman" w:cs="Times New Roman" w:eastAsia="Times New Roman" w:hAnsi="Times New Roman"/>
          <w:sz w:val="16"/>
          <w:szCs w:val="16"/>
          <w:color w:val="auto"/>
        </w:rPr>
        <w:t>The Company has evaluated its condensed consolidated financial statements for subsequent events through October 29, 2025, the date the condensed consolidated financial statements were available to be issued.</w:t>
      </w:r>
    </w:p>
    <w:p>
      <w:pPr>
        <w:spacing w:after="0" w:line="8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6"/>
          <w:szCs w:val="16"/>
          <w:color w:val="auto"/>
        </w:rPr>
        <w:t>F-85</w:t>
      </w:r>
    </w:p>
    <w:p>
      <w:pPr>
        <w:sectPr>
          <w:pgSz w:w="11900" w:h="16838" w:orient="portrait"/>
          <w:cols w:equalWidth="0" w:num="1">
            <w:col w:w="10260"/>
          </w:cols>
          <w:pgMar w:left="320" w:top="420" w:right="131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187960</wp:posOffset>
            </wp:positionH>
            <wp:positionV relativeFrom="page">
              <wp:posOffset>88900</wp:posOffset>
            </wp:positionV>
            <wp:extent cx="7188200" cy="349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88200" cy="3492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213995</wp:posOffset>
            </wp:positionV>
            <wp:extent cx="6205220" cy="152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205220" cy="1524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259715</wp:posOffset>
            </wp:positionV>
            <wp:extent cx="6205220" cy="76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20522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6"/>
          <w:szCs w:val="26"/>
          <w:b w:val="1"/>
          <w:bCs w:val="1"/>
          <w:color w:val="auto"/>
        </w:rPr>
        <w:t>216,034,482 Shares</w:t>
      </w:r>
    </w:p>
    <w:p>
      <w:pPr>
        <w:spacing w:after="0" w:line="18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8"/>
          <w:szCs w:val="38"/>
          <w:b w:val="1"/>
          <w:bCs w:val="1"/>
          <w:color w:val="auto"/>
        </w:rPr>
        <w:t>Medline Inc.</w:t>
      </w:r>
    </w:p>
    <w:p>
      <w:pPr>
        <w:spacing w:after="0" w:line="2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958215</wp:posOffset>
            </wp:positionV>
            <wp:extent cx="1308100" cy="762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08100" cy="7620"/>
                    </a:xfrm>
                    <a:prstGeom prst="rect">
                      <a:avLst/>
                    </a:prstGeom>
                    <a:noFill/>
                  </pic:spPr>
                </pic:pic>
              </a:graphicData>
            </a:graphic>
          </wp:anchor>
        </w:drawing>
        <w:drawing>
          <wp:anchor simplePos="0" relativeHeight="251657728" behindDoc="1" locked="0" layoutInCell="0" allowOverlap="1">
            <wp:simplePos x="0" y="0"/>
            <wp:positionH relativeFrom="column">
              <wp:posOffset>3274695</wp:posOffset>
            </wp:positionH>
            <wp:positionV relativeFrom="paragraph">
              <wp:posOffset>159385</wp:posOffset>
            </wp:positionV>
            <wp:extent cx="593090" cy="5930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93090" cy="59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9"/>
          <w:szCs w:val="19"/>
          <w:b w:val="1"/>
          <w:bCs w:val="1"/>
          <w:color w:val="auto"/>
        </w:rPr>
        <w:t>PROSPECTUS</w:t>
      </w:r>
    </w:p>
    <w:p>
      <w:pPr>
        <w:spacing w:after="0" w:line="10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December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2917190</wp:posOffset>
            </wp:positionH>
            <wp:positionV relativeFrom="paragraph">
              <wp:posOffset>213995</wp:posOffset>
            </wp:positionV>
            <wp:extent cx="1308100" cy="76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308100" cy="76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i w:val="1"/>
          <w:iCs w:val="1"/>
          <w:color w:val="auto"/>
        </w:rPr>
        <w:t>Global Coordinators and Joint Bookrunning Managers</w:t>
      </w:r>
    </w:p>
    <w:p>
      <w:pPr>
        <w:spacing w:after="0" w:line="206" w:lineRule="exact"/>
        <w:rPr>
          <w:sz w:val="20"/>
          <w:szCs w:val="20"/>
          <w:color w:val="auto"/>
        </w:rPr>
      </w:pPr>
    </w:p>
    <w:tbl>
      <w:tblPr>
        <w:tblLayout w:type="fixed"/>
        <w:tblInd w:w="1380" w:type="dxa"/>
        <w:tblCellMar>
          <w:top w:w="0" w:type="dxa"/>
          <w:left w:w="0" w:type="dxa"/>
          <w:bottom w:w="0" w:type="dxa"/>
          <w:right w:w="0" w:type="dxa"/>
        </w:tblCellMar>
      </w:tblPr>
      <w:tr>
        <w:trPr>
          <w:trHeight w:val="297"/>
        </w:trPr>
        <w:tc>
          <w:tcPr>
            <w:tcW w:w="5780" w:type="dxa"/>
            <w:vAlign w:val="bottom"/>
            <w:gridSpan w:val="2"/>
          </w:tcPr>
          <w:p>
            <w:pPr>
              <w:jc w:val="center"/>
              <w:ind w:right="1298"/>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c>
          <w:tcPr>
            <w:tcW w:w="27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Morgan Stanley</w:t>
            </w:r>
          </w:p>
        </w:tc>
      </w:tr>
      <w:tr>
        <w:trPr>
          <w:trHeight w:val="359"/>
        </w:trPr>
        <w:tc>
          <w:tcPr>
            <w:tcW w:w="3080" w:type="dxa"/>
            <w:vAlign w:val="bottom"/>
          </w:tcPr>
          <w:p>
            <w:pPr>
              <w:jc w:val="center"/>
              <w:ind w:left="1237"/>
              <w:spacing w:after="0"/>
              <w:rPr>
                <w:sz w:val="20"/>
                <w:szCs w:val="20"/>
                <w:color w:val="auto"/>
              </w:rPr>
            </w:pPr>
            <w:r>
              <w:rPr>
                <w:rFonts w:ascii="Times New Roman" w:cs="Times New Roman" w:eastAsia="Times New Roman" w:hAnsi="Times New Roman"/>
                <w:sz w:val="22"/>
                <w:szCs w:val="22"/>
                <w:b w:val="1"/>
                <w:bCs w:val="1"/>
                <w:color w:val="auto"/>
              </w:rPr>
              <w:t>BofA Securities</w:t>
            </w:r>
          </w:p>
        </w:tc>
        <w:tc>
          <w:tcPr>
            <w:tcW w:w="2700" w:type="dxa"/>
            <w:vAlign w:val="bottom"/>
          </w:tcPr>
          <w:p>
            <w:pPr>
              <w:spacing w:after="0"/>
              <w:rPr>
                <w:sz w:val="24"/>
                <w:szCs w:val="24"/>
                <w:color w:val="auto"/>
              </w:rPr>
            </w:pPr>
          </w:p>
        </w:tc>
        <w:tc>
          <w:tcPr>
            <w:tcW w:w="2700" w:type="dxa"/>
            <w:vAlign w:val="bottom"/>
          </w:tcPr>
          <w:p>
            <w:pPr>
              <w:ind w:left="760"/>
              <w:spacing w:after="0"/>
              <w:rPr>
                <w:sz w:val="20"/>
                <w:szCs w:val="20"/>
                <w:color w:val="auto"/>
              </w:rPr>
            </w:pPr>
            <w:r>
              <w:rPr>
                <w:rFonts w:ascii="Times New Roman" w:cs="Times New Roman" w:eastAsia="Times New Roman" w:hAnsi="Times New Roman"/>
                <w:sz w:val="22"/>
                <w:szCs w:val="22"/>
                <w:b w:val="1"/>
                <w:bCs w:val="1"/>
                <w:color w:val="auto"/>
              </w:rPr>
              <w:t>J.P. Morgan</w:t>
            </w:r>
          </w:p>
        </w:tc>
      </w:tr>
      <w:tr>
        <w:trPr>
          <w:trHeight w:val="279"/>
        </w:trPr>
        <w:tc>
          <w:tcPr>
            <w:tcW w:w="3080" w:type="dxa"/>
            <w:vAlign w:val="bottom"/>
          </w:tcPr>
          <w:p>
            <w:pPr>
              <w:spacing w:after="0"/>
              <w:rPr>
                <w:sz w:val="24"/>
                <w:szCs w:val="24"/>
                <w:color w:val="auto"/>
              </w:rPr>
            </w:pPr>
          </w:p>
        </w:tc>
        <w:tc>
          <w:tcPr>
            <w:tcW w:w="2700" w:type="dxa"/>
            <w:vAlign w:val="bottom"/>
          </w:tcPr>
          <w:p>
            <w:pPr>
              <w:jc w:val="center"/>
              <w:ind w:right="298"/>
              <w:spacing w:after="0"/>
              <w:rPr>
                <w:sz w:val="20"/>
                <w:szCs w:val="20"/>
                <w:color w:val="auto"/>
              </w:rPr>
            </w:pPr>
            <w:r>
              <w:rPr>
                <w:rFonts w:ascii="Times New Roman" w:cs="Times New Roman" w:eastAsia="Times New Roman" w:hAnsi="Times New Roman"/>
                <w:sz w:val="16"/>
                <w:szCs w:val="16"/>
                <w:b w:val="1"/>
                <w:bCs w:val="1"/>
                <w:i w:val="1"/>
                <w:iCs w:val="1"/>
                <w:color w:val="auto"/>
                <w:w w:val="99"/>
              </w:rPr>
              <w:t>Joint Bookrunning Managers</w:t>
            </w:r>
          </w:p>
        </w:tc>
        <w:tc>
          <w:tcPr>
            <w:tcW w:w="2700" w:type="dxa"/>
            <w:vAlign w:val="bottom"/>
          </w:tcPr>
          <w:p>
            <w:pPr>
              <w:spacing w:after="0"/>
              <w:rPr>
                <w:sz w:val="24"/>
                <w:szCs w:val="24"/>
                <w:color w:val="auto"/>
              </w:rPr>
            </w:pPr>
          </w:p>
        </w:tc>
      </w:tr>
      <w:tr>
        <w:trPr>
          <w:trHeight w:val="429"/>
        </w:trPr>
        <w:tc>
          <w:tcPr>
            <w:tcW w:w="3080" w:type="dxa"/>
            <w:vAlign w:val="bottom"/>
          </w:tcPr>
          <w:p>
            <w:pPr>
              <w:ind w:left="760"/>
              <w:spacing w:after="0"/>
              <w:rPr>
                <w:sz w:val="20"/>
                <w:szCs w:val="20"/>
                <w:color w:val="auto"/>
              </w:rPr>
            </w:pPr>
            <w:r>
              <w:rPr>
                <w:rFonts w:ascii="Times New Roman" w:cs="Times New Roman" w:eastAsia="Times New Roman" w:hAnsi="Times New Roman"/>
                <w:sz w:val="19"/>
                <w:szCs w:val="19"/>
                <w:b w:val="1"/>
                <w:bCs w:val="1"/>
                <w:color w:val="auto"/>
              </w:rPr>
              <w:t>Barclays</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9"/>
                <w:szCs w:val="19"/>
                <w:b w:val="1"/>
                <w:bCs w:val="1"/>
                <w:color w:val="auto"/>
              </w:rPr>
              <w:t>Citigroup</w:t>
            </w:r>
          </w:p>
        </w:tc>
        <w:tc>
          <w:tcPr>
            <w:tcW w:w="2700" w:type="dxa"/>
            <w:vAlign w:val="bottom"/>
          </w:tcPr>
          <w:p>
            <w:pPr>
              <w:ind w:left="560"/>
              <w:spacing w:after="0"/>
              <w:rPr>
                <w:sz w:val="20"/>
                <w:szCs w:val="20"/>
                <w:color w:val="auto"/>
              </w:rPr>
            </w:pPr>
            <w:r>
              <w:rPr>
                <w:rFonts w:ascii="Times New Roman" w:cs="Times New Roman" w:eastAsia="Times New Roman" w:hAnsi="Times New Roman"/>
                <w:sz w:val="19"/>
                <w:szCs w:val="19"/>
                <w:b w:val="1"/>
                <w:bCs w:val="1"/>
                <w:color w:val="auto"/>
              </w:rPr>
              <w:t>Deutsche Bank Securities</w:t>
            </w:r>
          </w:p>
        </w:tc>
      </w:tr>
      <w:tr>
        <w:trPr>
          <w:trHeight w:val="311"/>
        </w:trPr>
        <w:tc>
          <w:tcPr>
            <w:tcW w:w="3080" w:type="dxa"/>
            <w:vAlign w:val="bottom"/>
          </w:tcPr>
          <w:p>
            <w:pPr>
              <w:ind w:left="780"/>
              <w:spacing w:after="0"/>
              <w:rPr>
                <w:sz w:val="20"/>
                <w:szCs w:val="20"/>
                <w:color w:val="auto"/>
              </w:rPr>
            </w:pPr>
            <w:r>
              <w:rPr>
                <w:rFonts w:ascii="Times New Roman" w:cs="Times New Roman" w:eastAsia="Times New Roman" w:hAnsi="Times New Roman"/>
                <w:sz w:val="19"/>
                <w:szCs w:val="19"/>
                <w:b w:val="1"/>
                <w:bCs w:val="1"/>
                <w:color w:val="auto"/>
              </w:rPr>
              <w:t>Jefferies</w:t>
            </w:r>
          </w:p>
        </w:tc>
        <w:tc>
          <w:tcPr>
            <w:tcW w:w="2700" w:type="dxa"/>
            <w:vAlign w:val="bottom"/>
          </w:tcPr>
          <w:p>
            <w:pPr>
              <w:spacing w:after="0"/>
              <w:rPr>
                <w:sz w:val="24"/>
                <w:szCs w:val="24"/>
                <w:color w:val="auto"/>
              </w:rPr>
            </w:pPr>
          </w:p>
        </w:tc>
        <w:tc>
          <w:tcPr>
            <w:tcW w:w="2700" w:type="dxa"/>
            <w:vAlign w:val="bottom"/>
          </w:tcPr>
          <w:p>
            <w:pPr>
              <w:ind w:left="580"/>
              <w:spacing w:after="0"/>
              <w:rPr>
                <w:sz w:val="20"/>
                <w:szCs w:val="20"/>
                <w:color w:val="auto"/>
              </w:rPr>
            </w:pPr>
            <w:r>
              <w:rPr>
                <w:rFonts w:ascii="Times New Roman" w:cs="Times New Roman" w:eastAsia="Times New Roman" w:hAnsi="Times New Roman"/>
                <w:sz w:val="19"/>
                <w:szCs w:val="19"/>
                <w:b w:val="1"/>
                <w:bCs w:val="1"/>
                <w:color w:val="auto"/>
              </w:rPr>
              <w:t>UBS Investment Bank</w:t>
            </w:r>
          </w:p>
        </w:tc>
      </w:tr>
      <w:tr>
        <w:trPr>
          <w:trHeight w:val="311"/>
        </w:trPr>
        <w:tc>
          <w:tcPr>
            <w:tcW w:w="3080" w:type="dxa"/>
            <w:vAlign w:val="bottom"/>
          </w:tcPr>
          <w:p>
            <w:pPr>
              <w:spacing w:after="0"/>
              <w:rPr>
                <w:sz w:val="24"/>
                <w:szCs w:val="24"/>
                <w:color w:val="auto"/>
              </w:rPr>
            </w:pPr>
          </w:p>
        </w:tc>
        <w:tc>
          <w:tcPr>
            <w:tcW w:w="2700" w:type="dxa"/>
            <w:vAlign w:val="bottom"/>
          </w:tcPr>
          <w:p>
            <w:pPr>
              <w:jc w:val="center"/>
              <w:ind w:right="458"/>
              <w:spacing w:after="0"/>
              <w:rPr>
                <w:sz w:val="20"/>
                <w:szCs w:val="20"/>
                <w:color w:val="auto"/>
              </w:rPr>
            </w:pPr>
            <w:r>
              <w:rPr>
                <w:rFonts w:ascii="Times New Roman" w:cs="Times New Roman" w:eastAsia="Times New Roman" w:hAnsi="Times New Roman"/>
                <w:sz w:val="19"/>
                <w:szCs w:val="19"/>
                <w:b w:val="1"/>
                <w:bCs w:val="1"/>
                <w:color w:val="auto"/>
                <w:w w:val="99"/>
              </w:rPr>
              <w:t>Evercore ISI</w:t>
            </w:r>
          </w:p>
        </w:tc>
        <w:tc>
          <w:tcPr>
            <w:tcW w:w="2700" w:type="dxa"/>
            <w:vAlign w:val="bottom"/>
          </w:tcPr>
          <w:p>
            <w:pPr>
              <w:spacing w:after="0"/>
              <w:rPr>
                <w:sz w:val="24"/>
                <w:szCs w:val="24"/>
                <w:color w:val="auto"/>
              </w:rPr>
            </w:pPr>
          </w:p>
        </w:tc>
      </w:tr>
      <w:tr>
        <w:trPr>
          <w:trHeight w:val="311"/>
        </w:trPr>
        <w:tc>
          <w:tcPr>
            <w:tcW w:w="3080" w:type="dxa"/>
            <w:vAlign w:val="bottom"/>
          </w:tcPr>
          <w:p>
            <w:pPr>
              <w:jc w:val="center"/>
              <w:ind w:right="1137"/>
              <w:spacing w:after="0"/>
              <w:rPr>
                <w:sz w:val="20"/>
                <w:szCs w:val="20"/>
                <w:color w:val="auto"/>
              </w:rPr>
            </w:pPr>
            <w:r>
              <w:rPr>
                <w:rFonts w:ascii="Times New Roman" w:cs="Times New Roman" w:eastAsia="Times New Roman" w:hAnsi="Times New Roman"/>
                <w:sz w:val="19"/>
                <w:szCs w:val="19"/>
                <w:b w:val="1"/>
                <w:bCs w:val="1"/>
                <w:color w:val="auto"/>
              </w:rPr>
              <w:t>BMO Capital Markets</w:t>
            </w:r>
          </w:p>
        </w:tc>
        <w:tc>
          <w:tcPr>
            <w:tcW w:w="2700" w:type="dxa"/>
            <w:vAlign w:val="bottom"/>
          </w:tcPr>
          <w:p>
            <w:pPr>
              <w:jc w:val="center"/>
              <w:ind w:right="458"/>
              <w:spacing w:after="0"/>
              <w:rPr>
                <w:sz w:val="20"/>
                <w:szCs w:val="20"/>
                <w:color w:val="auto"/>
              </w:rPr>
            </w:pPr>
            <w:r>
              <w:rPr>
                <w:rFonts w:ascii="Times New Roman" w:cs="Times New Roman" w:eastAsia="Times New Roman" w:hAnsi="Times New Roman"/>
                <w:sz w:val="19"/>
                <w:szCs w:val="19"/>
                <w:b w:val="1"/>
                <w:bCs w:val="1"/>
                <w:color w:val="auto"/>
                <w:w w:val="98"/>
              </w:rPr>
              <w:t>BNP PARIBAS</w:t>
            </w:r>
          </w:p>
        </w:tc>
        <w:tc>
          <w:tcPr>
            <w:tcW w:w="2700" w:type="dxa"/>
            <w:vAlign w:val="bottom"/>
          </w:tcPr>
          <w:p>
            <w:pPr>
              <w:jc w:val="center"/>
              <w:ind w:left="597"/>
              <w:spacing w:after="0"/>
              <w:rPr>
                <w:sz w:val="20"/>
                <w:szCs w:val="20"/>
                <w:color w:val="auto"/>
              </w:rPr>
            </w:pPr>
            <w:r>
              <w:rPr>
                <w:rFonts w:ascii="Times New Roman" w:cs="Times New Roman" w:eastAsia="Times New Roman" w:hAnsi="Times New Roman"/>
                <w:sz w:val="19"/>
                <w:szCs w:val="19"/>
                <w:b w:val="1"/>
                <w:bCs w:val="1"/>
                <w:color w:val="auto"/>
                <w:w w:val="99"/>
              </w:rPr>
              <w:t>MUFG</w:t>
            </w:r>
          </w:p>
        </w:tc>
      </w:tr>
      <w:tr>
        <w:trPr>
          <w:trHeight w:val="311"/>
        </w:trPr>
        <w:tc>
          <w:tcPr>
            <w:tcW w:w="3080" w:type="dxa"/>
            <w:vAlign w:val="bottom"/>
          </w:tcPr>
          <w:p>
            <w:pPr>
              <w:jc w:val="center"/>
              <w:ind w:right="1157"/>
              <w:spacing w:after="0"/>
              <w:rPr>
                <w:sz w:val="20"/>
                <w:szCs w:val="20"/>
                <w:color w:val="auto"/>
              </w:rPr>
            </w:pPr>
            <w:r>
              <w:rPr>
                <w:rFonts w:ascii="Times New Roman" w:cs="Times New Roman" w:eastAsia="Times New Roman" w:hAnsi="Times New Roman"/>
                <w:sz w:val="19"/>
                <w:szCs w:val="19"/>
                <w:b w:val="1"/>
                <w:bCs w:val="1"/>
                <w:color w:val="auto"/>
              </w:rPr>
              <w:t>RBC Capital Markets</w:t>
            </w:r>
          </w:p>
        </w:tc>
        <w:tc>
          <w:tcPr>
            <w:tcW w:w="2700" w:type="dxa"/>
            <w:vAlign w:val="bottom"/>
          </w:tcPr>
          <w:p>
            <w:pPr>
              <w:jc w:val="center"/>
              <w:ind w:right="478"/>
              <w:spacing w:after="0"/>
              <w:rPr>
                <w:sz w:val="20"/>
                <w:szCs w:val="20"/>
                <w:color w:val="auto"/>
              </w:rPr>
            </w:pPr>
            <w:r>
              <w:rPr>
                <w:rFonts w:ascii="Times New Roman" w:cs="Times New Roman" w:eastAsia="Times New Roman" w:hAnsi="Times New Roman"/>
                <w:sz w:val="19"/>
                <w:szCs w:val="19"/>
                <w:b w:val="1"/>
                <w:bCs w:val="1"/>
                <w:color w:val="auto"/>
              </w:rPr>
              <w:t>Santander</w:t>
            </w:r>
          </w:p>
        </w:tc>
        <w:tc>
          <w:tcPr>
            <w:tcW w:w="2700" w:type="dxa"/>
            <w:vAlign w:val="bottom"/>
          </w:tcPr>
          <w:p>
            <w:pPr>
              <w:jc w:val="center"/>
              <w:ind w:left="597"/>
              <w:spacing w:after="0"/>
              <w:rPr>
                <w:sz w:val="20"/>
                <w:szCs w:val="20"/>
                <w:color w:val="auto"/>
              </w:rPr>
            </w:pPr>
            <w:r>
              <w:rPr>
                <w:rFonts w:ascii="Times New Roman" w:cs="Times New Roman" w:eastAsia="Times New Roman" w:hAnsi="Times New Roman"/>
                <w:sz w:val="19"/>
                <w:szCs w:val="19"/>
                <w:b w:val="1"/>
                <w:bCs w:val="1"/>
                <w:color w:val="auto"/>
              </w:rPr>
              <w:t>SOCIETE GENERALE</w:t>
            </w:r>
          </w:p>
        </w:tc>
      </w:tr>
      <w:tr>
        <w:trPr>
          <w:trHeight w:val="311"/>
        </w:trPr>
        <w:tc>
          <w:tcPr>
            <w:tcW w:w="3080" w:type="dxa"/>
            <w:vAlign w:val="bottom"/>
          </w:tcPr>
          <w:p>
            <w:pPr>
              <w:jc w:val="center"/>
              <w:ind w:right="1157"/>
              <w:spacing w:after="0"/>
              <w:rPr>
                <w:sz w:val="20"/>
                <w:szCs w:val="20"/>
                <w:color w:val="auto"/>
              </w:rPr>
            </w:pPr>
            <w:r>
              <w:rPr>
                <w:rFonts w:ascii="Times New Roman" w:cs="Times New Roman" w:eastAsia="Times New Roman" w:hAnsi="Times New Roman"/>
                <w:sz w:val="19"/>
                <w:szCs w:val="19"/>
                <w:b w:val="1"/>
                <w:bCs w:val="1"/>
                <w:color w:val="auto"/>
              </w:rPr>
              <w:t>TD Cowen</w:t>
            </w:r>
          </w:p>
        </w:tc>
        <w:tc>
          <w:tcPr>
            <w:tcW w:w="2700" w:type="dxa"/>
            <w:vAlign w:val="bottom"/>
          </w:tcPr>
          <w:p>
            <w:pPr>
              <w:jc w:val="center"/>
              <w:ind w:right="478"/>
              <w:spacing w:after="0"/>
              <w:rPr>
                <w:sz w:val="20"/>
                <w:szCs w:val="20"/>
                <w:color w:val="auto"/>
              </w:rPr>
            </w:pPr>
            <w:r>
              <w:rPr>
                <w:rFonts w:ascii="Times New Roman" w:cs="Times New Roman" w:eastAsia="Times New Roman" w:hAnsi="Times New Roman"/>
                <w:sz w:val="19"/>
                <w:szCs w:val="19"/>
                <w:b w:val="1"/>
                <w:bCs w:val="1"/>
                <w:color w:val="auto"/>
                <w:w w:val="99"/>
              </w:rPr>
              <w:t>Wells Fargo Securities</w:t>
            </w:r>
          </w:p>
        </w:tc>
        <w:tc>
          <w:tcPr>
            <w:tcW w:w="2700" w:type="dxa"/>
            <w:vAlign w:val="bottom"/>
          </w:tcPr>
          <w:p>
            <w:pPr>
              <w:jc w:val="center"/>
              <w:ind w:left="597"/>
              <w:spacing w:after="0"/>
              <w:rPr>
                <w:sz w:val="20"/>
                <w:szCs w:val="20"/>
                <w:color w:val="auto"/>
              </w:rPr>
            </w:pPr>
            <w:r>
              <w:rPr>
                <w:rFonts w:ascii="Times New Roman" w:cs="Times New Roman" w:eastAsia="Times New Roman" w:hAnsi="Times New Roman"/>
                <w:sz w:val="19"/>
                <w:szCs w:val="19"/>
                <w:b w:val="1"/>
                <w:bCs w:val="1"/>
                <w:color w:val="auto"/>
              </w:rPr>
              <w:t>Wolfe | Nomura Alliance</w:t>
            </w:r>
          </w:p>
        </w:tc>
      </w:tr>
      <w:tr>
        <w:trPr>
          <w:trHeight w:val="311"/>
        </w:trPr>
        <w:tc>
          <w:tcPr>
            <w:tcW w:w="3080" w:type="dxa"/>
            <w:vAlign w:val="bottom"/>
          </w:tcPr>
          <w:p>
            <w:pPr>
              <w:jc w:val="center"/>
              <w:ind w:right="1137"/>
              <w:spacing w:after="0"/>
              <w:rPr>
                <w:sz w:val="20"/>
                <w:szCs w:val="20"/>
                <w:color w:val="auto"/>
              </w:rPr>
            </w:pPr>
            <w:r>
              <w:rPr>
                <w:rFonts w:ascii="Times New Roman" w:cs="Times New Roman" w:eastAsia="Times New Roman" w:hAnsi="Times New Roman"/>
                <w:sz w:val="19"/>
                <w:szCs w:val="19"/>
                <w:b w:val="1"/>
                <w:bCs w:val="1"/>
                <w:color w:val="auto"/>
              </w:rPr>
              <w:t>Leerink Partners</w:t>
            </w:r>
          </w:p>
        </w:tc>
        <w:tc>
          <w:tcPr>
            <w:tcW w:w="2700" w:type="dxa"/>
            <w:vAlign w:val="bottom"/>
          </w:tcPr>
          <w:p>
            <w:pPr>
              <w:jc w:val="center"/>
              <w:ind w:right="478"/>
              <w:spacing w:after="0"/>
              <w:rPr>
                <w:sz w:val="20"/>
                <w:szCs w:val="20"/>
                <w:color w:val="auto"/>
              </w:rPr>
            </w:pPr>
            <w:r>
              <w:rPr>
                <w:rFonts w:ascii="Times New Roman" w:cs="Times New Roman" w:eastAsia="Times New Roman" w:hAnsi="Times New Roman"/>
                <w:sz w:val="19"/>
                <w:szCs w:val="19"/>
                <w:b w:val="1"/>
                <w:bCs w:val="1"/>
                <w:color w:val="auto"/>
              </w:rPr>
              <w:t>Macquarie Capital</w:t>
            </w:r>
          </w:p>
        </w:tc>
        <w:tc>
          <w:tcPr>
            <w:tcW w:w="2700" w:type="dxa"/>
            <w:vAlign w:val="bottom"/>
          </w:tcPr>
          <w:p>
            <w:pPr>
              <w:jc w:val="center"/>
              <w:ind w:left="597"/>
              <w:spacing w:after="0"/>
              <w:rPr>
                <w:sz w:val="20"/>
                <w:szCs w:val="20"/>
                <w:color w:val="auto"/>
              </w:rPr>
            </w:pPr>
            <w:r>
              <w:rPr>
                <w:rFonts w:ascii="Times New Roman" w:cs="Times New Roman" w:eastAsia="Times New Roman" w:hAnsi="Times New Roman"/>
                <w:sz w:val="19"/>
                <w:szCs w:val="19"/>
                <w:b w:val="1"/>
                <w:bCs w:val="1"/>
                <w:color w:val="auto"/>
                <w:w w:val="99"/>
              </w:rPr>
              <w:t>Mizuho</w:t>
            </w:r>
          </w:p>
        </w:tc>
      </w:tr>
      <w:tr>
        <w:trPr>
          <w:trHeight w:val="311"/>
        </w:trPr>
        <w:tc>
          <w:tcPr>
            <w:tcW w:w="3080" w:type="dxa"/>
            <w:vAlign w:val="bottom"/>
          </w:tcPr>
          <w:p>
            <w:pPr>
              <w:jc w:val="center"/>
              <w:ind w:right="1137"/>
              <w:spacing w:after="0"/>
              <w:rPr>
                <w:sz w:val="20"/>
                <w:szCs w:val="20"/>
                <w:color w:val="auto"/>
              </w:rPr>
            </w:pPr>
            <w:r>
              <w:rPr>
                <w:rFonts w:ascii="Times New Roman" w:cs="Times New Roman" w:eastAsia="Times New Roman" w:hAnsi="Times New Roman"/>
                <w:sz w:val="19"/>
                <w:szCs w:val="19"/>
                <w:b w:val="1"/>
                <w:bCs w:val="1"/>
                <w:color w:val="auto"/>
              </w:rPr>
              <w:t>Piper Sandler</w:t>
            </w:r>
          </w:p>
        </w:tc>
        <w:tc>
          <w:tcPr>
            <w:tcW w:w="2700" w:type="dxa"/>
            <w:vAlign w:val="bottom"/>
          </w:tcPr>
          <w:p>
            <w:pPr>
              <w:jc w:val="center"/>
              <w:ind w:right="478"/>
              <w:spacing w:after="0"/>
              <w:rPr>
                <w:sz w:val="20"/>
                <w:szCs w:val="20"/>
                <w:color w:val="auto"/>
              </w:rPr>
            </w:pPr>
            <w:r>
              <w:rPr>
                <w:rFonts w:ascii="Times New Roman" w:cs="Times New Roman" w:eastAsia="Times New Roman" w:hAnsi="Times New Roman"/>
                <w:sz w:val="19"/>
                <w:szCs w:val="19"/>
                <w:b w:val="1"/>
                <w:bCs w:val="1"/>
                <w:color w:val="auto"/>
                <w:w w:val="99"/>
              </w:rPr>
              <w:t>Truist Securities</w:t>
            </w:r>
          </w:p>
        </w:tc>
        <w:tc>
          <w:tcPr>
            <w:tcW w:w="2700" w:type="dxa"/>
            <w:vAlign w:val="bottom"/>
          </w:tcPr>
          <w:p>
            <w:pPr>
              <w:jc w:val="center"/>
              <w:ind w:left="617"/>
              <w:spacing w:after="0"/>
              <w:rPr>
                <w:sz w:val="20"/>
                <w:szCs w:val="20"/>
                <w:color w:val="auto"/>
              </w:rPr>
            </w:pPr>
            <w:r>
              <w:rPr>
                <w:rFonts w:ascii="Times New Roman" w:cs="Times New Roman" w:eastAsia="Times New Roman" w:hAnsi="Times New Roman"/>
                <w:sz w:val="19"/>
                <w:szCs w:val="19"/>
                <w:b w:val="1"/>
                <w:bCs w:val="1"/>
                <w:color w:val="auto"/>
              </w:rPr>
              <w:t>William Blair</w:t>
            </w:r>
          </w:p>
        </w:tc>
      </w:tr>
      <w:tr>
        <w:trPr>
          <w:trHeight w:val="277"/>
        </w:trPr>
        <w:tc>
          <w:tcPr>
            <w:tcW w:w="3080" w:type="dxa"/>
            <w:vAlign w:val="bottom"/>
          </w:tcPr>
          <w:p>
            <w:pPr>
              <w:spacing w:after="0"/>
              <w:rPr>
                <w:sz w:val="24"/>
                <w:szCs w:val="24"/>
                <w:color w:val="auto"/>
              </w:rPr>
            </w:pPr>
          </w:p>
        </w:tc>
        <w:tc>
          <w:tcPr>
            <w:tcW w:w="2700" w:type="dxa"/>
            <w:vAlign w:val="bottom"/>
          </w:tcPr>
          <w:p>
            <w:pPr>
              <w:jc w:val="center"/>
              <w:ind w:right="278"/>
              <w:spacing w:after="0"/>
              <w:rPr>
                <w:sz w:val="20"/>
                <w:szCs w:val="20"/>
                <w:color w:val="auto"/>
              </w:rPr>
            </w:pPr>
            <w:r>
              <w:rPr>
                <w:rFonts w:ascii="Times New Roman" w:cs="Times New Roman" w:eastAsia="Times New Roman" w:hAnsi="Times New Roman"/>
                <w:sz w:val="16"/>
                <w:szCs w:val="16"/>
                <w:b w:val="1"/>
                <w:bCs w:val="1"/>
                <w:i w:val="1"/>
                <w:iCs w:val="1"/>
                <w:color w:val="auto"/>
                <w:w w:val="99"/>
              </w:rPr>
              <w:t>Co-Managers</w:t>
            </w:r>
          </w:p>
        </w:tc>
        <w:tc>
          <w:tcPr>
            <w:tcW w:w="2700" w:type="dxa"/>
            <w:vAlign w:val="bottom"/>
          </w:tcPr>
          <w:p>
            <w:pPr>
              <w:spacing w:after="0"/>
              <w:rPr>
                <w:sz w:val="24"/>
                <w:szCs w:val="24"/>
                <w:color w:val="auto"/>
              </w:rPr>
            </w:pPr>
          </w:p>
        </w:tc>
      </w:tr>
      <w:tr>
        <w:trPr>
          <w:trHeight w:val="241"/>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7"/>
              </w:rPr>
              <w:t>Blackstone Capital Markets</w:t>
            </w:r>
          </w:p>
        </w:tc>
        <w:tc>
          <w:tcPr>
            <w:tcW w:w="2700" w:type="dxa"/>
            <w:vAlign w:val="bottom"/>
          </w:tcPr>
          <w:p>
            <w:pPr>
              <w:spacing w:after="0"/>
              <w:rPr>
                <w:sz w:val="20"/>
                <w:szCs w:val="20"/>
                <w:color w:val="auto"/>
              </w:rPr>
            </w:pPr>
          </w:p>
        </w:tc>
        <w:tc>
          <w:tcPr>
            <w:tcW w:w="2700" w:type="dxa"/>
            <w:vAlign w:val="bottom"/>
          </w:tcPr>
          <w:p>
            <w:pPr>
              <w:jc w:val="center"/>
              <w:ind w:left="777"/>
              <w:spacing w:after="0"/>
              <w:rPr>
                <w:sz w:val="20"/>
                <w:szCs w:val="20"/>
                <w:color w:val="auto"/>
              </w:rPr>
            </w:pPr>
            <w:r>
              <w:rPr>
                <w:rFonts w:ascii="Times New Roman" w:cs="Times New Roman" w:eastAsia="Times New Roman" w:hAnsi="Times New Roman"/>
                <w:sz w:val="13"/>
                <w:szCs w:val="13"/>
                <w:b w:val="1"/>
                <w:bCs w:val="1"/>
                <w:color w:val="auto"/>
                <w:w w:val="97"/>
              </w:rPr>
              <w:t>Carlyle</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rPr>
              <w:t>Baird</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8"/>
              </w:rPr>
              <w:t>Rothschild &amp; Co</w:t>
            </w:r>
          </w:p>
        </w:tc>
        <w:tc>
          <w:tcPr>
            <w:tcW w:w="2700" w:type="dxa"/>
            <w:vAlign w:val="bottom"/>
          </w:tcPr>
          <w:p>
            <w:pPr>
              <w:jc w:val="center"/>
              <w:ind w:left="777"/>
              <w:spacing w:after="0"/>
              <w:rPr>
                <w:sz w:val="20"/>
                <w:szCs w:val="20"/>
                <w:color w:val="auto"/>
              </w:rPr>
            </w:pPr>
            <w:r>
              <w:rPr>
                <w:rFonts w:ascii="Times New Roman" w:cs="Times New Roman" w:eastAsia="Times New Roman" w:hAnsi="Times New Roman"/>
                <w:sz w:val="13"/>
                <w:szCs w:val="13"/>
                <w:b w:val="1"/>
                <w:bCs w:val="1"/>
                <w:color w:val="auto"/>
                <w:w w:val="96"/>
              </w:rPr>
              <w:t>Stifel</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8"/>
              </w:rPr>
              <w:t>BTIG</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7"/>
              </w:rPr>
              <w:t>ING</w:t>
            </w:r>
          </w:p>
        </w:tc>
        <w:tc>
          <w:tcPr>
            <w:tcW w:w="270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8"/>
              </w:rPr>
              <w:t>IMI – Intesa Sanpaolo</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7"/>
              </w:rPr>
              <w:t>NCMG</w:t>
            </w:r>
          </w:p>
        </w:tc>
        <w:tc>
          <w:tcPr>
            <w:tcW w:w="2700" w:type="dxa"/>
            <w:vAlign w:val="bottom"/>
          </w:tcPr>
          <w:p>
            <w:pPr>
              <w:spacing w:after="0"/>
              <w:rPr>
                <w:sz w:val="13"/>
                <w:szCs w:val="13"/>
                <w:color w:val="auto"/>
              </w:rPr>
            </w:pPr>
          </w:p>
        </w:tc>
        <w:tc>
          <w:tcPr>
            <w:tcW w:w="270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6"/>
              </w:rPr>
              <w:t>Perella Weinberg</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8"/>
              </w:rPr>
              <w:t>Academy Securities</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6"/>
              </w:rPr>
              <w:t>AmeriVet Securities</w:t>
            </w:r>
          </w:p>
        </w:tc>
        <w:tc>
          <w:tcPr>
            <w:tcW w:w="270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8"/>
              </w:rPr>
              <w:t>Blaylock Van, LLC</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8"/>
              </w:rPr>
              <w:t>C.L. King &amp; Associates</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9"/>
              </w:rPr>
              <w:t>Drexel Hamilton</w:t>
            </w:r>
          </w:p>
        </w:tc>
        <w:tc>
          <w:tcPr>
            <w:tcW w:w="270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8"/>
              </w:rPr>
              <w:t>Loop Capital Markets</w:t>
            </w:r>
          </w:p>
        </w:tc>
      </w:tr>
      <w:tr>
        <w:trPr>
          <w:trHeight w:val="156"/>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7"/>
              </w:rPr>
              <w:t>Mischler Financial Group, Inc.</w:t>
            </w:r>
          </w:p>
        </w:tc>
        <w:tc>
          <w:tcPr>
            <w:tcW w:w="2700" w:type="dxa"/>
            <w:vAlign w:val="bottom"/>
          </w:tcPr>
          <w:p>
            <w:pPr>
              <w:jc w:val="center"/>
              <w:ind w:right="178"/>
              <w:spacing w:after="0"/>
              <w:rPr>
                <w:sz w:val="20"/>
                <w:szCs w:val="20"/>
                <w:color w:val="auto"/>
              </w:rPr>
            </w:pPr>
            <w:r>
              <w:rPr>
                <w:rFonts w:ascii="Times New Roman" w:cs="Times New Roman" w:eastAsia="Times New Roman" w:hAnsi="Times New Roman"/>
                <w:sz w:val="13"/>
                <w:szCs w:val="13"/>
                <w:b w:val="1"/>
                <w:bCs w:val="1"/>
                <w:color w:val="auto"/>
                <w:w w:val="97"/>
              </w:rPr>
              <w:t>R. Seelaus &amp; Co., LLC</w:t>
            </w:r>
          </w:p>
        </w:tc>
        <w:tc>
          <w:tcPr>
            <w:tcW w:w="2700" w:type="dxa"/>
            <w:vAlign w:val="bottom"/>
          </w:tcPr>
          <w:p>
            <w:pPr>
              <w:jc w:val="center"/>
              <w:ind w:left="797"/>
              <w:spacing w:after="0"/>
              <w:rPr>
                <w:sz w:val="20"/>
                <w:szCs w:val="20"/>
                <w:color w:val="auto"/>
              </w:rPr>
            </w:pPr>
            <w:r>
              <w:rPr>
                <w:rFonts w:ascii="Times New Roman" w:cs="Times New Roman" w:eastAsia="Times New Roman" w:hAnsi="Times New Roman"/>
                <w:sz w:val="13"/>
                <w:szCs w:val="13"/>
                <w:b w:val="1"/>
                <w:bCs w:val="1"/>
                <w:color w:val="auto"/>
                <w:w w:val="98"/>
              </w:rPr>
              <w:t>Ramirez &amp; Co., Inc.</w:t>
            </w:r>
          </w:p>
        </w:tc>
      </w:tr>
      <w:tr>
        <w:trPr>
          <w:trHeight w:val="168"/>
        </w:trPr>
        <w:tc>
          <w:tcPr>
            <w:tcW w:w="3080" w:type="dxa"/>
            <w:vAlign w:val="bottom"/>
          </w:tcPr>
          <w:p>
            <w:pPr>
              <w:jc w:val="center"/>
              <w:ind w:right="1037"/>
              <w:spacing w:after="0"/>
              <w:rPr>
                <w:sz w:val="20"/>
                <w:szCs w:val="20"/>
                <w:color w:val="auto"/>
              </w:rPr>
            </w:pPr>
            <w:r>
              <w:rPr>
                <w:rFonts w:ascii="Times New Roman" w:cs="Times New Roman" w:eastAsia="Times New Roman" w:hAnsi="Times New Roman"/>
                <w:sz w:val="13"/>
                <w:szCs w:val="13"/>
                <w:b w:val="1"/>
                <w:bCs w:val="1"/>
                <w:color w:val="auto"/>
                <w:w w:val="97"/>
              </w:rPr>
              <w:t>Siebert Williams Shank</w:t>
            </w:r>
          </w:p>
        </w:tc>
        <w:tc>
          <w:tcPr>
            <w:tcW w:w="2700" w:type="dxa"/>
            <w:vAlign w:val="bottom"/>
          </w:tcPr>
          <w:p>
            <w:pPr>
              <w:spacing w:after="0"/>
              <w:rPr>
                <w:sz w:val="14"/>
                <w:szCs w:val="14"/>
                <w:color w:val="auto"/>
              </w:rPr>
            </w:pPr>
          </w:p>
        </w:tc>
        <w:tc>
          <w:tcPr>
            <w:tcW w:w="2700" w:type="dxa"/>
            <w:vAlign w:val="bottom"/>
          </w:tcPr>
          <w:p>
            <w:pPr>
              <w:jc w:val="center"/>
              <w:ind w:left="777"/>
              <w:spacing w:after="0"/>
              <w:rPr>
                <w:sz w:val="20"/>
                <w:szCs w:val="20"/>
                <w:color w:val="auto"/>
              </w:rPr>
            </w:pPr>
            <w:r>
              <w:rPr>
                <w:rFonts w:ascii="Times New Roman" w:cs="Times New Roman" w:eastAsia="Times New Roman" w:hAnsi="Times New Roman"/>
                <w:sz w:val="13"/>
                <w:szCs w:val="13"/>
                <w:b w:val="1"/>
                <w:bCs w:val="1"/>
                <w:color w:val="auto"/>
                <w:w w:val="97"/>
              </w:rPr>
              <w:t>Tigress Financial Partners</w:t>
            </w:r>
          </w:p>
        </w:tc>
      </w:tr>
    </w:tbl>
    <w:p>
      <w:pPr>
        <w:spacing w:after="0" w:line="63" w:lineRule="exact"/>
        <w:rPr>
          <w:sz w:val="20"/>
          <w:szCs w:val="20"/>
          <w:color w:val="auto"/>
        </w:rPr>
      </w:pPr>
    </w:p>
    <w:p>
      <w:pPr>
        <w:ind w:left="740" w:firstLine="391"/>
        <w:spacing w:after="0" w:line="267" w:lineRule="auto"/>
        <w:rPr>
          <w:sz w:val="20"/>
          <w:szCs w:val="20"/>
          <w:color w:val="auto"/>
        </w:rPr>
      </w:pPr>
      <w:r>
        <w:rPr>
          <w:rFonts w:ascii="Times New Roman" w:cs="Times New Roman" w:eastAsia="Times New Roman" w:hAnsi="Times New Roman"/>
          <w:sz w:val="16"/>
          <w:szCs w:val="16"/>
          <w:b w:val="1"/>
          <w:bCs w:val="1"/>
          <w:color w:val="auto"/>
        </w:rPr>
        <w:t>Through and including January 10,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116205</wp:posOffset>
            </wp:positionV>
            <wp:extent cx="6205220" cy="762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205220" cy="762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177165</wp:posOffset>
            </wp:positionV>
            <wp:extent cx="6205220" cy="152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205220" cy="15240"/>
                    </a:xfrm>
                    <a:prstGeom prst="rect">
                      <a:avLst/>
                    </a:prstGeom>
                    <a:noFill/>
                  </pic:spPr>
                </pic:pic>
              </a:graphicData>
            </a:graphic>
          </wp:anchor>
        </w:drawing>
      </w:r>
    </w:p>
    <w:sectPr>
      <w:pgSz w:w="11900" w:h="16838" w:orient="portrait"/>
      <w:cols w:equalWidth="0" w:num="1">
        <w:col w:w="10280"/>
      </w:cols>
      <w:pgMar w:left="320" w:top="42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1)"/>
      <w:numFmt w:val="decimal"/>
      <w:start w:val="1"/>
    </w:lvl>
    <w:lvl w:ilvl="1">
      <w:lvlJc w:val="left"/>
      <w:lvlText w:val="•"/>
      <w:numFmt w:val="bullet"/>
      <w:start w:val="1"/>
    </w:lvl>
  </w:abstractNum>
  <w:abstractNum w:abstractNumId="14">
    <w:nsid w:val="5F3534A4"/>
    <w:multiLevelType w:val="hybridMultilevel"/>
    <w:lvl w:ilvl="0">
      <w:lvlJc w:val="left"/>
      <w:lvlText w:val="(%1)"/>
      <w:numFmt w:val="lowerRoman"/>
      <w:start w:val="3"/>
    </w:lvl>
  </w:abstractNum>
  <w:abstractNum w:abstractNumId="15">
    <w:nsid w:val="73A1821B"/>
    <w:multiLevelType w:val="hybridMultilevel"/>
    <w:lvl w:ilvl="0">
      <w:lvlJc w:val="left"/>
      <w:lvlText w:val="(%1)"/>
      <w:numFmt w:val="decimal"/>
      <w:start w:val="1"/>
    </w:lvl>
  </w:abstractNum>
  <w:abstractNum w:abstractNumId="16">
    <w:nsid w:val="7DE67713"/>
    <w:multiLevelType w:val="hybridMultilevel"/>
    <w:lvl w:ilvl="0">
      <w:lvlJc w:val="left"/>
      <w:lvlText w:val="(%1)"/>
      <w:numFmt w:val="decimal"/>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lvl w:ilvl="1">
      <w:lvlJc w:val="left"/>
      <w:lvlText w:val="•"/>
      <w:numFmt w:val="bullet"/>
      <w:start w:val="1"/>
    </w:lvl>
  </w:abstractNum>
  <w:abstractNum w:abstractNumId="20">
    <w:nsid w:val="6A3DD3E8"/>
    <w:multiLevelType w:val="hybridMultilevel"/>
    <w:lvl w:ilvl="0">
      <w:lvlJc w:val="left"/>
      <w:lvlText w:val="(%1)"/>
      <w:numFmt w:val="decimal"/>
      <w:start w:val="1"/>
    </w:lvl>
  </w:abstractNum>
  <w:abstractNum w:abstractNumId="21">
    <w:nsid w:val="71C91298"/>
    <w:multiLevelType w:val="hybridMultilevel"/>
    <w:lvl w:ilvl="0">
      <w:lvlJc w:val="left"/>
      <w:lvlText w:val="(%1)"/>
      <w:numFmt w:val="lowerRoman"/>
      <w:start w:val="5"/>
    </w:lvl>
  </w:abstractNum>
  <w:abstractNum w:abstractNumId="22">
    <w:nsid w:val="9DAF632"/>
    <w:multiLevelType w:val="hybridMultilevel"/>
    <w:lvl w:ilvl="0">
      <w:lvlJc w:val="left"/>
      <w:lvlText w:val="(%1)"/>
      <w:numFmt w:val="decimal"/>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1)"/>
      <w:numFmt w:val="decimal"/>
      <w:start w:val="1"/>
    </w:lvl>
    <w:lvl w:ilvl="1">
      <w:lvlJc w:val="left"/>
      <w:lvlText w:val="•"/>
      <w:numFmt w:val="bullet"/>
      <w:start w:val="1"/>
    </w:lvl>
  </w:abstractNum>
  <w:abstractNum w:abstractNumId="33">
    <w:nsid w:val="1CA0C5FA"/>
    <w:multiLevelType w:val="hybridMultilevel"/>
    <w:lvl w:ilvl="0">
      <w:lvlJc w:val="left"/>
      <w:lvlText w:val="(%1)"/>
      <w:numFmt w:val="decimal"/>
      <w:start w:val="3"/>
    </w:lvl>
    <w:lvl w:ilvl="1">
      <w:lvlJc w:val="left"/>
      <w:lvlText w:val="•"/>
      <w:numFmt w:val="bullet"/>
      <w:start w:val="1"/>
    </w:lvl>
  </w:abstractNum>
  <w:abstractNum w:abstractNumId="34">
    <w:nsid w:val="53584BCB"/>
    <w:multiLevelType w:val="hybridMultilevel"/>
    <w:lvl w:ilvl="0">
      <w:lvlJc w:val="left"/>
      <w:lvlText w:val="(%1)"/>
      <w:numFmt w:val="decimal"/>
      <w:start w:val="1"/>
    </w:lvl>
  </w:abstractNum>
  <w:abstractNum w:abstractNumId="35">
    <w:nsid w:val="415E286C"/>
    <w:multiLevelType w:val="hybridMultilevel"/>
    <w:lvl w:ilvl="0">
      <w:lvlJc w:val="left"/>
      <w:lvlText w:val="(%1)"/>
      <w:numFmt w:val="lowerRoman"/>
      <w:start w:val="2"/>
    </w:lvl>
  </w:abstractNum>
  <w:abstractNum w:abstractNumId="36">
    <w:nsid w:val="7C58FD05"/>
    <w:multiLevelType w:val="hybridMultilevel"/>
    <w:lvl w:ilvl="0">
      <w:lvlJc w:val="left"/>
      <w:lvlText w:val="(%1)"/>
      <w:numFmt w:val="decimal"/>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
      <w:numFmt w:val="bullet"/>
      <w:start w:val="1"/>
    </w:lvl>
  </w:abstractNum>
  <w:abstractNum w:abstractNumId="40">
    <w:nsid w:val="E7FFA2B"/>
    <w:multiLevelType w:val="hybridMultilevel"/>
    <w:lvl w:ilvl="0">
      <w:lvlJc w:val="left"/>
      <w:lvlText w:val="\emdash "/>
      <w:numFmt w:val="bullet"/>
      <w:start w:val="1"/>
    </w:lvl>
  </w:abstractNum>
  <w:abstractNum w:abstractNumId="41">
    <w:nsid w:val="3C5991AA"/>
    <w:multiLevelType w:val="hybridMultilevel"/>
    <w:lvl w:ilvl="0">
      <w:lvlJc w:val="left"/>
      <w:lvlText w:val="(%1)"/>
      <w:numFmt w:val="decimal"/>
      <w:start w:val="1"/>
    </w:lvl>
  </w:abstractNum>
  <w:abstractNum w:abstractNumId="42">
    <w:nsid w:val="4BD8591A"/>
    <w:multiLevelType w:val="hybridMultilevel"/>
    <w:lvl w:ilvl="0">
      <w:lvlJc w:val="left"/>
      <w:lvlText w:val="(%1)"/>
      <w:numFmt w:val="decimal"/>
      <w:start w:val="1"/>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1)"/>
      <w:numFmt w:val="decimal"/>
      <w:start w:val="1"/>
    </w:lvl>
  </w:abstractNum>
  <w:abstractNum w:abstractNumId="45">
    <w:nsid w:val="2B0D8DBE"/>
    <w:multiLevelType w:val="hybridMultilevel"/>
    <w:lvl w:ilvl="0">
      <w:lvlJc w:val="left"/>
      <w:lvlText w:val="%1."/>
      <w:numFmt w:val="decimal"/>
      <w:start w:val="1"/>
    </w:lvl>
  </w:abstractNum>
  <w:abstractNum w:abstractNumId="46">
    <w:nsid w:val="6C80EC70"/>
    <w:multiLevelType w:val="hybridMultilevel"/>
    <w:lvl w:ilvl="0">
      <w:lvlJc w:val="left"/>
      <w:lvlText w:val="%1."/>
      <w:numFmt w:val="decimal"/>
      <w:start w:val="2"/>
    </w:lvl>
  </w:abstractNum>
  <w:abstractNum w:abstractNumId="47">
    <w:nsid w:val="379E21B5"/>
    <w:multiLevelType w:val="hybridMultilevel"/>
    <w:lvl w:ilvl="0">
      <w:lvlJc w:val="left"/>
      <w:lvlText w:val="%1)"/>
      <w:numFmt w:val="lowerLetter"/>
      <w:start w:val="1"/>
    </w:lvl>
    <w:lvl w:ilvl="1">
      <w:lvlJc w:val="left"/>
      <w:lvlText w:val="%2)"/>
      <w:numFmt w:val="lowerRoman"/>
      <w:start w:val="1"/>
    </w:lvl>
  </w:abstractNum>
  <w:abstractNum w:abstractNumId="48">
    <w:nsid w:val="69E373"/>
    <w:multiLevelType w:val="hybridMultilevel"/>
    <w:lvl w:ilvl="0">
      <w:lvlJc w:val="left"/>
      <w:lvlText w:val="%1"/>
      <w:numFmt w:val="lowerLetter"/>
      <w:start w:val="1"/>
    </w:lvl>
    <w:lvl w:ilvl="1">
      <w:lvlJc w:val="left"/>
      <w:lvlText w:val="%2)"/>
      <w:numFmt w:val="lowerRoman"/>
      <w:start w:val="2"/>
    </w:lvl>
  </w:abstractNum>
  <w:abstractNum w:abstractNumId="49">
    <w:nsid w:val="2C27173B"/>
    <w:multiLevelType w:val="hybridMultilevel"/>
    <w:lvl w:ilvl="0">
      <w:lvlJc w:val="left"/>
      <w:lvlText w:val="%1)"/>
      <w:numFmt w:val="lowerLetter"/>
      <w:start w:val="2"/>
    </w:lvl>
    <w:lvl w:ilvl="1">
      <w:lvlJc w:val="left"/>
      <w:lvlText w:val="%2"/>
      <w:numFmt w:val="lowerRoman"/>
      <w:start w:val="1"/>
    </w:lvl>
  </w:abstractNum>
  <w:abstractNum w:abstractNumId="50">
    <w:nsid w:val="4C9B0904"/>
    <w:multiLevelType w:val="hybridMultilevel"/>
    <w:lvl w:ilvl="0">
      <w:lvlJc w:val="left"/>
      <w:lvlText w:val="%1)"/>
      <w:numFmt w:val="lowerLetter"/>
      <w:start w:val="3"/>
    </w:lvl>
  </w:abstractNum>
  <w:abstractNum w:abstractNumId="51">
    <w:nsid w:val="6AA7B75C"/>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2"/>
    </w:lvl>
  </w:abstractNum>
  <w:abstractNum w:abstractNumId="52">
    <w:nsid w:val="1DF029D3"/>
    <w:multiLevelType w:val="hybridMultilevel"/>
    <w:lvl w:ilvl="0">
      <w:lvlJc w:val="left"/>
      <w:lvlText w:val="%1)"/>
      <w:numFmt w:val="lowerRoman"/>
      <w:start w:val="3"/>
    </w:lvl>
  </w:abstractNum>
  <w:abstractNum w:abstractNumId="53">
    <w:nsid w:val="5675FF36"/>
    <w:multiLevelType w:val="hybridMultilevel"/>
    <w:lvl w:ilvl="0">
      <w:lvlJc w:val="left"/>
      <w:lvlText w:val="%1)"/>
      <w:numFmt w:val="lowerLetter"/>
      <w:start w:val="5"/>
    </w:lvl>
  </w:abstractNum>
  <w:abstractNum w:abstractNumId="54">
    <w:nsid w:val="3DD15094"/>
    <w:multiLevelType w:val="hybridMultilevel"/>
    <w:lvl w:ilvl="0">
      <w:lvlJc w:val="left"/>
      <w:lvlText w:val="%1)"/>
      <w:numFmt w:val="lowerLetter"/>
      <w:start w:val="6"/>
    </w:lvl>
  </w:abstractNum>
  <w:abstractNum w:abstractNumId="55">
    <w:nsid w:val="3DB012B3"/>
    <w:multiLevelType w:val="hybridMultilevel"/>
    <w:lvl w:ilvl="0">
      <w:lvlJc w:val="left"/>
      <w:lvlText w:val="%1)"/>
      <w:numFmt w:val="lowerLetter"/>
      <w:start w:val="7"/>
    </w:lvl>
  </w:abstractNum>
  <w:abstractNum w:abstractNumId="56">
    <w:nsid w:val="2708C9AF"/>
    <w:multiLevelType w:val="hybridMultilevel"/>
    <w:lvl w:ilvl="0">
      <w:lvlJc w:val="left"/>
      <w:lvlText w:val="%1."/>
      <w:numFmt w:val="decimal"/>
      <w:start w:val="3"/>
    </w:lvl>
  </w:abstractNum>
  <w:abstractNum w:abstractNumId="57">
    <w:nsid w:val="5B25ACE2"/>
    <w:multiLevelType w:val="hybridMultilevel"/>
    <w:lvl w:ilvl="0">
      <w:lvlJc w:val="left"/>
      <w:lvlText w:val="%1)"/>
      <w:numFmt w:val="lowerLetter"/>
      <w:start w:val="8"/>
    </w:lvl>
  </w:abstractNum>
  <w:abstractNum w:abstractNumId="58">
    <w:nsid w:val="175DFCF0"/>
    <w:multiLevelType w:val="hybridMultilevel"/>
    <w:lvl w:ilvl="0">
      <w:lvlJc w:val="left"/>
      <w:lvlText w:val="%1)"/>
      <w:numFmt w:val="lowerLetter"/>
      <w:start w:val="10"/>
    </w:lvl>
    <w:lvl w:ilvl="1">
      <w:lvlJc w:val="left"/>
      <w:lvlText w:val="%2)"/>
      <w:numFmt w:val="lowerRoman"/>
      <w:start w:val="1"/>
    </w:lvl>
  </w:abstractNum>
  <w:abstractNum w:abstractNumId="59">
    <w:nsid w:val="4F97E3E4"/>
    <w:multiLevelType w:val="hybridMultilevel"/>
    <w:lvl w:ilvl="0">
      <w:lvlJc w:val="left"/>
      <w:lvlText w:val="%1)"/>
      <w:numFmt w:val="lowerLetter"/>
      <w:start w:val="12"/>
    </w:lvl>
  </w:abstractNum>
  <w:abstractNum w:abstractNumId="60">
    <w:nsid w:val="53B0A9E"/>
    <w:multiLevelType w:val="hybridMultilevel"/>
    <w:lvl w:ilvl="0">
      <w:lvlJc w:val="left"/>
      <w:lvlText w:val="%1)"/>
      <w:numFmt w:val="lowerLetter"/>
      <w:start w:val="13"/>
    </w:lvl>
  </w:abstractNum>
  <w:abstractNum w:abstractNumId="61">
    <w:nsid w:val="34FD6B4F"/>
    <w:multiLevelType w:val="hybridMultilevel"/>
    <w:lvl w:ilvl="0">
      <w:lvlJc w:val="left"/>
      <w:lvlText w:val="%1)"/>
      <w:numFmt w:val="lowerLetter"/>
      <w:start w:val="14"/>
    </w:lvl>
  </w:abstractNum>
  <w:abstractNum w:abstractNumId="62">
    <w:nsid w:val="5915FF32"/>
    <w:multiLevelType w:val="hybridMultilevel"/>
    <w:lvl w:ilvl="0">
      <w:lvlJc w:val="left"/>
      <w:lvlText w:val="(%1)"/>
      <w:numFmt w:val="decimal"/>
      <w:start w:val="1"/>
    </w:lvl>
  </w:abstractNum>
  <w:abstractNum w:abstractNumId="63">
    <w:nsid w:val="56438D15"/>
    <w:multiLevelType w:val="hybridMultilevel"/>
    <w:lvl w:ilvl="0">
      <w:lvlJc w:val="left"/>
      <w:lvlText w:val="(%1)"/>
      <w:numFmt w:val="decimal"/>
      <w:start w:val="2"/>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1)"/>
      <w:numFmt w:val="decimal"/>
      <w:start w:val="1"/>
    </w:lvl>
  </w:abstractNum>
  <w:abstractNum w:abstractNumId="71">
    <w:nsid w:val="5EC6AFD4"/>
    <w:multiLevelType w:val="hybridMultilevel"/>
    <w:lvl w:ilvl="0">
      <w:lvlJc w:val="left"/>
      <w:lvlText w:val="(%1)"/>
      <w:numFmt w:val="decimal"/>
      <w:start w:val="1"/>
    </w:lvl>
  </w:abstractNum>
  <w:abstractNum w:abstractNumId="72">
    <w:nsid w:val="19E21BB2"/>
    <w:multiLevelType w:val="hybridMultilevel"/>
    <w:lvl w:ilvl="0">
      <w:lvlJc w:val="left"/>
      <w:lvlText w:val="(%1)"/>
      <w:numFmt w:val="decimal"/>
      <w:start w:val="1"/>
    </w:lvl>
  </w:abstractNum>
  <w:abstractNum w:abstractNumId="73">
    <w:nsid w:val="75E0858A"/>
    <w:multiLevelType w:val="hybridMultilevel"/>
    <w:lvl w:ilvl="0">
      <w:lvlJc w:val="left"/>
      <w:lvlText w:val="(%1)"/>
      <w:numFmt w:val="decimal"/>
      <w:start w:val="1"/>
    </w:lvl>
  </w:abstractNum>
  <w:abstractNum w:abstractNumId="74">
    <w:nsid w:val="57A61A29"/>
    <w:multiLevelType w:val="hybridMultilevel"/>
    <w:lvl w:ilvl="0">
      <w:lvlJc w:val="left"/>
      <w:lvlText w:val="(%1)"/>
      <w:numFmt w:val="decimal"/>
      <w:start w:val="1"/>
    </w:lvl>
  </w:abstractNum>
  <w:abstractNum w:abstractNumId="75">
    <w:nsid w:val="5399C654"/>
    <w:multiLevelType w:val="hybridMultilevel"/>
    <w:lvl w:ilvl="0">
      <w:lvlJc w:val="left"/>
      <w:lvlText w:val="(%1)"/>
      <w:numFmt w:val="decimal"/>
      <w:start w:val="1"/>
    </w:lvl>
  </w:abstractNum>
  <w:abstractNum w:abstractNumId="76">
    <w:nsid w:val="20EE1348"/>
    <w:multiLevelType w:val="hybridMultilevel"/>
    <w:lvl w:ilvl="0">
      <w:lvlJc w:val="left"/>
      <w:lvlText w:val="(%1)"/>
      <w:numFmt w:val="decimal"/>
      <w:start w:val="1"/>
    </w:lvl>
  </w:abstractNum>
  <w:abstractNum w:abstractNumId="77">
    <w:nsid w:val="4427069A"/>
    <w:multiLevelType w:val="hybridMultilevel"/>
    <w:lvl w:ilvl="0">
      <w:lvlJc w:val="left"/>
      <w:lvlText w:val="(%1)"/>
      <w:numFmt w:val="decimal"/>
      <w:start w:val="4"/>
    </w:lvl>
  </w:abstractNum>
  <w:abstractNum w:abstractNumId="78">
    <w:nsid w:val="B37E80A"/>
    <w:multiLevelType w:val="hybridMultilevel"/>
    <w:lvl w:ilvl="0">
      <w:lvlJc w:val="left"/>
      <w:lvlText w:val="(%1)"/>
      <w:numFmt w:val="decimal"/>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1)"/>
      <w:numFmt w:val="decimal"/>
      <w:start w:val="1"/>
    </w:lvl>
  </w:abstractNum>
  <w:abstractNum w:abstractNumId="81">
    <w:nsid w:val="57D2F10E"/>
    <w:multiLevelType w:val="hybridMultilevel"/>
    <w:lvl w:ilvl="0">
      <w:lvlJc w:val="left"/>
      <w:lvlText w:val="(%1)"/>
      <w:numFmt w:val="decimal"/>
      <w:start w:val="1"/>
    </w:lvl>
  </w:abstractNum>
  <w:abstractNum w:abstractNumId="82">
    <w:nsid w:val="BFFAE18"/>
    <w:multiLevelType w:val="hybridMultilevel"/>
    <w:lvl w:ilvl="0">
      <w:lvlJc w:val="left"/>
      <w:lvlText w:val="(%1)"/>
      <w:numFmt w:val="lowerRoman"/>
      <w:start w:val="2"/>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abstractNum>
  <w:abstractNum w:abstractNumId="86">
    <w:nsid w:val="4BEE5A5B"/>
    <w:multiLevelType w:val="hybridMultilevel"/>
    <w:lvl w:ilvl="0">
      <w:lvlJc w:val="left"/>
      <w:lvlText w:val="•"/>
      <w:numFmt w:val="bullet"/>
      <w:start w:val="1"/>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
      <w:numFmt w:val="bullet"/>
      <w:start w:val="1"/>
    </w:lvl>
  </w:abstractNum>
  <w:abstractNum w:abstractNumId="92">
    <w:nsid w:val="1849C29B"/>
    <w:multiLevelType w:val="hybridMultilevel"/>
    <w:lvl w:ilvl="0">
      <w:lvlJc w:val="left"/>
      <w:lvlText w:val="•"/>
      <w:numFmt w:val="bullet"/>
      <w:start w:val="1"/>
    </w:lvl>
  </w:abstractNum>
  <w:abstractNum w:abstractNumId="93">
    <w:nsid w:val="7DFF9D09"/>
    <w:multiLevelType w:val="hybridMultilevel"/>
    <w:lvl w:ilvl="0">
      <w:lvlJc w:val="left"/>
      <w:lvlText w:val="•"/>
      <w:numFmt w:val="bullet"/>
      <w:start w:val="1"/>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
      <w:numFmt w:val="bullet"/>
      <w:start w:val="1"/>
    </w:lvl>
  </w:abstractNum>
  <w:abstractNum w:abstractNumId="97">
    <w:nsid w:val="1816F8C4"/>
    <w:multiLevelType w:val="hybridMultilevel"/>
    <w:lvl w:ilvl="0">
      <w:lvlJc w:val="left"/>
      <w:lvlText w:val="•"/>
      <w:numFmt w:val="bullet"/>
      <w:start w:val="1"/>
    </w:lvl>
  </w:abstractNum>
  <w:abstractNum w:abstractNumId="98">
    <w:nsid w:val="37DF2233"/>
    <w:multiLevelType w:val="hybridMultilevel"/>
    <w:lvl w:ilvl="0">
      <w:lvlJc w:val="left"/>
      <w:lvlText w:val="•"/>
      <w:numFmt w:val="bullet"/>
      <w:start w:val="1"/>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
      <w:numFmt w:val="bullet"/>
      <w:start w:val="1"/>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
      <w:numFmt w:val="bullet"/>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1)"/>
      <w:numFmt w:val="decimal"/>
      <w:start w:val="1"/>
    </w:lvl>
  </w:abstractNum>
  <w:abstractNum w:abstractNumId="107">
    <w:nsid w:val="78B5E776"/>
    <w:multiLevelType w:val="hybridMultilevel"/>
    <w:lvl w:ilvl="0">
      <w:lvlJc w:val="left"/>
      <w:lvlText w:val="•"/>
      <w:numFmt w:val="bullet"/>
      <w:start w:val="1"/>
    </w:lvl>
  </w:abstractNum>
  <w:abstractNum w:abstractNumId="108">
    <w:nsid w:val="75486E47"/>
    <w:multiLevelType w:val="hybridMultilevel"/>
    <w:lvl w:ilvl="0">
      <w:lvlJc w:val="left"/>
      <w:lvlText w:val="•"/>
      <w:numFmt w:val="bullet"/>
      <w:start w:val="1"/>
    </w:lvl>
  </w:abstractNum>
  <w:abstractNum w:abstractNumId="109">
    <w:nsid w:val="6E534CDE"/>
    <w:multiLevelType w:val="hybridMultilevel"/>
    <w:lvl w:ilvl="0">
      <w:lvlJc w:val="left"/>
      <w:lvlText w:val="•"/>
      <w:numFmt w:val="bullet"/>
      <w:start w:val="1"/>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1)"/>
      <w:numFmt w:val="decimal"/>
      <w:start w:val="1"/>
    </w:lvl>
  </w:abstractNum>
  <w:abstractNum w:abstractNumId="112">
    <w:nsid w:val="46263DEC"/>
    <w:multiLevelType w:val="hybridMultilevel"/>
    <w:lvl w:ilvl="0">
      <w:lvlJc w:val="left"/>
      <w:lvlText w:val="(%1)"/>
      <w:numFmt w:val="decimal"/>
      <w:start w:val="1"/>
    </w:lvl>
  </w:abstractNum>
  <w:abstractNum w:abstractNumId="113">
    <w:nsid w:val="260D8C4A"/>
    <w:multiLevelType w:val="hybridMultilevel"/>
    <w:lvl w:ilvl="0">
      <w:lvlJc w:val="left"/>
      <w:lvlText w:val="(%1)"/>
      <w:numFmt w:val="decimal"/>
      <w:start w:val="1"/>
    </w:lvl>
  </w:abstractNum>
  <w:abstractNum w:abstractNumId="114">
    <w:nsid w:val="73D4D3C4"/>
    <w:multiLevelType w:val="hybridMultilevel"/>
    <w:lvl w:ilvl="0">
      <w:lvlJc w:val="left"/>
      <w:lvlText w:val="(%1)"/>
      <w:numFmt w:val="decimal"/>
      <w:start w:val="1"/>
    </w:lvl>
  </w:abstractNum>
  <w:abstractNum w:abstractNumId="115">
    <w:nsid w:val="746F2E30"/>
    <w:multiLevelType w:val="hybridMultilevel"/>
    <w:lvl w:ilvl="0">
      <w:lvlJc w:val="left"/>
      <w:lvlText w:val="(%1)"/>
      <w:numFmt w:val="decimal"/>
      <w:start w:val="1"/>
    </w:lvl>
  </w:abstractNum>
  <w:abstractNum w:abstractNumId="116">
    <w:nsid w:val="6FDE8AF6"/>
    <w:multiLevelType w:val="hybridMultilevel"/>
    <w:lvl w:ilvl="0">
      <w:lvlJc w:val="left"/>
      <w:lvlText w:val="(%1)"/>
      <w:numFmt w:val="decimal"/>
      <w:start w:val="1"/>
    </w:lvl>
  </w:abstractNum>
  <w:abstractNum w:abstractNumId="117">
    <w:nsid w:val="3FC32E20"/>
    <w:multiLevelType w:val="hybridMultilevel"/>
    <w:lvl w:ilvl="0">
      <w:lvlJc w:val="left"/>
      <w:lvlText w:val="(%1)"/>
      <w:numFmt w:val="decimal"/>
      <w:start w:val="1"/>
    </w:lvl>
  </w:abstractNum>
  <w:abstractNum w:abstractNumId="118">
    <w:nsid w:val="49C0E823"/>
    <w:multiLevelType w:val="hybridMultilevel"/>
    <w:lvl w:ilvl="0">
      <w:lvlJc w:val="left"/>
      <w:lvlText w:val="(%1)"/>
      <w:numFmt w:val="decimal"/>
      <w:start w:val="1"/>
    </w:lvl>
  </w:abstractNum>
  <w:abstractNum w:abstractNumId="119">
    <w:nsid w:val="14D53685"/>
    <w:multiLevelType w:val="hybridMultilevel"/>
    <w:lvl w:ilvl="0">
      <w:lvlJc w:val="left"/>
      <w:lvlText w:val="(%1)"/>
      <w:numFmt w:val="lowerRoman"/>
      <w:start w:val="1"/>
    </w:lvl>
  </w:abstractNum>
  <w:abstractNum w:abstractNumId="120">
    <w:nsid w:val="230F856C"/>
    <w:multiLevelType w:val="hybridMultilevel"/>
    <w:lvl w:ilvl="0">
      <w:lvlJc w:val="left"/>
      <w:lvlText w:val="(%1)"/>
      <w:numFmt w:val="decimal"/>
      <w:start w:val="1"/>
    </w:lvl>
  </w:abstractNum>
  <w:abstractNum w:abstractNumId="121">
    <w:nsid w:val="6EAA85FB"/>
    <w:multiLevelType w:val="hybridMultilevel"/>
    <w:lvl w:ilvl="0">
      <w:lvlJc w:val="left"/>
      <w:lvlText w:val="(%1)"/>
      <w:numFmt w:val="decimal"/>
      <w:start w:val="1"/>
    </w:lvl>
  </w:abstractNum>
  <w:abstractNum w:abstractNumId="122">
    <w:nsid w:val="3F06ECB2"/>
    <w:multiLevelType w:val="hybridMultilevel"/>
    <w:lvl w:ilvl="0">
      <w:lvlJc w:val="left"/>
      <w:lvlText w:val="•"/>
      <w:numFmt w:val="bullet"/>
      <w:start w:val="1"/>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1)"/>
      <w:numFmt w:val="decimal"/>
      <w:start w:val="1"/>
    </w:lvl>
  </w:abstractNum>
  <w:abstractNum w:abstractNumId="126">
    <w:nsid w:val="25413BEC"/>
    <w:multiLevelType w:val="hybridMultilevel"/>
    <w:lvl w:ilvl="0">
      <w:lvlJc w:val="left"/>
      <w:lvlText w:val="(%1)"/>
      <w:numFmt w:val="decimal"/>
      <w:start w:val="2"/>
    </w:lvl>
  </w:abstractNum>
  <w:abstractNum w:abstractNumId="127">
    <w:nsid w:val="17180B0B"/>
    <w:multiLevelType w:val="hybridMultilevel"/>
    <w:lvl w:ilvl="0">
      <w:lvlJc w:val="left"/>
      <w:lvlText w:val="(%1)"/>
      <w:numFmt w:val="decimal"/>
      <w:start w:val="1"/>
    </w:lvl>
  </w:abstractNum>
  <w:abstractNum w:abstractNumId="128">
    <w:nsid w:val="579328B9"/>
    <w:multiLevelType w:val="hybridMultilevel"/>
    <w:lvl w:ilvl="0">
      <w:lvlJc w:val="left"/>
      <w:lvlText w:val="(%1)"/>
      <w:numFmt w:val="lowerRoman"/>
      <w:start w:val="3"/>
    </w:lvl>
  </w:abstractNum>
  <w:abstractNum w:abstractNumId="129">
    <w:nsid w:val="5D205E20"/>
    <w:multiLevelType w:val="hybridMultilevel"/>
    <w:lvl w:ilvl="0">
      <w:lvlJc w:val="left"/>
      <w:lvlText w:val="(%1)"/>
      <w:numFmt w:val="decimal"/>
      <w:start w:val="1"/>
    </w:lvl>
  </w:abstractNum>
  <w:abstractNum w:abstractNumId="130">
    <w:nsid w:val="11CCA8BA"/>
    <w:multiLevelType w:val="hybridMultilevel"/>
    <w:lvl w:ilvl="0">
      <w:lvlJc w:val="left"/>
      <w:lvlText w:val="(%1)"/>
      <w:numFmt w:val="decimal"/>
      <w:start w:val="5"/>
    </w:lvl>
  </w:abstractNum>
  <w:abstractNum w:abstractNumId="131">
    <w:nsid w:val="4D32AB86"/>
    <w:multiLevelType w:val="hybridMultilevel"/>
    <w:lvl w:ilvl="0">
      <w:lvlJc w:val="left"/>
      <w:lvlText w:val="•"/>
      <w:numFmt w:val="bullet"/>
      <w:start w:val="1"/>
    </w:lvl>
  </w:abstractNum>
  <w:abstractNum w:abstractNumId="132">
    <w:nsid w:val="3F07ACC3"/>
    <w:multiLevelType w:val="hybridMultilevel"/>
    <w:lvl w:ilvl="0">
      <w:lvlJc w:val="left"/>
      <w:lvlText w:val="(%1)"/>
      <w:numFmt w:val="decimal"/>
      <w:start w:val="1"/>
    </w:lvl>
  </w:abstractNum>
  <w:abstractNum w:abstractNumId="133">
    <w:nsid w:val="6B47F63E"/>
    <w:multiLevelType w:val="hybridMultilevel"/>
    <w:lvl w:ilvl="0">
      <w:lvlJc w:val="left"/>
      <w:lvlText w:val="(%1)"/>
      <w:numFmt w:val="lowerRoman"/>
      <w:start w:val="3"/>
    </w:lvl>
  </w:abstractNum>
  <w:abstractNum w:abstractNumId="134">
    <w:nsid w:val="5CB44A05"/>
    <w:multiLevelType w:val="hybridMultilevel"/>
    <w:lvl w:ilvl="0">
      <w:lvlJc w:val="left"/>
      <w:lvlText w:val="(%1)"/>
      <w:numFmt w:val="lowerRoman"/>
      <w:start w:val="6"/>
    </w:lvl>
  </w:abstractNum>
  <w:abstractNum w:abstractNumId="135">
    <w:nsid w:val="16CF80F1"/>
    <w:multiLevelType w:val="hybridMultilevel"/>
    <w:lvl w:ilvl="0">
      <w:lvlJc w:val="left"/>
      <w:lvlText w:val="(%1)"/>
      <w:numFmt w:val="lowerRoman"/>
      <w:start w:val="9"/>
    </w:lvl>
  </w:abstractNum>
  <w:abstractNum w:abstractNumId="136">
    <w:nsid w:val="1C695DEC"/>
    <w:multiLevelType w:val="hybridMultilevel"/>
    <w:lvl w:ilvl="0">
      <w:lvlJc w:val="left"/>
      <w:lvlText w:val="(%1)"/>
      <w:numFmt w:val="lowerRoman"/>
      <w:start w:val="10"/>
    </w:lvl>
  </w:abstractNum>
  <w:abstractNum w:abstractNumId="137">
    <w:nsid w:val="3FCFAED9"/>
    <w:multiLevelType w:val="hybridMultilevel"/>
    <w:lvl w:ilvl="0">
      <w:lvlJc w:val="left"/>
      <w:lvlText w:val="(%1)"/>
      <w:numFmt w:val="lowerRoman"/>
      <w:start w:val="15"/>
    </w:lvl>
  </w:abstractNum>
  <w:abstractNum w:abstractNumId="138">
    <w:nsid w:val="F856867"/>
    <w:multiLevelType w:val="hybridMultilevel"/>
    <w:lvl w:ilvl="0">
      <w:lvlJc w:val="left"/>
      <w:lvlText w:val="(%1)"/>
      <w:numFmt w:val="lowerRoman"/>
      <w:start w:val="19"/>
    </w:lvl>
  </w:abstractNum>
  <w:abstractNum w:abstractNumId="139">
    <w:nsid w:val="11B1CC33"/>
    <w:multiLevelType w:val="hybridMultilevel"/>
    <w:lvl w:ilvl="0">
      <w:lvlJc w:val="left"/>
      <w:lvlText w:val="(%1)"/>
      <w:numFmt w:val="lowerRoman"/>
      <w:start w:val="2"/>
    </w:lvl>
  </w:abstractNum>
  <w:abstractNum w:abstractNumId="140">
    <w:nsid w:val="2E22FBB7"/>
    <w:multiLevelType w:val="hybridMultilevel"/>
    <w:lvl w:ilvl="0">
      <w:lvlJc w:val="left"/>
      <w:lvlText w:val="(%1)"/>
      <w:numFmt w:val="lowerRoman"/>
      <w:start w:val="2"/>
    </w:lvl>
  </w:abstractNum>
  <w:abstractNum w:abstractNumId="141">
    <w:nsid w:val="29934699"/>
    <w:multiLevelType w:val="hybridMultilevel"/>
    <w:lvl w:ilvl="0">
      <w:lvlJc w:val="left"/>
      <w:lvlText w:val="(%1)"/>
      <w:numFmt w:val="lowerRoman"/>
      <w:start w:val="3"/>
    </w:lvl>
  </w:abstractNum>
  <w:abstractNum w:abstractNumId="142">
    <w:nsid w:val="77485850"/>
    <w:multiLevelType w:val="hybridMultilevel"/>
    <w:lvl w:ilvl="0">
      <w:lvlJc w:val="left"/>
      <w:lvlText w:val="(%1)"/>
      <w:numFmt w:val="lowerLetter"/>
      <w:start w:val="3"/>
    </w:lvl>
  </w:abstractNum>
  <w:abstractNum w:abstractNumId="143">
    <w:nsid w:val="744939A3"/>
    <w:multiLevelType w:val="hybridMultilevel"/>
    <w:lvl w:ilvl="0">
      <w:lvlJc w:val="left"/>
      <w:lvlText w:val="•"/>
      <w:numFmt w:val="bullet"/>
      <w:start w:val="1"/>
    </w:lvl>
  </w:abstractNum>
  <w:abstractNum w:abstractNumId="144">
    <w:nsid w:val="4FA0D2E3"/>
    <w:multiLevelType w:val="hybridMultilevel"/>
    <w:lvl w:ilvl="0">
      <w:lvlJc w:val="left"/>
      <w:lvlText w:val="•"/>
      <w:numFmt w:val="bullet"/>
      <w:start w:val="1"/>
    </w:lvl>
  </w:abstractNum>
  <w:abstractNum w:abstractNumId="145">
    <w:nsid w:val="6B1D2C14"/>
    <w:multiLevelType w:val="hybridMultilevel"/>
    <w:lvl w:ilvl="0">
      <w:lvlJc w:val="left"/>
      <w:lvlText w:val="•"/>
      <w:numFmt w:val="bullet"/>
      <w:start w:val="1"/>
    </w:lvl>
  </w:abstractNum>
  <w:abstractNum w:abstractNumId="146">
    <w:nsid w:val="68B867D3"/>
    <w:multiLevelType w:val="hybridMultilevel"/>
    <w:lvl w:ilvl="0">
      <w:lvlJc w:val="left"/>
      <w:lvlText w:val="*"/>
      <w:numFmt w:val="bullet"/>
      <w:start w:val="1"/>
    </w:lvl>
  </w:abstractNum>
  <w:abstractNum w:abstractNumId="147">
    <w:nsid w:val="3F7F5DD9"/>
    <w:multiLevelType w:val="hybridMultilevel"/>
    <w:lvl w:ilvl="0">
      <w:lvlJc w:val="left"/>
      <w:lvlText w:val="(%1)"/>
      <w:numFmt w:val="decimal"/>
      <w:start w:val="1"/>
    </w:lvl>
  </w:abstractNum>
  <w:abstractNum w:abstractNumId="148">
    <w:nsid w:val="2AE05A34"/>
    <w:multiLevelType w:val="hybridMultilevel"/>
    <w:lvl w:ilvl="0">
      <w:lvlJc w:val="left"/>
      <w:lvlText w:val="(%1)"/>
      <w:numFmt w:val="decimal"/>
      <w:start w:val="4"/>
    </w:lvl>
  </w:abstractNum>
  <w:abstractNum w:abstractNumId="149">
    <w:nsid w:val="32794FF7"/>
    <w:multiLevelType w:val="hybridMultilevel"/>
    <w:lvl w:ilvl="0">
      <w:lvlJc w:val="left"/>
      <w:lvlText w:val="(%1)"/>
      <w:numFmt w:val="decimal"/>
      <w:start w:val="6"/>
    </w:lvl>
  </w:abstractNum>
  <w:abstractNum w:abstractNumId="150">
    <w:nsid w:val="5454945E"/>
    <w:multiLevelType w:val="hybridMultilevel"/>
    <w:lvl w:ilvl="0">
      <w:lvlJc w:val="left"/>
      <w:lvlText w:val="(%1)"/>
      <w:numFmt w:val="lowerRoman"/>
      <w:start w:val="1"/>
    </w:lvl>
  </w:abstractNum>
  <w:abstractNum w:abstractNumId="151">
    <w:nsid w:val="4DEFDFA0"/>
    <w:multiLevelType w:val="hybridMultilevel"/>
    <w:lvl w:ilvl="0">
      <w:lvlJc w:val="left"/>
      <w:lvlText w:val="•"/>
      <w:numFmt w:val="bullet"/>
      <w:start w:val="1"/>
    </w:lvl>
  </w:abstractNum>
  <w:abstractNum w:abstractNumId="152">
    <w:nsid w:val="2123D5F2"/>
    <w:multiLevelType w:val="hybridMultilevel"/>
    <w:lvl w:ilvl="0">
      <w:lvlJc w:val="left"/>
      <w:lvlText w:val="•"/>
      <w:numFmt w:val="bullet"/>
      <w:start w:val="1"/>
    </w:lvl>
  </w:abstractNum>
  <w:abstractNum w:abstractNumId="153">
    <w:nsid w:val="135B8110"/>
    <w:multiLevelType w:val="hybridMultilevel"/>
    <w:lvl w:ilvl="0">
      <w:lvlJc w:val="left"/>
      <w:lvlText w:val="•"/>
      <w:numFmt w:val="bullet"/>
      <w:start w:val="1"/>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
      <w:numFmt w:val="bullet"/>
      <w:start w:val="1"/>
    </w:lvl>
  </w:abstractNum>
  <w:abstractNum w:abstractNumId="156">
    <w:nsid w:val="52D7B105"/>
    <w:multiLevelType w:val="hybridMultilevel"/>
    <w:lvl w:ilvl="0">
      <w:lvlJc w:val="left"/>
      <w:lvlText w:val="•"/>
      <w:numFmt w:val="bullet"/>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1)"/>
      <w:numFmt w:val="lowerRoman"/>
      <w:start w:val="1"/>
    </w:lvl>
  </w:abstractNum>
  <w:abstractNum w:abstractNumId="160">
    <w:nsid w:val="BAAC1B4"/>
    <w:multiLevelType w:val="hybridMultilevel"/>
    <w:lvl w:ilvl="0">
      <w:lvlJc w:val="left"/>
      <w:lvlText w:val="•"/>
      <w:numFmt w:val="bullet"/>
      <w:start w:val="1"/>
    </w:lvl>
  </w:abstractNum>
  <w:abstractNum w:abstractNumId="161">
    <w:nsid w:val="36B2ACBC"/>
    <w:multiLevelType w:val="hybridMultilevel"/>
    <w:lvl w:ilvl="0">
      <w:lvlJc w:val="left"/>
      <w:lvlText w:val="•"/>
      <w:numFmt w:val="bullet"/>
      <w:start w:val="1"/>
    </w:lvl>
  </w:abstractNum>
  <w:abstractNum w:abstractNumId="162">
    <w:nsid w:val="779D8544"/>
    <w:multiLevelType w:val="hybridMultilevel"/>
    <w:lvl w:ilvl="0">
      <w:lvlJc w:val="left"/>
      <w:lvlText w:val="(%1)"/>
      <w:numFmt w:val="lowerLetter"/>
      <w:start w:val="1"/>
    </w:lvl>
    <w:lvl w:ilvl="1">
      <w:lvlJc w:val="left"/>
      <w:lvlText w:val="(%2)"/>
      <w:numFmt w:val="lowerRoman"/>
      <w:start w:val="1"/>
    </w:lvl>
  </w:abstractNum>
  <w:abstractNum w:abstractNumId="163">
    <w:nsid w:val="4AB26E78"/>
    <w:multiLevelType w:val="hybridMultilevel"/>
    <w:lvl w:ilvl="0">
      <w:lvlJc w:val="left"/>
      <w:lvlText w:val="(%1)"/>
      <w:numFmt w:val="lowerRoman"/>
      <w:start w:val="12"/>
    </w:lvl>
  </w:abstractNum>
  <w:abstractNum w:abstractNumId="164">
    <w:nsid w:val="21FAA2FA"/>
    <w:multiLevelType w:val="hybridMultilevel"/>
    <w:lvl w:ilvl="0">
      <w:lvlJc w:val="left"/>
      <w:lvlText w:val="(%1)"/>
      <w:numFmt w:val="lowerLetter"/>
      <w:start w:val="2"/>
    </w:lvl>
  </w:abstractNum>
  <w:abstractNum w:abstractNumId="165">
    <w:nsid w:val="5451CF49"/>
    <w:multiLevelType w:val="hybridMultilevel"/>
    <w:lvl w:ilvl="0">
      <w:lvlJc w:val="left"/>
      <w:lvlText w:val="(%1)"/>
      <w:numFmt w:val="lowerLetter"/>
      <w:start w:val="4"/>
    </w:lvl>
  </w:abstractNum>
  <w:abstractNum w:abstractNumId="166">
    <w:nsid w:val="6181EF69"/>
    <w:multiLevelType w:val="hybridMultilevel"/>
    <w:lvl w:ilvl="0">
      <w:lvlJc w:val="left"/>
      <w:lvlText w:val="(%1)"/>
      <w:numFmt w:val="lowerLetter"/>
      <w:start w:val="1"/>
    </w:lvl>
  </w:abstractNum>
  <w:abstractNum w:abstractNumId="167">
    <w:nsid w:val="3E6400E6"/>
    <w:multiLevelType w:val="hybridMultilevel"/>
    <w:lvl w:ilvl="0">
      <w:lvlJc w:val="left"/>
      <w:lvlText w:val="(%1)"/>
      <w:numFmt w:val="lowerLetter"/>
      <w:start w:val="2"/>
    </w:lvl>
  </w:abstractNum>
  <w:abstractNum w:abstractNumId="168">
    <w:nsid w:val="14217E23"/>
    <w:multiLevelType w:val="hybridMultilevel"/>
    <w:lvl w:ilvl="0">
      <w:lvlJc w:val="left"/>
      <w:lvlText w:val="(%1)"/>
      <w:numFmt w:val="lowerLetter"/>
      <w:start w:val="1"/>
    </w:lvl>
  </w:abstractNum>
  <w:abstractNum w:abstractNumId="169">
    <w:nsid w:val="710757D0"/>
    <w:multiLevelType w:val="hybridMultilevel"/>
    <w:lvl w:ilvl="0">
      <w:lvlJc w:val="left"/>
      <w:lvlText w:val="(%1)"/>
      <w:numFmt w:val="lowerLetter"/>
      <w:start w:val="1"/>
    </w:lvl>
  </w:abstractNum>
  <w:abstractNum w:abstractNumId="170">
    <w:nsid w:val="5015CD1A"/>
    <w:multiLevelType w:val="hybridMultilevel"/>
    <w:lvl w:ilvl="0">
      <w:lvlJc w:val="left"/>
      <w:lvlText w:val="(%1)"/>
      <w:numFmt w:val="lowerLetter"/>
      <w:start w:val="1"/>
    </w:lvl>
  </w:abstractNum>
  <w:abstractNum w:abstractNumId="171">
    <w:nsid w:val="424479DA"/>
    <w:multiLevelType w:val="hybridMultilevel"/>
    <w:lvl w:ilvl="0">
      <w:lvlJc w:val="left"/>
      <w:lvlText w:val="(%1)"/>
      <w:numFmt w:val="lowerRoman"/>
      <w:start w:val="8"/>
    </w:lvl>
  </w:abstractNum>
  <w:abstractNum w:abstractNumId="172">
    <w:nsid w:val="1A9A9E69"/>
    <w:multiLevelType w:val="hybridMultilevel"/>
    <w:lvl w:ilvl="0">
      <w:lvlJc w:val="left"/>
      <w:lvlText w:val="(%1)"/>
      <w:numFmt w:val="decimal"/>
      <w:start w:val="2"/>
    </w:lvl>
  </w:abstractNum>
  <w:abstractNum w:abstractNumId="173">
    <w:nsid w:val="475E256A"/>
    <w:multiLevelType w:val="hybridMultilevel"/>
    <w:lvl w:ilvl="0">
      <w:lvlJc w:val="left"/>
      <w:lvlText w:val="%1."/>
      <w:numFmt w:val="decimal"/>
      <w:start w:val="815"/>
    </w:lvl>
  </w:abstractNum>
  <w:abstractNum w:abstractNumId="174">
    <w:nsid w:val="368DB37E"/>
    <w:multiLevelType w:val="hybridMultilevel"/>
    <w:lvl w:ilvl="0">
      <w:lvlJc w:val="left"/>
      <w:lvlText w:val="%1)"/>
      <w:numFmt w:val="decimal"/>
      <w:start w:val="2"/>
    </w:lvl>
  </w:abstractNum>
  <w:abstractNum w:abstractNumId="175">
    <w:nsid w:val="6A3B714C"/>
    <w:multiLevelType w:val="hybridMultilevel"/>
    <w:lvl w:ilvl="0">
      <w:lvlJc w:val="left"/>
      <w:lvlText w:val="(%1)"/>
      <w:numFmt w:val="decimal"/>
      <w:start w:val="1"/>
    </w:lvl>
  </w:abstractNum>
  <w:abstractNum w:abstractNumId="176">
    <w:nsid w:val="327B517E"/>
    <w:multiLevelType w:val="hybridMultilevel"/>
    <w:lvl w:ilvl="0">
      <w:lvlJc w:val="left"/>
      <w:lvlText w:val="•"/>
      <w:numFmt w:val="bullet"/>
      <w:start w:val="1"/>
    </w:lvl>
  </w:abstractNum>
  <w:abstractNum w:abstractNumId="177">
    <w:nsid w:val="1F461B51"/>
    <w:multiLevelType w:val="hybridMultilevel"/>
    <w:lvl w:ilvl="0">
      <w:lvlJc w:val="left"/>
      <w:lvlText w:val="(%1)"/>
      <w:numFmt w:val="lowerLetter"/>
      <w:start w:val="1"/>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decimal"/>
      <w:start w:val="606"/>
    </w:lvl>
  </w:abstractNum>
  <w:abstractNum w:abstractNumId="181">
    <w:nsid w:val="7E0F6384"/>
    <w:multiLevelType w:val="hybridMultilevel"/>
    <w:lvl w:ilvl="0">
      <w:lvlJc w:val="left"/>
      <w:lvlText w:val="%1)"/>
      <w:numFmt w:val="decimal"/>
      <w:start w:val="2"/>
    </w:lvl>
  </w:abstractNum>
  <w:abstractNum w:abstractNumId="182">
    <w:nsid w:val="2B4B8B53"/>
    <w:multiLevelType w:val="hybridMultilevel"/>
    <w:lvl w:ilvl="0">
      <w:lvlJc w:val="left"/>
      <w:lvlText w:val="(%1)"/>
      <w:numFmt w:val="lowerRoman"/>
      <w:start w:val="1"/>
    </w:lvl>
  </w:abstractNum>
  <w:abstractNum w:abstractNumId="183">
    <w:nsid w:val="72E3413A"/>
    <w:multiLevelType w:val="hybridMultilevel"/>
    <w:lvl w:ilvl="0">
      <w:lvlJc w:val="left"/>
      <w:lvlText w:val="•"/>
      <w:numFmt w:val="bullet"/>
      <w:start w:val="1"/>
    </w:lvl>
  </w:abstractNum>
  <w:abstractNum w:abstractNumId="184">
    <w:nsid w:val="116AE494"/>
    <w:multiLevelType w:val="hybridMultilevel"/>
    <w:lvl w:ilvl="0">
      <w:lvlJc w:val="left"/>
      <w:lvlText w:val="(%1)"/>
      <w:numFmt w:val="lowerLetter"/>
      <w:start w:val="1"/>
    </w:lvl>
  </w:abstractNum>
  <w:abstractNum w:abstractNumId="185">
    <w:nsid w:val="3494B2FB"/>
    <w:multiLevelType w:val="hybridMultilevel"/>
    <w:lvl w:ilvl="0">
      <w:lvlJc w:val="left"/>
      <w:lvlText w:val="(%1)"/>
      <w:numFmt w:val="lowerLetter"/>
      <w:start w:val="2"/>
    </w:lvl>
  </w:abstractNum>
  <w:abstractNum w:abstractNumId="186">
    <w:nsid w:val="B13A3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2025-12-18T07:18:19Z</dcterms:created>
  <dcterms:modified xsi:type="dcterms:W3CDTF">2025-12-18T07:18:19Z</dcterms:modified>
</cp:coreProperties>
</file>